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pPr w:leftFromText="180" w:rightFromText="180" w:vertAnchor="text" w:horzAnchor="page" w:tblpX="1247" w:tblpY="2547"/>
        <w:tblOverlap w:val="never"/>
        <w:tblW w:w="549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87"/>
        <w:gridCol w:w="570"/>
        <w:gridCol w:w="697"/>
        <w:gridCol w:w="1030"/>
        <w:gridCol w:w="1363"/>
        <w:gridCol w:w="1727"/>
        <w:gridCol w:w="361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9" w:type="pct"/>
            <w:gridSpan w:val="3"/>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ascii="文星仿宋" w:hAnsi="文星仿宋" w:eastAsia="文星仿宋" w:cs="文星仿宋"/>
                <w:i w:val="0"/>
                <w:iCs w:val="0"/>
                <w:color w:val="000000"/>
                <w:sz w:val="24"/>
                <w:szCs w:val="24"/>
                <w:u w:val="none"/>
              </w:rPr>
            </w:pPr>
            <w:bookmarkStart w:id="0" w:name="_GoBack"/>
            <w:bookmarkEnd w:id="0"/>
            <w:r>
              <w:rPr>
                <w:sz w:val="24"/>
              </w:rPr>
              <mc:AlternateContent>
                <mc:Choice Requires="wps">
                  <w:drawing>
                    <wp:anchor distT="0" distB="0" distL="114300" distR="114300" simplePos="0" relativeHeight="251659264" behindDoc="0" locked="0" layoutInCell="1" allowOverlap="1">
                      <wp:simplePos x="0" y="0"/>
                      <wp:positionH relativeFrom="column">
                        <wp:posOffset>289560</wp:posOffset>
                      </wp:positionH>
                      <wp:positionV relativeFrom="paragraph">
                        <wp:posOffset>-1597660</wp:posOffset>
                      </wp:positionV>
                      <wp:extent cx="5572760" cy="629285"/>
                      <wp:effectExtent l="0" t="0" r="15240" b="5715"/>
                      <wp:wrapNone/>
                      <wp:docPr id="1" name="文本框 1"/>
                      <wp:cNvGraphicFramePr/>
                      <a:graphic xmlns:a="http://schemas.openxmlformats.org/drawingml/2006/main">
                        <a:graphicData uri="http://schemas.microsoft.com/office/word/2010/wordprocessingShape">
                          <wps:wsp>
                            <wps:cNvSpPr txBox="1"/>
                            <wps:spPr>
                              <a:xfrm>
                                <a:off x="1080770" y="925830"/>
                                <a:ext cx="5572760" cy="629285"/>
                              </a:xfrm>
                              <a:prstGeom prst="rect">
                                <a:avLst/>
                              </a:prstGeom>
                              <a:solidFill>
                                <a:srgbClr val="FFFFFF"/>
                              </a:solidFill>
                              <a:ln w="6350">
                                <a:noFill/>
                              </a:ln>
                              <a:effectLst/>
                            </wps:spPr>
                            <wps:txbx>
                              <w:txbxContent>
                                <w:p>
                                  <w:pPr>
                                    <w:keepNext w:val="0"/>
                                    <w:keepLines w:val="0"/>
                                    <w:widowControl/>
                                    <w:suppressLineNumbers w:val="0"/>
                                    <w:jc w:val="left"/>
                                    <w:textAlignment w:val="center"/>
                                    <w:rPr>
                                      <w:rFonts w:hint="default" w:ascii="黑体" w:hAnsi="宋体" w:eastAsia="黑体" w:cs="黑体"/>
                                      <w:i w:val="0"/>
                                      <w:iCs w:val="0"/>
                                      <w:color w:val="000000"/>
                                      <w:kern w:val="0"/>
                                      <w:sz w:val="24"/>
                                      <w:szCs w:val="24"/>
                                      <w:u w:val="none"/>
                                      <w:lang w:val="en-US" w:eastAsia="zh-CN" w:bidi="ar"/>
                                    </w:rPr>
                                  </w:pPr>
                                  <w:r>
                                    <w:rPr>
                                      <w:rFonts w:hint="eastAsia" w:ascii="黑体" w:hAnsi="宋体" w:eastAsia="黑体" w:cs="黑体"/>
                                      <w:i w:val="0"/>
                                      <w:iCs w:val="0"/>
                                      <w:color w:val="000000"/>
                                      <w:kern w:val="0"/>
                                      <w:sz w:val="24"/>
                                      <w:szCs w:val="24"/>
                                      <w:u w:val="none"/>
                                      <w:lang w:val="en-US" w:eastAsia="zh-CN" w:bidi="ar"/>
                                    </w:rPr>
                                    <w:t>附件：</w:t>
                                  </w:r>
                                </w:p>
                                <w:p>
                                  <w:pPr>
                                    <w:jc w:val="center"/>
                                    <w:rPr>
                                      <w:rFonts w:hint="eastAsia" w:ascii="仿宋" w:hAnsi="仿宋" w:eastAsia="仿宋" w:cs="仿宋"/>
                                      <w:sz w:val="32"/>
                                      <w:szCs w:val="32"/>
                                      <w:lang w:val="en-US" w:eastAsia="zh-CN"/>
                                    </w:rPr>
                                  </w:pPr>
                                  <w:r>
                                    <w:rPr>
                                      <w:rFonts w:hint="eastAsia" w:ascii="方正小标宋_GBK" w:hAnsi="方正小标宋_GBK" w:eastAsia="方正小标宋_GBK" w:cs="方正小标宋_GBK"/>
                                      <w:i w:val="0"/>
                                      <w:iCs w:val="0"/>
                                      <w:color w:val="000000"/>
                                      <w:kern w:val="0"/>
                                      <w:sz w:val="40"/>
                                      <w:szCs w:val="40"/>
                                      <w:u w:val="none"/>
                                      <w:lang w:val="en-US" w:eastAsia="zh-CN" w:bidi="ar"/>
                                    </w:rPr>
                                    <w:t>民权县县级政府购买服务指导性目录</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8pt;margin-top:-125.8pt;height:49.55pt;width:438.8pt;z-index:251659264;mso-width-relative:page;mso-height-relative:page;" fillcolor="#FFFFFF" filled="t" stroked="f" coordsize="21600,21600" o:gfxdata="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D9QYY&#10;1gAAAAwBAAAPAAAAAAAAAAEAIAAAACIAAABkcnMvZG93bnJldi54bWxQSwECFAAUAAAACACHTuJA&#10;obp/5VwCAACoBAAADgAAAAAAAAABACAAAAAlAQAAZHJzL2Uyb0RvYy54bWxQSwUGAAAAAAYABgBZ&#10;AQAA8wUAAAAA&#10;">
                      <v:path/>
                      <v:fill on="t" focussize="0,0"/>
                      <v:stroke on="f" weight="0.5pt"/>
                      <v:imagedata o:title=""/>
                      <o:lock v:ext="edit" aspectratio="f"/>
                      <v:textbox>
                        <w:txbxContent>
                          <w:p>
                            <w:pPr>
                              <w:keepNext w:val="0"/>
                              <w:keepLines w:val="0"/>
                              <w:widowControl/>
                              <w:suppressLineNumbers w:val="0"/>
                              <w:jc w:val="left"/>
                              <w:textAlignment w:val="center"/>
                              <w:rPr>
                                <w:rFonts w:hint="default" w:ascii="黑体" w:hAnsi="宋体" w:eastAsia="黑体" w:cs="黑体"/>
                                <w:i w:val="0"/>
                                <w:iCs w:val="0"/>
                                <w:color w:val="000000"/>
                                <w:kern w:val="0"/>
                                <w:sz w:val="24"/>
                                <w:szCs w:val="24"/>
                                <w:u w:val="none"/>
                                <w:lang w:val="en-US" w:eastAsia="zh-CN" w:bidi="ar"/>
                              </w:rPr>
                            </w:pPr>
                            <w:r>
                              <w:rPr>
                                <w:rFonts w:hint="eastAsia" w:ascii="黑体" w:hAnsi="宋体" w:eastAsia="黑体" w:cs="黑体"/>
                                <w:i w:val="0"/>
                                <w:iCs w:val="0"/>
                                <w:color w:val="000000"/>
                                <w:kern w:val="0"/>
                                <w:sz w:val="24"/>
                                <w:szCs w:val="24"/>
                                <w:u w:val="none"/>
                                <w:lang w:val="en-US" w:eastAsia="zh-CN" w:bidi="ar"/>
                              </w:rPr>
                              <w:t>附件：</w:t>
                            </w:r>
                          </w:p>
                          <w:p>
                            <w:pPr>
                              <w:jc w:val="center"/>
                              <w:rPr>
                                <w:rFonts w:hint="eastAsia" w:ascii="仿宋" w:hAnsi="仿宋" w:eastAsia="仿宋" w:cs="仿宋"/>
                                <w:sz w:val="32"/>
                                <w:szCs w:val="32"/>
                                <w:lang w:val="en-US" w:eastAsia="zh-CN"/>
                              </w:rPr>
                            </w:pPr>
                            <w:r>
                              <w:rPr>
                                <w:rFonts w:hint="eastAsia" w:ascii="方正小标宋_GBK" w:hAnsi="方正小标宋_GBK" w:eastAsia="方正小标宋_GBK" w:cs="方正小标宋_GBK"/>
                                <w:i w:val="0"/>
                                <w:iCs w:val="0"/>
                                <w:color w:val="000000"/>
                                <w:kern w:val="0"/>
                                <w:sz w:val="40"/>
                                <w:szCs w:val="40"/>
                                <w:u w:val="none"/>
                                <w:lang w:val="en-US" w:eastAsia="zh-CN" w:bidi="ar"/>
                              </w:rPr>
                              <w:t>民权县县级政府购买服务指导性目录</w:t>
                            </w:r>
                          </w:p>
                          <w:p/>
                        </w:txbxContent>
                      </v:textbox>
                    </v:shape>
                  </w:pict>
                </mc:Fallback>
              </mc:AlternateContent>
            </w:r>
            <w:r>
              <w:rPr>
                <w:rFonts w:hint="default" w:ascii="文星仿宋" w:hAnsi="文星仿宋" w:eastAsia="文星仿宋" w:cs="文星仿宋"/>
                <w:i w:val="0"/>
                <w:iCs w:val="0"/>
                <w:color w:val="000000"/>
                <w:kern w:val="0"/>
                <w:sz w:val="24"/>
                <w:szCs w:val="24"/>
                <w:u w:val="none"/>
                <w:lang w:val="en-US" w:eastAsia="zh-CN" w:bidi="ar"/>
              </w:rPr>
              <w:t>代码</w:t>
            </w:r>
          </w:p>
        </w:tc>
        <w:tc>
          <w:tcPr>
            <w:tcW w:w="520" w:type="pct"/>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一级目录</w:t>
            </w:r>
          </w:p>
        </w:tc>
        <w:tc>
          <w:tcPr>
            <w:tcW w:w="689" w:type="pct"/>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二级目录</w:t>
            </w:r>
          </w:p>
        </w:tc>
        <w:tc>
          <w:tcPr>
            <w:tcW w:w="873" w:type="pct"/>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三级目录</w:t>
            </w:r>
          </w:p>
        </w:tc>
        <w:tc>
          <w:tcPr>
            <w:tcW w:w="1826" w:type="pct"/>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类</w:t>
            </w: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款</w:t>
            </w: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项</w:t>
            </w:r>
          </w:p>
        </w:tc>
        <w:tc>
          <w:tcPr>
            <w:tcW w:w="520"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87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1826"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9" w:type="pct"/>
            <w:gridSpan w:val="3"/>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合计</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（2类）</w:t>
            </w: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（30款）</w:t>
            </w: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（163项）</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（163项说明）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101</w:t>
            </w: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kern w:val="0"/>
                <w:sz w:val="24"/>
                <w:szCs w:val="24"/>
                <w:u w:val="none"/>
                <w:lang w:val="en-US" w:eastAsia="zh-CN" w:bidi="ar"/>
              </w:rPr>
            </w:pPr>
            <w:r>
              <w:rPr>
                <w:rFonts w:hint="default" w:ascii="文星仿宋" w:hAnsi="文星仿宋" w:eastAsia="文星仿宋" w:cs="文星仿宋"/>
                <w:i w:val="0"/>
                <w:iCs w:val="0"/>
                <w:color w:val="000000"/>
                <w:kern w:val="0"/>
                <w:sz w:val="24"/>
                <w:szCs w:val="24"/>
                <w:u w:val="none"/>
                <w:lang w:val="en-US" w:eastAsia="zh-CN" w:bidi="ar"/>
              </w:rPr>
              <w:t>公共</w:t>
            </w:r>
          </w:p>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服务</w:t>
            </w: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01</w:t>
            </w: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公共安全服务</w:t>
            </w: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01</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公共安全隐患排查治理辅助服务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城市基础设施、食品药品、农产品等领域安全排查检查、监测、治理辅助服务。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02</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公共安全情况监测服务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公共安全风险监测、预警与评估等服务。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03</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安全生产事故调查服务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事故现场核验、调查分析等服务。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4"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04</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安全生产应急救援服务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救援救助服务。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02</w:t>
            </w: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教育公共服务</w:t>
            </w: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r>
      <w:tr>
        <w:tblPrEx>
          <w:tblCellMar>
            <w:top w:w="0" w:type="dxa"/>
            <w:left w:w="108" w:type="dxa"/>
            <w:bottom w:w="0" w:type="dxa"/>
            <w:right w:w="108" w:type="dxa"/>
          </w:tblCellMar>
        </w:tblPrEx>
        <w:trPr>
          <w:trHeight w:val="28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01</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课程研究与开发服务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中小学教师课程、职教师资课程等。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02</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学生体育活动组织实施服务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教育领域内由政府举办的区域性体育、艺术、技能、业务等比赛活动的组织与承办。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03</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校园艺术活动组织实施活动</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艺术等比赛活动的组织与承办。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04</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教学成果推广应用服务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推广交流会、成果展览会、先进成果演示活动等。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05</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国防教育服务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参观活动、科普国防知识等。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03</w:t>
            </w: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b/>
                <w:bCs/>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就业公共服务</w:t>
            </w: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rPr>
                <w:rFonts w:hint="default" w:ascii="文星仿宋" w:hAnsi="文星仿宋" w:eastAsia="文星仿宋" w:cs="文星仿宋"/>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01</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就业指导服务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就业信息发布、职业指导和职业介绍、职业测评、就业失业登记、就业援助、就业服务专题活动组织、就业社区建设等就业服务相关辅助性工作。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02</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职业技能培训</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城乡登记失业人员、就业困难人员、残疾人、农村转移劳动力、毕业学年高校毕业生以及技师、高级技师、高级工、退役士兵、退役运动员等城乡各类劳动者就业技能培训和技能提升服务。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03</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b/>
                <w:bCs/>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创业指导服务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创业大赛（峰会）、创业型城市、街道（乡镇）等创业服务活动的组织与实施服务，创业活动策划、宣传服务，项目对接及后续跟踪服务。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04</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高层次人才（智库）引进及配套服务辅助性工作</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各类高层次人才（智库）引进活动组织、策划及宣传服务辅助性工作，高层次人才引进项目评审、合作交流、对接、招聘、管理评估、创新创业项目指导等人才配套服务辅助性工作。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05</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人才培训</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高层次人才、专业技术人员、技能型人才、人才工作者等培训，以及专家国情省情研修活动的组织与承办。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04</w:t>
            </w: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b/>
                <w:bCs/>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社会保障服务</w:t>
            </w: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01</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儿童福利服务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农村留守儿童、妇女和困境未成年人的走访排查、档案整理、调查评估、宣传培训等事务性工作和监护指导、照料护理、康复训练、心理疏导、行为矫治、法律援助、社会融入、专业评估与家庭关系调适等专业服务。儿童收养评估、收养后回访、档案管理和评估培训等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02</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基本养老服务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为符合条件的老年人提供居家养老、社区养老、机构养老等服务。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03</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社会救助服务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由第三方开展的社会救助对象排查、家计调查、家庭经济状况核对、社会救助协理等服务。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04</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社会救助对象基本服务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为社会救助对象提供照料护理、康复训练、送医陪护、社会融入、能力提升、心理疏导、资源链接、特困人员社会化托管等服务；为流浪乞讨人员提供教育矫治、临时安置服务；为流浪未成年人提供源头预防和监护干预等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bottom"/>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05</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优抚安置服务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为重点优抚对象提供生活照料、心理疏导、法律援助、行为干预、社会工作等专业服务。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bottom"/>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06</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残疾人康复基本型辅具适配服务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包括助视、助听、助行等基本型辅具及残疾人生活自助、护理用具的适配和维护维修服务，其他辅助器具适配和维护维修服务。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bottom"/>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07</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残疾人托养服务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为符合条件的残疾人提供各类机构托养服务。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bottom"/>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08</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残疾人就业服务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残疾人就业培训与就业指导服务。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09</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公益性基础法律服务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面向弱势群体、小微企业、农村集体经济组织、村（社区）等提供的公益性法律顾问、咨询、辩护、代理、公证、司法鉴定等服务。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10</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法律援助项目实施</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为经济困难并符合援助事项范围或特殊案件的当事人提供无偿的法律服务。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05</w:t>
            </w: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卫生健康公共服务</w:t>
            </w: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01</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传染病防控服务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传染疾病与健康危害因素监测、调查、评价及干预。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02</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地方病防控服务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地方疾病与健康危害因素监测、调查、评价及干预。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03</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应急救治服务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公共卫生应急队伍培训，突发急性传染病处置，中毒、核辐射、地震等相关演练的组织与实施。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04</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食品药品安全服务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对辖区内常住居民食品药品安全提供健康教育资料、设置健康教育宣传栏、开展公众健康咨询服务、举办健康知识讲座、综合信息化开展个体化健康知识普及活动。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05</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特殊群体卫生健康服务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对辖区儿童、孕妇、老人、残疾人等提供预防接种管理、健康档案管理等服务。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06</w:t>
            </w: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生态保护和环境治理服务</w:t>
            </w: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01</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生态资源调查与监测服务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委托社会化服务单位对生态环境监测监控站点或设施进行维护和质量检查。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02</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野生动物疫源疫病监测服务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委托第三方对野生动物疫源疫病监测提供技术支持。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03</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碳汇监测与评估服务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碳汇监测与评估服务。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04</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废弃物处理服务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废弃物无害化处理服务。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05</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环境保护舆情监控服务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森林（公益林）、湿地资源、林业自然保护区、陆生野生动植物、古树名木、珍贵树木资源舆情监控服务。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06</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环境保护成果交流与管理服务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交流会、培训会、成果展览会的服务事项。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07</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农业农村环境治理服务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乡村垃圾处理、土壤污染治理、农药包装物等废弃物治理、污水处理、畜禽养殖粪污处理等服务。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08</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b/>
                <w:bCs/>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生态资源调查与监测服务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对森林、湿地、林业自然保护区、陆生野生动植物等生态资源调查与监测服务。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bottom"/>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09</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国土空间生态修复服务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国土空间综合整治、土地整理复垦、矿山地质环境恢复治理等服务。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bottom"/>
          </w:tcPr>
          <w:p>
            <w:pPr>
              <w:keepNext w:val="0"/>
              <w:keepLines w:val="0"/>
              <w:widowControl/>
              <w:suppressLineNumbers w:val="0"/>
              <w:jc w:val="left"/>
              <w:textAlignment w:val="bottom"/>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07</w:t>
            </w: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科技公共服务</w:t>
            </w: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bottom"/>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01</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科技研发与推广服务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推广应用创新券，推广创新平台和高校、院所开放共享仪器设备，科学实验研究、科学实验的技术评审及检验检测等技术服务。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bottom"/>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02</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科技成果转化与推广服务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公共领域科技项目成果遴选、评审、验收、鉴定以及科技成果推广应用，先进技术、先进生产工艺、先进设施设备的推广应用等。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bottom"/>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03</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科技交流、普及与推广服务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政府举办的行业、领域科技交流与合作活动。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bottom"/>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04</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区域科技发展服务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区域产业发展、区域科技改革创新活动。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bottom"/>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05</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技术创新服务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技术知识创新的普及、宣传与推广服务。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bottom"/>
          </w:tcPr>
          <w:p>
            <w:pPr>
              <w:keepNext w:val="0"/>
              <w:keepLines w:val="0"/>
              <w:widowControl/>
              <w:suppressLineNumbers w:val="0"/>
              <w:jc w:val="left"/>
              <w:textAlignment w:val="bottom"/>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08</w:t>
            </w: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文化公共服务</w:t>
            </w: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bottom"/>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01</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文化艺术创作、表演及交流服务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公益性舞台艺术作品、出版物、数字文化产品、广播影视作品、公益性广告、面向特殊群体文化产品的创作、演出与宣传。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bottom"/>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02</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群众文化服务活动</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群众文化艺术活动（含戏曲、全民阅读）的组织与承办。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bottom"/>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03</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文化和文物保护服务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文化遗产保护、传承与展示。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09</w:t>
            </w: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体育公共服务</w:t>
            </w: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01</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体育组织服务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体育赛事、活动的组织与实施。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02</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体育场馆服务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公共体育场地、设施的运营与管理。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03</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科学健身指导服务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国民体质测试、全民健身志愿服务、以及社会体育指导员培训。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04</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健身消费补贴服务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发放居民体育健身消费补贴相关服务。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10</w:t>
            </w: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b/>
                <w:bCs/>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社会治理服务</w:t>
            </w: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rPr>
                <w:rFonts w:hint="default" w:ascii="文星仿宋" w:hAnsi="文星仿宋" w:eastAsia="文星仿宋" w:cs="文星仿宋"/>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01</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社区治理服务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城乡社区治安维护、信息发布、便民活动组织、社区工作者培训等服务。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02</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社会组织建设与管理服务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社会组织登记、变更、年检、抽查、等级评估，社会组织法定代表人离任审计、社会组织注销清算报告审计和社会组织专项审计，社会组织发展状况、社会智库认定等。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03</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社会工作服务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对孵化基地、创业园、创新园等社会组织综合服务平台建设和运营提供辅助服务。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04</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人民调解服务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工商消费调解、劳动人事争议调解、信访调解、农村土地承包经营纠纷调解、交通事故纠纷调解、医患纠纷调解、社会组织纠纷调解等化解社会矛盾的人民调解服务。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05</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志愿服务活动管理服务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志愿服务项目的实施与管理服务。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11</w:t>
            </w: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城乡维护服务</w:t>
            </w: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bottom"/>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01</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公共设施管理服务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市政设施、乡村公共设施运管与维护。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12</w:t>
            </w: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农业、林业和水利公共服务</w:t>
            </w: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01</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农业绿色发展和可持续发展服务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加快农业全面绿色转型，持续改革农村生态环境。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02</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农业资源与环境保护服务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农业资源与环境保护服务。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03</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农作物病虫害防治服务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松材线虫病、松褐天牛、美国白蛾、竹一字象甲等重大病虫害的监测、防治和检疫技术服务相关技术性、辅助性工作，农作物重大病虫害统防统治服务相关技术性、辅助性工作。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04</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外来入侵生物综合防治服务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综合防治被官方列入外来入侵物种名单的外来生物相关服务。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05</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动物疫病防治服务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动物防疫服务相关技术性、辅助性工作。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06</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品种保存和改良服务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优化品种过程中的保存和改良服务。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07</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公益性农机作业服务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农民种养技能培训等公益性农业技术服务。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08</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农产品质量安全服务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农产品质量安全保障服务。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09</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渔业船舶检验监管服务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对渔业船舶进行检验监管服务。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10</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森林经营与管理服务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森林资源的管理和养护服务。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11</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营造林项目服务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造林、森林抚育、退化林修复等营造林项目实施、管护等服务。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12</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创森体系验收服务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委托第三方对森林城市、森林特色小镇、森林乡村建设情况进行验收服务。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13</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水利设施养护服务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水库（闸）工程、河道工程、农田灌排工程、水文设施、山洪灾害防御设施设备维修养护。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14</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农业应急物资储运服务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森林消防应急物资储备、防汛防台抗旱救灾物资储备、人工增雨火箭弹储运服务。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15</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远洋渔业资源探捕</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对有关公海及有关国家海洋专属经济区内进行调查分析，探捕有关深海鱼类及分布大概情况及信息发布服务。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16</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病死畜禽收集处置服务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畜禽养殖场（户）病死畜禽收集、清点核查、暂存转运和无害化处理等服务。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17</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农业灾害救助辅助性工作</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自然灾害对农作物造成重大影响、损失的辅助救助工作。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18</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高标准农田运营服务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委托第三方对高标准农田进行运营服务。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19</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主要农产品生产社会化服务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粮棉油糖等主要农产品生产全程社会化服务和畜禽粪污资源综合利用服务。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20</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农业（行业）运行监测和预警分析服务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农业（行业）运行监测和预警分析服务。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21</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农村公益性工程和项目管护及运营服务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农村公益性工程和项目管护及运营服务。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22</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蓄滞洪区、黄河滩区运用补偿技术服务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蓄滞洪区、黄河滩区运用补偿技术服务。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23</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b/>
                <w:bCs/>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防汛抗旱物资代储服务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防汛抗旱物资代储服务。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13</w:t>
            </w: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交通运输公共服务</w:t>
            </w: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01</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水路运输保障服务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水路交通运输服务。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02</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交通运输社会监督服务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公路桥梁隧道定期社会检查监督服务。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03</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轨道交通应急演练服务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应急演练的组织实施。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04</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铁路工程质量监督服务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路地联合审批省方主导建设铁路、省审批（核准、备案）铁路工程质量监督服务。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05</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低空飞行服务保障</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通用航空飞行的空中交通服务，包括飞行计划、航空情报、航空飞行、飞行监视、告警救援和飞行中服务。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CCFF"/>
                <w:sz w:val="24"/>
                <w:szCs w:val="24"/>
                <w:u w:val="none"/>
              </w:rPr>
            </w:pPr>
            <w:r>
              <w:rPr>
                <w:rFonts w:hint="default" w:ascii="文星仿宋" w:hAnsi="文星仿宋" w:eastAsia="文星仿宋" w:cs="文星仿宋"/>
                <w:i w:val="0"/>
                <w:iCs w:val="0"/>
                <w:color w:val="auto"/>
                <w:kern w:val="0"/>
                <w:sz w:val="24"/>
                <w:szCs w:val="24"/>
                <w:u w:val="none"/>
                <w:lang w:val="en-US" w:eastAsia="zh-CN" w:bidi="ar"/>
              </w:rPr>
              <w:t>14</w:t>
            </w: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灾害防治及应急管理服务</w:t>
            </w: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01</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森林防火与火灾救援</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森林防火与火灾救援。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02</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林业农业有害生物防治</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林业农业有害生物防治。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03</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气象灾害防御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气象灾害防御。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04</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救灾物资代储和紧急供货服务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救灾物资代储和紧急供货服务。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05</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地质灾害综合防治</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地质灾害预防和治理服务。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06</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防汛抗旱与应急救援</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防汛抗旱应急技术保障服务，防汛抗旱应急救援服务。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07</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地震和地质灾害与应急救援</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地震和地质灾害应急技术保障服务，地震和地质灾害应急救援服务。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08</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安全生产应急救援服务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安全生产事故、紧急突发事件等的应急救援服务。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09</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消防安全服务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消防安全宣传、培训等服务，市政消火栓、消防通信、消防车通道等的公共消防设施维护管理服务。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10</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航空救援服务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救援航空器运行保障等服务。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11</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安全生产监管工作辅助服务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安全生产检验检测、安全生产检查咨询等服务。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12</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安全生产隐患排查治理辅助服务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危险化学品、非煤矿山、工贸等领域安全隐患排查、治理辅助服务。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13</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安全生产情况监测服务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安全生产风险监测、预警与评估等服务。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14</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安全生产及应急管理宣传、教育服务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安全生产及应急管理宣传、科普、教育、培训等服务。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15</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安全生产应急演练服务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应急演练的组织实施。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16</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安全生产重点领域和区域的调研评估</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危险化学品、非煤矿山、工贸等重点领域以及相关行业重点区域的调研和评估服务。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17</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安全生产行业调查服务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委托社会力量开展的安全生产情况调查、社会满意度调查、社会诚信度调查、经营状况调查等。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18</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安全生产技术评审鉴定评估服务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危险化学品、非煤矿山、工贸等行业、领域的技术评审鉴定评估调查等。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19</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安全生产行业规范研究与编制</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委托第三方开展的行业规范研究与编制服务。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20</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安全生产行业地方标准和定额研究、编制及修订辅助性服务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委托第三方开展的各类行业地方标准和定额制（修）订、标准跟踪评价等服务。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21</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灾后防疫服务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灾害发生后疫情防治服务。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22</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灾害风险普查服务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灾害风险普查服务。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15</w:t>
            </w: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公共信息与宣传服务</w:t>
            </w: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01</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公共信息服务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公共信息传播服务。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02</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公共公益宣传服务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公共公益政策法规宣传辅助服务。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03</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公共公益展览服务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展览活动组展设计与实施。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04</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公共信息系统开发与维护服务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公共信息管理辅助服务。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16</w:t>
            </w: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行业管理服务</w:t>
            </w: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01</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行业规划服务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政府及相关部门组织的重大规划编制和行业发展重大战略、政策、课题研究服务。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02</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行业调查与处置服务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委托社会力量开展的经济社会发展情况调查、社会满意度调查、社会诚信度调查、经营状况调查等。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03</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行业统计分析服务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各类行业统计数据采集、分析，指标研究等服务。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04</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行业职业资格和水平测试管理</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各类行业从业资格标准和政策研究，资格评审辅助服务。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05</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行业规范服务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kern w:val="0"/>
                <w:sz w:val="24"/>
                <w:szCs w:val="24"/>
                <w:u w:val="none"/>
                <w:lang w:val="en-US" w:eastAsia="zh-CN" w:bidi="ar"/>
              </w:rPr>
            </w:pPr>
            <w:r>
              <w:rPr>
                <w:rFonts w:hint="default" w:ascii="文星仿宋" w:hAnsi="文星仿宋" w:eastAsia="文星仿宋" w:cs="文星仿宋"/>
                <w:i w:val="0"/>
                <w:iCs w:val="0"/>
                <w:color w:val="000000"/>
                <w:kern w:val="0"/>
                <w:sz w:val="24"/>
                <w:szCs w:val="24"/>
                <w:u w:val="none"/>
                <w:lang w:val="en-US" w:eastAsia="zh-CN" w:bidi="ar"/>
              </w:rPr>
              <w:t>委托第三方开展的行业规范研究与编制服</w:t>
            </w:r>
          </w:p>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06</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行业标准制修订服务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委托第三方开展的各类行业地方标准和定额制（修）订、标准跟踪评价等服务。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07</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行业投诉处理服务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政府设立的行业政策咨询、投诉举报热线、网站平台的维护和受理服务。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08</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行业咨询服务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各级政务大厅服务帮办咨询服务。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09</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行业人才培养服务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行业人才培训、指导服务。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10</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营商环境监测服务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将营商环境相关指标数据进行归集，对企业关注的重点、难点进行数据的挖掘，实现省市县营商环境实时监测。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11</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地勘行业服务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地质勘查项目服务。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17</w:t>
            </w: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技术性公共服务</w:t>
            </w: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01</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技术评审鉴定评估</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企业安全生产、交通运输、住房城乡建设、环境保护、旅游、食品医疗器械、农产品、能源等行业、领域的技术评审鉴定评估服务。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02</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检验检疫检测及认证服务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食用农林产品质量和产地环境、农田水利、市政工程、建筑节能、特种设备等检验检测服务。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03</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b/>
                <w:bCs/>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监测服务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自然环境、社会管理、经济运行等各领域的监测服务。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04</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气象服务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行政区域气象定位等服务。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05</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投资咨询评估</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委托第三方开展的投资审批、投资管理中期评估和后评价等咨询评估服务。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06</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自然资源审批和核查</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自然资源审批和核查。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18</w:t>
            </w: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其他公共服务</w:t>
            </w: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01</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省内外合作与交流服务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省内外会议、展览等交流活动辅助服务。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02</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农村金融发展服务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农村金融融资辅助性服务。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102</w:t>
            </w: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政府履职辅助性服务</w:t>
            </w: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01</w:t>
            </w: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法律服务</w:t>
            </w: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01</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法律顾问服务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为重大行政决策、行政行为提供法律意见等服务。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02</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法律咨询服务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参与重大项目洽谈、对外招标等事务以及重要法律文书、合同、协议的起草、论证、审核及修改等服务。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03</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法律诉讼及其他争端解决服务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参与处理行政复议、诉讼、仲裁，接待信访、矛盾调处、涉法案件化解、突发事件处置、社区矫正、安置帮教等法律事务服务。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04</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见证及公证服务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见证及公证服务。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02</w:t>
            </w: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课题研究和社会调查服务</w:t>
            </w: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01</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课题研究服务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重大课题的第三方研究服务。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02</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社会调查服务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对社会现象的考察、了解和分析、研究。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03</w:t>
            </w: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会计审计服务</w:t>
            </w: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01</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会计服务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委托个人或会计机构等提供财税等服务。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02</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审计服务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内部审计相关工作、财务审计服务。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04</w:t>
            </w: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会议服务</w:t>
            </w: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01</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会议服务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适合通过市场化方式提供的会议、论坛、展会等服务。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05</w:t>
            </w: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监督检查辅助服务</w:t>
            </w: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01</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监督检查辅助服务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配合监督检查开展的服务事项。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06</w:t>
            </w: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工程服务</w:t>
            </w: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01</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工程造价咨询服务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承担建设项目的全过程、动态的造价管理。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02</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工程监理服务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依据国家批准的工程项目建设文件、有关法律法规及相关合同，对工程建设实施监控的专业化服务。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03</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其他适合通过市场化方式提供的工程服务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其他适合通过市场化方式提供的工程服务。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07</w:t>
            </w: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评审、评估和评价服务</w:t>
            </w: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01</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评审服务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重大规划、专题研究以及重大项目预可行性研究、初步设计及概算、资金申请等评审论证服务。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02</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评估和评价服务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重大政策、规划、项目执行情况和实施效果等评估和评价服务。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08</w:t>
            </w: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咨询服务</w:t>
            </w: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01</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咨询服务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委托个人或机构等提供咨询等服务。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09</w:t>
            </w: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机关工作人员培训服务</w:t>
            </w: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01</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机关工作人员技术业务培训服务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对机关工作人员进行技术业务培训。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02</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其他适合通过市场化方式提供的机关工作人员培训服务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其他适合通过市场化方式提供的机关工作人员培训服务。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10</w:t>
            </w: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信息化服务</w:t>
            </w: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01</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机关信息系统开发与维护服务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机关信息系统开发与维护服务。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02</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数据处理服务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数据信息分析与审核处理服务。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03</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网络接入服务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利用接入服务器和相应的软硬件资源建立业务节点，并利用公用设施为用户提供接入因特网服务。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04</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其他适合通过市场化方式提供的信息化服务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其他适合通过市场化方式提供的信息化服务。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11</w:t>
            </w: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后勤服务</w:t>
            </w: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01</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维修保养服务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对办公设施进行维修保养。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02</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物业管理服务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物业管理服务。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03</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安全服务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后勤安全保卫相关服务。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04</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印刷和出版服务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印刷和出版服务。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05</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物业服务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办公场所保洁、绿化、设备设施维护和秩序维护等物业服务。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06</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餐饮服务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餐饮服务。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07</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租赁服务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办公设备租赁服务。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08</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其他适合通过市场化方式提供的后勤服务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其他适合通过市场化方式提供的后勤服务。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12</w:t>
            </w: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其他辅助性服务</w:t>
            </w: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01</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翻译服务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对外交流翻译服务。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02</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档案管理服务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数据库备份、档案寄存、档案数字化转换、数据备份介质寄存等。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03</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外事服务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对外交流外事服务。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文星仿宋" w:hAnsi="文星仿宋" w:eastAsia="文星仿宋" w:cs="文星仿宋"/>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rPr>
                <w:rFonts w:hint="default" w:ascii="文星仿宋" w:hAnsi="文星仿宋" w:eastAsia="文星仿宋" w:cs="文星仿宋"/>
                <w:i w:val="0"/>
                <w:iCs w:val="0"/>
                <w:color w:val="000000"/>
                <w:sz w:val="24"/>
                <w:szCs w:val="24"/>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04</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default" w:ascii="文星仿宋" w:hAnsi="文星仿宋" w:eastAsia="文星仿宋" w:cs="文星仿宋"/>
                <w:i w:val="0"/>
                <w:iCs w:val="0"/>
                <w:color w:val="000000"/>
                <w:sz w:val="24"/>
                <w:szCs w:val="24"/>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default" w:ascii="文星仿宋" w:hAnsi="文星仿宋" w:eastAsia="文星仿宋" w:cs="文星仿宋"/>
                <w:i w:val="0"/>
                <w:iCs w:val="0"/>
                <w:color w:val="000000"/>
                <w:sz w:val="24"/>
                <w:szCs w:val="24"/>
                <w:u w:val="none"/>
              </w:rPr>
            </w:pPr>
          </w:p>
        </w:tc>
        <w:tc>
          <w:tcPr>
            <w:tcW w:w="8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绩效评价服务</w:t>
            </w:r>
          </w:p>
        </w:tc>
        <w:tc>
          <w:tcPr>
            <w:tcW w:w="18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文星仿宋" w:hAnsi="文星仿宋" w:eastAsia="文星仿宋" w:cs="文星仿宋"/>
                <w:i w:val="0"/>
                <w:iCs w:val="0"/>
                <w:color w:val="000000"/>
                <w:sz w:val="24"/>
                <w:szCs w:val="24"/>
                <w:u w:val="none"/>
              </w:rPr>
            </w:pPr>
            <w:r>
              <w:rPr>
                <w:rFonts w:hint="default" w:ascii="文星仿宋" w:hAnsi="文星仿宋" w:eastAsia="文星仿宋" w:cs="文星仿宋"/>
                <w:i w:val="0"/>
                <w:iCs w:val="0"/>
                <w:color w:val="000000"/>
                <w:kern w:val="0"/>
                <w:sz w:val="24"/>
                <w:szCs w:val="24"/>
                <w:u w:val="none"/>
                <w:lang w:val="en-US" w:eastAsia="zh-CN" w:bidi="ar"/>
              </w:rPr>
              <w:t>引导和规范第三方机构参与预算绩效管理。</w:t>
            </w:r>
          </w:p>
        </w:tc>
      </w:tr>
    </w:tbl>
    <w:p/>
    <w:p/>
    <w:sectPr>
      <w:pgSz w:w="11906" w:h="16838"/>
      <w:pgMar w:top="1417" w:right="1417" w:bottom="1701" w:left="1701"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文星仿宋">
    <w:altName w:val="仿宋"/>
    <w:panose1 w:val="00000000000000000000"/>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Y5MTU2YmE0ZWVhOGIwMjgzYjMxNDE4MTcwZjZkMTUifQ=="/>
  </w:docVars>
  <w:rsids>
    <w:rsidRoot w:val="00000000"/>
    <w:rsid w:val="0AD476BD"/>
    <w:rsid w:val="11CA2541"/>
    <w:rsid w:val="4DA716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2022-10-24T00:19:00Z</dcterms:created>
  <dc:creator>dell</dc:creator>
  <cp:lastModifiedBy>王秋雨</cp:lastModifiedBy>
  <dcterms:modified xsi:type="dcterms:W3CDTF">2023-12-25T01:17:13Z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2DC3401BDB404B93BD4A3AD8A7DC5E20</vt:lpwstr>
  </property>
</Properties>
</file>