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rPr>
          <w:rFonts w:hint="eastAsia" w:ascii="黑体" w:hAnsi="黑体" w:eastAsia="黑体" w:cs="黑体"/>
          <w:sz w:val="52"/>
          <w:szCs w:val="52"/>
        </w:rPr>
      </w:pPr>
      <w:r>
        <w:rPr>
          <w:rFonts w:hint="eastAsia" w:ascii="黑体" w:hAnsi="黑体" w:eastAsia="黑体" w:cs="黑体"/>
          <w:sz w:val="52"/>
          <w:szCs w:val="52"/>
        </w:rPr>
        <w:t>20</w:t>
      </w:r>
      <w:r>
        <w:rPr>
          <w:rFonts w:ascii="黑体" w:hAnsi="黑体" w:eastAsia="黑体" w:cs="黑体"/>
          <w:sz w:val="52"/>
          <w:szCs w:val="52"/>
        </w:rPr>
        <w:t>22</w:t>
      </w:r>
      <w:r>
        <w:rPr>
          <w:rFonts w:hint="eastAsia" w:ascii="黑体" w:hAnsi="黑体" w:eastAsia="黑体" w:cs="黑体"/>
          <w:sz w:val="52"/>
          <w:szCs w:val="52"/>
        </w:rPr>
        <w:t>年度</w:t>
      </w:r>
    </w:p>
    <w:p>
      <w:pPr>
        <w:jc w:val="center"/>
        <w:rPr>
          <w:rFonts w:hint="eastAsia" w:ascii="黑体" w:hAnsi="黑体" w:eastAsia="黑体" w:cs="黑体"/>
          <w:sz w:val="52"/>
          <w:szCs w:val="52"/>
        </w:rPr>
      </w:pPr>
      <w:r>
        <w:rPr>
          <w:rFonts w:hint="eastAsia" w:ascii="黑体" w:hAnsi="黑体" w:eastAsia="黑体" w:cs="黑体"/>
          <w:sz w:val="52"/>
          <w:szCs w:val="52"/>
        </w:rPr>
        <w:t>民权县王庄寨镇人民政府部门决算</w:t>
      </w:r>
    </w:p>
    <w:p>
      <w:pPr>
        <w:jc w:val="center"/>
        <w:rPr>
          <w:rFonts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52"/>
          <w:szCs w:val="52"/>
        </w:rPr>
      </w:pPr>
    </w:p>
    <w:p>
      <w:pPr>
        <w:jc w:val="center"/>
        <w:rPr>
          <w:rFonts w:hint="eastAsia" w:ascii="黑体" w:hAnsi="黑体" w:eastAsia="黑体" w:cs="黑体"/>
          <w:sz w:val="32"/>
          <w:szCs w:val="32"/>
        </w:rPr>
        <w:sectPr>
          <w:pgSz w:w="11906" w:h="16838"/>
          <w:pgMar w:top="1440" w:right="1531" w:bottom="1440" w:left="1587" w:header="850" w:footer="992" w:gutter="0"/>
          <w:pgNumType w:fmt="numberInDash"/>
          <w:cols w:space="720" w:num="1"/>
          <w:docGrid w:type="lines" w:linePitch="317" w:charSpace="0"/>
        </w:sectPr>
      </w:pPr>
      <w:r>
        <w:rPr>
          <w:rFonts w:hint="eastAsia" w:ascii="黑体" w:hAnsi="黑体" w:eastAsia="黑体" w:cs="黑体"/>
          <w:sz w:val="32"/>
          <w:szCs w:val="32"/>
        </w:rPr>
        <w:t>二〇二三年</w:t>
      </w:r>
      <w:r>
        <w:rPr>
          <w:rFonts w:hint="eastAsia" w:ascii="黑体" w:hAnsi="黑体" w:eastAsia="黑体" w:cs="黑体"/>
          <w:sz w:val="32"/>
          <w:szCs w:val="32"/>
          <w:lang w:val="en-US" w:eastAsia="zh-CN"/>
        </w:rPr>
        <w:t>九</w:t>
      </w:r>
      <w:r>
        <w:rPr>
          <w:rFonts w:hint="eastAsia" w:ascii="黑体" w:hAnsi="黑体" w:eastAsia="黑体" w:cs="黑体"/>
          <w:sz w:val="32"/>
          <w:szCs w:val="32"/>
        </w:rPr>
        <w:t>月</w:t>
      </w:r>
    </w:p>
    <w:p>
      <w:pPr>
        <w:jc w:val="center"/>
        <w:rPr>
          <w:rFonts w:ascii="黑体" w:hAnsi="黑体" w:eastAsia="黑体" w:cs="黑体"/>
          <w:sz w:val="36"/>
          <w:szCs w:val="36"/>
        </w:rPr>
      </w:pPr>
      <w:r>
        <w:rPr>
          <w:rFonts w:hint="eastAsia" w:ascii="黑体" w:hAnsi="黑体" w:eastAsia="黑体" w:cs="黑体"/>
          <w:sz w:val="36"/>
          <w:szCs w:val="36"/>
        </w:rPr>
        <w:t>目　　录</w:t>
      </w:r>
    </w:p>
    <w:p>
      <w:pPr>
        <w:jc w:val="left"/>
        <w:rPr>
          <w:rFonts w:ascii="黑体" w:hAnsi="黑体" w:eastAsia="黑体" w:cs="黑体"/>
          <w:sz w:val="32"/>
          <w:szCs w:val="32"/>
        </w:rPr>
      </w:pPr>
      <w:r>
        <w:rPr>
          <w:rFonts w:hint="eastAsia" w:ascii="黑体" w:hAnsi="黑体" w:eastAsia="黑体" w:cs="黑体"/>
          <w:sz w:val="32"/>
          <w:szCs w:val="32"/>
        </w:rPr>
        <w:t>第一部分　民权县王庄寨镇人民政府概况</w:t>
      </w:r>
    </w:p>
    <w:p>
      <w:pPr>
        <w:numPr>
          <w:ilvl w:val="0"/>
          <w:numId w:val="1"/>
        </w:numPr>
        <w:ind w:firstLine="640" w:firstLineChars="200"/>
        <w:jc w:val="left"/>
        <w:rPr>
          <w:rFonts w:ascii="宋体" w:hAnsi="宋体" w:cs="宋体"/>
          <w:sz w:val="32"/>
          <w:szCs w:val="32"/>
        </w:rPr>
      </w:pPr>
      <w:r>
        <w:rPr>
          <w:rFonts w:hint="eastAsia" w:ascii="宋体" w:hAnsi="宋体" w:cs="宋体"/>
          <w:sz w:val="32"/>
          <w:szCs w:val="32"/>
        </w:rPr>
        <w:t>部门职责</w:t>
      </w:r>
    </w:p>
    <w:p>
      <w:pPr>
        <w:numPr>
          <w:ilvl w:val="0"/>
          <w:numId w:val="1"/>
        </w:numPr>
        <w:ind w:firstLine="640" w:firstLineChars="200"/>
        <w:jc w:val="left"/>
        <w:rPr>
          <w:rFonts w:ascii="宋体" w:hAnsi="宋体" w:cs="宋体"/>
          <w:sz w:val="32"/>
          <w:szCs w:val="32"/>
        </w:rPr>
      </w:pPr>
      <w:r>
        <w:rPr>
          <w:rFonts w:hint="eastAsia" w:ascii="宋体" w:hAnsi="宋体" w:cs="宋体"/>
          <w:sz w:val="32"/>
          <w:szCs w:val="32"/>
        </w:rPr>
        <w:t>机构设置</w:t>
      </w:r>
    </w:p>
    <w:p>
      <w:pPr>
        <w:jc w:val="left"/>
        <w:rPr>
          <w:rFonts w:ascii="黑体" w:hAnsi="黑体" w:eastAsia="黑体" w:cs="黑体"/>
          <w:sz w:val="32"/>
          <w:szCs w:val="32"/>
        </w:rPr>
      </w:pPr>
      <w:r>
        <w:rPr>
          <w:rFonts w:hint="eastAsia" w:ascii="黑体" w:hAnsi="黑体" w:eastAsia="黑体" w:cs="黑体"/>
          <w:sz w:val="32"/>
          <w:szCs w:val="32"/>
        </w:rPr>
        <w:t>第二部分  202</w:t>
      </w:r>
      <w:r>
        <w:rPr>
          <w:rFonts w:ascii="黑体" w:hAnsi="黑体" w:eastAsia="黑体" w:cs="黑体"/>
          <w:sz w:val="32"/>
          <w:szCs w:val="32"/>
        </w:rPr>
        <w:t>2</w:t>
      </w:r>
      <w:r>
        <w:rPr>
          <w:rFonts w:hint="eastAsia" w:ascii="黑体" w:hAnsi="黑体" w:eastAsia="黑体" w:cs="黑体"/>
          <w:sz w:val="32"/>
          <w:szCs w:val="32"/>
        </w:rPr>
        <w:t>年度部门决算表</w:t>
      </w:r>
    </w:p>
    <w:p>
      <w:pPr>
        <w:ind w:firstLine="640" w:firstLineChars="200"/>
        <w:jc w:val="left"/>
        <w:rPr>
          <w:rFonts w:hint="eastAsia" w:ascii="宋体" w:hAnsi="宋体" w:cs="黑体"/>
          <w:sz w:val="32"/>
          <w:szCs w:val="32"/>
        </w:rPr>
      </w:pPr>
      <w:r>
        <w:rPr>
          <w:rFonts w:hint="eastAsia" w:ascii="宋体" w:hAnsi="宋体" w:cs="黑体"/>
          <w:sz w:val="32"/>
          <w:szCs w:val="32"/>
        </w:rPr>
        <w:t>一、收入支出决算总表</w:t>
      </w:r>
    </w:p>
    <w:p>
      <w:pPr>
        <w:ind w:firstLine="640" w:firstLineChars="200"/>
        <w:jc w:val="left"/>
        <w:rPr>
          <w:rFonts w:hint="eastAsia" w:ascii="宋体" w:hAnsi="宋体" w:cs="黑体"/>
          <w:sz w:val="32"/>
          <w:szCs w:val="32"/>
        </w:rPr>
      </w:pPr>
      <w:r>
        <w:rPr>
          <w:rFonts w:hint="eastAsia" w:ascii="宋体" w:hAnsi="宋体" w:cs="黑体"/>
          <w:sz w:val="32"/>
          <w:szCs w:val="32"/>
        </w:rPr>
        <w:t>二、收入决算表</w:t>
      </w:r>
    </w:p>
    <w:p>
      <w:pPr>
        <w:ind w:firstLine="640" w:firstLineChars="200"/>
        <w:jc w:val="left"/>
        <w:rPr>
          <w:rFonts w:hint="eastAsia" w:ascii="宋体" w:hAnsi="宋体" w:cs="黑体"/>
          <w:sz w:val="32"/>
          <w:szCs w:val="32"/>
        </w:rPr>
      </w:pPr>
      <w:r>
        <w:rPr>
          <w:rFonts w:hint="eastAsia" w:ascii="宋体" w:hAnsi="宋体" w:cs="黑体"/>
          <w:sz w:val="32"/>
          <w:szCs w:val="32"/>
        </w:rPr>
        <w:t>三、支出决算表</w:t>
      </w:r>
    </w:p>
    <w:p>
      <w:pPr>
        <w:ind w:firstLine="640" w:firstLineChars="200"/>
        <w:jc w:val="left"/>
        <w:rPr>
          <w:rFonts w:ascii="宋体" w:hAnsi="宋体" w:cs="黑体"/>
          <w:sz w:val="32"/>
          <w:szCs w:val="32"/>
        </w:rPr>
      </w:pPr>
      <w:r>
        <w:rPr>
          <w:rFonts w:hint="eastAsia" w:ascii="宋体" w:hAnsi="宋体" w:cs="黑体"/>
          <w:sz w:val="32"/>
          <w:szCs w:val="32"/>
        </w:rPr>
        <w:t>四、财政拨款收入支出决算总表</w:t>
      </w:r>
    </w:p>
    <w:p>
      <w:pPr>
        <w:ind w:firstLine="640" w:firstLineChars="200"/>
        <w:jc w:val="left"/>
        <w:rPr>
          <w:rFonts w:hint="eastAsia" w:ascii="宋体" w:hAnsi="宋体" w:cs="黑体"/>
          <w:sz w:val="32"/>
          <w:szCs w:val="32"/>
        </w:rPr>
      </w:pPr>
      <w:r>
        <w:rPr>
          <w:rFonts w:hint="eastAsia" w:ascii="宋体" w:hAnsi="宋体" w:cs="黑体"/>
          <w:sz w:val="32"/>
          <w:szCs w:val="32"/>
        </w:rPr>
        <w:t>五、一般公共预算财政拨款支出决算表</w:t>
      </w:r>
    </w:p>
    <w:p>
      <w:pPr>
        <w:ind w:firstLine="640" w:firstLineChars="200"/>
        <w:jc w:val="left"/>
        <w:rPr>
          <w:rFonts w:ascii="宋体" w:hAnsi="宋体" w:cs="黑体"/>
          <w:sz w:val="32"/>
          <w:szCs w:val="32"/>
        </w:rPr>
      </w:pPr>
      <w:r>
        <w:rPr>
          <w:rFonts w:hint="eastAsia" w:ascii="宋体" w:hAnsi="宋体" w:cs="黑体"/>
          <w:sz w:val="32"/>
          <w:szCs w:val="32"/>
        </w:rPr>
        <w:t>六、一般公共预算财政拨款基本支出决算明细表</w:t>
      </w:r>
    </w:p>
    <w:p>
      <w:pPr>
        <w:ind w:firstLine="640" w:firstLineChars="200"/>
        <w:jc w:val="left"/>
        <w:rPr>
          <w:rFonts w:hint="eastAsia" w:ascii="宋体" w:hAnsi="宋体" w:cs="黑体"/>
          <w:sz w:val="32"/>
          <w:szCs w:val="32"/>
        </w:rPr>
      </w:pPr>
      <w:r>
        <w:rPr>
          <w:rFonts w:hint="eastAsia" w:ascii="宋体" w:hAnsi="宋体" w:cs="黑体"/>
          <w:sz w:val="32"/>
          <w:szCs w:val="32"/>
        </w:rPr>
        <w:t>七、政府性基金预算财政拨款收入支出决算表</w:t>
      </w:r>
    </w:p>
    <w:p>
      <w:pPr>
        <w:ind w:firstLine="640" w:firstLineChars="200"/>
        <w:jc w:val="left"/>
        <w:rPr>
          <w:rFonts w:ascii="宋体" w:hAnsi="宋体" w:cs="黑体"/>
          <w:sz w:val="32"/>
          <w:szCs w:val="32"/>
        </w:rPr>
      </w:pPr>
      <w:r>
        <w:rPr>
          <w:rFonts w:hint="eastAsia" w:ascii="宋体" w:hAnsi="宋体" w:cs="黑体"/>
          <w:sz w:val="32"/>
          <w:szCs w:val="32"/>
        </w:rPr>
        <w:t>八、国有</w:t>
      </w:r>
      <w:r>
        <w:rPr>
          <w:rFonts w:ascii="宋体" w:hAnsi="宋体" w:cs="黑体"/>
          <w:sz w:val="32"/>
          <w:szCs w:val="32"/>
        </w:rPr>
        <w:t>资本经营预算财政拨款</w:t>
      </w:r>
      <w:r>
        <w:rPr>
          <w:rFonts w:hint="eastAsia" w:ascii="宋体" w:hAnsi="宋体" w:cs="黑体"/>
          <w:sz w:val="32"/>
          <w:szCs w:val="32"/>
        </w:rPr>
        <w:t>支出决算表</w:t>
      </w:r>
    </w:p>
    <w:p>
      <w:pPr>
        <w:ind w:firstLine="640" w:firstLineChars="200"/>
        <w:jc w:val="left"/>
        <w:rPr>
          <w:rFonts w:hint="eastAsia" w:ascii="宋体" w:hAnsi="宋体" w:cs="黑体"/>
          <w:sz w:val="32"/>
          <w:szCs w:val="32"/>
        </w:rPr>
      </w:pPr>
      <w:r>
        <w:rPr>
          <w:rFonts w:hint="eastAsia" w:ascii="宋体" w:hAnsi="宋体" w:cs="黑体"/>
          <w:sz w:val="32"/>
          <w:szCs w:val="32"/>
        </w:rPr>
        <w:t>九、财政拨款“三公”经费支出决算表</w:t>
      </w:r>
    </w:p>
    <w:p>
      <w:pPr>
        <w:jc w:val="left"/>
        <w:rPr>
          <w:rFonts w:hint="eastAsia" w:ascii="黑体" w:hAnsi="黑体" w:eastAsia="黑体" w:cs="黑体"/>
          <w:sz w:val="32"/>
          <w:szCs w:val="32"/>
        </w:rPr>
      </w:pPr>
      <w:r>
        <w:rPr>
          <w:rFonts w:hint="eastAsia" w:ascii="黑体" w:hAnsi="黑体" w:eastAsia="黑体" w:cs="黑体"/>
          <w:sz w:val="32"/>
          <w:szCs w:val="32"/>
        </w:rPr>
        <w:t>第三部分　</w:t>
      </w:r>
      <w:r>
        <w:rPr>
          <w:rFonts w:ascii="黑体" w:hAnsi="黑体" w:eastAsia="黑体" w:cs="黑体"/>
          <w:sz w:val="32"/>
          <w:szCs w:val="32"/>
        </w:rPr>
        <w:t>2022</w:t>
      </w:r>
      <w:r>
        <w:rPr>
          <w:rFonts w:hint="eastAsia" w:ascii="黑体" w:hAnsi="黑体" w:eastAsia="黑体" w:cs="黑体"/>
          <w:sz w:val="32"/>
          <w:szCs w:val="32"/>
        </w:rPr>
        <w:t>年度</w:t>
      </w:r>
      <w:r>
        <w:rPr>
          <w:rFonts w:ascii="黑体" w:hAnsi="黑体" w:eastAsia="黑体" w:cs="黑体"/>
          <w:sz w:val="32"/>
          <w:szCs w:val="32"/>
        </w:rPr>
        <w:t>部门</w:t>
      </w:r>
      <w:r>
        <w:rPr>
          <w:rFonts w:hint="eastAsia" w:ascii="黑体" w:hAnsi="黑体" w:eastAsia="黑体" w:cs="黑体"/>
          <w:sz w:val="32"/>
          <w:szCs w:val="32"/>
        </w:rPr>
        <w:t>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一、收入支出决算总体情况说明</w:t>
      </w:r>
    </w:p>
    <w:p>
      <w:pPr>
        <w:ind w:firstLine="640" w:firstLineChars="200"/>
        <w:jc w:val="left"/>
        <w:rPr>
          <w:rFonts w:hint="eastAsia" w:ascii="宋体" w:hAnsi="宋体" w:cs="宋体"/>
          <w:sz w:val="32"/>
          <w:szCs w:val="32"/>
        </w:rPr>
      </w:pPr>
      <w:r>
        <w:rPr>
          <w:rFonts w:hint="eastAsia" w:ascii="宋体" w:hAnsi="宋体" w:cs="宋体"/>
          <w:sz w:val="32"/>
          <w:szCs w:val="32"/>
        </w:rPr>
        <w:t>二、收入决算情况说明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三、支出决算情况说明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四、财政拨款收入支出决算总体情况说明</w:t>
      </w:r>
    </w:p>
    <w:p>
      <w:pPr>
        <w:ind w:firstLine="640" w:firstLineChars="200"/>
        <w:jc w:val="left"/>
        <w:rPr>
          <w:rFonts w:hint="eastAsia" w:ascii="宋体" w:hAnsi="宋体" w:cs="宋体"/>
          <w:sz w:val="32"/>
          <w:szCs w:val="32"/>
        </w:rPr>
      </w:pPr>
      <w:r>
        <w:rPr>
          <w:rFonts w:hint="eastAsia" w:ascii="宋体" w:hAnsi="宋体" w:cs="宋体"/>
          <w:sz w:val="32"/>
          <w:szCs w:val="32"/>
        </w:rPr>
        <w:t>五、一般公共预算财政拨款支出决算情况说明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六、一般公共预算财政拨款基本支出决算情况说明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七、政府性基金预算财政拨款支出决算情况说明</w:t>
      </w:r>
    </w:p>
    <w:p>
      <w:pPr>
        <w:ind w:firstLine="640" w:firstLineChars="200"/>
        <w:jc w:val="left"/>
        <w:rPr>
          <w:rFonts w:ascii="宋体" w:hAnsi="宋体" w:cs="宋体"/>
          <w:sz w:val="32"/>
          <w:szCs w:val="32"/>
        </w:rPr>
      </w:pPr>
      <w:r>
        <w:rPr>
          <w:rFonts w:hint="eastAsia" w:ascii="宋体" w:hAnsi="宋体" w:cs="宋体"/>
          <w:sz w:val="32"/>
          <w:szCs w:val="32"/>
        </w:rPr>
        <w:t>八、国有资本</w:t>
      </w:r>
      <w:r>
        <w:rPr>
          <w:rFonts w:ascii="宋体" w:hAnsi="宋体" w:cs="宋体"/>
          <w:sz w:val="32"/>
          <w:szCs w:val="32"/>
        </w:rPr>
        <w:t>经营</w:t>
      </w:r>
      <w:r>
        <w:rPr>
          <w:rFonts w:hint="eastAsia" w:ascii="宋体" w:hAnsi="宋体" w:cs="宋体"/>
          <w:sz w:val="32"/>
          <w:szCs w:val="32"/>
        </w:rPr>
        <w:t>预算财政拨款支出决算情况说明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九、财政拨款“三公”经费支出决算情况说明</w:t>
      </w:r>
    </w:p>
    <w:p>
      <w:pPr>
        <w:ind w:firstLine="640" w:firstLineChars="200"/>
        <w:jc w:val="left"/>
        <w:rPr>
          <w:rFonts w:hint="eastAsia" w:ascii="宋体" w:hAnsi="宋体" w:cs="宋体"/>
          <w:sz w:val="32"/>
          <w:szCs w:val="32"/>
        </w:rPr>
      </w:pPr>
      <w:r>
        <w:rPr>
          <w:rFonts w:hint="eastAsia" w:ascii="宋体" w:hAnsi="宋体" w:cs="宋体"/>
          <w:sz w:val="32"/>
          <w:szCs w:val="32"/>
        </w:rPr>
        <w:t>十、机关运行经费支出情况说明</w:t>
      </w:r>
    </w:p>
    <w:p>
      <w:pPr>
        <w:ind w:firstLine="640" w:firstLineChars="200"/>
        <w:jc w:val="left"/>
        <w:rPr>
          <w:rFonts w:hint="eastAsia" w:ascii="宋体" w:hAnsi="宋体" w:cs="宋体"/>
          <w:sz w:val="32"/>
          <w:szCs w:val="32"/>
        </w:rPr>
      </w:pPr>
      <w:r>
        <w:rPr>
          <w:rFonts w:hint="eastAsia" w:ascii="宋体" w:hAnsi="宋体" w:cs="宋体"/>
          <w:sz w:val="32"/>
          <w:szCs w:val="32"/>
        </w:rPr>
        <w:t>十一、政府采购支出情况说明</w:t>
      </w:r>
    </w:p>
    <w:p>
      <w:pPr>
        <w:ind w:firstLine="640" w:firstLineChars="200"/>
        <w:jc w:val="left"/>
        <w:rPr>
          <w:rFonts w:ascii="宋体" w:hAnsi="宋体" w:cs="宋体"/>
          <w:sz w:val="32"/>
          <w:szCs w:val="32"/>
        </w:rPr>
      </w:pPr>
      <w:r>
        <w:rPr>
          <w:rFonts w:hint="eastAsia" w:ascii="宋体" w:hAnsi="宋体" w:cs="宋体"/>
          <w:sz w:val="32"/>
          <w:szCs w:val="32"/>
        </w:rPr>
        <w:t>十二、国有资产占用情况说明</w:t>
      </w:r>
    </w:p>
    <w:p>
      <w:pPr>
        <w:ind w:firstLine="640" w:firstLineChars="200"/>
        <w:jc w:val="left"/>
        <w:rPr>
          <w:rFonts w:hint="eastAsia" w:ascii="宋体" w:hAnsi="宋体" w:cs="宋体"/>
          <w:sz w:val="32"/>
          <w:szCs w:val="32"/>
        </w:rPr>
      </w:pPr>
      <w:r>
        <w:rPr>
          <w:rFonts w:hint="eastAsia" w:ascii="宋体" w:hAnsi="宋体" w:cs="宋体"/>
          <w:sz w:val="32"/>
          <w:szCs w:val="32"/>
        </w:rPr>
        <w:t>十三、预算绩效情况说明</w:t>
      </w:r>
    </w:p>
    <w:p>
      <w:pPr>
        <w:jc w:val="left"/>
        <w:rPr>
          <w:rFonts w:hint="eastAsia" w:ascii="黑体" w:hAnsi="黑体" w:eastAsia="黑体" w:cs="黑体"/>
          <w:sz w:val="32"/>
          <w:szCs w:val="32"/>
        </w:rPr>
      </w:pPr>
      <w:r>
        <w:rPr>
          <w:rFonts w:hint="eastAsia" w:ascii="黑体" w:hAnsi="黑体" w:eastAsia="黑体" w:cs="黑体"/>
          <w:sz w:val="32"/>
          <w:szCs w:val="32"/>
        </w:rPr>
        <w:t>第四部分　　名词解释</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center"/>
        <w:outlineLvl w:val="0"/>
        <w:rPr>
          <w:rFonts w:hint="eastAsia" w:ascii="黑体" w:hAnsi="宋体" w:eastAsia="黑体" w:cs="宋体"/>
          <w:kern w:val="0"/>
          <w:sz w:val="28"/>
          <w:szCs w:val="28"/>
        </w:rPr>
      </w:pPr>
      <w:r>
        <w:rPr>
          <w:rFonts w:hint="eastAsia" w:ascii="黑体" w:hAnsi="黑体" w:eastAsia="黑体" w:cs="黑体"/>
          <w:sz w:val="48"/>
          <w:szCs w:val="48"/>
        </w:rPr>
        <w:t>第一部分  民权县王庄寨镇人民政府概况</w:t>
      </w:r>
    </w:p>
    <w:p>
      <w:pPr>
        <w:widowControl/>
        <w:ind w:firstLine="640" w:firstLineChars="200"/>
        <w:jc w:val="left"/>
        <w:outlineLvl w:val="1"/>
        <w:rPr>
          <w:rFonts w:ascii="黑体" w:hAnsi="黑体" w:eastAsia="黑体" w:cs="黑体"/>
          <w:kern w:val="0"/>
          <w:sz w:val="32"/>
          <w:szCs w:val="32"/>
        </w:rPr>
      </w:pPr>
    </w:p>
    <w:p>
      <w:pPr>
        <w:widowControl/>
        <w:ind w:firstLine="640" w:firstLineChars="200"/>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一、部门</w:t>
      </w:r>
      <w:r>
        <w:rPr>
          <w:rFonts w:hint="eastAsia" w:ascii="黑体" w:hAnsi="黑体" w:eastAsia="黑体" w:cs="黑体"/>
          <w:bCs/>
          <w:sz w:val="32"/>
          <w:szCs w:val="32"/>
        </w:rPr>
        <w:t>职责</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党的建设。落实新时代党的建设总要求，负责基层党的政治建设、思想建设、组织建设、作风建设、纪律建设，把制度建设贯穿其中，深入推进反腐败斗争；负责宣传、统战、意识形态、精神文明建设及群团等工作；加强镇党委自身建设，指导村级党组织建设；负责党员教育管理监督和发展党员工作。</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经济发展。统筹制定区域经济发展规划，实施经济建设项目，促进经济增长；推进城乡经济融合发展，提高农业发展水平，增加村(居)民收入；做好投资促进、重点项目服务，以及工业、交通、商贸、就业、统计、旅游等工作。</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3、乡村建设。统筹乡村规划建设和管理，推进基础设施、公共设施建设，做好村镇管理、生态环境保护等工作。实施人居环境整治，做好“厕所革命”、垃圾和污水处理、村容村貌整治提升等工作；协助做好辖区内自然资源规划、开发利用和保护等工作；协助做好开发建设项目的征地、拆迁、安置工作。</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4、公共服务。组织实施与人民群众生活密切相关的公共服务和社会事务，负责教育体育、民政、卫生健康、文化广电旅游、社会保障、社会救助等管理和服务；负责退役军人事务工作和拥军优属工作。</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5、平安建设。负责维护辖区内社会秩序稳定，做好社会治安综合治理、公共安全风险防控、安全生产监管、应急管理、法制宣传教育、法律服务等相关工作。负责排查化解矛盾纠纷，受理群众来信来访、投诉事项；负责组织群防群治，完善治安防控体系；负责网格化服务管理工作；负责辖区内消防安全等工作。</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6、综合行政执法。根据法律法规授权和省政府下放权限，以程庄镇名义开展执法活动，推进城市管理、市场监管、生态环境、文化市场、交通运输、应急管理、农业等领域综合执法工作；协调配合县级执法部门做好专业执法工作；统一指挥调度派驻机构开展执法活动；承担与行政执法活动密切相关的行政检查等工作。</w:t>
      </w:r>
    </w:p>
    <w:p>
      <w:pPr>
        <w:kinsoku w:val="0"/>
        <w:overflowPunct w:val="0"/>
        <w:adjustRightInd w:val="0"/>
        <w:snapToGrid w:val="0"/>
        <w:spacing w:line="580" w:lineRule="exact"/>
        <w:ind w:right="4" w:rightChars="0" w:firstLine="640" w:firstLineChars="200"/>
        <w:jc w:val="left"/>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7、行政审批服务。根据法律法规和省政府授权集中办理有关审批和服务事项；负责行政审批服务中心的建设、运行和监督管理；负责组织指导、协调、监督村综合服务设施的建设、运行和管理。</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8、</w:t>
      </w:r>
      <w:r>
        <w:rPr>
          <w:rFonts w:hint="eastAsia" w:ascii="仿宋_GB2312" w:hAnsi="仿宋_GB2312" w:eastAsia="仿宋_GB2312" w:cs="仿宋_GB2312"/>
          <w:color w:val="000000"/>
          <w:sz w:val="32"/>
          <w:szCs w:val="32"/>
          <w:highlight w:val="none"/>
        </w:rPr>
        <w:t>完成县委、县政府交办的其他事项。</w:t>
      </w:r>
    </w:p>
    <w:p>
      <w:pPr>
        <w:widowControl/>
        <w:ind w:firstLine="640" w:firstLineChars="200"/>
        <w:jc w:val="left"/>
        <w:outlineLvl w:val="1"/>
        <w:rPr>
          <w:rFonts w:hint="eastAsia" w:ascii="黑体" w:hAnsi="黑体" w:eastAsia="黑体" w:cs="黑体"/>
          <w:kern w:val="0"/>
          <w:sz w:val="32"/>
          <w:szCs w:val="32"/>
        </w:rPr>
      </w:pPr>
      <w:r>
        <w:rPr>
          <w:rFonts w:hint="eastAsia" w:ascii="黑体" w:hAnsi="黑体" w:eastAsia="黑体" w:cs="黑体"/>
          <w:kern w:val="0"/>
          <w:sz w:val="32"/>
          <w:szCs w:val="32"/>
        </w:rPr>
        <w:t>二、机构设置</w:t>
      </w:r>
    </w:p>
    <w:p>
      <w:pPr>
        <w:kinsoku w:val="0"/>
        <w:overflowPunct w:val="0"/>
        <w:adjustRightInd w:val="0"/>
        <w:snapToGrid w:val="0"/>
        <w:spacing w:line="580" w:lineRule="exact"/>
        <w:ind w:right="4" w:rightChars="0"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民权县王庄寨镇人民政府内设机构</w:t>
      </w: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个，包括：党政综合办公室、党建工作办公室、经济发展办公室、乡村建设办公室、公共服务办公室、平安建设办公室、综合行政执法大队、行政 6 审批服务中心、应急管理办公室、退役军人服务站、村镇规划建设办公室、招商促进服务中心。</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从决算单位构成看，</w:t>
      </w:r>
      <w:r>
        <w:rPr>
          <w:rFonts w:hint="eastAsia" w:ascii="仿宋_GB2312" w:hAnsi="仿宋_GB2312" w:eastAsia="仿宋_GB2312" w:cs="仿宋_GB2312"/>
          <w:color w:val="000000"/>
          <w:sz w:val="32"/>
          <w:szCs w:val="32"/>
          <w:highlight w:val="none"/>
        </w:rPr>
        <w:t>民权县王庄寨镇人民政府</w:t>
      </w:r>
      <w:r>
        <w:rPr>
          <w:rFonts w:hint="eastAsia" w:ascii="仿宋_GB2312" w:hAnsi="仿宋_GB2312" w:eastAsia="仿宋_GB2312" w:cs="仿宋_GB2312"/>
          <w:kern w:val="0"/>
          <w:sz w:val="32"/>
          <w:szCs w:val="32"/>
        </w:rPr>
        <w:t>部门决算包括：本级决算。</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纳入本部门202</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年度部门决算编制范围的单位共</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个，其中包括：</w:t>
      </w:r>
    </w:p>
    <w:p>
      <w:pPr>
        <w:widowControl/>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color w:val="000000"/>
          <w:sz w:val="32"/>
          <w:szCs w:val="32"/>
          <w:highlight w:val="none"/>
        </w:rPr>
        <w:t>民权县王庄寨镇人民政府</w:t>
      </w:r>
    </w:p>
    <w:p>
      <w:pPr>
        <w:widowControl/>
        <w:jc w:val="left"/>
        <w:rPr>
          <w:rFonts w:hint="eastAsia" w:ascii="黑体" w:hAnsi="宋体" w:eastAsia="黑体" w:cs="宋体"/>
          <w:kern w:val="0"/>
          <w:sz w:val="28"/>
          <w:szCs w:val="28"/>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第二部分  202</w:t>
      </w:r>
      <w:r>
        <w:rPr>
          <w:rFonts w:ascii="黑体" w:hAnsi="黑体" w:eastAsia="黑体" w:cs="黑体"/>
          <w:sz w:val="48"/>
          <w:szCs w:val="48"/>
        </w:rPr>
        <w:t>2</w:t>
      </w:r>
      <w:r>
        <w:rPr>
          <w:rFonts w:hint="eastAsia" w:ascii="黑体" w:hAnsi="黑体" w:eastAsia="黑体" w:cs="黑体"/>
          <w:sz w:val="48"/>
          <w:szCs w:val="48"/>
        </w:rPr>
        <w:t>年度部门决算表</w:t>
      </w: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sectPr>
          <w:pgSz w:w="11906" w:h="16838"/>
          <w:pgMar w:top="1440" w:right="1800" w:bottom="1440" w:left="1800" w:header="720" w:footer="720" w:gutter="0"/>
          <w:pgNumType w:fmt="numberInDash"/>
          <w:cols w:space="720" w:num="1"/>
          <w:docGrid w:type="lines" w:linePitch="312" w:charSpace="0"/>
        </w:sectPr>
      </w:pPr>
    </w:p>
    <w:tbl>
      <w:tblPr>
        <w:tblStyle w:val="6"/>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00"/>
        <w:gridCol w:w="773"/>
        <w:gridCol w:w="1611"/>
        <w:gridCol w:w="4141"/>
        <w:gridCol w:w="773"/>
        <w:gridCol w:w="2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keepNext w:val="0"/>
              <w:keepLines w:val="0"/>
              <w:widowControl/>
              <w:suppressLineNumbers w:val="0"/>
              <w:jc w:val="left"/>
              <w:textAlignment w:val="bottom"/>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2,195.47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36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36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01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tbl>
      <w:tblPr>
        <w:tblStyle w:val="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6"/>
        <w:gridCol w:w="222"/>
        <w:gridCol w:w="222"/>
        <w:gridCol w:w="4616"/>
        <w:gridCol w:w="1141"/>
        <w:gridCol w:w="1141"/>
        <w:gridCol w:w="736"/>
        <w:gridCol w:w="698"/>
        <w:gridCol w:w="698"/>
        <w:gridCol w:w="982"/>
        <w:gridCol w:w="1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81" w:type="dxa"/>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216"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461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41"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41"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73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69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69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98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409"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76" w:type="dxa"/>
            <w:gridSpan w:val="4"/>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1141"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41"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73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69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69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391"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41"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141"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736"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698"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698"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82"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40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16"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41"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36"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69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69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82"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40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36"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69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69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82"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40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36"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69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69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82"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40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41"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41"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36"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98"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98"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82"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09"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2,241.77</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2,241.77</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1,351.23</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1,351.23</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38.44</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1,090.63</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1,090.63</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495.91</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495.91</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494.73</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494.73</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重大公共卫生服务</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农业土地开发资金安排的支出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2121100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农业土地开发资金安排的支出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73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4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73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9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82"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0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81" w:type="dxa"/>
            <w:gridSpan w:val="11"/>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tbl>
      <w:tblPr>
        <w:tblStyle w:val="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6"/>
        <w:gridCol w:w="222"/>
        <w:gridCol w:w="222"/>
        <w:gridCol w:w="4616"/>
        <w:gridCol w:w="1207"/>
        <w:gridCol w:w="1103"/>
        <w:gridCol w:w="1103"/>
        <w:gridCol w:w="948"/>
        <w:gridCol w:w="825"/>
        <w:gridCol w:w="16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81"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216"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461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07"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03"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03"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94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82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619"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76" w:type="dxa"/>
            <w:gridSpan w:val="4"/>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1207"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03"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03"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94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82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619"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07"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3"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3"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948"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825"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61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16"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0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03"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03"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4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61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03"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03"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4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61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20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03"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03"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48"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61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20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3"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3"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8"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25"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19"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2,241.77</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1,095.42</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1,146.35</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942.22</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904.92</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1,351.23</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446.31</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904.92</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1,090.63</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185.72</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904.92</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495.91</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495.91</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494.73</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494.73</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重大公共卫生服务</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农业土地开发资金安排的支出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2121100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农业土地开发资金安排的支出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45.50</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45.50</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96.60</w:t>
            </w: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0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20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10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8"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8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61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81" w:type="dxa"/>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tbl>
      <w:tblPr>
        <w:tblStyle w:val="6"/>
        <w:tblW w:w="140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87"/>
        <w:gridCol w:w="555"/>
        <w:gridCol w:w="1229"/>
        <w:gridCol w:w="3397"/>
        <w:gridCol w:w="744"/>
        <w:gridCol w:w="1140"/>
        <w:gridCol w:w="1493"/>
        <w:gridCol w:w="1387"/>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97" w:type="dxa"/>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087"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55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2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3397"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744"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4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493"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452"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871" w:type="dxa"/>
            <w:gridSpan w:val="3"/>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3397"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744"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4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493"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452"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871"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9226" w:type="dxa"/>
            <w:gridSpan w:val="6"/>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087"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5"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29"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397"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44"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40"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93"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87"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065"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087"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55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29"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3397"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744"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493"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387"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5" w:type="dxa"/>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44" w:type="dxa"/>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2,195.47</w:t>
            </w: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u w:val="none"/>
              </w:rPr>
            </w:pP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22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14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2,195.47</w:t>
            </w: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14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14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3397"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14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493"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387"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6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8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5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22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c>
          <w:tcPr>
            <w:tcW w:w="3397"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4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14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2,241.77</w:t>
            </w:r>
          </w:p>
        </w:tc>
        <w:tc>
          <w:tcPr>
            <w:tcW w:w="1493"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2,195.47</w:t>
            </w:r>
          </w:p>
        </w:tc>
        <w:tc>
          <w:tcPr>
            <w:tcW w:w="1387"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06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32" w:type="dxa"/>
            <w:gridSpan w:val="8"/>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1065" w:type="dxa"/>
            <w:tcBorders>
              <w:top w:val="nil"/>
              <w:left w:val="nil"/>
              <w:bottom w:val="nil"/>
              <w:right w:val="nil"/>
            </w:tcBorders>
            <w:noWrap/>
            <w:vAlign w:val="center"/>
          </w:tcPr>
          <w:p>
            <w:pPr>
              <w:jc w:val="left"/>
              <w:rPr>
                <w:rFonts w:hint="eastAsia" w:ascii="宋体" w:hAnsi="宋体" w:eastAsia="宋体" w:cs="宋体"/>
                <w:i w:val="0"/>
                <w:iCs w:val="0"/>
                <w:color w:val="000000"/>
                <w:sz w:val="20"/>
                <w:szCs w:val="20"/>
                <w:u w:val="none"/>
              </w:rPr>
            </w:pP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sectPr>
          <w:pgSz w:w="16838" w:h="19842"/>
          <w:pgMar w:top="1803" w:right="1440" w:bottom="1803" w:left="1440" w:header="720" w:footer="720" w:gutter="0"/>
          <w:pgNumType w:fmt="numberInDash"/>
          <w:cols w:space="720" w:num="1"/>
          <w:rtlGutter w:val="0"/>
          <w:docGrid w:type="lines" w:linePitch="312" w:charSpace="0"/>
        </w:sectPr>
      </w:pPr>
    </w:p>
    <w:tbl>
      <w:tblPr>
        <w:tblStyle w:val="6"/>
        <w:tblW w:w="1411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6"/>
        <w:gridCol w:w="222"/>
        <w:gridCol w:w="222"/>
        <w:gridCol w:w="4616"/>
        <w:gridCol w:w="1961"/>
        <w:gridCol w:w="1950"/>
        <w:gridCol w:w="29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112" w:type="dxa"/>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216"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461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961"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95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925"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276" w:type="dxa"/>
            <w:gridSpan w:val="4"/>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1961"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95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925"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836" w:type="dxa"/>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616"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61"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950"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25"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961"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95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92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61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961"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95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92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27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2,195.47</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1,095.42</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1,847.14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942.22</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1,351.23</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446.31</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38.44</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222.15</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1,090.63</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185.72</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495.91</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495.91</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494.73</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494.73</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0.27</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0.90</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80.65</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17.19</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95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重大公共卫生服务</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95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45.50</w:t>
            </w:r>
          </w:p>
        </w:tc>
        <w:tc>
          <w:tcPr>
            <w:tcW w:w="195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2130550</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96.60</w:t>
            </w:r>
          </w:p>
        </w:tc>
        <w:tc>
          <w:tcPr>
            <w:tcW w:w="195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2925"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6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61"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195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292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112" w:type="dxa"/>
            <w:gridSpan w:val="7"/>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sectPr>
          <w:pgSz w:w="16838" w:h="19842"/>
          <w:pgMar w:top="1803" w:right="1440" w:bottom="1803" w:left="1440" w:header="720" w:footer="720" w:gutter="0"/>
          <w:pgNumType w:fmt="numberInDash"/>
          <w:cols w:space="720" w:num="1"/>
          <w:rtlGutter w:val="0"/>
          <w:docGrid w:type="lines" w:linePitch="312" w:charSpace="0"/>
        </w:sectPr>
      </w:pPr>
    </w:p>
    <w:tbl>
      <w:tblPr>
        <w:tblStyle w:val="6"/>
        <w:tblW w:w="141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07"/>
        <w:gridCol w:w="3116"/>
        <w:gridCol w:w="949"/>
        <w:gridCol w:w="945"/>
        <w:gridCol w:w="2130"/>
        <w:gridCol w:w="1080"/>
        <w:gridCol w:w="1245"/>
        <w:gridCol w:w="2931"/>
        <w:gridCol w:w="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149" w:type="dxa"/>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807"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311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94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94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13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08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4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3877"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923" w:type="dxa"/>
            <w:gridSpan w:val="2"/>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94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94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13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08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4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3877"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872"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277" w:type="dxa"/>
            <w:gridSpan w:val="6"/>
            <w:tcBorders>
              <w:top w:val="single" w:color="000000"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116"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9"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45"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130"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80"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245"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931"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6"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3116"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49"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4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13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931"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946"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750.38</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293.31</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321.08</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53.75</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213.27</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10.21</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23.19</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55.19</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0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63.47</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25.69</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0.60</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23.44</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37.43</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94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49.10</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12.32</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94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22.80</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51.72</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94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0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48.20</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0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60.48</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94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94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949"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5.22</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2931"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94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11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931"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07" w:type="dxa"/>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311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945"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130"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50.16</w:t>
            </w:r>
          </w:p>
        </w:tc>
        <w:tc>
          <w:tcPr>
            <w:tcW w:w="1245"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931"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94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23" w:type="dxa"/>
            <w:gridSpan w:val="2"/>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94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802.10</w:t>
            </w:r>
          </w:p>
        </w:tc>
        <w:tc>
          <w:tcPr>
            <w:tcW w:w="8331" w:type="dxa"/>
            <w:gridSpan w:val="5"/>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946"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149" w:type="dxa"/>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pPr>
        <w:rPr>
          <w:rFonts w:hint="eastAsia" w:ascii="仿宋_GB2312" w:hAnsi="仿宋_GB2312" w:eastAsia="仿宋_GB2312" w:cs="仿宋_GB2312"/>
          <w:sz w:val="32"/>
          <w:szCs w:val="32"/>
        </w:rPr>
        <w:sectPr>
          <w:pgSz w:w="16838" w:h="19842"/>
          <w:pgMar w:top="1803" w:right="1440" w:bottom="1803" w:left="1440" w:header="720" w:footer="720" w:gutter="0"/>
          <w:pgNumType w:fmt="numberInDash"/>
          <w:cols w:space="720" w:num="1"/>
          <w:rtlGutter w:val="0"/>
          <w:docGrid w:type="lines" w:linePitch="312" w:charSpace="0"/>
        </w:sectPr>
      </w:pPr>
    </w:p>
    <w:tbl>
      <w:tblPr>
        <w:tblStyle w:val="6"/>
        <w:tblW w:w="141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16"/>
        <w:gridCol w:w="222"/>
        <w:gridCol w:w="222"/>
        <w:gridCol w:w="4396"/>
        <w:gridCol w:w="1172"/>
        <w:gridCol w:w="1189"/>
        <w:gridCol w:w="1200"/>
        <w:gridCol w:w="1215"/>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157"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216"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2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4396"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7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8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0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1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325"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056" w:type="dxa"/>
            <w:gridSpan w:val="4"/>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1172"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8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0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215"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325" w:type="dxa"/>
            <w:gridSpan w:val="2"/>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56"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72"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189"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3495" w:type="dxa"/>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245" w:type="dxa"/>
            <w:vMerge w:val="restart"/>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396"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72"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00"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15"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080"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24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39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172"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396"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1172"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89"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15"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080"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5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72"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1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45"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056"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46.30</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46.30</w:t>
            </w: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46.30</w:t>
            </w: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439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46.30</w:t>
            </w: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439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439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其他国有土地使用权出让收入安排的支出</w:t>
            </w: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w:t>
            </w: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21211</w:t>
            </w:r>
          </w:p>
        </w:tc>
        <w:tc>
          <w:tcPr>
            <w:tcW w:w="439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农业土地开发资金安排的支出</w:t>
            </w: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2121100</w:t>
            </w:r>
          </w:p>
        </w:tc>
        <w:tc>
          <w:tcPr>
            <w:tcW w:w="4396" w:type="dxa"/>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农业土地开发资金安排的支出</w:t>
            </w: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0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w:t>
            </w: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439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0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439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0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439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0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0"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4396"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72"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18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0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1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080"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1245"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157" w:type="dxa"/>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141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86"/>
        <w:gridCol w:w="239"/>
        <w:gridCol w:w="518"/>
        <w:gridCol w:w="1180"/>
        <w:gridCol w:w="2799"/>
        <w:gridCol w:w="2554"/>
        <w:gridCol w:w="44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172" w:type="dxa"/>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386" w:type="dxa"/>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23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518"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1180"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79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554"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4496"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23" w:type="dxa"/>
            <w:gridSpan w:val="4"/>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2799"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2554" w:type="dxa"/>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4496" w:type="dxa"/>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23" w:type="dxa"/>
            <w:gridSpan w:val="4"/>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849" w:type="dxa"/>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180"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799"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4"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496" w:type="dxa"/>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80"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2799"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554"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496"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1180" w:type="dxa"/>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2"/>
                <w:szCs w:val="22"/>
                <w:u w:val="none"/>
              </w:rPr>
            </w:pPr>
          </w:p>
        </w:tc>
        <w:tc>
          <w:tcPr>
            <w:tcW w:w="2799"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2554"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4496"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23"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799"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54"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96" w:type="dxa"/>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23" w:type="dxa"/>
            <w:gridSpan w:val="4"/>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143" w:type="dxa"/>
            <w:gridSpan w:val="3"/>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1180" w:type="dxa"/>
            <w:tcBorders>
              <w:top w:val="nil"/>
              <w:left w:val="nil"/>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2"/>
                <w:szCs w:val="22"/>
                <w:u w:val="none"/>
              </w:rPr>
            </w:pPr>
          </w:p>
        </w:tc>
        <w:tc>
          <w:tcPr>
            <w:tcW w:w="2799"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2554"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c>
          <w:tcPr>
            <w:tcW w:w="4496" w:type="dxa"/>
            <w:tcBorders>
              <w:top w:val="nil"/>
              <w:left w:val="nil"/>
              <w:bottom w:val="single" w:color="000000" w:sz="4" w:space="0"/>
              <w:right w:val="single" w:color="000000" w:sz="4" w:space="0"/>
            </w:tcBorders>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172" w:type="dxa"/>
            <w:gridSpan w:val="7"/>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说明：我部门没有国有资本经营收入，也没有使用国有资本经营安排的支出，故此表没有数据。</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tbl>
      <w:tblPr>
        <w:tblStyle w:val="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7"/>
        <w:gridCol w:w="1666"/>
        <w:gridCol w:w="707"/>
        <w:gridCol w:w="1226"/>
        <w:gridCol w:w="1509"/>
        <w:gridCol w:w="928"/>
        <w:gridCol w:w="707"/>
        <w:gridCol w:w="1517"/>
        <w:gridCol w:w="707"/>
        <w:gridCol w:w="1157"/>
        <w:gridCol w:w="1509"/>
        <w:gridCol w:w="1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12"/>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30"/>
                <w:szCs w:val="30"/>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gridSpan w:val="4"/>
            <w:tcBorders>
              <w:top w:val="nil"/>
              <w:left w:val="nil"/>
              <w:bottom w:val="nil"/>
              <w:right w:val="nil"/>
            </w:tcBorders>
            <w:noWrap/>
            <w:vAlign w:val="bottom"/>
          </w:tcPr>
          <w:p>
            <w:pPr>
              <w:rPr>
                <w:rFonts w:hint="default" w:ascii="Arial" w:hAnsi="Arial" w:cs="Arial"/>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部门：民权县王庄寨镇</w:t>
            </w:r>
            <w:r>
              <w:rPr>
                <w:rFonts w:hint="eastAsia" w:ascii="宋体" w:hAnsi="宋体" w:cs="宋体"/>
                <w:i w:val="0"/>
                <w:iCs w:val="0"/>
                <w:color w:val="000000"/>
                <w:kern w:val="0"/>
                <w:sz w:val="20"/>
                <w:szCs w:val="20"/>
                <w:u w:val="none"/>
                <w:lang w:val="en-US" w:eastAsia="zh-CN" w:bidi="ar"/>
              </w:rPr>
              <w:t>人民政府</w:t>
            </w: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0" w:type="auto"/>
            <w:gridSpan w:val="6"/>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0" w:type="auto"/>
            <w:gridSpan w:val="3"/>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0" w:type="auto"/>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0" w:type="auto"/>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0" w:type="auto"/>
            <w:gridSpan w:val="3"/>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0" w:type="auto"/>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0" w:type="auto"/>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nil"/>
              <w:left w:val="nil"/>
              <w:bottom w:val="single" w:color="000000" w:sz="4" w:space="0"/>
              <w:right w:val="single" w:color="000000" w:sz="4" w:space="0"/>
            </w:tcBorders>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0" w:type="auto"/>
            <w:gridSpan w:val="12"/>
            <w:tcBorders>
              <w:top w:val="nil"/>
              <w:left w:val="nil"/>
              <w:bottom w:val="nil"/>
              <w:right w:val="nil"/>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rPr>
          <w:rFonts w:hint="eastAsia" w:ascii="仿宋_GB2312" w:hAnsi="仿宋_GB2312" w:eastAsia="仿宋_GB2312" w:cs="仿宋_GB2312"/>
          <w:sz w:val="32"/>
          <w:szCs w:val="32"/>
        </w:rPr>
        <w:sectPr>
          <w:pgSz w:w="16838" w:h="11906" w:orient="landscape"/>
          <w:pgMar w:top="1800" w:right="1440" w:bottom="1800" w:left="1440" w:header="720" w:footer="720" w:gutter="0"/>
          <w:pgNumType w:fmt="numberInDash"/>
          <w:cols w:space="720" w:num="1"/>
          <w:docGrid w:type="lines" w:linePitch="312" w:charSpace="0"/>
        </w:sectPr>
      </w:pPr>
    </w:p>
    <w:p>
      <w:pPr>
        <w:tabs>
          <w:tab w:val="left" w:pos="5665"/>
        </w:tabs>
        <w:rPr>
          <w:rFonts w:ascii="仿宋_GB2312" w:hAnsi="仿宋_GB2312" w:eastAsia="仿宋_GB2312" w:cs="仿宋_GB2312"/>
          <w:sz w:val="32"/>
          <w:szCs w:val="32"/>
        </w:rPr>
      </w:pPr>
    </w:p>
    <w:p>
      <w:pPr>
        <w:tabs>
          <w:tab w:val="left" w:pos="5665"/>
        </w:tabs>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第三部分 202</w:t>
      </w:r>
      <w:r>
        <w:rPr>
          <w:rFonts w:ascii="黑体" w:hAnsi="黑体" w:eastAsia="黑体" w:cs="黑体"/>
          <w:sz w:val="48"/>
          <w:szCs w:val="48"/>
        </w:rPr>
        <w:t>2</w:t>
      </w:r>
      <w:r>
        <w:rPr>
          <w:rFonts w:hint="eastAsia" w:ascii="黑体" w:hAnsi="黑体" w:eastAsia="黑体" w:cs="黑体"/>
          <w:sz w:val="48"/>
          <w:szCs w:val="48"/>
        </w:rPr>
        <w:t>年度部门决算情况说明</w:t>
      </w:r>
    </w:p>
    <w:p>
      <w:pPr>
        <w:widowControl/>
        <w:jc w:val="left"/>
        <w:rPr>
          <w:rFonts w:hint="eastAsia" w:ascii="黑体" w:hAnsi="黑体" w:eastAsia="黑体" w:cs="黑体"/>
          <w:sz w:val="48"/>
          <w:szCs w:val="48"/>
        </w:rPr>
        <w:sectPr>
          <w:pgSz w:w="11906" w:h="16838"/>
          <w:pgMar w:top="1440" w:right="1800" w:bottom="1440" w:left="1800" w:header="720" w:footer="720" w:gutter="0"/>
          <w:pgNumType w:fmt="numberInDash"/>
          <w:cols w:space="720" w:num="1"/>
          <w:docGrid w:type="lines" w:linePitch="312" w:charSpace="0"/>
        </w:sectPr>
      </w:pP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一、收入支出决算总体情况说明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2022年度收、支总计均为2,241.77万元。与上年度相比，收、支总计各减少856.3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万元，下降27.64%。主要原因</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乡镇城镇建设发展等项目资金减少，二是节约开支</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二、收入决算情况说明</w:t>
      </w:r>
    </w:p>
    <w:p>
      <w:pPr>
        <w:widowControl/>
        <w:spacing w:line="59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lang w:val="en-US"/>
        </w:rPr>
        <w:t>2022年度收入合计2,241.77万元，其中：财政拨款收入2,241.77万元，占100%</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三、支出决算情况说明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2022年度支出合计2,241.77万元，其中：基本支出1,095.42万元，占48.86%；项目支出1,146.35万元，占51.14%</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四、财政拨款收入支出决算总体情况说明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sz w:val="32"/>
          <w:szCs w:val="24"/>
          <w:lang w:val="en-US"/>
        </w:rPr>
        <w:t>2022年度财政拨款收、支总计均为2,241.77万元。与上年度相比，财政拨款收、支总计各减少856.3</w:t>
      </w:r>
      <w:r>
        <w:rPr>
          <w:rFonts w:hint="eastAsia" w:ascii="仿宋_GB2312" w:hAnsi="仿宋_GB2312" w:eastAsia="仿宋_GB2312"/>
          <w:sz w:val="32"/>
          <w:szCs w:val="24"/>
          <w:lang w:val="en-US" w:eastAsia="zh-CN"/>
        </w:rPr>
        <w:t>0</w:t>
      </w:r>
      <w:r>
        <w:rPr>
          <w:rFonts w:hint="eastAsia" w:ascii="仿宋_GB2312" w:hAnsi="仿宋_GB2312" w:eastAsia="仿宋_GB2312"/>
          <w:sz w:val="32"/>
          <w:szCs w:val="24"/>
          <w:lang w:val="en-US"/>
        </w:rPr>
        <w:t>万元，下降27.64%。</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乡镇城镇建设发展等项目资金减少</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五、一般公共预算财政拨款支出决算情况说明</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（一）总体情况。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2022年度一般公共预算财政拨款支出2,195.47万元，占支出合计的97.93%。与上年度相比，一般公共预算财政拨款支出减少892.3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en-US"/>
        </w:rPr>
        <w:t>万元，下降28.9</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主要原因</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val="en-US" w:eastAsia="zh-CN"/>
        </w:rPr>
        <w:t>乡镇城镇建设发展等项目资金减少，二是节约开支</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（二）结构情况。</w:t>
      </w:r>
    </w:p>
    <w:p>
      <w:pPr>
        <w:widowControl/>
        <w:spacing w:line="59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年度一般公共预算财政拨款支出</w:t>
      </w:r>
      <w:r>
        <w:rPr>
          <w:rFonts w:hint="eastAsia" w:ascii="仿宋_GB2312" w:hAnsi="仿宋_GB2312" w:eastAsia="仿宋_GB2312" w:cs="仿宋_GB2312"/>
          <w:sz w:val="32"/>
          <w:szCs w:val="32"/>
          <w:lang w:val="en-US" w:eastAsia="zh-CN"/>
        </w:rPr>
        <w:t>2195.47</w:t>
      </w:r>
      <w:r>
        <w:rPr>
          <w:rFonts w:hint="eastAsia" w:ascii="仿宋_GB2312" w:hAnsi="仿宋_GB2312" w:eastAsia="仿宋_GB2312" w:cs="仿宋_GB2312"/>
          <w:sz w:val="32"/>
          <w:szCs w:val="32"/>
        </w:rPr>
        <w:t>万元，主要用于以下方面：一般公共服务（类）支出1847.14万元，占</w:t>
      </w:r>
      <w:r>
        <w:rPr>
          <w:rFonts w:hint="eastAsia" w:ascii="仿宋_GB2312" w:hAnsi="仿宋_GB2312" w:eastAsia="仿宋_GB2312" w:cs="仿宋_GB2312"/>
          <w:sz w:val="32"/>
          <w:szCs w:val="32"/>
          <w:lang w:val="en-US" w:eastAsia="zh-CN"/>
        </w:rPr>
        <w:t>84.13</w:t>
      </w:r>
      <w:r>
        <w:rPr>
          <w:rFonts w:hint="eastAsia" w:ascii="仿宋_GB2312" w:hAnsi="仿宋_GB2312" w:eastAsia="仿宋_GB2312" w:cs="仿宋_GB2312"/>
          <w:sz w:val="32"/>
          <w:szCs w:val="32"/>
        </w:rPr>
        <w:t>%；社会保障和就业（类）支出</w:t>
      </w:r>
      <w:r>
        <w:rPr>
          <w:rFonts w:hint="eastAsia" w:ascii="仿宋_GB2312" w:hAnsi="仿宋_GB2312" w:eastAsia="仿宋_GB2312" w:cs="仿宋_GB2312"/>
          <w:sz w:val="32"/>
          <w:szCs w:val="32"/>
          <w:lang w:val="en-US" w:eastAsia="zh-CN"/>
        </w:rPr>
        <w:t>80.65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3.67</w:t>
      </w:r>
      <w:r>
        <w:rPr>
          <w:rFonts w:hint="eastAsia" w:ascii="仿宋_GB2312" w:hAnsi="仿宋_GB2312" w:eastAsia="仿宋_GB2312" w:cs="仿宋_GB2312"/>
          <w:sz w:val="32"/>
          <w:szCs w:val="32"/>
        </w:rPr>
        <w:t>%；卫生健康（类）支出</w:t>
      </w:r>
      <w:r>
        <w:rPr>
          <w:rFonts w:hint="eastAsia" w:ascii="仿宋_GB2312" w:hAnsi="仿宋_GB2312" w:eastAsia="仿宋_GB2312" w:cs="仿宋_GB2312"/>
          <w:sz w:val="32"/>
          <w:szCs w:val="32"/>
          <w:lang w:val="en-US" w:eastAsia="zh-CN"/>
        </w:rPr>
        <w:t>53.44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2.43</w:t>
      </w:r>
      <w:r>
        <w:rPr>
          <w:rFonts w:hint="eastAsia" w:ascii="仿宋_GB2312" w:hAnsi="仿宋_GB2312" w:eastAsia="仿宋_GB2312" w:cs="仿宋_GB2312"/>
          <w:sz w:val="32"/>
          <w:szCs w:val="32"/>
        </w:rPr>
        <w:t>%；农林水（类）支出</w:t>
      </w:r>
      <w:r>
        <w:rPr>
          <w:rFonts w:hint="eastAsia" w:ascii="仿宋_GB2312" w:hAnsi="仿宋_GB2312" w:eastAsia="仿宋_GB2312" w:cs="仿宋_GB2312"/>
          <w:sz w:val="32"/>
          <w:szCs w:val="32"/>
          <w:lang w:val="en-US" w:eastAsia="zh-CN"/>
        </w:rPr>
        <w:t>165.14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7.53</w:t>
      </w:r>
      <w:r>
        <w:rPr>
          <w:rFonts w:hint="eastAsia" w:ascii="仿宋_GB2312" w:hAnsi="仿宋_GB2312" w:eastAsia="仿宋_GB2312" w:cs="仿宋_GB2312"/>
          <w:sz w:val="32"/>
          <w:szCs w:val="32"/>
        </w:rPr>
        <w:t>%；住房保障（类）支出</w:t>
      </w:r>
      <w:r>
        <w:rPr>
          <w:rFonts w:hint="eastAsia" w:ascii="仿宋_GB2312" w:hAnsi="仿宋_GB2312" w:eastAsia="仿宋_GB2312" w:cs="仿宋_GB2312"/>
          <w:sz w:val="32"/>
          <w:szCs w:val="32"/>
          <w:lang w:val="en-US" w:eastAsia="zh-CN"/>
        </w:rPr>
        <w:t>49.10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2.24</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（三）具体情况。</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2022年度一般公共预算财政拨款支出年初预算为2,064.7</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万元，支出决算为2,195.47万元，完成年初预算的106.33%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其中：</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1．一般公共服务支出（类）政府办公厅（室）及相关机构事务（款）行政运行（项）。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66.22</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38.44</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58.05</w:t>
      </w:r>
      <w:r>
        <w:rPr>
          <w:rFonts w:hint="eastAsia" w:ascii="仿宋_GB2312" w:hAnsi="仿宋_GB2312" w:eastAsia="仿宋_GB2312" w:cs="仿宋_GB2312"/>
          <w:sz w:val="32"/>
          <w:szCs w:val="32"/>
        </w:rPr>
        <w:t>%。决算数与年初预算数存在差异的主要原因是日常业务量</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2．一般公共服务支出（类）政府办公厅（室）及相关机构事务（款）事业运行（项）。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222.15</w:t>
      </w:r>
      <w:r>
        <w:rPr>
          <w:rFonts w:hint="eastAsia" w:ascii="仿宋_GB2312" w:hAnsi="仿宋_GB2312" w:eastAsia="仿宋_GB2312" w:cs="仿宋_GB2312"/>
          <w:sz w:val="32"/>
          <w:szCs w:val="32"/>
        </w:rPr>
        <w:t>万元。决算数与年初预算数存在差异的主要原因是日常业务量增加，支出较大。</w:t>
      </w:r>
    </w:p>
    <w:p>
      <w:pPr>
        <w:widowControl/>
        <w:spacing w:line="59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．一般公共服务支出（类）政府办公厅（室）及相关机构事务（款）其他政府办公厅（室）及相关机构事务支出（项）。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1396.00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1090.63</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78.13</w:t>
      </w:r>
      <w:r>
        <w:rPr>
          <w:rFonts w:hint="eastAsia" w:ascii="仿宋_GB2312" w:hAnsi="仿宋_GB2312" w:eastAsia="仿宋_GB2312" w:cs="仿宋_GB2312"/>
          <w:sz w:val="32"/>
          <w:szCs w:val="32"/>
        </w:rPr>
        <w:t>%。决算数与年初预算数存在差异的主要</w:t>
      </w:r>
      <w:r>
        <w:rPr>
          <w:rFonts w:hint="eastAsia" w:ascii="仿宋_GB2312" w:hAnsi="仿宋_GB2312" w:eastAsia="仿宋_GB2312" w:cs="仿宋_GB2312"/>
          <w:sz w:val="32"/>
          <w:szCs w:val="32"/>
          <w:lang w:val="en-US" w:eastAsia="zh-CN"/>
        </w:rPr>
        <w:t>原因是相对业务量减少的同时，厉行节约，压缩开支。</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．一般公共服务支出（类）其他共产党事务支出（款）行政运行（项）。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457.30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494.73</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108.18</w:t>
      </w:r>
      <w:r>
        <w:rPr>
          <w:rFonts w:hint="eastAsia" w:ascii="仿宋_GB2312" w:hAnsi="仿宋_GB2312" w:eastAsia="仿宋_GB2312" w:cs="仿宋_GB2312"/>
          <w:sz w:val="32"/>
          <w:szCs w:val="32"/>
        </w:rPr>
        <w:t>%。决算数与年初预算数存在差异的主要</w:t>
      </w:r>
      <w:r>
        <w:rPr>
          <w:rFonts w:hint="eastAsia" w:ascii="仿宋_GB2312" w:hAnsi="仿宋_GB2312" w:eastAsia="仿宋_GB2312" w:cs="仿宋_GB2312"/>
          <w:sz w:val="32"/>
          <w:szCs w:val="32"/>
          <w:lang w:val="en-US" w:eastAsia="zh-CN"/>
        </w:rPr>
        <w:t>原因是日常业务量增加，支出较大。</w:t>
      </w:r>
      <w:r>
        <w:rPr>
          <w:rFonts w:ascii="宋体" w:hAnsi="宋体" w:eastAsia="宋体" w:cs="宋体"/>
          <w:sz w:val="24"/>
          <w:szCs w:val="24"/>
        </w:rPr>
        <w:t xml:space="preserve"> </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．一般公共服务支出（类）其他共产党事务支出（款）事业运行（项）。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0.27</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日常业务量增加，支出较大</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．一般公共服务支出（类）其他共产党事务支出（款）其他共产党事务支出（项）。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0.90</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日常业务量增加，支出较大</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．社会保障和就业支出（类）行政事业单位养老支出（款）机关事业单位基本养老保险缴费支出（项）。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67.70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63.47</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93.75</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val="en-US" w:eastAsia="zh-CN"/>
        </w:rPr>
        <w:t>人员调整，养老保险支出减少</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．社会保障和就业支出（类）抚恤（款）死亡抚恤（项）。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17.19</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相关人员领取抚恤金</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．卫生健康支出（类）公共卫生（款）重大公共卫生服务（项）。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30.00</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受疫情影响，相关卫生服务支出增加</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rPr>
        <w:t>．卫生健康支出（类）政事业单位医疗（款）行政单位医疗（项）。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26.70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23.44</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86.55</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val="en-US" w:eastAsia="zh-CN"/>
        </w:rPr>
        <w:t>人员调整，行政医疗支出减少</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11</w:t>
      </w:r>
      <w:r>
        <w:rPr>
          <w:rFonts w:hint="eastAsia" w:ascii="仿宋_GB2312" w:hAnsi="仿宋_GB2312" w:eastAsia="仿宋_GB2312" w:cs="仿宋_GB2312"/>
          <w:b/>
          <w:bCs/>
          <w:sz w:val="32"/>
          <w:szCs w:val="32"/>
        </w:rPr>
        <w:t>．农林水支出（类）巩固脱贫衔接乡村振兴（款）农村基础设施建设（项）。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45.50</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促进乡村振兴，建设农村基础设施</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b/>
          <w:bCs/>
          <w:sz w:val="32"/>
          <w:szCs w:val="32"/>
        </w:rPr>
        <w:t>．农林水支出（类）巩固脱贫衔接乡村振兴（款）事业运行（项）。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23.04</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日常业务量增加，支出较大</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13</w:t>
      </w:r>
      <w:r>
        <w:rPr>
          <w:rFonts w:hint="eastAsia" w:ascii="仿宋_GB2312" w:hAnsi="仿宋_GB2312" w:eastAsia="仿宋_GB2312" w:cs="仿宋_GB2312"/>
          <w:b/>
          <w:bCs/>
          <w:sz w:val="32"/>
          <w:szCs w:val="32"/>
        </w:rPr>
        <w:t>．农林水支出（类）巩固脱贫衔接乡村振兴（款）其他巩固脱贫衔接乡村振兴支出（项）。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96.60</w:t>
      </w:r>
      <w:r>
        <w:rPr>
          <w:rFonts w:hint="eastAsia" w:ascii="仿宋_GB2312" w:hAnsi="仿宋_GB2312" w:eastAsia="仿宋_GB2312" w:cs="仿宋_GB2312"/>
          <w:sz w:val="32"/>
          <w:szCs w:val="32"/>
        </w:rPr>
        <w:t>万元。决算数与年初预算数存在差异的主要原因是</w:t>
      </w:r>
      <w:r>
        <w:rPr>
          <w:rFonts w:hint="eastAsia" w:ascii="仿宋_GB2312" w:hAnsi="仿宋_GB2312" w:eastAsia="仿宋_GB2312" w:cs="仿宋_GB2312"/>
          <w:sz w:val="32"/>
          <w:szCs w:val="32"/>
          <w:lang w:val="en-US" w:eastAsia="zh-CN"/>
        </w:rPr>
        <w:t>日常业务量增加，支出较大</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14</w:t>
      </w:r>
      <w:r>
        <w:rPr>
          <w:rFonts w:hint="eastAsia" w:ascii="仿宋_GB2312" w:hAnsi="仿宋_GB2312" w:eastAsia="仿宋_GB2312" w:cs="仿宋_GB2312"/>
          <w:b/>
          <w:bCs/>
          <w:sz w:val="32"/>
          <w:szCs w:val="32"/>
        </w:rPr>
        <w:t>．住房保障支出（类）住房改革支出（款）住房公积金（项）。</w:t>
      </w: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50.80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49.10</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96.65</w:t>
      </w:r>
      <w:r>
        <w:rPr>
          <w:rFonts w:hint="eastAsia" w:ascii="仿宋_GB2312" w:hAnsi="仿宋_GB2312" w:eastAsia="仿宋_GB2312" w:cs="仿宋_GB2312"/>
          <w:sz w:val="32"/>
          <w:szCs w:val="32"/>
        </w:rPr>
        <w:t>%。决算数与年初预算数存在差异的主要原因是</w:t>
      </w:r>
      <w:r>
        <w:rPr>
          <w:rFonts w:hint="eastAsia" w:ascii="仿宋_GB2312" w:hAnsi="仿宋_GB2312" w:eastAsia="仿宋_GB2312" w:cs="仿宋_GB2312"/>
          <w:sz w:val="32"/>
          <w:szCs w:val="32"/>
          <w:lang w:val="en-US" w:eastAsia="zh-CN"/>
        </w:rPr>
        <w:t>人员调整，住房公积金支出减少</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六、一般公共预算财政拨款基本支出决算情况说明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年度一般公共预算财政拨款基本支出</w:t>
      </w:r>
      <w:r>
        <w:rPr>
          <w:rFonts w:hint="eastAsia" w:ascii="仿宋_GB2312" w:hAnsi="仿宋_GB2312" w:eastAsia="仿宋_GB2312" w:cs="仿宋_GB2312"/>
          <w:sz w:val="32"/>
          <w:szCs w:val="32"/>
          <w:lang w:val="en-US" w:eastAsia="zh-CN"/>
        </w:rPr>
        <w:t>1095.42</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802.10</w:t>
      </w:r>
      <w:r>
        <w:rPr>
          <w:rFonts w:hint="eastAsia" w:ascii="仿宋_GB2312" w:hAnsi="仿宋_GB2312" w:eastAsia="仿宋_GB2312" w:cs="仿宋_GB2312"/>
          <w:sz w:val="32"/>
          <w:szCs w:val="32"/>
        </w:rPr>
        <w:t>万元，主要包括：基本工资、津贴补贴、</w:t>
      </w:r>
      <w:r>
        <w:rPr>
          <w:rFonts w:hint="eastAsia" w:ascii="仿宋_GB2312" w:hAnsi="仿宋_GB2312" w:eastAsia="仿宋_GB2312" w:cs="仿宋_GB2312"/>
          <w:sz w:val="32"/>
          <w:szCs w:val="32"/>
          <w:lang w:val="en-US" w:eastAsia="zh-CN"/>
        </w:rPr>
        <w:t>奖金、</w:t>
      </w:r>
      <w:r>
        <w:rPr>
          <w:rFonts w:hint="eastAsia" w:ascii="仿宋_GB2312" w:hAnsi="仿宋_GB2312" w:eastAsia="仿宋_GB2312" w:cs="仿宋_GB2312"/>
          <w:sz w:val="32"/>
          <w:szCs w:val="32"/>
        </w:rPr>
        <w:t>伙食补助费、绩效工资、机关事业单位基本养老保险缴费、职工基本医疗保险缴费、住房公积金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抚恤金、生活补助；公用经费</w:t>
      </w:r>
      <w:r>
        <w:rPr>
          <w:rFonts w:hint="eastAsia" w:ascii="仿宋_GB2312" w:hAnsi="仿宋_GB2312" w:eastAsia="仿宋_GB2312" w:cs="仿宋_GB2312"/>
          <w:sz w:val="32"/>
          <w:szCs w:val="32"/>
          <w:lang w:val="en-US" w:eastAsia="zh-CN"/>
        </w:rPr>
        <w:t>293.31</w:t>
      </w:r>
      <w:r>
        <w:rPr>
          <w:rFonts w:hint="eastAsia" w:ascii="仿宋_GB2312" w:hAnsi="仿宋_GB2312" w:eastAsia="仿宋_GB2312" w:cs="仿宋_GB2312"/>
          <w:sz w:val="32"/>
          <w:szCs w:val="32"/>
        </w:rPr>
        <w:t>万元，主要包括：办公费、咨询费、电费、邮电费、物业管理费、差旅费、维修（护）费、租赁费、会议费、培训费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劳务费、工会经费、公务用车运行维护费、其他交通费用、其他商品和服务支出。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七、政府性基金预算财政拨款支出决算情况说明</w:t>
      </w:r>
    </w:p>
    <w:p>
      <w:pPr>
        <w:widowControl/>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2022年度政府性基金预算财政拨款支出年初预算为0万元，支出决算为46.3</w:t>
      </w:r>
      <w:r>
        <w:rPr>
          <w:rFonts w:hint="eastAsia" w:ascii="仿宋_GB2312" w:hAnsi="仿宋_GB2312" w:eastAsia="仿宋_GB2312" w:cs="仿宋_GB2312"/>
          <w:sz w:val="32"/>
          <w:szCs w:val="32"/>
          <w:lang w:val="en-US" w:eastAsia="zh-CN"/>
        </w:rPr>
        <w:t>0</w:t>
      </w:r>
      <w:bookmarkStart w:id="0" w:name="_GoBack"/>
      <w:bookmarkEnd w:id="0"/>
      <w:r>
        <w:rPr>
          <w:rFonts w:hint="eastAsia" w:ascii="仿宋_GB2312" w:hAnsi="仿宋_GB2312" w:eastAsia="仿宋_GB2312" w:cs="仿宋_GB2312"/>
          <w:sz w:val="32"/>
          <w:szCs w:val="32"/>
          <w:lang w:val="en-US"/>
        </w:rPr>
        <w:t>万元。主要用于其他国有土地使用权出让收入安排的支出</w:t>
      </w:r>
      <w:r>
        <w:rPr>
          <w:rFonts w:hint="eastAsia" w:ascii="仿宋_GB2312" w:hAnsi="仿宋_GB2312" w:eastAsia="仿宋_GB2312" w:cs="仿宋_GB2312"/>
          <w:sz w:val="32"/>
          <w:szCs w:val="32"/>
          <w:lang w:val="en-US" w:eastAsia="zh-CN"/>
        </w:rPr>
        <w:t>和农业土地开发资金安排的支出</w:t>
      </w:r>
      <w:r>
        <w:rPr>
          <w:rFonts w:hint="eastAsia" w:ascii="仿宋_GB2312" w:hAnsi="仿宋_GB2312" w:eastAsia="仿宋_GB2312" w:cs="仿宋_GB2312"/>
          <w:sz w:val="32"/>
          <w:szCs w:val="32"/>
        </w:rPr>
        <w:t>。</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八、国有资本</w:t>
      </w:r>
      <w:r>
        <w:rPr>
          <w:rFonts w:ascii="黑体" w:hAnsi="黑体" w:eastAsia="黑体" w:cs="黑体"/>
          <w:sz w:val="32"/>
          <w:szCs w:val="32"/>
        </w:rPr>
        <w:t>经营</w:t>
      </w:r>
      <w:r>
        <w:rPr>
          <w:rFonts w:hint="eastAsia" w:ascii="黑体" w:hAnsi="黑体" w:eastAsia="黑体" w:cs="黑体"/>
          <w:sz w:val="32"/>
          <w:szCs w:val="32"/>
        </w:rPr>
        <w:t>预算财政拨款支出决算情况说明</w:t>
      </w:r>
    </w:p>
    <w:p>
      <w:pPr>
        <w:widowControl/>
        <w:spacing w:line="59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年度国有资本</w:t>
      </w:r>
      <w:r>
        <w:rPr>
          <w:rFonts w:ascii="仿宋_GB2312" w:hAnsi="仿宋_GB2312" w:eastAsia="仿宋_GB2312" w:cs="仿宋_GB2312"/>
          <w:sz w:val="32"/>
          <w:szCs w:val="32"/>
        </w:rPr>
        <w:t>经营</w:t>
      </w:r>
      <w:r>
        <w:rPr>
          <w:rFonts w:hint="eastAsia" w:ascii="仿宋_GB2312" w:hAnsi="仿宋_GB2312" w:eastAsia="仿宋_GB2312" w:cs="仿宋_GB2312"/>
          <w:sz w:val="32"/>
          <w:szCs w:val="32"/>
        </w:rPr>
        <w:t>预算财政拨款支出年初预算为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九、财政拨款“三公”经费支出决算情况说明</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（一）“三公”经费财政拨款支出决算总体情况说明。</w:t>
      </w:r>
    </w:p>
    <w:p>
      <w:pPr>
        <w:widowControl/>
        <w:spacing w:line="59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年度“三公”经费财政拨款支出预算为</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年度“三公”经费支出决算数与预算数</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存在差异。</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（二）“三公”经费财政拨款支出决算具体情况说明。</w:t>
      </w:r>
    </w:p>
    <w:p>
      <w:pPr>
        <w:widowControl/>
        <w:spacing w:line="59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年度“三公”经费财政拨款支出决算中，因公出国（境）费支出决算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万元；公务用车购置及运行费支出决算</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万元。具体情况如下：</w:t>
      </w:r>
    </w:p>
    <w:p>
      <w:pPr>
        <w:widowControl/>
        <w:numPr>
          <w:ilvl w:val="0"/>
          <w:numId w:val="2"/>
        </w:numPr>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因公出国（境）费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万元。决算数与预算数</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存在差异。</w:t>
      </w:r>
    </w:p>
    <w:p>
      <w:pPr>
        <w:widowControl/>
        <w:numPr>
          <w:ilvl w:val="0"/>
          <w:numId w:val="0"/>
        </w:numPr>
        <w:spacing w:line="59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sz w:val="32"/>
          <w:szCs w:val="24"/>
        </w:rPr>
        <w:t>因公出国（境）团组数0个，因公出国（境）人次数0人。</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2．公务用车购置及运行费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%。决算数与预算数</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存在差异。其中：</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公务用车购置支出</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万元，购置车辆</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公务用车运行维护支出</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万元。主要用于</w:t>
      </w:r>
      <w:r>
        <w:rPr>
          <w:rFonts w:hint="eastAsia" w:ascii="仿宋_GB2312" w:hAnsi="仿宋_GB2312" w:eastAsia="仿宋_GB2312" w:cs="仿宋_GB2312"/>
          <w:sz w:val="32"/>
          <w:szCs w:val="32"/>
          <w:lang w:val="en-US" w:eastAsia="zh-CN"/>
        </w:rPr>
        <w:t>车辆加油、过路费、车辆维护</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年期末，单位开支财政拨款的公务用车保有</w:t>
      </w:r>
      <w:r>
        <w:rPr>
          <w:rFonts w:hint="eastAsia" w:ascii="仿宋_GB2312" w:hAnsi="仿宋_GB2312" w:eastAsia="仿宋_GB2312" w:cs="仿宋_GB2312"/>
          <w:sz w:val="32"/>
          <w:szCs w:val="32"/>
          <w:lang w:val="en-US" w:eastAsia="zh-CN"/>
        </w:rPr>
        <w:t>辆</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1辆</w:t>
      </w:r>
      <w:r>
        <w:rPr>
          <w:rFonts w:hint="eastAsia" w:ascii="仿宋_GB2312" w:hAnsi="仿宋_GB2312" w:eastAsia="仿宋_GB2312" w:cs="仿宋_GB2312"/>
          <w:sz w:val="32"/>
          <w:szCs w:val="32"/>
        </w:rPr>
        <w:t>。</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3.公务接待费</w:t>
      </w:r>
      <w:r>
        <w:rPr>
          <w:rFonts w:hint="eastAsia" w:ascii="仿宋_GB2312" w:hAnsi="仿宋_GB2312" w:eastAsia="仿宋_GB2312" w:cs="仿宋_GB2312"/>
          <w:sz w:val="32"/>
          <w:szCs w:val="32"/>
        </w:rPr>
        <w:t>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万元。决算数与预算数</w:t>
      </w:r>
      <w:r>
        <w:rPr>
          <w:rFonts w:hint="eastAsia" w:ascii="仿宋_GB2312" w:hAnsi="仿宋_GB2312" w:eastAsia="仿宋_GB2312" w:cs="仿宋_GB2312"/>
          <w:sz w:val="32"/>
          <w:szCs w:val="32"/>
          <w:lang w:val="en-US" w:eastAsia="zh-CN"/>
        </w:rPr>
        <w:t>不</w:t>
      </w:r>
      <w:r>
        <w:rPr>
          <w:rFonts w:hint="eastAsia" w:ascii="仿宋_GB2312" w:hAnsi="仿宋_GB2312" w:eastAsia="仿宋_GB2312" w:cs="仿宋_GB2312"/>
          <w:sz w:val="32"/>
          <w:szCs w:val="32"/>
        </w:rPr>
        <w:t>存在差异。其中：</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外宾接待支出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年共接待国（境）外来访团组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个、来访外宾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w:t>
      </w:r>
    </w:p>
    <w:p>
      <w:pPr>
        <w:widowControl/>
        <w:spacing w:line="59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其他国内公务接待支出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年共接待国内来访团组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人次（不包括陪同人员）。</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十、机关运行经费支出情况说明</w:t>
      </w:r>
    </w:p>
    <w:p>
      <w:pPr>
        <w:widowControl/>
        <w:spacing w:line="59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rPr>
        <w:t>22年度机关运行经费支出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万元。我单位不是行政机关，也不是参照公务员管理事业单位，没有机关运行经费支出。</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十一、政府采购支出情况说明</w:t>
      </w:r>
    </w:p>
    <w:p>
      <w:pPr>
        <w:widowControl/>
        <w:spacing w:line="590" w:lineRule="exact"/>
        <w:ind w:firstLine="640" w:firstLineChars="200"/>
        <w:outlineLvl w:val="1"/>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2022年度政府采购支出总额0万元，其中：政府采购货物支出0万元、政府采购工程支出0万元、政府采购服务支出0万元。授予中小企业合同金额0万元,其中：授予小微企业合同金额0万元。</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十二、国有资产占用情况说明</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2022年期末，我单位共有车辆1辆，其中：省级领导干部用车0辆、主要领导干部用车0辆、机要通信用车0辆、应急保障车0辆、执法执勤用车0辆、特种专业技术用车0辆、离退休干部用车0辆、其他用车1辆；单位价值100万元(含)以上设备0台（套）。</w:t>
      </w:r>
    </w:p>
    <w:p>
      <w:pPr>
        <w:widowControl/>
        <w:spacing w:line="590" w:lineRule="exact"/>
        <w:ind w:firstLine="640" w:firstLineChars="200"/>
        <w:outlineLvl w:val="1"/>
        <w:rPr>
          <w:rFonts w:hint="eastAsia" w:ascii="黑体" w:hAnsi="黑体" w:eastAsia="黑体" w:cs="黑体"/>
          <w:sz w:val="32"/>
          <w:szCs w:val="32"/>
        </w:rPr>
      </w:pPr>
      <w:r>
        <w:rPr>
          <w:rFonts w:hint="eastAsia" w:ascii="黑体" w:hAnsi="黑体" w:eastAsia="黑体" w:cs="黑体"/>
          <w:sz w:val="32"/>
          <w:szCs w:val="32"/>
        </w:rPr>
        <w:t>十三、预算绩效情况说明</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（一）绩效管理工作开展情况。</w:t>
      </w:r>
    </w:p>
    <w:p>
      <w:pPr>
        <w:widowControl/>
        <w:ind w:firstLine="640" w:firstLineChars="200"/>
        <w:jc w:val="left"/>
        <w:rPr>
          <w:sz w:val="32"/>
          <w:szCs w:val="32"/>
        </w:rPr>
      </w:pPr>
      <w:r>
        <w:rPr>
          <w:rFonts w:hint="eastAsia" w:ascii="仿宋_GB2312" w:hAnsi="宋体" w:eastAsia="仿宋_GB2312" w:cs="仿宋_GB2312"/>
          <w:color w:val="000000"/>
          <w:kern w:val="0"/>
          <w:sz w:val="32"/>
          <w:szCs w:val="32"/>
          <w:lang w:bidi="ar"/>
        </w:rPr>
        <w:t>根据</w:t>
      </w:r>
      <w:r>
        <w:rPr>
          <w:rFonts w:hint="eastAsia" w:ascii="仿宋_GB2312" w:hAnsi="宋体" w:eastAsia="仿宋_GB2312" w:cs="仿宋_GB2312"/>
          <w:color w:val="000000"/>
          <w:kern w:val="0"/>
          <w:sz w:val="32"/>
          <w:szCs w:val="32"/>
          <w:lang w:eastAsia="zh-CN" w:bidi="ar"/>
        </w:rPr>
        <w:t>县</w:t>
      </w:r>
      <w:r>
        <w:rPr>
          <w:rFonts w:hint="eastAsia" w:ascii="仿宋_GB2312" w:hAnsi="宋体" w:eastAsia="仿宋_GB2312" w:cs="仿宋_GB2312"/>
          <w:color w:val="000000"/>
          <w:kern w:val="0"/>
          <w:sz w:val="32"/>
          <w:szCs w:val="32"/>
          <w:lang w:bidi="ar"/>
        </w:rPr>
        <w:t>财政统一部署，完成 202</w:t>
      </w:r>
      <w:r>
        <w:rPr>
          <w:rFonts w:hint="eastAsia" w:ascii="仿宋_GB2312" w:hAnsi="宋体" w:eastAsia="仿宋_GB2312" w:cs="仿宋_GB2312"/>
          <w:color w:val="000000"/>
          <w:kern w:val="0"/>
          <w:sz w:val="32"/>
          <w:szCs w:val="32"/>
          <w:lang w:val="en-US" w:eastAsia="zh-CN" w:bidi="ar"/>
        </w:rPr>
        <w:t>2</w:t>
      </w:r>
      <w:r>
        <w:rPr>
          <w:rFonts w:hint="eastAsia" w:ascii="仿宋_GB2312" w:hAnsi="宋体" w:eastAsia="仿宋_GB2312" w:cs="仿宋_GB2312"/>
          <w:color w:val="000000"/>
          <w:kern w:val="0"/>
          <w:sz w:val="32"/>
          <w:szCs w:val="32"/>
          <w:lang w:bidi="ar"/>
        </w:rPr>
        <w:t xml:space="preserve"> 年</w:t>
      </w:r>
      <w:r>
        <w:rPr>
          <w:rFonts w:hint="eastAsia" w:ascii="仿宋_GB2312" w:hAnsi="宋体" w:eastAsia="仿宋_GB2312" w:cs="仿宋_GB2312"/>
          <w:color w:val="000000"/>
          <w:kern w:val="0"/>
          <w:sz w:val="32"/>
          <w:szCs w:val="32"/>
          <w:lang w:eastAsia="zh-CN" w:bidi="ar"/>
        </w:rPr>
        <w:t>县</w:t>
      </w:r>
      <w:r>
        <w:rPr>
          <w:rFonts w:hint="eastAsia" w:ascii="仿宋_GB2312" w:hAnsi="宋体" w:eastAsia="仿宋_GB2312" w:cs="仿宋_GB2312"/>
          <w:color w:val="000000"/>
          <w:kern w:val="0"/>
          <w:sz w:val="32"/>
          <w:szCs w:val="32"/>
          <w:lang w:bidi="ar"/>
        </w:rPr>
        <w:t>级财政资金的部门整体支出绩效自评和项目支出绩效自评工作。项目绩效自评范围是 202</w:t>
      </w:r>
      <w:r>
        <w:rPr>
          <w:rFonts w:hint="eastAsia" w:ascii="仿宋_GB2312" w:hAnsi="宋体" w:eastAsia="仿宋_GB2312" w:cs="仿宋_GB2312"/>
          <w:color w:val="000000"/>
          <w:kern w:val="0"/>
          <w:sz w:val="32"/>
          <w:szCs w:val="32"/>
          <w:lang w:val="en-US" w:eastAsia="zh-CN" w:bidi="ar"/>
        </w:rPr>
        <w:t>2</w:t>
      </w:r>
      <w:r>
        <w:rPr>
          <w:rFonts w:hint="eastAsia" w:ascii="仿宋_GB2312" w:hAnsi="宋体" w:eastAsia="仿宋_GB2312" w:cs="仿宋_GB2312"/>
          <w:color w:val="000000"/>
          <w:kern w:val="0"/>
          <w:sz w:val="32"/>
          <w:szCs w:val="32"/>
          <w:lang w:bidi="ar"/>
        </w:rPr>
        <w:t>年度</w:t>
      </w:r>
      <w:r>
        <w:rPr>
          <w:rFonts w:hint="eastAsia" w:ascii="仿宋_GB2312" w:hAnsi="宋体" w:eastAsia="仿宋_GB2312" w:cs="仿宋_GB2312"/>
          <w:color w:val="000000"/>
          <w:kern w:val="0"/>
          <w:sz w:val="32"/>
          <w:szCs w:val="32"/>
          <w:lang w:eastAsia="zh-CN" w:bidi="ar"/>
        </w:rPr>
        <w:t>县</w:t>
      </w:r>
      <w:r>
        <w:rPr>
          <w:rFonts w:hint="eastAsia" w:ascii="仿宋_GB2312" w:hAnsi="宋体" w:eastAsia="仿宋_GB2312" w:cs="仿宋_GB2312"/>
          <w:color w:val="000000"/>
          <w:kern w:val="0"/>
          <w:sz w:val="32"/>
          <w:szCs w:val="32"/>
          <w:lang w:bidi="ar"/>
        </w:rPr>
        <w:t>级财政批复绩效目标的所有项目，自评项目</w:t>
      </w:r>
      <w:r>
        <w:rPr>
          <w:rFonts w:hint="eastAsia" w:ascii="仿宋_GB2312" w:hAnsi="宋体" w:eastAsia="仿宋_GB2312" w:cs="仿宋_GB2312"/>
          <w:color w:val="000000"/>
          <w:kern w:val="0"/>
          <w:sz w:val="32"/>
          <w:szCs w:val="32"/>
          <w:lang w:val="en-US" w:eastAsia="zh-CN" w:bidi="ar"/>
        </w:rPr>
        <w:t>9</w:t>
      </w:r>
      <w:r>
        <w:rPr>
          <w:rFonts w:hint="eastAsia" w:ascii="仿宋_GB2312" w:hAnsi="宋体" w:eastAsia="仿宋_GB2312" w:cs="仿宋_GB2312"/>
          <w:color w:val="000000"/>
          <w:kern w:val="0"/>
          <w:sz w:val="32"/>
          <w:szCs w:val="32"/>
          <w:lang w:bidi="ar"/>
        </w:rPr>
        <w:t>个,自评金额</w:t>
      </w:r>
      <w:r>
        <w:rPr>
          <w:rFonts w:hint="eastAsia" w:ascii="仿宋_GB2312" w:hAnsi="宋体" w:eastAsia="仿宋_GB2312" w:cs="仿宋_GB2312"/>
          <w:color w:val="000000"/>
          <w:kern w:val="0"/>
          <w:sz w:val="32"/>
          <w:szCs w:val="32"/>
          <w:lang w:val="en-US" w:eastAsia="zh-CN" w:bidi="ar"/>
        </w:rPr>
        <w:t>1997.26</w:t>
      </w:r>
      <w:r>
        <w:rPr>
          <w:rFonts w:hint="eastAsia" w:ascii="仿宋_GB2312" w:hAnsi="宋体" w:eastAsia="仿宋_GB2312" w:cs="仿宋_GB2312"/>
          <w:color w:val="000000"/>
          <w:kern w:val="0"/>
          <w:sz w:val="32"/>
          <w:szCs w:val="32"/>
          <w:lang w:bidi="ar"/>
        </w:rPr>
        <w:t>万元；选取往来款共</w:t>
      </w:r>
      <w:r>
        <w:rPr>
          <w:rFonts w:hint="eastAsia" w:ascii="仿宋_GB2312" w:hAnsi="宋体" w:eastAsia="仿宋_GB2312" w:cs="仿宋_GB2312"/>
          <w:color w:val="000000"/>
          <w:kern w:val="0"/>
          <w:sz w:val="32"/>
          <w:szCs w:val="32"/>
          <w:lang w:val="en-US" w:eastAsia="zh-CN" w:bidi="ar"/>
        </w:rPr>
        <w:t>1</w:t>
      </w:r>
      <w:r>
        <w:rPr>
          <w:rFonts w:hint="eastAsia" w:ascii="仿宋_GB2312" w:hAnsi="宋体" w:eastAsia="仿宋_GB2312" w:cs="仿宋_GB2312"/>
          <w:color w:val="000000"/>
          <w:kern w:val="0"/>
          <w:sz w:val="32"/>
          <w:szCs w:val="32"/>
          <w:lang w:bidi="ar"/>
        </w:rPr>
        <w:t>个项目作为部门重点评价项目进行绩效评价，评价金额</w:t>
      </w:r>
      <w:r>
        <w:rPr>
          <w:rFonts w:hint="eastAsia" w:ascii="仿宋_GB2312" w:hAnsi="宋体" w:eastAsia="仿宋_GB2312" w:cs="仿宋_GB2312"/>
          <w:color w:val="000000"/>
          <w:kern w:val="0"/>
          <w:sz w:val="32"/>
          <w:szCs w:val="32"/>
          <w:lang w:val="en-US" w:eastAsia="zh-CN" w:bidi="ar"/>
        </w:rPr>
        <w:t>1759.00</w:t>
      </w:r>
      <w:r>
        <w:rPr>
          <w:rFonts w:hint="eastAsia" w:ascii="仿宋_GB2312" w:hAnsi="宋体" w:eastAsia="仿宋_GB2312" w:cs="仿宋_GB2312"/>
          <w:color w:val="000000"/>
          <w:kern w:val="0"/>
          <w:sz w:val="32"/>
          <w:szCs w:val="32"/>
          <w:lang w:bidi="ar"/>
        </w:rPr>
        <w:t>万元。</w:t>
      </w:r>
      <w:r>
        <w:rPr>
          <w:rFonts w:ascii="宋体" w:hAnsi="宋体" w:cs="宋体"/>
          <w:kern w:val="0"/>
          <w:sz w:val="32"/>
          <w:szCs w:val="32"/>
          <w:lang w:bidi="ar"/>
        </w:rPr>
        <w:t xml:space="preserve"> </w:t>
      </w:r>
    </w:p>
    <w:p>
      <w:pPr>
        <w:widowControl/>
        <w:spacing w:line="590" w:lineRule="exact"/>
        <w:ind w:firstLine="643" w:firstLineChars="200"/>
        <w:outlineLvl w:val="2"/>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（二）部门整体</w:t>
      </w:r>
      <w:r>
        <w:rPr>
          <w:rFonts w:hint="eastAsia" w:ascii="楷体_GB2312" w:hAnsi="楷体_GB2312" w:eastAsia="楷体_GB2312" w:cs="楷体_GB2312"/>
          <w:b/>
          <w:bCs/>
          <w:sz w:val="32"/>
          <w:szCs w:val="32"/>
          <w:lang w:eastAsia="zh-CN"/>
        </w:rPr>
        <w:t>和</w:t>
      </w:r>
      <w:r>
        <w:rPr>
          <w:rFonts w:hint="eastAsia" w:ascii="楷体_GB2312" w:hAnsi="楷体_GB2312" w:eastAsia="楷体_GB2312" w:cs="楷体_GB2312"/>
          <w:b/>
          <w:bCs/>
          <w:sz w:val="32"/>
          <w:szCs w:val="32"/>
        </w:rPr>
        <w:t>项目绩效自评结果。</w:t>
      </w:r>
    </w:p>
    <w:p>
      <w:pPr>
        <w:widowControl/>
        <w:ind w:firstLine="640" w:firstLineChars="200"/>
        <w:jc w:val="left"/>
        <w:rPr>
          <w:rFonts w:hint="eastAsia" w:ascii="仿宋_GB2312" w:hAnsi="仿宋_GB2312" w:eastAsia="仿宋_GB2312" w:cs="仿宋_GB2312"/>
          <w:sz w:val="32"/>
          <w:szCs w:val="32"/>
        </w:rPr>
      </w:pPr>
      <w:r>
        <w:rPr>
          <w:rFonts w:hint="eastAsia" w:ascii="仿宋_GB2312" w:hAnsi="宋体" w:eastAsia="仿宋_GB2312" w:cs="仿宋_GB2312"/>
          <w:color w:val="000000"/>
          <w:kern w:val="0"/>
          <w:sz w:val="32"/>
          <w:szCs w:val="32"/>
          <w:lang w:bidi="ar"/>
        </w:rPr>
        <w:t>202</w:t>
      </w:r>
      <w:r>
        <w:rPr>
          <w:rFonts w:hint="eastAsia" w:ascii="仿宋_GB2312" w:hAnsi="宋体" w:eastAsia="仿宋_GB2312" w:cs="仿宋_GB2312"/>
          <w:color w:val="000000"/>
          <w:kern w:val="0"/>
          <w:sz w:val="32"/>
          <w:szCs w:val="32"/>
          <w:lang w:val="en-US" w:eastAsia="zh-CN" w:bidi="ar"/>
        </w:rPr>
        <w:t>2</w:t>
      </w:r>
      <w:r>
        <w:rPr>
          <w:rFonts w:hint="eastAsia" w:ascii="仿宋_GB2312" w:hAnsi="宋体" w:eastAsia="仿宋_GB2312" w:cs="仿宋_GB2312"/>
          <w:color w:val="000000"/>
          <w:kern w:val="0"/>
          <w:sz w:val="32"/>
          <w:szCs w:val="32"/>
          <w:lang w:bidi="ar"/>
        </w:rPr>
        <w:t>年度，本部门</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个项目进行了绩效自评，根据批复的项目绩效目标，收集项目绩效目标实现程度、预算执行情况等资料，按照预算执行率、资金管理情况、成本指标、产出指标、效益指标、满意度指标六个方面进行自评，</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个项目自评等级为优，</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个项目自评为良，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自评为中。从自评情况看项目支出绩效管理好的方面：根据年初绩效指标，结合单位实际情况，完成2022年度单位项目自评工作；存在问题：由于新冠疫情影响，部分支出未及时报账。导致预算执行率偏差较大。</w:t>
      </w:r>
    </w:p>
    <w:p>
      <w:pPr>
        <w:ind w:firstLine="640" w:firstLineChars="200"/>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bidi="ar"/>
        </w:rPr>
        <w:t>202</w:t>
      </w:r>
      <w:r>
        <w:rPr>
          <w:rFonts w:hint="eastAsia" w:ascii="仿宋_GB2312" w:hAnsi="宋体" w:eastAsia="仿宋_GB2312" w:cs="仿宋_GB2312"/>
          <w:color w:val="000000"/>
          <w:kern w:val="0"/>
          <w:sz w:val="32"/>
          <w:szCs w:val="32"/>
          <w:lang w:val="en-US" w:eastAsia="zh-CN" w:bidi="ar"/>
        </w:rPr>
        <w:t>2</w:t>
      </w:r>
      <w:r>
        <w:rPr>
          <w:rFonts w:hint="eastAsia" w:ascii="仿宋_GB2312" w:hAnsi="宋体" w:eastAsia="仿宋_GB2312" w:cs="仿宋_GB2312"/>
          <w:color w:val="000000"/>
          <w:kern w:val="0"/>
          <w:sz w:val="32"/>
          <w:szCs w:val="32"/>
          <w:lang w:bidi="ar"/>
        </w:rPr>
        <w:t>年度，本部门单位整体绩效自评得分为</w:t>
      </w:r>
      <w:r>
        <w:rPr>
          <w:rFonts w:hint="eastAsia" w:ascii="仿宋_GB2312" w:hAnsi="宋体" w:eastAsia="仿宋_GB2312" w:cs="仿宋_GB2312"/>
          <w:color w:val="000000"/>
          <w:kern w:val="0"/>
          <w:sz w:val="32"/>
          <w:szCs w:val="32"/>
          <w:lang w:val="en-US" w:eastAsia="zh-CN" w:bidi="ar"/>
        </w:rPr>
        <w:t>93.63</w:t>
      </w:r>
      <w:r>
        <w:rPr>
          <w:rFonts w:hint="eastAsia" w:ascii="仿宋_GB2312" w:hAnsi="宋体" w:eastAsia="仿宋_GB2312" w:cs="仿宋_GB2312"/>
          <w:color w:val="000000"/>
          <w:kern w:val="0"/>
          <w:sz w:val="32"/>
          <w:szCs w:val="32"/>
          <w:lang w:bidi="ar"/>
        </w:rPr>
        <w:t>分，评价等级为</w:t>
      </w:r>
      <w:r>
        <w:rPr>
          <w:rFonts w:hint="eastAsia" w:ascii="仿宋_GB2312" w:hAnsi="仿宋_GB2312" w:eastAsia="仿宋_GB2312" w:cs="仿宋_GB2312"/>
          <w:sz w:val="32"/>
          <w:szCs w:val="32"/>
          <w:lang w:val="en-US" w:eastAsia="zh-CN"/>
        </w:rPr>
        <w:t>优</w:t>
      </w:r>
      <w:r>
        <w:rPr>
          <w:rFonts w:hint="eastAsia" w:ascii="仿宋_GB2312" w:hAnsi="宋体" w:eastAsia="仿宋_GB2312" w:cs="仿宋_GB2312"/>
          <w:color w:val="000000"/>
          <w:kern w:val="0"/>
          <w:sz w:val="32"/>
          <w:szCs w:val="32"/>
          <w:lang w:bidi="ar"/>
        </w:rPr>
        <w:t>。</w:t>
      </w:r>
      <w:r>
        <w:rPr>
          <w:rFonts w:hint="eastAsia" w:ascii="仿宋_GB2312" w:hAnsi="宋体" w:eastAsia="仿宋_GB2312" w:cs="仿宋_GB2312"/>
          <w:color w:val="000000"/>
          <w:kern w:val="0"/>
          <w:sz w:val="32"/>
          <w:szCs w:val="32"/>
          <w:lang w:eastAsia="zh-CN" w:bidi="ar"/>
        </w:rPr>
        <w:t>（后附</w:t>
      </w:r>
      <w:r>
        <w:rPr>
          <w:rFonts w:hint="eastAsia" w:ascii="仿宋_GB2312" w:hAnsi="仿宋_GB2312" w:eastAsia="仿宋_GB2312" w:cs="仿宋_GB2312"/>
          <w:sz w:val="32"/>
          <w:szCs w:val="36"/>
        </w:rPr>
        <w:t>部门整体绩效自评表</w:t>
      </w:r>
      <w:r>
        <w:rPr>
          <w:rFonts w:hint="eastAsia" w:ascii="仿宋_GB2312" w:hAnsi="仿宋_GB2312" w:eastAsia="仿宋_GB2312" w:cs="仿宋_GB2312"/>
          <w:sz w:val="32"/>
          <w:szCs w:val="36"/>
          <w:lang w:eastAsia="zh-CN"/>
        </w:rPr>
        <w:t>、</w:t>
      </w:r>
      <w:r>
        <w:rPr>
          <w:rFonts w:hint="eastAsia" w:ascii="仿宋_GB2312" w:hAnsi="宋体" w:eastAsia="仿宋_GB2312" w:cs="仿宋_GB2312"/>
          <w:color w:val="000000"/>
          <w:kern w:val="0"/>
          <w:sz w:val="32"/>
          <w:szCs w:val="32"/>
          <w:lang w:eastAsia="zh-CN" w:bidi="ar"/>
        </w:rPr>
        <w:t>项目自评汇总表）</w:t>
      </w:r>
    </w:p>
    <w:p>
      <w:pPr>
        <w:widowControl/>
        <w:ind w:firstLine="643" w:firstLineChars="200"/>
        <w:jc w:val="left"/>
        <w:rPr>
          <w:sz w:val="32"/>
          <w:szCs w:val="32"/>
        </w:rPr>
      </w:pPr>
      <w:r>
        <w:rPr>
          <w:rFonts w:ascii="楷体_GB2312" w:hAnsi="宋体" w:eastAsia="楷体_GB2312" w:cs="楷体_GB2312"/>
          <w:b/>
          <w:bCs/>
          <w:color w:val="000000"/>
          <w:kern w:val="0"/>
          <w:sz w:val="32"/>
          <w:szCs w:val="32"/>
          <w:lang w:bidi="ar"/>
        </w:rPr>
        <w:t>（三）重点绩效评价结果</w:t>
      </w:r>
    </w:p>
    <w:p>
      <w:pPr>
        <w:widowControl/>
        <w:ind w:firstLine="640" w:firstLineChars="200"/>
        <w:jc w:val="left"/>
        <w:rPr>
          <w:rFonts w:hint="eastAsia" w:ascii="仿宋_GB2312" w:hAnsi="宋体" w:eastAsia="仿宋_GB2312" w:cs="仿宋_GB2312"/>
          <w:color w:val="000000"/>
          <w:kern w:val="0"/>
          <w:sz w:val="32"/>
          <w:szCs w:val="32"/>
          <w:lang w:eastAsia="zh-CN" w:bidi="ar"/>
        </w:rPr>
        <w:sectPr>
          <w:pgSz w:w="11906" w:h="16838"/>
          <w:pgMar w:top="1440" w:right="1800" w:bottom="1440" w:left="1800" w:header="720" w:footer="720" w:gutter="0"/>
          <w:pgNumType w:fmt="numberInDash"/>
          <w:cols w:space="720" w:num="1"/>
          <w:docGrid w:type="lines" w:linePitch="312" w:charSpace="0"/>
        </w:sectPr>
      </w:pPr>
      <w:r>
        <w:rPr>
          <w:rFonts w:hint="eastAsia" w:ascii="仿宋_GB2312" w:hAnsi="宋体" w:eastAsia="仿宋_GB2312" w:cs="仿宋_GB2312"/>
          <w:color w:val="000000"/>
          <w:kern w:val="0"/>
          <w:sz w:val="32"/>
          <w:szCs w:val="32"/>
          <w:lang w:bidi="ar"/>
        </w:rPr>
        <w:t>202</w:t>
      </w:r>
      <w:r>
        <w:rPr>
          <w:rFonts w:hint="eastAsia" w:ascii="仿宋_GB2312" w:hAnsi="宋体" w:eastAsia="仿宋_GB2312" w:cs="仿宋_GB2312"/>
          <w:color w:val="000000"/>
          <w:kern w:val="0"/>
          <w:sz w:val="32"/>
          <w:szCs w:val="32"/>
          <w:lang w:val="en-US" w:eastAsia="zh-CN" w:bidi="ar"/>
        </w:rPr>
        <w:t>2</w:t>
      </w:r>
      <w:r>
        <w:rPr>
          <w:rFonts w:hint="eastAsia" w:ascii="仿宋_GB2312" w:hAnsi="宋体" w:eastAsia="仿宋_GB2312" w:cs="仿宋_GB2312"/>
          <w:color w:val="000000"/>
          <w:kern w:val="0"/>
          <w:sz w:val="32"/>
          <w:szCs w:val="32"/>
          <w:lang w:bidi="ar"/>
        </w:rPr>
        <w:t>年度，对</w:t>
      </w:r>
      <w:r>
        <w:rPr>
          <w:rFonts w:hint="eastAsia" w:ascii="仿宋_GB2312" w:hAnsi="宋体" w:eastAsia="仿宋_GB2312" w:cs="仿宋_GB2312"/>
          <w:color w:val="000000"/>
          <w:kern w:val="0"/>
          <w:sz w:val="32"/>
          <w:szCs w:val="32"/>
          <w:lang w:val="en-US" w:eastAsia="zh-CN" w:bidi="ar"/>
        </w:rPr>
        <w:t>1</w:t>
      </w:r>
      <w:r>
        <w:rPr>
          <w:rFonts w:hint="eastAsia" w:ascii="仿宋_GB2312" w:hAnsi="宋体" w:eastAsia="仿宋_GB2312" w:cs="仿宋_GB2312"/>
          <w:color w:val="000000"/>
          <w:kern w:val="0"/>
          <w:sz w:val="32"/>
          <w:szCs w:val="32"/>
          <w:lang w:bidi="ar"/>
        </w:rPr>
        <w:t>个项目进行了部门重点绩效评价，往来款项目评价得分</w:t>
      </w:r>
      <w:r>
        <w:rPr>
          <w:rFonts w:hint="eastAsia" w:ascii="仿宋_GB2312" w:hAnsi="宋体" w:eastAsia="仿宋_GB2312" w:cs="仿宋_GB2312"/>
          <w:color w:val="000000"/>
          <w:kern w:val="0"/>
          <w:sz w:val="32"/>
          <w:szCs w:val="32"/>
          <w:lang w:val="en-US" w:eastAsia="zh-CN" w:bidi="ar"/>
        </w:rPr>
        <w:t>96.08</w:t>
      </w:r>
      <w:r>
        <w:rPr>
          <w:rFonts w:hint="eastAsia" w:ascii="仿宋_GB2312" w:hAnsi="宋体" w:eastAsia="仿宋_GB2312" w:cs="仿宋_GB2312"/>
          <w:color w:val="000000"/>
          <w:kern w:val="0"/>
          <w:sz w:val="32"/>
          <w:szCs w:val="32"/>
          <w:lang w:bidi="ar"/>
        </w:rPr>
        <w:t>分，评价等级为优</w:t>
      </w:r>
      <w:r>
        <w:rPr>
          <w:rFonts w:hint="eastAsia" w:ascii="仿宋_GB2312" w:hAnsi="宋体" w:eastAsia="仿宋_GB2312" w:cs="仿宋_GB2312"/>
          <w:color w:val="000000"/>
          <w:kern w:val="0"/>
          <w:sz w:val="32"/>
          <w:szCs w:val="32"/>
          <w:lang w:eastAsia="zh-CN" w:bidi="ar"/>
        </w:rPr>
        <w:t>。</w:t>
      </w:r>
    </w:p>
    <w:tbl>
      <w:tblPr>
        <w:tblStyle w:val="6"/>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0"/>
        <w:gridCol w:w="802"/>
        <w:gridCol w:w="1780"/>
        <w:gridCol w:w="1866"/>
        <w:gridCol w:w="1866"/>
        <w:gridCol w:w="1427"/>
        <w:gridCol w:w="807"/>
        <w:gridCol w:w="1074"/>
        <w:gridCol w:w="1232"/>
        <w:gridCol w:w="1390"/>
        <w:gridCol w:w="9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0" w:type="auto"/>
            <w:gridSpan w:val="11"/>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部门整体支出绩效自评情况表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11"/>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2023年10月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3"/>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部门（单位）名称</w:t>
            </w:r>
          </w:p>
        </w:tc>
        <w:tc>
          <w:tcPr>
            <w:tcW w:w="0" w:type="auto"/>
            <w:gridSpan w:val="8"/>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民权县王庄寨镇人民政府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部门整体支出情况(万元)</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年初预算数</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全年执行数</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部门预算总额</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2064.72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3076.52</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2241.77</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72.87 %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资金来源：（1）财政拨款</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2064.72</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3076.52</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2241.77</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72.87 %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（2）财政专户管理资金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continue"/>
            <w:tcBorders>
              <w:top w:val="single" w:color="000000" w:sz="4" w:space="0"/>
              <w:left w:val="single" w:color="000000" w:sz="4" w:space="0"/>
              <w:bottom w:val="nil"/>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（3）单位资金</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年度履职目标</w:t>
            </w:r>
          </w:p>
        </w:tc>
        <w:tc>
          <w:tcPr>
            <w:tcW w:w="0" w:type="auto"/>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预期目标</w:t>
            </w:r>
          </w:p>
        </w:tc>
        <w:tc>
          <w:tcPr>
            <w:tcW w:w="0" w:type="auto"/>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8"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gridSpan w:val="4"/>
            <w:tcBorders>
              <w:top w:val="single" w:color="000000" w:sz="4" w:space="0"/>
              <w:left w:val="single" w:color="000000" w:sz="4" w:space="0"/>
              <w:bottom w:val="nil"/>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目标1：保障单位正常运转</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目标2：改善民生各类政策落实，为民办实事。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目标3：促进乡村社会经济、农业、环境等方面统筹发展，保证各项税收的征收，保障国家财政收入。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目标4：促进党建责任制，全面加强党的领导。</w:t>
            </w:r>
          </w:p>
        </w:tc>
        <w:tc>
          <w:tcPr>
            <w:tcW w:w="0" w:type="auto"/>
            <w:gridSpan w:val="6"/>
            <w:tcBorders>
              <w:top w:val="single" w:color="000000" w:sz="4" w:space="0"/>
              <w:left w:val="single" w:color="000000" w:sz="4" w:space="0"/>
              <w:bottom w:val="nil"/>
              <w:right w:val="single" w:color="000000" w:sz="4" w:space="0"/>
            </w:tcBorders>
            <w:noWrap w:val="0"/>
            <w:vAlign w:val="top"/>
          </w:tcPr>
          <w:p>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年度完成保障单位正常运转；改善民生各类政策落实，为民办实事。促进乡村社会经济、农业、环境等方面统筹发展，保证各项税收的征收，保障国家财政收入。促进党建责任制，全面加强党的领导。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0" w:type="auto"/>
            <w:gridSpan w:val="11"/>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年度主要任务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gridSpan w:val="11"/>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任务名称</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主要内容</w:t>
            </w:r>
          </w:p>
        </w:tc>
        <w:tc>
          <w:tcPr>
            <w:tcW w:w="0" w:type="auto"/>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保民生，促经济</w:t>
            </w:r>
          </w:p>
        </w:tc>
        <w:tc>
          <w:tcPr>
            <w:tcW w:w="0" w:type="auto"/>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目标1：保障单位正常运转 目标2：改善民生各类政策落实，为民办实事。 目标3：促进乡村社会经济、农业、环境等方面统筹发展，保证各项税收的征收，保障国家财政收入。 目标4：促进党建责任制，全面加强党的领导。</w:t>
            </w:r>
          </w:p>
        </w:tc>
        <w:tc>
          <w:tcPr>
            <w:tcW w:w="0" w:type="auto"/>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年度内完成目标1：保障单位正常运转 目标2：改善民生各类政策落实，为民办实事。 目标3：促进乡村社会经济、农业、环境等方面统筹发展，保证各项税收的征收，保障国家财政收入。 目标4：促进党建责任制，全面加强党的领导。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gridSpan w:val="11"/>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11"/>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三级指标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偏差度</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投入管理指标</w:t>
            </w: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工作目标管理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年度履职目标相关性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相关</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工作任务科学性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绩效指标合理性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预算和财务管理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预算编制完整性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完整</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专项资金细化率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预算执行率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-23.29</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由于新冠疫情影响，部分支出未及时报账。导致预算执行率偏差较大。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预算调整率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年中追加项目资金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结转结余率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442.60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由于新冠疫情影响，部分支出未及时报账。导致预算执行率偏差较大。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“三公经费”控制率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政府采购执行率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决算真实性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真实</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资金使用合规性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合规</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管理制度健全性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预决算信息公开性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资产管理规范性</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绩效管理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绩效目标编制完成率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绩效监控完成率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绩效自评完成率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部门绩效评价完成率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评价结果应用率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重点工作任务完成</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工程按时完成率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履职目标实现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项目竣工验收合格率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履职效益</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服务效率</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群众满意度</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bl>
    <w:p>
      <w:pPr>
        <w:widowControl/>
        <w:jc w:val="left"/>
        <w:rPr>
          <w:rFonts w:hint="eastAsia" w:ascii="仿宋_GB2312" w:hAnsi="宋体" w:eastAsia="仿宋_GB2312" w:cs="仿宋_GB2312"/>
          <w:color w:val="000000"/>
          <w:kern w:val="0"/>
          <w:sz w:val="32"/>
          <w:szCs w:val="32"/>
          <w:lang w:eastAsia="zh-CN" w:bidi="ar"/>
        </w:rPr>
      </w:pPr>
      <w:r>
        <w:rPr>
          <w:rFonts w:hint="eastAsia" w:ascii="仿宋_GB2312" w:hAnsi="宋体" w:eastAsia="仿宋_GB2312" w:cs="仿宋_GB2312"/>
          <w:color w:val="000000"/>
          <w:kern w:val="0"/>
          <w:sz w:val="32"/>
          <w:szCs w:val="32"/>
          <w:lang w:eastAsia="zh-CN" w:bidi="ar"/>
        </w:rPr>
        <w:br w:type="page"/>
      </w:r>
    </w:p>
    <w:tbl>
      <w:tblPr>
        <w:tblStyle w:val="6"/>
        <w:tblW w:w="140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2"/>
        <w:gridCol w:w="895"/>
        <w:gridCol w:w="734"/>
        <w:gridCol w:w="718"/>
        <w:gridCol w:w="1206"/>
        <w:gridCol w:w="723"/>
        <w:gridCol w:w="708"/>
        <w:gridCol w:w="749"/>
        <w:gridCol w:w="846"/>
        <w:gridCol w:w="756"/>
        <w:gridCol w:w="647"/>
        <w:gridCol w:w="703"/>
        <w:gridCol w:w="780"/>
        <w:gridCol w:w="795"/>
        <w:gridCol w:w="870"/>
        <w:gridCol w:w="1050"/>
        <w:gridCol w:w="11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4082" w:type="dxa"/>
            <w:gridSpan w:val="17"/>
            <w:tcBorders>
              <w:top w:val="nil"/>
              <w:left w:val="nil"/>
              <w:bottom w:val="nil"/>
              <w:right w:val="nil"/>
            </w:tcBorders>
            <w:noWrap w:val="0"/>
            <w:vAlign w:val="bottom"/>
          </w:tcPr>
          <w:p>
            <w:pPr>
              <w:keepNext w:val="0"/>
              <w:keepLines w:val="0"/>
              <w:widowControl/>
              <w:suppressLineNumbers w:val="0"/>
              <w:ind w:firstLineChars="1500"/>
              <w:jc w:val="left"/>
              <w:textAlignment w:val="bottom"/>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 xml:space="preserve">    </w:t>
            </w:r>
            <w:r>
              <w:rPr>
                <w:rStyle w:val="19"/>
                <w:lang w:val="en-US" w:eastAsia="zh-CN" w:bidi="ar"/>
              </w:rPr>
              <w:t>项目单位自评汇总表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14082" w:type="dxa"/>
            <w:gridSpan w:val="17"/>
            <w:tcBorders>
              <w:top w:val="nil"/>
              <w:left w:val="nil"/>
              <w:bottom w:val="nil"/>
              <w:right w:val="nil"/>
            </w:tcBorders>
            <w:noWrap w:val="0"/>
            <w:vAlign w:val="center"/>
          </w:tcPr>
          <w:p>
            <w:pPr>
              <w:keepNext w:val="0"/>
              <w:keepLines w:val="0"/>
              <w:widowControl/>
              <w:suppressLineNumbers w:val="0"/>
              <w:ind w:firstLineChars="150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单位编码</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主管部门编栏</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主管部门名称</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项目类型</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资金归口处室</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资金管理情况</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成本指标得分</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产出指标得分率</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效益指标得分率</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满意度指标得分率</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自评得分</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是否有偏差项目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42545</wp:posOffset>
                  </wp:positionH>
                  <wp:positionV relativeFrom="paragraph">
                    <wp:posOffset>543560</wp:posOffset>
                  </wp:positionV>
                  <wp:extent cx="1302385" cy="1247775"/>
                  <wp:effectExtent l="0" t="0" r="12065" b="9525"/>
                  <wp:wrapNone/>
                  <wp:docPr id="1" name="image1"/>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6"/>
                          <a:stretch>
                            <a:fillRect/>
                          </a:stretch>
                        </pic:blipFill>
                        <pic:spPr>
                          <a:xfrm>
                            <a:off x="0" y="0"/>
                            <a:ext cx="1302385" cy="1247775"/>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2022年上半年光伏扶贫村级电站电价补贴</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70.51</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35.17</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49.88%</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94.99</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疫情防控经费</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加油站占地补偿款</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工作经费</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往来款</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1759</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1068.96</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60.77%</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96.08</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考核优秀等次公务员嘉奖(2019)和三等功奖励(2017-2019)</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光伏收益资金</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73.49</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35.72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48.61%</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94.86</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2022年县派驻村第一书记(队长、队员)生活补贴</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15.84</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78.57%</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97.86</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916001</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民权县王庄寨镇人民政府</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县派驻村第一书记、队员2021年10-12月生活补贴</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可执行项目</w:t>
            </w:r>
          </w:p>
        </w:tc>
        <w:tc>
          <w:tcPr>
            <w:tcW w:w="7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乡财管理股</w:t>
            </w:r>
          </w:p>
        </w:tc>
        <w:tc>
          <w:tcPr>
            <w:tcW w:w="7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bl>
    <w:p>
      <w:pPr>
        <w:widowControl/>
        <w:jc w:val="left"/>
        <w:rPr>
          <w:rFonts w:hint="eastAsia" w:ascii="仿宋_GB2312" w:hAnsi="宋体" w:eastAsia="仿宋_GB2312" w:cs="仿宋_GB2312"/>
          <w:color w:val="000000"/>
          <w:kern w:val="0"/>
          <w:sz w:val="32"/>
          <w:szCs w:val="32"/>
          <w:lang w:eastAsia="zh-CN" w:bidi="ar"/>
        </w:rPr>
        <w:sectPr>
          <w:pgSz w:w="16838" w:h="31680"/>
          <w:pgMar w:top="1803" w:right="1440" w:bottom="1803" w:left="1440" w:header="720" w:footer="720" w:gutter="0"/>
          <w:pgNumType w:fmt="numberInDash"/>
          <w:cols w:space="720" w:num="1"/>
          <w:rtlGutter w:val="0"/>
          <w:docGrid w:type="lines" w:linePitch="319" w:charSpace="0"/>
        </w:sect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widowControl/>
        <w:jc w:val="left"/>
        <w:rPr>
          <w:rFonts w:hint="eastAsia" w:ascii="黑体" w:hAnsi="宋体" w:eastAsia="黑体" w:cs="宋体"/>
          <w:kern w:val="0"/>
          <w:sz w:val="28"/>
          <w:szCs w:val="28"/>
        </w:rPr>
      </w:pPr>
    </w:p>
    <w:p>
      <w:pPr>
        <w:jc w:val="center"/>
        <w:outlineLvl w:val="0"/>
        <w:rPr>
          <w:rFonts w:hint="eastAsia" w:ascii="黑体" w:hAnsi="黑体" w:eastAsia="黑体" w:cs="黑体"/>
          <w:sz w:val="48"/>
          <w:szCs w:val="48"/>
        </w:rPr>
      </w:pPr>
      <w:r>
        <w:rPr>
          <w:rFonts w:hint="eastAsia" w:ascii="黑体" w:hAnsi="黑体" w:eastAsia="黑体" w:cs="黑体"/>
          <w:sz w:val="48"/>
          <w:szCs w:val="48"/>
        </w:rPr>
        <w:t>第四部分  名词解释</w:t>
      </w:r>
    </w:p>
    <w:p>
      <w:pPr>
        <w:jc w:val="center"/>
        <w:rPr>
          <w:rFonts w:hint="eastAsia" w:ascii="黑体" w:hAnsi="黑体" w:eastAsia="黑体" w:cs="黑体"/>
          <w:sz w:val="48"/>
          <w:szCs w:val="48"/>
        </w:rPr>
      </w:pPr>
    </w:p>
    <w:p>
      <w:pPr>
        <w:jc w:val="center"/>
        <w:outlineLvl w:val="0"/>
        <w:rPr>
          <w:rFonts w:hint="eastAsia" w:ascii="黑体" w:hAnsi="黑体" w:eastAsia="黑体" w:cs="黑体"/>
          <w:sz w:val="48"/>
          <w:szCs w:val="48"/>
        </w:rPr>
        <w:sectPr>
          <w:pgSz w:w="11906" w:h="16838"/>
          <w:pgMar w:top="1440" w:right="1803" w:bottom="1440" w:left="1803" w:header="720" w:footer="720" w:gutter="0"/>
          <w:pgNumType w:fmt="numberInDash"/>
          <w:cols w:space="720" w:num="1"/>
          <w:rtlGutter w:val="0"/>
          <w:docGrid w:type="lines" w:linePitch="319" w:charSpace="0"/>
        </w:sectPr>
      </w:pP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一、财政拨款收入：单位从同级政府财政部门取得的财政预算资金。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二、事业收入：事业单位开展专业业务活动及其辅助活动取得的收入。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三、上级补助收入：事业单位从主管部门和上级单位取得的非财政补助收入。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四、附属单位上缴收入：事业单位取得附属独立核算单位根据有关规定上缴的收入。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五、经营收入：事业单位在专业业务活动及其辅助活动之外开展非独立核算经营活动取得的收入。</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六、其他收入：单位取得的除“财政拨款收入”、“事业收入”、“上级补助收入”、“附属单位上缴收入”、“经营收入”以外的各项收入。</w:t>
      </w:r>
    </w:p>
    <w:p>
      <w:pPr>
        <w:widowControl/>
        <w:spacing w:line="59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七、使用非财政拨款结余：指事业单位使用以前年度积累的非财政拨款结余弥补当年收支差额的金额。</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w:t>
      </w:r>
      <w:r>
        <w:rPr>
          <w:rFonts w:ascii="仿宋_GB2312" w:hAnsi="仿宋_GB2312" w:eastAsia="仿宋_GB2312" w:cs="仿宋_GB2312"/>
          <w:sz w:val="32"/>
          <w:szCs w:val="32"/>
        </w:rPr>
        <w:t>年初结转和结余：指单位以前年度尚未完成、结转到本年仍按原规定用途继续使用的资金，或项目已完成等产生的结余资金。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九、基本支出：为保障机构正常运转、完成日常工作任务而发生的人员支出和公用支出。</w:t>
      </w:r>
    </w:p>
    <w:p>
      <w:pPr>
        <w:widowControl/>
        <w:spacing w:line="59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十、项目支出：基本支出之外为完成特定行政任务和事业发展目标所发生的支出。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ascii="仿宋_GB2312" w:hAnsi="仿宋_GB2312" w:eastAsia="仿宋_GB2312" w:cs="仿宋_GB2312"/>
          <w:sz w:val="32"/>
          <w:szCs w:val="32"/>
        </w:rPr>
        <w:t>、经营支出：指事业单位在专业业务活动及其辅助活动之外开展非独立核算经营活动发生的支出。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十二、工资福利支出：单位支付给在职职工和编制外长期聘用人员的各类劳动报酬，以及为上述人员缴纳的各项社会保险费等。</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十三、商品和服务支出：单位购买商品和服务的支出。</w:t>
      </w:r>
    </w:p>
    <w:p>
      <w:pPr>
        <w:widowControl/>
        <w:spacing w:line="59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十四、对个人和家庭的补助支出：单位用于对个人和家庭的补助支出。</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w:t>
      </w:r>
      <w:r>
        <w:rPr>
          <w:rFonts w:ascii="仿宋_GB2312" w:hAnsi="仿宋_GB2312" w:eastAsia="仿宋_GB2312" w:cs="仿宋_GB2312"/>
          <w:sz w:val="32"/>
          <w:szCs w:val="32"/>
        </w:rPr>
        <w:t>结余分配：指事业单位按照会计制度规定缴纳的所得税、提取的专用结余以及转入非财政拨款结余的金额等。</w:t>
      </w:r>
    </w:p>
    <w:p>
      <w:pPr>
        <w:widowControl/>
        <w:spacing w:line="59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十六、年末结转和</w:t>
      </w:r>
      <w:r>
        <w:rPr>
          <w:rFonts w:ascii="仿宋_GB2312" w:hAnsi="仿宋_GB2312" w:eastAsia="仿宋_GB2312" w:cs="仿宋_GB2312"/>
          <w:sz w:val="32"/>
          <w:szCs w:val="32"/>
        </w:rPr>
        <w:t>结余</w:t>
      </w:r>
      <w:r>
        <w:rPr>
          <w:rFonts w:hint="eastAsia" w:ascii="仿宋_GB2312" w:hAnsi="仿宋_GB2312" w:eastAsia="仿宋_GB2312" w:cs="仿宋_GB2312"/>
          <w:sz w:val="32"/>
          <w:szCs w:val="32"/>
        </w:rPr>
        <w:t>：指</w:t>
      </w:r>
      <w:r>
        <w:rPr>
          <w:rFonts w:ascii="仿宋_GB2312" w:hAnsi="仿宋_GB2312" w:eastAsia="仿宋_GB2312" w:cs="仿宋_GB2312"/>
          <w:sz w:val="32"/>
          <w:szCs w:val="32"/>
        </w:rPr>
        <w:t>单位按有关规定结转到下年或以后年度</w:t>
      </w:r>
      <w:r>
        <w:rPr>
          <w:rFonts w:hint="eastAsia" w:ascii="仿宋_GB2312" w:hAnsi="仿宋_GB2312" w:eastAsia="仿宋_GB2312" w:cs="仿宋_GB2312"/>
          <w:sz w:val="32"/>
          <w:szCs w:val="32"/>
        </w:rPr>
        <w:t>继续</w:t>
      </w:r>
      <w:r>
        <w:rPr>
          <w:rFonts w:ascii="仿宋_GB2312" w:hAnsi="仿宋_GB2312" w:eastAsia="仿宋_GB2312" w:cs="仿宋_GB2312"/>
          <w:sz w:val="32"/>
          <w:szCs w:val="32"/>
        </w:rPr>
        <w:t>使用的资金，或项目已完成等产生的结余资金。</w:t>
      </w:r>
    </w:p>
    <w:p>
      <w:pPr>
        <w:widowControl/>
        <w:spacing w:line="59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三公”经费：纳入同级财政预决算管理“三公”经费，指单位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widowControl/>
        <w:spacing w:line="590" w:lineRule="exact"/>
        <w:ind w:firstLine="640" w:firstLineChars="200"/>
        <w:jc w:val="left"/>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十八、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3" w:bottom="1440" w:left="1803" w:header="720" w:footer="720"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zLBcsoBAACcAwAADgAAAGRycy9lMm9Eb2MueG1srVNLbtswEN0X6B0I&#10;7mvKD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fmPUr1wN/s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zLBcsoBAACcAwAADgAAAAAAAAABACAAAAAeAQAAZHJzL2Uyb0Rv&#10;Yy54bWxQSwUGAAAAAAYABgBZAQAAWg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- 23 -</w:t>
                    </w:r>
                    <w:r>
                      <w:rPr>
                        <w:rFonts w:hint="eastAsia"/>
                        <w:sz w:val="1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Kt6MsBAACcAwAADgAAAGRycy9lMm9Eb2MueG1srVNLbtswEN0XyB0I&#10;7mPKWrSG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lJieUGB37+/u3849f551ey&#10;LMp3SaHeQ4WJTx5T43DnBtyb2Q/oTMSHNpj0RUoE46jv6aKvHCIR6dGqXK0K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TCrejLAQAAnAMAAA4AAAAAAAAAAQAgAAAAHgEAAGRycy9lMm9E&#10;b2MueG1sUEsFBgAAAAAGAAYAWQEAAFsFAAAAAA==&#10;">
              <v:fill on="f" focussize="0,0"/>
              <v:stroke on="f"/>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- 24 -</w:t>
                          </w:r>
                          <w:r>
                            <w:rPr>
                              <w:rFonts w:hint="eastAsia"/>
                              <w:sz w:val="18"/>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YEJnsoBAACc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lW&#10;L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YEJnsoBAACcAwAADgAAAAAAAAABACAAAAAeAQAAZHJzL2Uyb0Rv&#10;Yy54bWxQSwUGAAAAAAYABgBZAQAAWg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- 24 -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D17D24"/>
    <w:multiLevelType w:val="singleLevel"/>
    <w:tmpl w:val="EBD17D24"/>
    <w:lvl w:ilvl="0" w:tentative="0">
      <w:start w:val="1"/>
      <w:numFmt w:val="decimal"/>
      <w:suff w:val="nothing"/>
      <w:lvlText w:val="%1．"/>
      <w:lvlJc w:val="left"/>
    </w:lvl>
  </w:abstractNum>
  <w:abstractNum w:abstractNumId="1">
    <w:nsid w:val="5971BE17"/>
    <w:multiLevelType w:val="singleLevel"/>
    <w:tmpl w:val="5971BE17"/>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MjM1ZTc4NzAzNjc3ODgzM2FhYjZlN2NjYTIyMjYifQ=="/>
  </w:docVars>
  <w:rsids>
    <w:rsidRoot w:val="00172A27"/>
    <w:rsid w:val="0001341A"/>
    <w:rsid w:val="00014590"/>
    <w:rsid w:val="000270E8"/>
    <w:rsid w:val="000335B5"/>
    <w:rsid w:val="00041339"/>
    <w:rsid w:val="00050C58"/>
    <w:rsid w:val="000536D4"/>
    <w:rsid w:val="00057AFD"/>
    <w:rsid w:val="000760A2"/>
    <w:rsid w:val="00076410"/>
    <w:rsid w:val="00081835"/>
    <w:rsid w:val="000904B3"/>
    <w:rsid w:val="000C073B"/>
    <w:rsid w:val="000C1142"/>
    <w:rsid w:val="000F6973"/>
    <w:rsid w:val="001003F8"/>
    <w:rsid w:val="001153DF"/>
    <w:rsid w:val="00144159"/>
    <w:rsid w:val="00153782"/>
    <w:rsid w:val="001718A8"/>
    <w:rsid w:val="00182842"/>
    <w:rsid w:val="00184D53"/>
    <w:rsid w:val="001905F2"/>
    <w:rsid w:val="00197592"/>
    <w:rsid w:val="001C32F0"/>
    <w:rsid w:val="001D16C4"/>
    <w:rsid w:val="001D61B1"/>
    <w:rsid w:val="001F5040"/>
    <w:rsid w:val="002006EB"/>
    <w:rsid w:val="00213D0B"/>
    <w:rsid w:val="00214AE1"/>
    <w:rsid w:val="00260D70"/>
    <w:rsid w:val="00281114"/>
    <w:rsid w:val="00282C7F"/>
    <w:rsid w:val="00287811"/>
    <w:rsid w:val="00292B4B"/>
    <w:rsid w:val="002A6352"/>
    <w:rsid w:val="002B3F94"/>
    <w:rsid w:val="002C171D"/>
    <w:rsid w:val="002E6A86"/>
    <w:rsid w:val="00304D04"/>
    <w:rsid w:val="00305B88"/>
    <w:rsid w:val="00315FEB"/>
    <w:rsid w:val="00317A3F"/>
    <w:rsid w:val="004006EF"/>
    <w:rsid w:val="00406392"/>
    <w:rsid w:val="0041489C"/>
    <w:rsid w:val="004207C5"/>
    <w:rsid w:val="0042585F"/>
    <w:rsid w:val="00426114"/>
    <w:rsid w:val="00445CAC"/>
    <w:rsid w:val="00472E19"/>
    <w:rsid w:val="004824E1"/>
    <w:rsid w:val="00487869"/>
    <w:rsid w:val="004D5275"/>
    <w:rsid w:val="004F63DB"/>
    <w:rsid w:val="00505190"/>
    <w:rsid w:val="00507364"/>
    <w:rsid w:val="00546F7C"/>
    <w:rsid w:val="005A0C2F"/>
    <w:rsid w:val="005B1AE2"/>
    <w:rsid w:val="005E3397"/>
    <w:rsid w:val="005E4B20"/>
    <w:rsid w:val="0060785B"/>
    <w:rsid w:val="00607D67"/>
    <w:rsid w:val="006228C4"/>
    <w:rsid w:val="00636C37"/>
    <w:rsid w:val="006512DD"/>
    <w:rsid w:val="00656BEF"/>
    <w:rsid w:val="00656D75"/>
    <w:rsid w:val="00657E86"/>
    <w:rsid w:val="00673EF7"/>
    <w:rsid w:val="00674086"/>
    <w:rsid w:val="006841E9"/>
    <w:rsid w:val="0069449E"/>
    <w:rsid w:val="006B3267"/>
    <w:rsid w:val="006C07F0"/>
    <w:rsid w:val="006C644A"/>
    <w:rsid w:val="006C7D84"/>
    <w:rsid w:val="007148E8"/>
    <w:rsid w:val="00733DAA"/>
    <w:rsid w:val="00742BA0"/>
    <w:rsid w:val="00753545"/>
    <w:rsid w:val="00764156"/>
    <w:rsid w:val="007706D7"/>
    <w:rsid w:val="007879ED"/>
    <w:rsid w:val="007A48A3"/>
    <w:rsid w:val="007C029F"/>
    <w:rsid w:val="007C7F49"/>
    <w:rsid w:val="007D2A21"/>
    <w:rsid w:val="00835830"/>
    <w:rsid w:val="00843461"/>
    <w:rsid w:val="008651E7"/>
    <w:rsid w:val="00872946"/>
    <w:rsid w:val="0088023A"/>
    <w:rsid w:val="008858FB"/>
    <w:rsid w:val="00894B41"/>
    <w:rsid w:val="008B5427"/>
    <w:rsid w:val="008C79C3"/>
    <w:rsid w:val="008C7CD0"/>
    <w:rsid w:val="00903F6B"/>
    <w:rsid w:val="009173F9"/>
    <w:rsid w:val="009308CB"/>
    <w:rsid w:val="00950270"/>
    <w:rsid w:val="00955EB5"/>
    <w:rsid w:val="00962F58"/>
    <w:rsid w:val="00972F3F"/>
    <w:rsid w:val="00975A04"/>
    <w:rsid w:val="009850F4"/>
    <w:rsid w:val="00987E71"/>
    <w:rsid w:val="009F0FBB"/>
    <w:rsid w:val="009F546E"/>
    <w:rsid w:val="00A079F0"/>
    <w:rsid w:val="00A21DB3"/>
    <w:rsid w:val="00A42F43"/>
    <w:rsid w:val="00A47596"/>
    <w:rsid w:val="00A51982"/>
    <w:rsid w:val="00A57BF7"/>
    <w:rsid w:val="00A60EC5"/>
    <w:rsid w:val="00A71DC1"/>
    <w:rsid w:val="00A83D8A"/>
    <w:rsid w:val="00A93E7D"/>
    <w:rsid w:val="00AA260E"/>
    <w:rsid w:val="00AA44CB"/>
    <w:rsid w:val="00AA67CD"/>
    <w:rsid w:val="00AD6761"/>
    <w:rsid w:val="00AE2FEA"/>
    <w:rsid w:val="00AE600E"/>
    <w:rsid w:val="00B0083B"/>
    <w:rsid w:val="00B040BC"/>
    <w:rsid w:val="00B209B8"/>
    <w:rsid w:val="00B20BBC"/>
    <w:rsid w:val="00B249F3"/>
    <w:rsid w:val="00B649BE"/>
    <w:rsid w:val="00B653A5"/>
    <w:rsid w:val="00B65A14"/>
    <w:rsid w:val="00B710DD"/>
    <w:rsid w:val="00B8061A"/>
    <w:rsid w:val="00BE5A85"/>
    <w:rsid w:val="00BF4E6A"/>
    <w:rsid w:val="00BF5718"/>
    <w:rsid w:val="00C07681"/>
    <w:rsid w:val="00C13474"/>
    <w:rsid w:val="00C3106E"/>
    <w:rsid w:val="00C60609"/>
    <w:rsid w:val="00C95CC1"/>
    <w:rsid w:val="00CA3F44"/>
    <w:rsid w:val="00CB03ED"/>
    <w:rsid w:val="00CB72D1"/>
    <w:rsid w:val="00CE212D"/>
    <w:rsid w:val="00CE4B38"/>
    <w:rsid w:val="00D1321A"/>
    <w:rsid w:val="00D23FC6"/>
    <w:rsid w:val="00D30ADF"/>
    <w:rsid w:val="00D33CF8"/>
    <w:rsid w:val="00D6315E"/>
    <w:rsid w:val="00D635ED"/>
    <w:rsid w:val="00D652C2"/>
    <w:rsid w:val="00D74EE2"/>
    <w:rsid w:val="00D83E19"/>
    <w:rsid w:val="00D86CAD"/>
    <w:rsid w:val="00DA00C9"/>
    <w:rsid w:val="00DB200E"/>
    <w:rsid w:val="00DB65F5"/>
    <w:rsid w:val="00E01C3E"/>
    <w:rsid w:val="00E11655"/>
    <w:rsid w:val="00E13099"/>
    <w:rsid w:val="00E4339F"/>
    <w:rsid w:val="00E60B05"/>
    <w:rsid w:val="00E629EA"/>
    <w:rsid w:val="00E6777C"/>
    <w:rsid w:val="00E87A51"/>
    <w:rsid w:val="00EB05A3"/>
    <w:rsid w:val="00ED38B7"/>
    <w:rsid w:val="00EE051D"/>
    <w:rsid w:val="00F0082A"/>
    <w:rsid w:val="00F0131A"/>
    <w:rsid w:val="00F14C17"/>
    <w:rsid w:val="00F17041"/>
    <w:rsid w:val="00F218CF"/>
    <w:rsid w:val="00F44937"/>
    <w:rsid w:val="00F51D42"/>
    <w:rsid w:val="00F61A47"/>
    <w:rsid w:val="00F84422"/>
    <w:rsid w:val="00F95455"/>
    <w:rsid w:val="00FA574D"/>
    <w:rsid w:val="00FC2588"/>
    <w:rsid w:val="00FE7AD9"/>
    <w:rsid w:val="01322275"/>
    <w:rsid w:val="01DC6F05"/>
    <w:rsid w:val="024912E2"/>
    <w:rsid w:val="02A3489A"/>
    <w:rsid w:val="02CA138D"/>
    <w:rsid w:val="033646FC"/>
    <w:rsid w:val="03C75F80"/>
    <w:rsid w:val="0478364D"/>
    <w:rsid w:val="053D4C0D"/>
    <w:rsid w:val="0557532E"/>
    <w:rsid w:val="0799329C"/>
    <w:rsid w:val="086F16A7"/>
    <w:rsid w:val="0A0F7225"/>
    <w:rsid w:val="0A2B7D82"/>
    <w:rsid w:val="0ADC40E9"/>
    <w:rsid w:val="0AE607F4"/>
    <w:rsid w:val="0B350FAE"/>
    <w:rsid w:val="0B451598"/>
    <w:rsid w:val="0BEC73F4"/>
    <w:rsid w:val="0C392698"/>
    <w:rsid w:val="10BD36F6"/>
    <w:rsid w:val="11BF0649"/>
    <w:rsid w:val="123E3E08"/>
    <w:rsid w:val="13D22E22"/>
    <w:rsid w:val="161C2DFF"/>
    <w:rsid w:val="16373578"/>
    <w:rsid w:val="16D3336B"/>
    <w:rsid w:val="17806C36"/>
    <w:rsid w:val="17A74F62"/>
    <w:rsid w:val="18A47774"/>
    <w:rsid w:val="1B2E6FD8"/>
    <w:rsid w:val="1B877D21"/>
    <w:rsid w:val="1C4319A9"/>
    <w:rsid w:val="1CD62848"/>
    <w:rsid w:val="1E443B4B"/>
    <w:rsid w:val="1E994F4A"/>
    <w:rsid w:val="1EAF0224"/>
    <w:rsid w:val="1F2230A4"/>
    <w:rsid w:val="201C2C98"/>
    <w:rsid w:val="20210932"/>
    <w:rsid w:val="202448E0"/>
    <w:rsid w:val="21302EEA"/>
    <w:rsid w:val="22376FB5"/>
    <w:rsid w:val="23E152D7"/>
    <w:rsid w:val="255D43C8"/>
    <w:rsid w:val="26876BDD"/>
    <w:rsid w:val="2714632A"/>
    <w:rsid w:val="27B0539E"/>
    <w:rsid w:val="28BD3A65"/>
    <w:rsid w:val="29365CF8"/>
    <w:rsid w:val="299469B3"/>
    <w:rsid w:val="2A805789"/>
    <w:rsid w:val="2ADC0D75"/>
    <w:rsid w:val="2B4A0E52"/>
    <w:rsid w:val="2BB05BA9"/>
    <w:rsid w:val="2C5D4AAE"/>
    <w:rsid w:val="2C975890"/>
    <w:rsid w:val="2CDC2BCF"/>
    <w:rsid w:val="2D7B7CF2"/>
    <w:rsid w:val="2DEF21BB"/>
    <w:rsid w:val="2E4A2F05"/>
    <w:rsid w:val="2ECC1061"/>
    <w:rsid w:val="2FA476AD"/>
    <w:rsid w:val="303F7540"/>
    <w:rsid w:val="31DD00BF"/>
    <w:rsid w:val="31F32691"/>
    <w:rsid w:val="3293174C"/>
    <w:rsid w:val="32BB38D4"/>
    <w:rsid w:val="32C9376D"/>
    <w:rsid w:val="33780472"/>
    <w:rsid w:val="33AF0905"/>
    <w:rsid w:val="355932F4"/>
    <w:rsid w:val="35611882"/>
    <w:rsid w:val="36746FC3"/>
    <w:rsid w:val="368763AE"/>
    <w:rsid w:val="38A00F55"/>
    <w:rsid w:val="395D59E7"/>
    <w:rsid w:val="39A93932"/>
    <w:rsid w:val="3A915562"/>
    <w:rsid w:val="3B8D4765"/>
    <w:rsid w:val="3C000DBA"/>
    <w:rsid w:val="3DC045D3"/>
    <w:rsid w:val="3DFB7CD9"/>
    <w:rsid w:val="3E504FFB"/>
    <w:rsid w:val="3E615CD0"/>
    <w:rsid w:val="3E9C47F6"/>
    <w:rsid w:val="3F7A4287"/>
    <w:rsid w:val="3F8B0112"/>
    <w:rsid w:val="3FAB3095"/>
    <w:rsid w:val="3FE45947"/>
    <w:rsid w:val="41242965"/>
    <w:rsid w:val="435671EA"/>
    <w:rsid w:val="440809E9"/>
    <w:rsid w:val="442407A6"/>
    <w:rsid w:val="44805EA1"/>
    <w:rsid w:val="45710696"/>
    <w:rsid w:val="46142B1B"/>
    <w:rsid w:val="47E60DD0"/>
    <w:rsid w:val="48735039"/>
    <w:rsid w:val="492C684B"/>
    <w:rsid w:val="49500594"/>
    <w:rsid w:val="49E7604E"/>
    <w:rsid w:val="4BF67CDD"/>
    <w:rsid w:val="4D173441"/>
    <w:rsid w:val="4D603DD6"/>
    <w:rsid w:val="4EBF010F"/>
    <w:rsid w:val="4F471EB0"/>
    <w:rsid w:val="51331326"/>
    <w:rsid w:val="51740A7F"/>
    <w:rsid w:val="51A5541E"/>
    <w:rsid w:val="51C96242"/>
    <w:rsid w:val="53906AE1"/>
    <w:rsid w:val="54F46F60"/>
    <w:rsid w:val="55A37BEA"/>
    <w:rsid w:val="56362CD2"/>
    <w:rsid w:val="5784687B"/>
    <w:rsid w:val="57846959"/>
    <w:rsid w:val="578E6A87"/>
    <w:rsid w:val="58337298"/>
    <w:rsid w:val="59D240D7"/>
    <w:rsid w:val="5AC2203A"/>
    <w:rsid w:val="5B7B7009"/>
    <w:rsid w:val="5BC51551"/>
    <w:rsid w:val="5CBB3334"/>
    <w:rsid w:val="5D115FAF"/>
    <w:rsid w:val="62811722"/>
    <w:rsid w:val="62E75A72"/>
    <w:rsid w:val="64571880"/>
    <w:rsid w:val="649125B6"/>
    <w:rsid w:val="652F4C1A"/>
    <w:rsid w:val="666D37F1"/>
    <w:rsid w:val="67087D8F"/>
    <w:rsid w:val="671F687E"/>
    <w:rsid w:val="67F415F8"/>
    <w:rsid w:val="682640D1"/>
    <w:rsid w:val="684B73E5"/>
    <w:rsid w:val="69D34437"/>
    <w:rsid w:val="6A047A2A"/>
    <w:rsid w:val="6C8B1081"/>
    <w:rsid w:val="6EFB7548"/>
    <w:rsid w:val="6F3831C3"/>
    <w:rsid w:val="6F8B71C1"/>
    <w:rsid w:val="70753482"/>
    <w:rsid w:val="707B522A"/>
    <w:rsid w:val="73194D05"/>
    <w:rsid w:val="73A83B0E"/>
    <w:rsid w:val="744D3EF9"/>
    <w:rsid w:val="74794411"/>
    <w:rsid w:val="75867C40"/>
    <w:rsid w:val="75B10B26"/>
    <w:rsid w:val="76432199"/>
    <w:rsid w:val="76F44829"/>
    <w:rsid w:val="77580904"/>
    <w:rsid w:val="77A267C0"/>
    <w:rsid w:val="78882278"/>
    <w:rsid w:val="78B118A6"/>
    <w:rsid w:val="79135044"/>
    <w:rsid w:val="7A7D0F99"/>
    <w:rsid w:val="7C5574B6"/>
    <w:rsid w:val="7E4A0E7C"/>
    <w:rsid w:val="7EFD44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1"/>
    <w:unhideWhenUsed/>
    <w:qFormat/>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unhideWhenUsed/>
    <w:qFormat/>
    <w:uiPriority w:val="99"/>
    <w:rPr>
      <w:color w:val="800080"/>
      <w:u w:val="single"/>
    </w:rPr>
  </w:style>
  <w:style w:type="character" w:styleId="10">
    <w:name w:val="Hyperlink"/>
    <w:unhideWhenUsed/>
    <w:uiPriority w:val="99"/>
    <w:rPr>
      <w:color w:val="0000FF"/>
      <w:u w:val="single"/>
    </w:rPr>
  </w:style>
  <w:style w:type="character" w:customStyle="1" w:styleId="11">
    <w:name w:val="批注框文本 Char"/>
    <w:link w:val="3"/>
    <w:semiHidden/>
    <w:uiPriority w:val="99"/>
    <w:rPr>
      <w:kern w:val="2"/>
      <w:sz w:val="18"/>
      <w:szCs w:val="18"/>
    </w:rPr>
  </w:style>
  <w:style w:type="character" w:customStyle="1" w:styleId="12">
    <w:name w:val="页脚 Char"/>
    <w:link w:val="4"/>
    <w:qFormat/>
    <w:uiPriority w:val="99"/>
    <w:rPr>
      <w:kern w:val="2"/>
      <w:sz w:val="18"/>
      <w:szCs w:val="18"/>
    </w:rPr>
  </w:style>
  <w:style w:type="character" w:customStyle="1" w:styleId="13">
    <w:name w:val="页眉 Char"/>
    <w:link w:val="5"/>
    <w:uiPriority w:val="99"/>
    <w:rPr>
      <w:kern w:val="2"/>
      <w:sz w:val="18"/>
      <w:szCs w:val="18"/>
    </w:rPr>
  </w:style>
  <w:style w:type="character" w:customStyle="1" w:styleId="14">
    <w:name w:val="font01"/>
    <w:qFormat/>
    <w:uiPriority w:val="0"/>
    <w:rPr>
      <w:rFonts w:hint="eastAsia" w:ascii="宋体" w:hAnsi="宋体" w:eastAsia="宋体" w:cs="宋体"/>
      <w:color w:val="000000"/>
      <w:sz w:val="22"/>
      <w:szCs w:val="22"/>
      <w:u w:val="none"/>
    </w:rPr>
  </w:style>
  <w:style w:type="character" w:customStyle="1" w:styleId="15">
    <w:name w:val="font21"/>
    <w:uiPriority w:val="0"/>
    <w:rPr>
      <w:rFonts w:hint="eastAsia" w:ascii="宋体" w:hAnsi="宋体" w:eastAsia="宋体" w:cs="宋体"/>
      <w:color w:val="000000"/>
      <w:sz w:val="22"/>
      <w:szCs w:val="22"/>
      <w:u w:val="none"/>
    </w:rPr>
  </w:style>
  <w:style w:type="character" w:customStyle="1" w:styleId="16">
    <w:name w:val="font51"/>
    <w:qFormat/>
    <w:uiPriority w:val="0"/>
    <w:rPr>
      <w:rFonts w:hint="eastAsia" w:ascii="宋体" w:hAnsi="宋体" w:eastAsia="宋体" w:cs="宋体"/>
      <w:color w:val="000000"/>
      <w:sz w:val="24"/>
      <w:szCs w:val="24"/>
      <w:u w:val="none"/>
    </w:rPr>
  </w:style>
  <w:style w:type="character" w:customStyle="1" w:styleId="17">
    <w:name w:val="font11"/>
    <w:uiPriority w:val="0"/>
    <w:rPr>
      <w:rFonts w:hint="eastAsia" w:ascii="宋体" w:hAnsi="宋体" w:eastAsia="宋体" w:cs="宋体"/>
      <w:color w:val="000000"/>
      <w:sz w:val="20"/>
      <w:szCs w:val="20"/>
      <w:u w:val="none"/>
    </w:rPr>
  </w:style>
  <w:style w:type="character" w:customStyle="1" w:styleId="18">
    <w:name w:val="font41"/>
    <w:uiPriority w:val="0"/>
    <w:rPr>
      <w:rFonts w:hint="eastAsia" w:ascii="宋体" w:hAnsi="宋体" w:eastAsia="宋体" w:cs="宋体"/>
      <w:color w:val="000000"/>
      <w:sz w:val="24"/>
      <w:szCs w:val="24"/>
      <w:u w:val="none"/>
    </w:rPr>
  </w:style>
  <w:style w:type="character" w:customStyle="1" w:styleId="19">
    <w:name w:val="font61"/>
    <w:basedOn w:val="8"/>
    <w:uiPriority w:val="0"/>
    <w:rPr>
      <w:rFonts w:hint="eastAsia" w:ascii="宋体" w:hAnsi="宋体" w:eastAsia="宋体" w:cs="宋体"/>
      <w:b/>
      <w:bCs/>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28</Pages>
  <Words>1359</Words>
  <Characters>7749</Characters>
  <Lines>64</Lines>
  <Paragraphs>18</Paragraphs>
  <TotalTime>5</TotalTime>
  <ScaleCrop>false</ScaleCrop>
  <LinksUpToDate>false</LinksUpToDate>
  <CharactersWithSpaces>9090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荣茫茫</cp:lastModifiedBy>
  <cp:lastPrinted>2023-07-28T02:40:00Z</cp:lastPrinted>
  <dcterms:modified xsi:type="dcterms:W3CDTF">2023-10-31T08:32:09Z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84445709A9E944BE9D542164FA25BCB4_13</vt:lpwstr>
  </property>
</Properties>
</file>