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700" w:lineRule="exact"/>
        <w:jc w:val="both"/>
        <w:rPr>
          <w:sz w:val="28"/>
          <w:szCs w:val="28"/>
        </w:rPr>
      </w:pPr>
      <w:r>
        <w:rPr>
          <w:sz w:val="28"/>
          <w:szCs w:val="28"/>
        </w:rPr>
        <w:t>拟审批的建设项目</w:t>
      </w:r>
      <w:r>
        <w:rPr>
          <w:rFonts w:hint="eastAsia"/>
          <w:sz w:val="28"/>
          <w:szCs w:val="28"/>
          <w:lang w:val="en-US" w:eastAsia="zh-CN"/>
        </w:rPr>
        <w:t>采取的污染防治措施（</w:t>
      </w:r>
      <w:r>
        <w:rPr>
          <w:sz w:val="28"/>
          <w:szCs w:val="28"/>
        </w:rPr>
        <w:t>环境影响报告表</w:t>
      </w:r>
      <w:r>
        <w:rPr>
          <w:rFonts w:hint="eastAsia"/>
          <w:sz w:val="28"/>
          <w:szCs w:val="28"/>
          <w:lang w:val="en-US" w:eastAsia="zh-CN"/>
        </w:rPr>
        <w:t>内容）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57" w:type="dxa"/>
          <w:left w:w="28" w:type="dxa"/>
          <w:bottom w:w="57" w:type="dxa"/>
          <w:right w:w="28" w:type="dxa"/>
        </w:tblCellMar>
      </w:tblPr>
      <w:tblGrid>
        <w:gridCol w:w="454"/>
        <w:gridCol w:w="567"/>
        <w:gridCol w:w="567"/>
        <w:gridCol w:w="567"/>
        <w:gridCol w:w="850"/>
        <w:gridCol w:w="1276"/>
        <w:gridCol w:w="95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28" w:type="dxa"/>
            <w:bottom w:w="57" w:type="dxa"/>
            <w:right w:w="28" w:type="dxa"/>
          </w:tblCellMar>
        </w:tblPrEx>
        <w:tc>
          <w:tcPr>
            <w:tcW w:w="454" w:type="dxa"/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sz w:val="24"/>
              </w:rPr>
            </w:pPr>
            <w:r>
              <w:rPr>
                <w:rFonts w:hint="eastAsia" w:ascii="黑体" w:hAnsi="黑体" w:eastAsia="黑体"/>
                <w:b/>
                <w:sz w:val="24"/>
              </w:rPr>
              <w:t>序号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 w:ascii="黑体" w:hAnsi="黑体" w:eastAsia="黑体"/>
                <w:b/>
                <w:sz w:val="24"/>
              </w:rPr>
              <w:t>项目名称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sz w:val="24"/>
              </w:rPr>
            </w:pPr>
            <w:r>
              <w:rPr>
                <w:rFonts w:hint="eastAsia" w:ascii="黑体" w:hAnsi="黑体" w:eastAsia="黑体"/>
                <w:b/>
                <w:sz w:val="24"/>
              </w:rPr>
              <w:t>建设地点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sz w:val="24"/>
              </w:rPr>
            </w:pPr>
            <w:r>
              <w:rPr>
                <w:rFonts w:hint="eastAsia" w:ascii="黑体" w:hAnsi="黑体" w:eastAsia="黑体"/>
                <w:b/>
                <w:sz w:val="24"/>
              </w:rPr>
              <w:t>建设单位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sz w:val="24"/>
              </w:rPr>
            </w:pPr>
            <w:r>
              <w:rPr>
                <w:rFonts w:hint="eastAsia" w:ascii="黑体" w:hAnsi="黑体" w:eastAsia="黑体"/>
                <w:b/>
                <w:sz w:val="24"/>
              </w:rPr>
              <w:t>环境影响评价机构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sz w:val="24"/>
              </w:rPr>
            </w:pPr>
            <w:r>
              <w:rPr>
                <w:rFonts w:hint="eastAsia" w:ascii="黑体" w:hAnsi="黑体" w:eastAsia="黑体"/>
                <w:b/>
                <w:sz w:val="24"/>
              </w:rPr>
              <w:t>建设项目概况</w:t>
            </w:r>
          </w:p>
        </w:tc>
        <w:tc>
          <w:tcPr>
            <w:tcW w:w="9550" w:type="dxa"/>
            <w:vAlign w:val="center"/>
          </w:tcPr>
          <w:p>
            <w:pPr>
              <w:jc w:val="center"/>
              <w:rPr>
                <w:rFonts w:ascii="黑体" w:hAnsi="黑体" w:eastAsia="黑体"/>
                <w:b/>
                <w:sz w:val="24"/>
              </w:rPr>
            </w:pPr>
            <w:r>
              <w:rPr>
                <w:rFonts w:hint="eastAsia" w:ascii="黑体" w:hAnsi="黑体" w:eastAsia="黑体"/>
                <w:b/>
                <w:sz w:val="24"/>
              </w:rPr>
              <w:t>主要环境影响及预防或减轻不良环境影响的对策和措施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28" w:type="dxa"/>
            <w:bottom w:w="57" w:type="dxa"/>
            <w:right w:w="28" w:type="dxa"/>
          </w:tblCellMar>
        </w:tblPrEx>
        <w:tc>
          <w:tcPr>
            <w:tcW w:w="454" w:type="dxa"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</w:p>
        </w:tc>
        <w:tc>
          <w:tcPr>
            <w:tcW w:w="567" w:type="dxa"/>
            <w:vAlign w:val="center"/>
          </w:tcPr>
          <w:p>
            <w:pPr>
              <w:rPr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民权县鸿宝建材有限公司沥青混凝土、水泥混凝土及水泥稳定土生产项目</w:t>
            </w:r>
          </w:p>
        </w:tc>
        <w:tc>
          <w:tcPr>
            <w:tcW w:w="567" w:type="dxa"/>
            <w:vAlign w:val="center"/>
          </w:tcPr>
          <w:p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河南省商丘市民权县白云寺镇产业园</w:t>
            </w:r>
          </w:p>
        </w:tc>
        <w:tc>
          <w:tcPr>
            <w:tcW w:w="567" w:type="dxa"/>
            <w:vAlign w:val="center"/>
          </w:tcPr>
          <w:p>
            <w:pPr>
              <w:rPr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民权县鸿宝建材有限公司</w:t>
            </w:r>
          </w:p>
        </w:tc>
        <w:tc>
          <w:tcPr>
            <w:tcW w:w="850" w:type="dxa"/>
            <w:vAlign w:val="center"/>
          </w:tcPr>
          <w:p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河南省昊德环保科技有限公司</w:t>
            </w:r>
          </w:p>
        </w:tc>
        <w:tc>
          <w:tcPr>
            <w:tcW w:w="1276" w:type="dxa"/>
            <w:vAlign w:val="center"/>
          </w:tcPr>
          <w:p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本项目为扩建，利用现有厂区建设生产，总投资500万元。主要生产工艺为</w:t>
            </w:r>
            <w:r>
              <w:rPr>
                <w:rFonts w:hint="eastAsia"/>
                <w:bCs/>
                <w:color w:val="000000"/>
                <w:sz w:val="21"/>
                <w:szCs w:val="21"/>
              </w:rPr>
              <w:t>沥青生产线:外购原材料（沥青、石子等）上料-加热-筛分-计量-搅拌-成品；水泥混凝土生产线:外购原材料（石子、水泥等）-上料-搅拌-成品；水泥稳定土生产线:外购原材料（水泥，石子）-上料-搅拌-成品</w:t>
            </w:r>
            <w:r>
              <w:rPr>
                <w:rFonts w:hint="eastAsia"/>
                <w:bCs/>
                <w:sz w:val="21"/>
                <w:szCs w:val="21"/>
              </w:rPr>
              <w:t>。主要设备为</w:t>
            </w:r>
            <w:r>
              <w:rPr>
                <w:rFonts w:hint="eastAsia"/>
                <w:bCs/>
                <w:color w:val="000000"/>
                <w:sz w:val="21"/>
                <w:szCs w:val="21"/>
              </w:rPr>
              <w:t>皮带输送机、烘干滚筒、天然气燃烧器、沥青搅拌机、沥青罐、配料机、水泥混凝土搅拌机、水泥稳定土搅拌机等。</w:t>
            </w:r>
          </w:p>
        </w:tc>
        <w:tc>
          <w:tcPr>
            <w:tcW w:w="9550" w:type="dxa"/>
            <w:vAlign w:val="center"/>
          </w:tcPr>
          <w:p>
            <w:pPr>
              <w:rPr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项目施工期对周围环境影响较小，且施工周期较短，随着施工期的结束，施工影响也随之消失，因此不再进行施工期影响分析。</w:t>
            </w:r>
          </w:p>
          <w:p>
            <w:pPr>
              <w:rPr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1、废水。</w:t>
            </w:r>
            <w:r>
              <w:rPr>
                <w:rFonts w:hint="eastAsia"/>
                <w:sz w:val="21"/>
                <w:szCs w:val="21"/>
              </w:rPr>
              <w:t>搅拌机及罐车清洗废水</w:t>
            </w:r>
            <w:r>
              <w:rPr>
                <w:rFonts w:hint="eastAsia"/>
                <w:bCs/>
                <w:sz w:val="21"/>
                <w:szCs w:val="21"/>
              </w:rPr>
              <w:t>经</w:t>
            </w:r>
            <w:r>
              <w:rPr>
                <w:rFonts w:hint="eastAsia"/>
                <w:sz w:val="21"/>
                <w:szCs w:val="21"/>
              </w:rPr>
              <w:t>砂石分离机</w:t>
            </w:r>
            <w:r>
              <w:rPr>
                <w:sz w:val="21"/>
                <w:szCs w:val="21"/>
              </w:rPr>
              <w:t>+</w:t>
            </w:r>
            <w:r>
              <w:rPr>
                <w:rFonts w:hint="eastAsia"/>
                <w:sz w:val="21"/>
                <w:szCs w:val="21"/>
              </w:rPr>
              <w:t>8m</w:t>
            </w:r>
            <w:r>
              <w:rPr>
                <w:rFonts w:hint="eastAsia"/>
                <w:sz w:val="21"/>
                <w:szCs w:val="21"/>
                <w:vertAlign w:val="superscript"/>
              </w:rPr>
              <w:t>3</w:t>
            </w:r>
            <w:r>
              <w:rPr>
                <w:rFonts w:hint="eastAsia"/>
                <w:sz w:val="21"/>
                <w:szCs w:val="21"/>
              </w:rPr>
              <w:t>沉淀池</w:t>
            </w:r>
            <w:r>
              <w:rPr>
                <w:rFonts w:hint="eastAsia"/>
                <w:bCs/>
                <w:sz w:val="21"/>
                <w:szCs w:val="21"/>
              </w:rPr>
              <w:t>处理后循环利用；车辆冲洗废水经车辆冲洗沉淀池处理后循环利用；职工生活废水经隔油池、化粪池处理后由周边村民外运肥田。</w:t>
            </w:r>
          </w:p>
          <w:p>
            <w:pPr>
              <w:rPr>
                <w:b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2、废气。</w:t>
            </w:r>
          </w:p>
          <w:p>
            <w:pPr>
              <w:rPr>
                <w:rFonts w:eastAsiaTheme="minorEastAsia"/>
                <w:b/>
                <w:sz w:val="21"/>
                <w:szCs w:val="21"/>
              </w:rPr>
            </w:pPr>
            <w:r>
              <w:rPr>
                <w:rFonts w:hAnsiTheme="minorEastAsia" w:eastAsiaTheme="minorEastAsia"/>
                <w:bCs/>
                <w:sz w:val="21"/>
                <w:szCs w:val="21"/>
              </w:rPr>
              <w:t>商品混凝土废气排气筒：</w:t>
            </w:r>
            <w:r>
              <w:rPr>
                <w:rFonts w:hAnsiTheme="minorEastAsia" w:eastAsiaTheme="minorEastAsia"/>
                <w:sz w:val="21"/>
                <w:szCs w:val="21"/>
              </w:rPr>
              <w:t>配料机料仓上方半封闭，设置集气装置收集粉尘经</w:t>
            </w:r>
            <w:r>
              <w:rPr>
                <w:rFonts w:eastAsiaTheme="minorEastAsia"/>
                <w:sz w:val="21"/>
                <w:szCs w:val="21"/>
              </w:rPr>
              <w:t>1</w:t>
            </w:r>
            <w:r>
              <w:rPr>
                <w:rFonts w:hAnsiTheme="minorEastAsia" w:eastAsiaTheme="minorEastAsia"/>
                <w:sz w:val="21"/>
                <w:szCs w:val="21"/>
              </w:rPr>
              <w:t>套覆膜袋式除尘器处理；粉料入仓粉尘经各仓顶除尘器处理后经</w:t>
            </w:r>
            <w:r>
              <w:rPr>
                <w:rFonts w:eastAsiaTheme="minorEastAsia"/>
                <w:sz w:val="21"/>
                <w:szCs w:val="21"/>
              </w:rPr>
              <w:t>1</w:t>
            </w:r>
            <w:r>
              <w:rPr>
                <w:rFonts w:hAnsiTheme="minorEastAsia" w:eastAsiaTheme="minorEastAsia"/>
                <w:sz w:val="21"/>
                <w:szCs w:val="21"/>
              </w:rPr>
              <w:t>套覆膜袋式除尘器处理；搅拌粉尘经覆膜袋式除尘器处理后与粉料入仓粉尘经同</w:t>
            </w:r>
            <w:r>
              <w:rPr>
                <w:rFonts w:eastAsiaTheme="minorEastAsia"/>
                <w:sz w:val="21"/>
                <w:szCs w:val="21"/>
              </w:rPr>
              <w:t>1</w:t>
            </w:r>
            <w:r>
              <w:rPr>
                <w:rFonts w:hAnsiTheme="minorEastAsia" w:eastAsiaTheme="minorEastAsia"/>
                <w:sz w:val="21"/>
                <w:szCs w:val="21"/>
              </w:rPr>
              <w:t>根</w:t>
            </w:r>
            <w:r>
              <w:rPr>
                <w:rFonts w:eastAsiaTheme="minorEastAsia"/>
                <w:sz w:val="21"/>
                <w:szCs w:val="21"/>
              </w:rPr>
              <w:t>24m</w:t>
            </w:r>
            <w:r>
              <w:rPr>
                <w:rFonts w:hAnsiTheme="minorEastAsia" w:eastAsiaTheme="minorEastAsia"/>
                <w:sz w:val="21"/>
                <w:szCs w:val="21"/>
              </w:rPr>
              <w:t>高排气筒排放，</w:t>
            </w:r>
            <w:r>
              <w:rPr>
                <w:bCs/>
                <w:sz w:val="21"/>
                <w:szCs w:val="21"/>
              </w:rPr>
              <w:t>处理后废气能够满足《水泥工业大气污染物排放标准》（DB41/1953-2020）限值要求</w:t>
            </w:r>
            <w:r>
              <w:rPr>
                <w:rFonts w:hAnsiTheme="minorEastAsia" w:eastAsiaTheme="minorEastAsia"/>
                <w:bCs/>
                <w:sz w:val="21"/>
                <w:szCs w:val="21"/>
              </w:rPr>
              <w:t>；</w:t>
            </w:r>
          </w:p>
          <w:p>
            <w:pPr>
              <w:rPr>
                <w:b/>
                <w:sz w:val="21"/>
                <w:szCs w:val="21"/>
              </w:rPr>
            </w:pPr>
            <w:r>
              <w:rPr>
                <w:sz w:val="21"/>
                <w:szCs w:val="21"/>
              </w:rPr>
              <w:t>水泥稳定土废气排气筒</w:t>
            </w:r>
            <w:r>
              <w:rPr>
                <w:b/>
                <w:sz w:val="21"/>
                <w:szCs w:val="21"/>
              </w:rPr>
              <w:t>：</w:t>
            </w:r>
            <w:r>
              <w:rPr>
                <w:sz w:val="21"/>
                <w:szCs w:val="21"/>
              </w:rPr>
              <w:t>配料机料仓上方半封闭，设置集气装置收集粉尘经1套覆膜袋式除尘器处理；粉料入仓粉尘经各仓顶除尘器处理后经1套覆膜袋式除尘器处理；搅拌粉尘经覆膜袋式除尘器处理后与粉料入仓粉尘经同1根24m高排气筒排放，</w:t>
            </w:r>
            <w:r>
              <w:rPr>
                <w:bCs/>
                <w:sz w:val="21"/>
                <w:szCs w:val="21"/>
              </w:rPr>
              <w:t>处理后废气能够满足《水泥工业大气污染物排放标准》（DB41/1953-2020）限值要求</w:t>
            </w:r>
            <w:r>
              <w:rPr>
                <w:sz w:val="21"/>
                <w:szCs w:val="21"/>
              </w:rPr>
              <w:t>；</w:t>
            </w:r>
          </w:p>
          <w:p>
            <w:pPr>
              <w:rPr>
                <w:b/>
                <w:sz w:val="21"/>
                <w:szCs w:val="21"/>
              </w:rPr>
            </w:pPr>
            <w:r>
              <w:rPr>
                <w:sz w:val="21"/>
                <w:szCs w:val="21"/>
              </w:rPr>
              <w:t>沥青混凝土配料机投料、粉料入仓、骨料烘干及筛分排气筒</w:t>
            </w:r>
            <w:r>
              <w:rPr>
                <w:b/>
                <w:sz w:val="21"/>
                <w:szCs w:val="21"/>
              </w:rPr>
              <w:t>：</w:t>
            </w:r>
            <w:r>
              <w:rPr>
                <w:sz w:val="21"/>
                <w:szCs w:val="21"/>
              </w:rPr>
              <w:t>配料机料仓上方半封闭，设置集气装置收集粉尘经1套覆膜袋式除尘器处理；粉料入仓粉尘经各仓顶除尘器处理，烘干系统设置超低氮燃烧器，骨料烘干、筛分废气与处理后的粉料入仓粉尘经1套脉冲除尘+覆膜袋式除尘器处理后通过1根24m高排气筒排放，</w:t>
            </w:r>
            <w:r>
              <w:rPr>
                <w:bCs/>
                <w:sz w:val="21"/>
                <w:szCs w:val="21"/>
              </w:rPr>
              <w:t>处理后废气能够满足</w:t>
            </w:r>
            <w:r>
              <w:rPr>
                <w:sz w:val="21"/>
                <w:szCs w:val="21"/>
              </w:rPr>
              <w:t>《工业炉窑大气污染物排放标准》（DB41/1066-2020）</w:t>
            </w:r>
            <w:r>
              <w:rPr>
                <w:bCs/>
                <w:sz w:val="21"/>
                <w:szCs w:val="21"/>
              </w:rPr>
              <w:t>限值要求</w:t>
            </w:r>
            <w:r>
              <w:rPr>
                <w:sz w:val="21"/>
                <w:szCs w:val="21"/>
              </w:rPr>
              <w:t>；</w:t>
            </w:r>
          </w:p>
          <w:p>
            <w:pPr>
              <w:rPr>
                <w:bCs/>
                <w:spacing w:val="-4"/>
                <w:kern w:val="0"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导热油炉天然气燃烧</w:t>
            </w:r>
            <w:r>
              <w:rPr>
                <w:sz w:val="21"/>
                <w:szCs w:val="21"/>
              </w:rPr>
              <w:t>排气筒：</w:t>
            </w:r>
            <w:r>
              <w:rPr>
                <w:bCs/>
                <w:spacing w:val="-4"/>
                <w:kern w:val="0"/>
                <w:sz w:val="21"/>
                <w:szCs w:val="21"/>
              </w:rPr>
              <w:t>导热油炉采用低氮燃烧技术，烟气经8m高排气筒排放</w:t>
            </w:r>
            <w:r>
              <w:rPr>
                <w:sz w:val="21"/>
                <w:szCs w:val="21"/>
              </w:rPr>
              <w:t>，</w:t>
            </w:r>
            <w:r>
              <w:rPr>
                <w:bCs/>
                <w:sz w:val="21"/>
                <w:szCs w:val="21"/>
              </w:rPr>
              <w:t>处理后废气能够满足</w:t>
            </w:r>
            <w:r>
              <w:rPr>
                <w:sz w:val="21"/>
                <w:szCs w:val="21"/>
              </w:rPr>
              <w:t>《锅炉大气污染物排放标准》（DB41/2089-2021）</w:t>
            </w:r>
            <w:r>
              <w:rPr>
                <w:bCs/>
                <w:sz w:val="21"/>
                <w:szCs w:val="21"/>
              </w:rPr>
              <w:t>限值要求</w:t>
            </w:r>
            <w:r>
              <w:rPr>
                <w:bCs/>
                <w:spacing w:val="-4"/>
                <w:kern w:val="0"/>
                <w:sz w:val="21"/>
                <w:szCs w:val="21"/>
              </w:rPr>
              <w:t>；</w:t>
            </w:r>
          </w:p>
          <w:p>
            <w:pPr>
              <w:rPr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沥青储罐呼吸和搅拌楼下料口排气筒：</w:t>
            </w:r>
            <w:r>
              <w:rPr>
                <w:bCs/>
                <w:kern w:val="0"/>
                <w:sz w:val="21"/>
                <w:szCs w:val="21"/>
              </w:rPr>
              <w:t>冷凝+电捕焦油+活性炭吸附装置处理后经24m高排气筒排放，</w:t>
            </w:r>
            <w:r>
              <w:rPr>
                <w:bCs/>
                <w:sz w:val="21"/>
                <w:szCs w:val="21"/>
              </w:rPr>
              <w:t>处理后</w:t>
            </w:r>
            <w:r>
              <w:rPr>
                <w:sz w:val="21"/>
                <w:szCs w:val="21"/>
              </w:rPr>
              <w:t>沥青烟能够满足《工业炉窑大气污染物排放标准》（DB41/1066-2020）；</w:t>
            </w:r>
            <w:r>
              <w:rPr>
                <w:bCs/>
                <w:sz w:val="21"/>
                <w:szCs w:val="21"/>
              </w:rPr>
              <w:t>处理后</w:t>
            </w:r>
            <w:r>
              <w:rPr>
                <w:sz w:val="21"/>
                <w:szCs w:val="21"/>
              </w:rPr>
              <w:t>苯并[a]芘能够满足《大气污染物综合排放标准》（GB16297-1996）；</w:t>
            </w:r>
          </w:p>
          <w:p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沥青搅拌楼沥青烟、苯并[a]芘，通过沥青搅拌楼二次封闭并将粉料储罐封闭在内，卸沥青槽密闭，提高集气效率；</w:t>
            </w:r>
          </w:p>
          <w:p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骨料装卸、无组织排放配料机配料废气，建设密闭车间，并在车间上方安装固定的干雾喷淋抑尘装置；</w:t>
            </w:r>
          </w:p>
          <w:p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厂区皮带输送机均设置在密闭廊道内；</w:t>
            </w:r>
          </w:p>
          <w:p>
            <w:pPr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车辆运输产生的扬尘：及时对厂区地面进行清扫、洒水降尘；原料运输车辆要封闭遮盖，成品采用密闭罐车运输；在厂区出入口使用车辆冲洗设施对出入厂车辆进行清洗。</w:t>
            </w:r>
          </w:p>
          <w:p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食堂油烟：</w:t>
            </w:r>
            <w:r>
              <w:rPr>
                <w:rFonts w:hint="eastAsia"/>
                <w:bCs/>
                <w:sz w:val="21"/>
                <w:szCs w:val="21"/>
              </w:rPr>
              <w:t>集气罩</w:t>
            </w:r>
            <w:r>
              <w:rPr>
                <w:bCs/>
                <w:sz w:val="21"/>
                <w:szCs w:val="21"/>
              </w:rPr>
              <w:t>+</w:t>
            </w:r>
            <w:r>
              <w:rPr>
                <w:rFonts w:hint="eastAsia"/>
                <w:bCs/>
                <w:sz w:val="21"/>
                <w:szCs w:val="21"/>
                <w:lang w:val="en-GB"/>
              </w:rPr>
              <w:t>油烟净化器</w:t>
            </w:r>
            <w:r>
              <w:rPr>
                <w:bCs/>
                <w:sz w:val="21"/>
                <w:szCs w:val="21"/>
                <w:lang w:val="en-GB"/>
              </w:rPr>
              <w:t>+</w:t>
            </w:r>
            <w:r>
              <w:rPr>
                <w:rFonts w:hint="eastAsia"/>
                <w:bCs/>
                <w:sz w:val="21"/>
                <w:szCs w:val="21"/>
                <w:lang w:val="en-GB"/>
              </w:rPr>
              <w:t>专用烟道。</w:t>
            </w:r>
          </w:p>
          <w:p>
            <w:pPr>
              <w:rPr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3、噪声。本项目噪声主要来源于</w:t>
            </w:r>
            <w:r>
              <w:rPr>
                <w:rFonts w:hint="eastAsia"/>
                <w:kern w:val="0"/>
                <w:sz w:val="21"/>
                <w:szCs w:val="21"/>
              </w:rPr>
              <w:t>立磨机、空压机等生产设备</w:t>
            </w:r>
            <w:r>
              <w:rPr>
                <w:rFonts w:hint="eastAsia"/>
                <w:bCs/>
                <w:sz w:val="21"/>
                <w:szCs w:val="21"/>
              </w:rPr>
              <w:t>运行过程所产生的机械噪声，其声级值为80~95dB(A)，经采取基础减振、厂房隔声等降噪措施，项目四厂界噪声预测值均能满足《工业企业厂界环境噪声排放标准》（GB12348-2008）2类标准要求。</w:t>
            </w:r>
          </w:p>
          <w:p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4</w:t>
            </w:r>
            <w:r>
              <w:rPr>
                <w:rFonts w:hint="eastAsia"/>
                <w:bCs/>
                <w:sz w:val="21"/>
                <w:szCs w:val="21"/>
              </w:rPr>
              <w:t>、固废。项目沉淀池沉渣直接收集后回用于生产；除尘器收集粉尘经收集后回用于生产；沥青焦油、废活性炭暂存于危废暂存间后定期委托有资质单位处理；生活垃圾在厂内垃圾箱暂存后定期交由环卫部门统一处理。</w:t>
            </w:r>
          </w:p>
        </w:tc>
      </w:tr>
    </w:tbl>
    <w:p/>
    <w:p>
      <w:bookmarkStart w:id="0" w:name="_GoBack"/>
      <w:bookmarkEnd w:id="0"/>
    </w:p>
    <w:sectPr>
      <w:pgSz w:w="16838" w:h="11906" w:orient="landscape"/>
      <w:pgMar w:top="1474" w:right="1588" w:bottom="1474" w:left="136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gwZGFiOGM0YjU3MzU1MTk0OGMyMTliMTBjZDk4Y2IifQ=="/>
  </w:docVars>
  <w:rsids>
    <w:rsidRoot w:val="1BD712FB"/>
    <w:rsid w:val="1BD71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tabs>
        <w:tab w:val="left" w:pos="1230"/>
      </w:tabs>
      <w:spacing w:before="240" w:after="120"/>
      <w:ind w:left="1230" w:hanging="1230"/>
      <w:jc w:val="center"/>
      <w:outlineLvl w:val="0"/>
    </w:pPr>
    <w:rPr>
      <w:rFonts w:eastAsia="黑体"/>
      <w:b/>
      <w:bCs/>
      <w:kern w:val="44"/>
      <w:sz w:val="42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2024-03-18T09:08:00Z</dcterms:created>
  <dc:creator>WPS_1641212624</dc:creator>
  <cp:lastModifiedBy>WPS_1641212624</cp:lastModifiedBy>
  <dcterms:modified xsi:type="dcterms:W3CDTF">2024-03-18T09:08:13Z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9236E226AA064DFDB2540F564A229370_11</vt:lpwstr>
  </property>
</Properties>
</file>