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val="0"/>
          <w:bCs/>
          <w:color w:val="auto"/>
          <w:sz w:val="24"/>
          <w:szCs w:val="24"/>
          <w:lang w:val="en-US" w:eastAsia="zh-CN"/>
        </w:rPr>
      </w:pPr>
      <w:r>
        <w:rPr>
          <w:rFonts w:hint="eastAsia" w:ascii="宋体" w:hAnsi="宋体" w:eastAsia="宋体" w:cs="宋体"/>
          <w:b w:val="0"/>
          <w:bCs/>
          <w:sz w:val="24"/>
          <w:szCs w:val="24"/>
          <w:lang w:val="en-US" w:eastAsia="zh-CN"/>
        </w:rPr>
        <w:t xml:space="preserve">审批意见                                     </w:t>
      </w:r>
      <w:r>
        <w:rPr>
          <w:rFonts w:hint="eastAsia" w:ascii="宋体" w:hAnsi="宋体" w:eastAsia="宋体" w:cs="宋体"/>
          <w:b w:val="0"/>
          <w:bCs/>
          <w:color w:val="0000FF"/>
          <w:sz w:val="24"/>
          <w:szCs w:val="24"/>
          <w:lang w:val="en-US" w:eastAsia="zh-CN"/>
        </w:rPr>
        <w:t xml:space="preserve"> </w:t>
      </w:r>
      <w:r>
        <w:rPr>
          <w:rFonts w:hint="eastAsia" w:ascii="宋体" w:hAnsi="宋体" w:eastAsia="宋体" w:cs="宋体"/>
          <w:b w:val="0"/>
          <w:bCs/>
          <w:color w:val="auto"/>
          <w:sz w:val="24"/>
          <w:szCs w:val="24"/>
          <w:lang w:val="en-US" w:eastAsia="zh-CN"/>
        </w:rPr>
        <w:t xml:space="preserve"> 民环审[202</w:t>
      </w:r>
      <w:r>
        <w:rPr>
          <w:rFonts w:hint="eastAsia" w:ascii="宋体" w:hAnsi="宋体" w:cs="宋体"/>
          <w:b w:val="0"/>
          <w:bCs/>
          <w:color w:val="auto"/>
          <w:sz w:val="24"/>
          <w:szCs w:val="24"/>
          <w:lang w:val="en-US" w:eastAsia="zh-CN"/>
        </w:rPr>
        <w:t>3</w:t>
      </w:r>
      <w:r>
        <w:rPr>
          <w:rFonts w:hint="eastAsia" w:ascii="宋体" w:hAnsi="宋体" w:eastAsia="宋体" w:cs="宋体"/>
          <w:b w:val="0"/>
          <w:bCs/>
          <w:color w:val="auto"/>
          <w:sz w:val="24"/>
          <w:szCs w:val="24"/>
          <w:lang w:val="en-US" w:eastAsia="zh-CN"/>
        </w:rPr>
        <w:t>]第</w:t>
      </w:r>
      <w:r>
        <w:rPr>
          <w:rFonts w:hint="eastAsia" w:ascii="宋体" w:hAnsi="宋体" w:cs="宋体"/>
          <w:b w:val="0"/>
          <w:bCs/>
          <w:color w:val="auto"/>
          <w:sz w:val="24"/>
          <w:szCs w:val="24"/>
          <w:highlight w:val="none"/>
          <w:lang w:val="en-US" w:eastAsia="zh-CN"/>
        </w:rPr>
        <w:t>035</w:t>
      </w:r>
      <w:r>
        <w:rPr>
          <w:rFonts w:hint="eastAsia" w:ascii="宋体" w:hAnsi="宋体" w:eastAsia="宋体" w:cs="宋体"/>
          <w:b w:val="0"/>
          <w:bCs/>
          <w:color w:val="auto"/>
          <w:sz w:val="24"/>
          <w:szCs w:val="24"/>
          <w:lang w:val="en-US" w:eastAsia="zh-CN"/>
        </w:rPr>
        <w:t>号</w:t>
      </w:r>
    </w:p>
    <w:p>
      <w:pPr>
        <w:spacing w:line="360" w:lineRule="auto"/>
        <w:jc w:val="center"/>
        <w:rPr>
          <w:rFonts w:hint="eastAsia" w:eastAsia="黑体"/>
          <w:b/>
          <w:spacing w:val="-14"/>
          <w:sz w:val="32"/>
          <w:szCs w:val="32"/>
        </w:rPr>
      </w:pPr>
    </w:p>
    <w:p>
      <w:pPr>
        <w:spacing w:line="360" w:lineRule="auto"/>
        <w:jc w:val="center"/>
        <w:rPr>
          <w:rFonts w:hint="eastAsia" w:ascii="宋体" w:hAnsi="宋体" w:eastAsia="宋体" w:cs="宋体"/>
          <w:b/>
          <w:spacing w:val="-14"/>
          <w:sz w:val="32"/>
          <w:szCs w:val="32"/>
        </w:rPr>
      </w:pPr>
      <w:r>
        <w:rPr>
          <w:rFonts w:hint="eastAsia" w:ascii="宋体" w:hAnsi="宋体" w:eastAsia="宋体" w:cs="宋体"/>
          <w:b/>
          <w:spacing w:val="-14"/>
          <w:sz w:val="32"/>
          <w:szCs w:val="32"/>
        </w:rPr>
        <w:t>商丘市生态环境局民权分局</w:t>
      </w:r>
    </w:p>
    <w:p>
      <w:pPr>
        <w:spacing w:line="360" w:lineRule="auto"/>
        <w:jc w:val="center"/>
        <w:rPr>
          <w:rFonts w:hint="eastAsia" w:ascii="宋体" w:hAnsi="宋体" w:eastAsia="宋体" w:cs="宋体"/>
          <w:b/>
          <w:spacing w:val="-14"/>
          <w:sz w:val="32"/>
          <w:szCs w:val="32"/>
        </w:rPr>
      </w:pPr>
      <w:r>
        <w:rPr>
          <w:rFonts w:hint="eastAsia" w:ascii="宋体" w:hAnsi="宋体" w:eastAsia="宋体" w:cs="宋体"/>
          <w:b/>
          <w:spacing w:val="-14"/>
          <w:sz w:val="32"/>
          <w:szCs w:val="32"/>
        </w:rPr>
        <w:t>关于</w:t>
      </w:r>
      <w:r>
        <w:rPr>
          <w:rFonts w:hint="eastAsia" w:ascii="宋体" w:hAnsi="宋体" w:eastAsia="宋体" w:cs="宋体"/>
          <w:b/>
          <w:spacing w:val="-14"/>
          <w:sz w:val="32"/>
          <w:szCs w:val="32"/>
          <w:lang w:eastAsia="zh-CN"/>
        </w:rPr>
        <w:t>商丘豫华金属制品有限公司年产3万米锌钢护栏项目</w:t>
      </w:r>
      <w:r>
        <w:rPr>
          <w:rFonts w:hint="eastAsia" w:ascii="宋体" w:hAnsi="宋体" w:eastAsia="宋体" w:cs="宋体"/>
          <w:b/>
          <w:spacing w:val="-14"/>
          <w:sz w:val="32"/>
          <w:szCs w:val="32"/>
        </w:rPr>
        <w:t>环境影响</w:t>
      </w:r>
    </w:p>
    <w:p>
      <w:pPr>
        <w:spacing w:line="360" w:lineRule="auto"/>
        <w:jc w:val="center"/>
        <w:rPr>
          <w:rFonts w:hint="eastAsia" w:ascii="宋体" w:hAnsi="宋体" w:eastAsia="宋体" w:cs="宋体"/>
          <w:b/>
          <w:spacing w:val="-14"/>
          <w:sz w:val="32"/>
          <w:szCs w:val="32"/>
        </w:rPr>
      </w:pPr>
      <w:r>
        <w:rPr>
          <w:rFonts w:hint="eastAsia" w:ascii="宋体" w:hAnsi="宋体" w:eastAsia="宋体" w:cs="宋体"/>
          <w:b/>
          <w:spacing w:val="-14"/>
          <w:sz w:val="32"/>
          <w:szCs w:val="32"/>
        </w:rPr>
        <w:t>报告表的批复</w:t>
      </w:r>
    </w:p>
    <w:p>
      <w:pPr>
        <w:spacing w:line="360" w:lineRule="auto"/>
        <w:jc w:val="center"/>
        <w:rPr>
          <w:color w:val="auto"/>
          <w:sz w:val="28"/>
          <w:szCs w:val="28"/>
        </w:rPr>
      </w:pPr>
    </w:p>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商丘豫华金属制品有限公司：</w:t>
      </w: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你公司</w:t>
      </w:r>
      <w:r>
        <w:rPr>
          <w:rFonts w:hint="eastAsia" w:ascii="仿宋" w:hAnsi="仿宋" w:eastAsia="仿宋" w:cs="仿宋"/>
          <w:sz w:val="24"/>
          <w:szCs w:val="24"/>
          <w:lang w:val="en-US" w:eastAsia="zh-CN"/>
        </w:rPr>
        <w:t>（统一社会信用代码</w:t>
      </w:r>
      <w:r>
        <w:rPr>
          <w:rFonts w:hint="eastAsia" w:ascii="仿宋" w:hAnsi="仿宋" w:eastAsia="仿宋" w:cs="仿宋"/>
          <w:color w:val="auto"/>
          <w:sz w:val="24"/>
          <w:szCs w:val="24"/>
          <w:lang w:val="en-US" w:eastAsia="zh-CN"/>
        </w:rPr>
        <w:t>91411421MA9GPWLA73</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报送的由</w:t>
      </w:r>
      <w:r>
        <w:rPr>
          <w:rFonts w:hint="eastAsia" w:ascii="仿宋" w:hAnsi="仿宋" w:eastAsia="仿宋" w:cs="仿宋"/>
          <w:sz w:val="24"/>
          <w:szCs w:val="24"/>
          <w:lang w:val="en-US" w:eastAsia="zh-CN"/>
        </w:rPr>
        <w:t xml:space="preserve">河南省昊德环保科技有限公司编制完成的《商丘豫华金属制品有限公司年产3万米锌钢护栏项目（报批版）》（以下简称“报告表”）已收悉。项目拟审批事项已在民权县政府网站公示期满，无异议。经研究，批复如下： </w:t>
      </w: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一、《</w:t>
      </w:r>
      <w:r>
        <w:rPr>
          <w:rFonts w:hint="eastAsia" w:ascii="仿宋" w:hAnsi="仿宋" w:eastAsia="仿宋" w:cs="仿宋"/>
          <w:sz w:val="24"/>
          <w:szCs w:val="24"/>
          <w:lang w:val="en-US" w:eastAsia="zh-CN"/>
        </w:rPr>
        <w:t>报告表</w:t>
      </w:r>
      <w:r>
        <w:rPr>
          <w:rFonts w:hint="default" w:ascii="仿宋" w:hAnsi="仿宋" w:eastAsia="仿宋" w:cs="仿宋"/>
          <w:sz w:val="24"/>
          <w:szCs w:val="24"/>
          <w:lang w:val="en-US" w:eastAsia="zh-CN"/>
        </w:rPr>
        <w:t>》内容符合国家有关法律法规要求和建设项目环境管理规定，评价结论可信，我局批准该《</w:t>
      </w:r>
      <w:r>
        <w:rPr>
          <w:rFonts w:hint="eastAsia" w:ascii="仿宋" w:hAnsi="仿宋" w:eastAsia="仿宋" w:cs="仿宋"/>
          <w:sz w:val="24"/>
          <w:szCs w:val="24"/>
          <w:lang w:val="en-US" w:eastAsia="zh-CN"/>
        </w:rPr>
        <w:t>报告表</w:t>
      </w:r>
      <w:r>
        <w:rPr>
          <w:rFonts w:hint="default" w:ascii="仿宋" w:hAnsi="仿宋" w:eastAsia="仿宋" w:cs="仿宋"/>
          <w:sz w:val="24"/>
          <w:szCs w:val="24"/>
          <w:lang w:val="en-US" w:eastAsia="zh-CN"/>
        </w:rPr>
        <w:t>》。原则同意你公司按照《</w:t>
      </w:r>
      <w:r>
        <w:rPr>
          <w:rFonts w:hint="eastAsia" w:ascii="仿宋" w:hAnsi="仿宋" w:eastAsia="仿宋" w:cs="仿宋"/>
          <w:sz w:val="24"/>
          <w:szCs w:val="24"/>
          <w:lang w:val="en-US" w:eastAsia="zh-CN"/>
        </w:rPr>
        <w:t>报告表</w:t>
      </w:r>
      <w:r>
        <w:rPr>
          <w:rFonts w:hint="default" w:ascii="仿宋" w:hAnsi="仿宋" w:eastAsia="仿宋" w:cs="仿宋"/>
          <w:sz w:val="24"/>
          <w:szCs w:val="24"/>
          <w:lang w:val="en-US" w:eastAsia="zh-CN"/>
        </w:rPr>
        <w:t>》所列项目的性质、规模、地点、采用的生产工艺和环境保护对策进行项目建设。</w:t>
      </w: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二、你公司应向社会主动公开经批准的《</w:t>
      </w:r>
      <w:r>
        <w:rPr>
          <w:rFonts w:hint="eastAsia" w:ascii="仿宋" w:hAnsi="仿宋" w:eastAsia="仿宋" w:cs="仿宋"/>
          <w:sz w:val="24"/>
          <w:szCs w:val="24"/>
          <w:lang w:val="en-US" w:eastAsia="zh-CN"/>
        </w:rPr>
        <w:t>报告表</w:t>
      </w:r>
      <w:r>
        <w:rPr>
          <w:rFonts w:hint="default" w:ascii="仿宋" w:hAnsi="仿宋" w:eastAsia="仿宋" w:cs="仿宋"/>
          <w:sz w:val="24"/>
          <w:szCs w:val="24"/>
          <w:lang w:val="en-US" w:eastAsia="zh-CN"/>
        </w:rPr>
        <w:t>》，并接受相关方的咨询。</w:t>
      </w: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三、你公司应全面落实《</w:t>
      </w:r>
      <w:r>
        <w:rPr>
          <w:rFonts w:hint="eastAsia" w:ascii="仿宋" w:hAnsi="仿宋" w:eastAsia="仿宋" w:cs="仿宋"/>
          <w:sz w:val="24"/>
          <w:szCs w:val="24"/>
          <w:lang w:val="en-US" w:eastAsia="zh-CN"/>
        </w:rPr>
        <w:t>报告表</w:t>
      </w:r>
      <w:r>
        <w:rPr>
          <w:rFonts w:hint="default" w:ascii="仿宋" w:hAnsi="仿宋" w:eastAsia="仿宋" w:cs="仿宋"/>
          <w:sz w:val="24"/>
          <w:szCs w:val="24"/>
          <w:lang w:val="en-US" w:eastAsia="zh-CN"/>
        </w:rPr>
        <w:t>》提出的各项目环境保护措施，确保各项环境保护设施与主体工程同时设计、同时施工、同时投入使用，确保各项污染物达标排放。</w:t>
      </w: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（一）向设计单位提供《</w:t>
      </w:r>
      <w:r>
        <w:rPr>
          <w:rFonts w:hint="eastAsia" w:ascii="仿宋" w:hAnsi="仿宋" w:eastAsia="仿宋" w:cs="仿宋"/>
          <w:sz w:val="24"/>
          <w:szCs w:val="24"/>
          <w:lang w:val="en-US" w:eastAsia="zh-CN"/>
        </w:rPr>
        <w:t>报告表</w:t>
      </w:r>
      <w:r>
        <w:rPr>
          <w:rFonts w:hint="default" w:ascii="仿宋" w:hAnsi="仿宋" w:eastAsia="仿宋" w:cs="仿宋"/>
          <w:sz w:val="24"/>
          <w:szCs w:val="24"/>
          <w:lang w:val="en-US" w:eastAsia="zh-CN"/>
        </w:rPr>
        <w:t>》和本批复文件，确保项目设计按照环境保护设计规范要求，落实防治环境污染和生态破坏的措施以及环保设施投资概算。</w:t>
      </w: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（二）依据《</w:t>
      </w:r>
      <w:r>
        <w:rPr>
          <w:rFonts w:hint="eastAsia" w:ascii="仿宋" w:hAnsi="仿宋" w:eastAsia="仿宋" w:cs="仿宋"/>
          <w:sz w:val="24"/>
          <w:szCs w:val="24"/>
          <w:lang w:val="en-US" w:eastAsia="zh-CN"/>
        </w:rPr>
        <w:t>报告表</w:t>
      </w:r>
      <w:r>
        <w:rPr>
          <w:rFonts w:hint="default" w:ascii="仿宋" w:hAnsi="仿宋" w:eastAsia="仿宋" w:cs="仿宋"/>
          <w:sz w:val="24"/>
          <w:szCs w:val="24"/>
          <w:lang w:val="en-US" w:eastAsia="zh-CN"/>
        </w:rPr>
        <w:t>》和本批复文件，对项目建设过程中产生的废水、废气、固体废物、噪声等污染，以及因施工对自然、生态环境造成的破坏，采取相应的防治措施。</w:t>
      </w: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（三）项目运行时，外排污染物应满足以下要求：</w:t>
      </w: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1、废水：（1）水切割用水循环使用；（2）生活废水经厂区化粪池暂存，满足污水综合排放标准》（GB8978-1996）及龙塘镇污水处理厂收水水质要求后，排入龙塘镇污水处理厂处理，废水不得随意外排。</w:t>
      </w: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2、废气：（1）粉尘：切割、焊接、打磨及喷塑粉尘废气集气罩收集，分别经袋式除尘器处理，满足《大气污染物综合排放标准》（GB16297-1996）表2二级标准限值要求要求后，通过15m高排气筒排放；（2）有机废气：固化废气集气罩收集，经UV光氧催化+低温等离子处理，满足《工业涂装工序挥发性有机物排放标准》（DB41/1951-2020）表1及《河 南省重污染天气通用行业应急减 排措施制定技术指南》（2021 年 修订版）表 </w:t>
      </w:r>
      <w:r>
        <w:rPr>
          <w:rFonts w:hint="default" w:ascii="仿宋" w:hAnsi="仿宋" w:eastAsia="仿宋" w:cs="仿宋"/>
          <w:sz w:val="24"/>
          <w:szCs w:val="24"/>
          <w:lang w:val="en-US" w:eastAsia="zh-CN"/>
        </w:rPr>
        <w:t xml:space="preserve">2-1 </w:t>
      </w:r>
      <w:r>
        <w:rPr>
          <w:rFonts w:hint="eastAsia" w:ascii="仿宋" w:hAnsi="仿宋" w:eastAsia="仿宋" w:cs="仿宋"/>
          <w:sz w:val="24"/>
          <w:szCs w:val="24"/>
          <w:lang w:val="en-US" w:eastAsia="zh-CN"/>
        </w:rPr>
        <w:t xml:space="preserve">涉炉窑企业 </w:t>
      </w:r>
      <w:r>
        <w:rPr>
          <w:rFonts w:hint="default" w:ascii="仿宋" w:hAnsi="仿宋" w:eastAsia="仿宋" w:cs="仿宋"/>
          <w:sz w:val="24"/>
          <w:szCs w:val="24"/>
          <w:lang w:val="en-US" w:eastAsia="zh-CN"/>
        </w:rPr>
        <w:t xml:space="preserve">A </w:t>
      </w:r>
      <w:r>
        <w:rPr>
          <w:rFonts w:hint="eastAsia" w:ascii="仿宋" w:hAnsi="仿宋" w:eastAsia="仿宋" w:cs="仿宋"/>
          <w:sz w:val="24"/>
          <w:szCs w:val="24"/>
          <w:lang w:val="en-US" w:eastAsia="zh-CN"/>
        </w:rPr>
        <w:t>级 企业要求后，通过通过15m高排气筒排放；（3）无组织排放满足《大气污染物综合排放标准》（GB16297-1996）及《工业涂装工序挥发性有机物排放标准》（DB41/1951-2020）限值要求。</w:t>
      </w: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3、噪声：选用低噪声设备，采取厂房阻隔、采取基础减振、局部隔声等降噪措施，厂界噪声满足《工业企业厂界环境噪声排放标准》（</w:t>
      </w:r>
      <w:r>
        <w:rPr>
          <w:rFonts w:hint="default" w:ascii="仿宋" w:hAnsi="仿宋" w:eastAsia="仿宋" w:cs="仿宋"/>
          <w:sz w:val="24"/>
          <w:szCs w:val="24"/>
          <w:lang w:val="en-US" w:eastAsia="zh-CN"/>
        </w:rPr>
        <w:t>GB12348-2008</w:t>
      </w:r>
      <w:r>
        <w:rPr>
          <w:rFonts w:hint="eastAsia" w:ascii="仿宋" w:hAnsi="仿宋" w:eastAsia="仿宋" w:cs="仿宋"/>
          <w:sz w:val="24"/>
          <w:szCs w:val="24"/>
          <w:lang w:val="en-US" w:eastAsia="zh-CN"/>
        </w:rPr>
        <w:t>）2类标准要求。</w:t>
      </w: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4、固废：（1）一般固废暂存，定期外售，满足防渗漏、防雨淋、防扬尘等环境保护要求；（2）生活垃圾收集交环卫部门处理，固废不得随意丢弃。</w:t>
      </w: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（四）本项目建设后，主要污染物排放量满足本项目主要污染物总量指标备案表控制指标要求。</w:t>
      </w: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（五）如果今后国家或者我省颁布污染物排放限值的新标准，届时你公司应按新的排放标准执行。</w:t>
      </w: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四、项目建成后，按相关规定及时进行项目竣工环境保护验收。项目建设及运行过程中，由民权县生态环境分局负责项目的日常环境管理工作。</w:t>
      </w: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五、本项目自批复起5年内逾期未开工建设，其环境影响报告表应报我局重新审核。项目的性质、规模、地点、采用的生产工艺或防治污染、防止生态破坏的措施发生重大变动的，应当重新报批项目的环境影响评价文件。按照《建设项目环境影响后评价管理办法（试行）》，项目正式投入生产或者运营后3年-5年内开展建设项目环境影响后评价工作。</w:t>
      </w: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六、对此批复若存有异议，可自该文下达之日起60日内向河南省环保厅、商丘市生态环境局或民权县人民政府申请复议，逾期复议无效。</w:t>
      </w: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eastAsia" w:ascii="仿宋" w:hAnsi="仿宋" w:eastAsia="仿宋" w:cs="仿宋"/>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eastAsia" w:ascii="仿宋" w:hAnsi="仿宋" w:eastAsia="仿宋" w:cs="仿宋"/>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420" w:lineRule="exact"/>
        <w:ind w:firstLine="6480" w:firstLineChars="27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盖章</w:t>
      </w:r>
    </w:p>
    <w:p>
      <w:pPr>
        <w:keepNext w:val="0"/>
        <w:keepLines w:val="0"/>
        <w:pageBreakBefore w:val="0"/>
        <w:widowControl w:val="0"/>
        <w:kinsoku/>
        <w:wordWrap/>
        <w:overflowPunct/>
        <w:topLinePunct w:val="0"/>
        <w:autoSpaceDE/>
        <w:autoSpaceDN/>
        <w:bidi w:val="0"/>
        <w:adjustRightInd w:val="0"/>
        <w:snapToGrid w:val="0"/>
        <w:spacing w:line="420" w:lineRule="exact"/>
        <w:ind w:firstLine="5760" w:firstLineChars="2400"/>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2023年12月15日</w:t>
      </w:r>
    </w:p>
    <w:p/>
    <w:p>
      <w:bookmarkStart w:id="0" w:name="_GoBack"/>
      <w:bookmarkEnd w:id="0"/>
    </w:p>
    <w:sectPr>
      <w:pgSz w:w="11906" w:h="16838"/>
      <w:pgMar w:top="1588" w:right="1474" w:bottom="1361"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wZGFiOGM0YjU3MzU1MTk0OGMyMTliMTBjZDk4Y2IifQ=="/>
  </w:docVars>
  <w:rsids>
    <w:rsidRoot w:val="54B70434"/>
    <w:rsid w:val="54B70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tabs>
        <w:tab w:val="left" w:pos="1230"/>
      </w:tabs>
      <w:spacing w:before="240" w:after="120"/>
      <w:ind w:left="1230" w:hanging="1230"/>
      <w:jc w:val="center"/>
      <w:outlineLvl w:val="0"/>
    </w:pPr>
    <w:rPr>
      <w:rFonts w:eastAsia="黑体"/>
      <w:b/>
      <w:bCs/>
      <w:kern w:val="44"/>
      <w:sz w:val="42"/>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2024-03-18T09:20:00Z</dcterms:created>
  <dc:creator>WPS_1641212624</dc:creator>
  <cp:lastModifiedBy>WPS_1641212624</cp:lastModifiedBy>
  <dcterms:modified xsi:type="dcterms:W3CDTF">2024-03-18T09:20:17Z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FA39328307BF4671BB3903AA22936888_11</vt:lpwstr>
  </property>
</Properties>
</file>