
<file path=[Content_Types].xml><?xml version="1.0" encoding="utf-8"?>
<Types xmlns="http://schemas.openxmlformats.org/package/2006/content-types">
  <Default Extension="xml" ContentType="application/xml"/>
  <Default Extension="wmf" ContentType="image/x-wmf"/>
  <Default Extension="bin" ContentType="application/vnd.openxmlformats-officedocument.oleObject"/>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662DFA">
      <w:pPr>
        <w:pStyle w:val="25"/>
        <w:jc w:val="center"/>
        <w:outlineLvl w:val="0"/>
        <w:rPr>
          <w:rFonts w:ascii="黑体" w:hAnsi="黑体" w:eastAsia="黑体"/>
          <w:snapToGrid w:val="0"/>
          <w:sz w:val="30"/>
          <w:szCs w:val="30"/>
        </w:rPr>
      </w:pPr>
      <w:r>
        <w:rPr>
          <w:rFonts w:hint="eastAsia" w:ascii="黑体" w:hAnsi="黑体" w:eastAsia="黑体"/>
          <w:snapToGrid w:val="0"/>
          <w:sz w:val="30"/>
          <w:szCs w:val="30"/>
        </w:rPr>
        <w:t>一、建设项目基本情况</w:t>
      </w:r>
    </w:p>
    <w:tbl>
      <w:tblPr>
        <w:tblStyle w:val="29"/>
        <w:tblW w:w="940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57" w:type="dxa"/>
          <w:bottom w:w="0" w:type="dxa"/>
          <w:right w:w="57" w:type="dxa"/>
        </w:tblCellMar>
      </w:tblPr>
      <w:tblGrid>
        <w:gridCol w:w="1132"/>
        <w:gridCol w:w="2961"/>
        <w:gridCol w:w="2142"/>
        <w:gridCol w:w="3169"/>
      </w:tblGrid>
      <w:tr w14:paraId="16E46C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497" w:hRule="atLeast"/>
          <w:jc w:val="center"/>
        </w:trPr>
        <w:tc>
          <w:tcPr>
            <w:tcW w:w="1132" w:type="dxa"/>
            <w:tcMar>
              <w:top w:w="16" w:type="dxa"/>
              <w:left w:w="16" w:type="dxa"/>
              <w:right w:w="16" w:type="dxa"/>
            </w:tcMar>
            <w:vAlign w:val="center"/>
          </w:tcPr>
          <w:p w14:paraId="6DA1FB41">
            <w:pPr>
              <w:adjustRightInd w:val="0"/>
              <w:snapToGrid w:val="0"/>
              <w:jc w:val="center"/>
              <w:rPr>
                <w:sz w:val="24"/>
              </w:rPr>
            </w:pPr>
            <w:r>
              <w:rPr>
                <w:sz w:val="24"/>
              </w:rPr>
              <w:t>建设项目名称</w:t>
            </w:r>
          </w:p>
        </w:tc>
        <w:tc>
          <w:tcPr>
            <w:tcW w:w="8272" w:type="dxa"/>
            <w:gridSpan w:val="3"/>
            <w:vAlign w:val="center"/>
          </w:tcPr>
          <w:p w14:paraId="0D4F2B3B">
            <w:pPr>
              <w:jc w:val="center"/>
              <w:rPr>
                <w:bCs/>
                <w:sz w:val="24"/>
              </w:rPr>
            </w:pPr>
            <w:bookmarkStart w:id="3" w:name="_GoBack"/>
            <w:r>
              <w:rPr>
                <w:rFonts w:hint="eastAsia"/>
                <w:bCs/>
                <w:sz w:val="24"/>
              </w:rPr>
              <w:t>民权县顺哲生物科技有限公司年产2.5万吨动物油脂项目</w:t>
            </w:r>
            <w:bookmarkEnd w:id="3"/>
          </w:p>
        </w:tc>
      </w:tr>
      <w:tr w14:paraId="24EBCE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497" w:hRule="atLeast"/>
          <w:jc w:val="center"/>
        </w:trPr>
        <w:tc>
          <w:tcPr>
            <w:tcW w:w="1132" w:type="dxa"/>
            <w:tcMar>
              <w:top w:w="16" w:type="dxa"/>
              <w:left w:w="16" w:type="dxa"/>
              <w:right w:w="16" w:type="dxa"/>
            </w:tcMar>
            <w:vAlign w:val="center"/>
          </w:tcPr>
          <w:p w14:paraId="302121A9">
            <w:pPr>
              <w:adjustRightInd w:val="0"/>
              <w:snapToGrid w:val="0"/>
              <w:jc w:val="center"/>
              <w:rPr>
                <w:sz w:val="24"/>
              </w:rPr>
            </w:pPr>
            <w:r>
              <w:rPr>
                <w:sz w:val="24"/>
              </w:rPr>
              <w:t>项目代码</w:t>
            </w:r>
          </w:p>
        </w:tc>
        <w:tc>
          <w:tcPr>
            <w:tcW w:w="8272" w:type="dxa"/>
            <w:gridSpan w:val="3"/>
            <w:vAlign w:val="center"/>
          </w:tcPr>
          <w:p w14:paraId="5DDD916D">
            <w:pPr>
              <w:jc w:val="center"/>
              <w:rPr>
                <w:sz w:val="24"/>
              </w:rPr>
            </w:pPr>
            <w:r>
              <w:rPr>
                <w:sz w:val="24"/>
              </w:rPr>
              <w:t>2408-411421-04-01-513947</w:t>
            </w:r>
          </w:p>
        </w:tc>
      </w:tr>
      <w:tr w14:paraId="61737A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497" w:hRule="atLeast"/>
          <w:jc w:val="center"/>
        </w:trPr>
        <w:tc>
          <w:tcPr>
            <w:tcW w:w="1132" w:type="dxa"/>
            <w:tcMar>
              <w:top w:w="16" w:type="dxa"/>
              <w:left w:w="16" w:type="dxa"/>
              <w:right w:w="16" w:type="dxa"/>
            </w:tcMar>
            <w:vAlign w:val="center"/>
          </w:tcPr>
          <w:p w14:paraId="56B6424E">
            <w:pPr>
              <w:adjustRightInd w:val="0"/>
              <w:snapToGrid w:val="0"/>
              <w:jc w:val="center"/>
              <w:rPr>
                <w:sz w:val="24"/>
              </w:rPr>
            </w:pPr>
            <w:r>
              <w:rPr>
                <w:sz w:val="24"/>
              </w:rPr>
              <w:t>建设单位</w:t>
            </w:r>
          </w:p>
          <w:p w14:paraId="22910553">
            <w:pPr>
              <w:adjustRightInd w:val="0"/>
              <w:snapToGrid w:val="0"/>
              <w:jc w:val="center"/>
              <w:rPr>
                <w:sz w:val="24"/>
              </w:rPr>
            </w:pPr>
            <w:r>
              <w:rPr>
                <w:sz w:val="24"/>
              </w:rPr>
              <w:t>联系人</w:t>
            </w:r>
          </w:p>
        </w:tc>
        <w:tc>
          <w:tcPr>
            <w:tcW w:w="2961" w:type="dxa"/>
            <w:vAlign w:val="center"/>
          </w:tcPr>
          <w:p w14:paraId="68B3C49E">
            <w:pPr>
              <w:adjustRightInd w:val="0"/>
              <w:snapToGrid w:val="0"/>
              <w:jc w:val="center"/>
              <w:rPr>
                <w:sz w:val="24"/>
              </w:rPr>
            </w:pPr>
            <w:r>
              <w:rPr>
                <w:rFonts w:hint="eastAsia"/>
                <w:sz w:val="24"/>
              </w:rPr>
              <w:t>刘哲</w:t>
            </w:r>
          </w:p>
        </w:tc>
        <w:tc>
          <w:tcPr>
            <w:tcW w:w="2142" w:type="dxa"/>
            <w:vAlign w:val="center"/>
          </w:tcPr>
          <w:p w14:paraId="709E776F">
            <w:pPr>
              <w:adjustRightInd w:val="0"/>
              <w:snapToGrid w:val="0"/>
              <w:jc w:val="center"/>
              <w:rPr>
                <w:sz w:val="24"/>
              </w:rPr>
            </w:pPr>
            <w:r>
              <w:rPr>
                <w:sz w:val="24"/>
              </w:rPr>
              <w:t>联系方式</w:t>
            </w:r>
          </w:p>
        </w:tc>
        <w:tc>
          <w:tcPr>
            <w:tcW w:w="3169" w:type="dxa"/>
            <w:vAlign w:val="center"/>
          </w:tcPr>
          <w:p w14:paraId="566F39B1">
            <w:pPr>
              <w:adjustRightInd w:val="0"/>
              <w:snapToGrid w:val="0"/>
              <w:jc w:val="center"/>
              <w:rPr>
                <w:sz w:val="24"/>
              </w:rPr>
            </w:pPr>
            <w:r>
              <w:rPr>
                <w:sz w:val="24"/>
              </w:rPr>
              <w:t>15864443335</w:t>
            </w:r>
          </w:p>
        </w:tc>
      </w:tr>
      <w:tr w14:paraId="22B410D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497" w:hRule="atLeast"/>
          <w:jc w:val="center"/>
        </w:trPr>
        <w:tc>
          <w:tcPr>
            <w:tcW w:w="1132" w:type="dxa"/>
            <w:tcMar>
              <w:top w:w="16" w:type="dxa"/>
              <w:left w:w="16" w:type="dxa"/>
              <w:right w:w="16" w:type="dxa"/>
            </w:tcMar>
            <w:vAlign w:val="center"/>
          </w:tcPr>
          <w:p w14:paraId="42D9E993">
            <w:pPr>
              <w:adjustRightInd w:val="0"/>
              <w:snapToGrid w:val="0"/>
              <w:jc w:val="center"/>
              <w:rPr>
                <w:sz w:val="24"/>
              </w:rPr>
            </w:pPr>
            <w:r>
              <w:rPr>
                <w:sz w:val="24"/>
              </w:rPr>
              <w:t>建设地点</w:t>
            </w:r>
          </w:p>
        </w:tc>
        <w:tc>
          <w:tcPr>
            <w:tcW w:w="8272" w:type="dxa"/>
            <w:gridSpan w:val="3"/>
            <w:vAlign w:val="center"/>
          </w:tcPr>
          <w:p w14:paraId="42395C1A">
            <w:pPr>
              <w:jc w:val="center"/>
              <w:rPr>
                <w:sz w:val="24"/>
              </w:rPr>
            </w:pPr>
            <w:r>
              <w:rPr>
                <w:rFonts w:hint="eastAsia"/>
                <w:sz w:val="24"/>
              </w:rPr>
              <w:t>河南省商丘市民权县北关镇民荷路北段9号</w:t>
            </w:r>
          </w:p>
        </w:tc>
      </w:tr>
      <w:tr w14:paraId="7CEA6F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497" w:hRule="atLeast"/>
          <w:jc w:val="center"/>
        </w:trPr>
        <w:tc>
          <w:tcPr>
            <w:tcW w:w="1132" w:type="dxa"/>
            <w:tcMar>
              <w:top w:w="16" w:type="dxa"/>
              <w:left w:w="16" w:type="dxa"/>
              <w:right w:w="16" w:type="dxa"/>
            </w:tcMar>
            <w:vAlign w:val="center"/>
          </w:tcPr>
          <w:p w14:paraId="1ABE843A">
            <w:pPr>
              <w:adjustRightInd w:val="0"/>
              <w:snapToGrid w:val="0"/>
              <w:jc w:val="center"/>
              <w:rPr>
                <w:sz w:val="24"/>
              </w:rPr>
            </w:pPr>
            <w:r>
              <w:rPr>
                <w:sz w:val="24"/>
              </w:rPr>
              <w:t>地理坐标</w:t>
            </w:r>
          </w:p>
        </w:tc>
        <w:tc>
          <w:tcPr>
            <w:tcW w:w="8272" w:type="dxa"/>
            <w:gridSpan w:val="3"/>
            <w:vAlign w:val="center"/>
          </w:tcPr>
          <w:p w14:paraId="420F377C">
            <w:pPr>
              <w:jc w:val="center"/>
              <w:rPr>
                <w:rFonts w:ascii="宋体" w:hAnsi="宋体" w:cs="宋体"/>
                <w:sz w:val="24"/>
              </w:rPr>
            </w:pPr>
            <w:r>
              <w:rPr>
                <w:rFonts w:hint="eastAsia" w:ascii="宋体" w:hAnsi="宋体" w:cs="宋体"/>
                <w:sz w:val="24"/>
              </w:rPr>
              <w:t>（</w:t>
            </w:r>
            <w:r>
              <w:rPr>
                <w:rFonts w:hint="eastAsia" w:ascii="宋体" w:hAnsi="宋体" w:cs="宋体"/>
                <w:sz w:val="24"/>
                <w:u w:val="single"/>
              </w:rPr>
              <w:t xml:space="preserve"> </w:t>
            </w:r>
            <w:r>
              <w:rPr>
                <w:sz w:val="24"/>
                <w:u w:val="single"/>
              </w:rPr>
              <w:t>11</w:t>
            </w:r>
            <w:r>
              <w:rPr>
                <w:rFonts w:hint="eastAsia"/>
                <w:sz w:val="24"/>
                <w:u w:val="single"/>
              </w:rPr>
              <w:t xml:space="preserve">5 </w:t>
            </w:r>
            <w:r>
              <w:rPr>
                <w:rFonts w:hint="eastAsia" w:ascii="宋体" w:hAnsi="宋体" w:cs="宋体"/>
                <w:sz w:val="24"/>
              </w:rPr>
              <w:t>度</w:t>
            </w:r>
            <w:r>
              <w:rPr>
                <w:rFonts w:hint="eastAsia" w:ascii="宋体" w:hAnsi="宋体" w:cs="宋体"/>
                <w:sz w:val="24"/>
                <w:u w:val="single"/>
              </w:rPr>
              <w:t xml:space="preserve"> </w:t>
            </w:r>
            <w:r>
              <w:rPr>
                <w:rFonts w:hint="eastAsia"/>
                <w:sz w:val="24"/>
                <w:u w:val="single"/>
              </w:rPr>
              <w:t xml:space="preserve">20 </w:t>
            </w:r>
            <w:r>
              <w:rPr>
                <w:rFonts w:hint="eastAsia" w:ascii="宋体" w:hAnsi="宋体" w:cs="宋体"/>
                <w:sz w:val="24"/>
              </w:rPr>
              <w:t>分</w:t>
            </w:r>
            <w:r>
              <w:rPr>
                <w:rFonts w:hint="eastAsia" w:ascii="宋体" w:hAnsi="宋体" w:cs="宋体"/>
                <w:sz w:val="24"/>
                <w:u w:val="single"/>
              </w:rPr>
              <w:t xml:space="preserve"> </w:t>
            </w:r>
            <w:r>
              <w:rPr>
                <w:sz w:val="24"/>
                <w:u w:val="single"/>
              </w:rPr>
              <w:t>08.214</w:t>
            </w:r>
            <w:r>
              <w:rPr>
                <w:rFonts w:hint="eastAsia"/>
                <w:sz w:val="24"/>
                <w:u w:val="single"/>
              </w:rPr>
              <w:t xml:space="preserve"> </w:t>
            </w:r>
            <w:r>
              <w:rPr>
                <w:rFonts w:hint="eastAsia" w:ascii="宋体" w:hAnsi="宋体" w:cs="宋体"/>
                <w:sz w:val="24"/>
              </w:rPr>
              <w:t>秒，</w:t>
            </w:r>
            <w:r>
              <w:rPr>
                <w:rFonts w:hint="eastAsia" w:ascii="宋体" w:hAnsi="宋体" w:cs="宋体"/>
                <w:sz w:val="24"/>
                <w:u w:val="single"/>
              </w:rPr>
              <w:t xml:space="preserve"> </w:t>
            </w:r>
            <w:r>
              <w:rPr>
                <w:sz w:val="24"/>
                <w:u w:val="single"/>
              </w:rPr>
              <w:t>34</w:t>
            </w:r>
            <w:r>
              <w:rPr>
                <w:rFonts w:hint="eastAsia"/>
                <w:sz w:val="24"/>
                <w:u w:val="single"/>
              </w:rPr>
              <w:t xml:space="preserve"> </w:t>
            </w:r>
            <w:r>
              <w:rPr>
                <w:rFonts w:hint="eastAsia" w:ascii="宋体" w:hAnsi="宋体" w:cs="宋体"/>
                <w:sz w:val="24"/>
              </w:rPr>
              <w:t>度</w:t>
            </w:r>
            <w:r>
              <w:rPr>
                <w:rFonts w:hint="eastAsia" w:ascii="宋体" w:hAnsi="宋体" w:cs="宋体"/>
                <w:sz w:val="24"/>
                <w:u w:val="single"/>
              </w:rPr>
              <w:t xml:space="preserve"> </w:t>
            </w:r>
            <w:r>
              <w:rPr>
                <w:rFonts w:hint="eastAsia"/>
                <w:sz w:val="24"/>
                <w:u w:val="single"/>
              </w:rPr>
              <w:t xml:space="preserve">50 </w:t>
            </w:r>
            <w:r>
              <w:rPr>
                <w:rFonts w:hint="eastAsia" w:ascii="宋体" w:hAnsi="宋体" w:cs="宋体"/>
                <w:sz w:val="24"/>
              </w:rPr>
              <w:t>分</w:t>
            </w:r>
            <w:r>
              <w:rPr>
                <w:rFonts w:hint="eastAsia" w:ascii="宋体" w:hAnsi="宋体" w:cs="宋体"/>
                <w:sz w:val="24"/>
                <w:u w:val="single"/>
              </w:rPr>
              <w:t xml:space="preserve"> </w:t>
            </w:r>
            <w:r>
              <w:rPr>
                <w:rFonts w:hint="eastAsia"/>
                <w:sz w:val="24"/>
                <w:u w:val="single"/>
              </w:rPr>
              <w:t xml:space="preserve">30.825 </w:t>
            </w:r>
            <w:r>
              <w:rPr>
                <w:rFonts w:hint="eastAsia" w:ascii="宋体" w:hAnsi="宋体" w:cs="宋体"/>
                <w:sz w:val="24"/>
              </w:rPr>
              <w:t>秒）</w:t>
            </w:r>
          </w:p>
        </w:tc>
      </w:tr>
      <w:tr w14:paraId="0D2549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561" w:hRule="atLeast"/>
          <w:jc w:val="center"/>
        </w:trPr>
        <w:tc>
          <w:tcPr>
            <w:tcW w:w="1132" w:type="dxa"/>
            <w:tcMar>
              <w:top w:w="16" w:type="dxa"/>
              <w:left w:w="16" w:type="dxa"/>
              <w:right w:w="16" w:type="dxa"/>
            </w:tcMar>
            <w:vAlign w:val="center"/>
          </w:tcPr>
          <w:p w14:paraId="7EB59010">
            <w:pPr>
              <w:adjustRightInd w:val="0"/>
              <w:snapToGrid w:val="0"/>
              <w:jc w:val="center"/>
              <w:rPr>
                <w:sz w:val="24"/>
              </w:rPr>
            </w:pPr>
            <w:r>
              <w:rPr>
                <w:sz w:val="24"/>
              </w:rPr>
              <w:t>国民经济行业类别</w:t>
            </w:r>
          </w:p>
        </w:tc>
        <w:tc>
          <w:tcPr>
            <w:tcW w:w="2961" w:type="dxa"/>
            <w:vAlign w:val="center"/>
          </w:tcPr>
          <w:p w14:paraId="7BDDB388">
            <w:pPr>
              <w:autoSpaceDE w:val="0"/>
              <w:autoSpaceDN w:val="0"/>
              <w:adjustRightInd w:val="0"/>
              <w:jc w:val="center"/>
              <w:rPr>
                <w:kern w:val="0"/>
                <w:sz w:val="24"/>
              </w:rPr>
            </w:pPr>
            <w:r>
              <w:rPr>
                <w:kern w:val="0"/>
                <w:sz w:val="24"/>
              </w:rPr>
              <w:t>C</w:t>
            </w:r>
            <w:r>
              <w:rPr>
                <w:rFonts w:hint="eastAsia"/>
                <w:kern w:val="0"/>
                <w:sz w:val="24"/>
              </w:rPr>
              <w:t>1353肉制品及副产品加工</w:t>
            </w:r>
          </w:p>
          <w:p w14:paraId="604CBBE5">
            <w:pPr>
              <w:autoSpaceDE w:val="0"/>
              <w:autoSpaceDN w:val="0"/>
              <w:adjustRightInd w:val="0"/>
              <w:jc w:val="left"/>
              <w:rPr>
                <w:rFonts w:ascii="宋体" w:cs="宋体"/>
                <w:kern w:val="0"/>
                <w:sz w:val="24"/>
              </w:rPr>
            </w:pPr>
            <w:r>
              <w:rPr>
                <w:sz w:val="24"/>
              </w:rPr>
              <w:t>D4430热力生产和供应</w:t>
            </w:r>
          </w:p>
        </w:tc>
        <w:tc>
          <w:tcPr>
            <w:tcW w:w="2142" w:type="dxa"/>
            <w:vAlign w:val="center"/>
          </w:tcPr>
          <w:p w14:paraId="4FE04F65">
            <w:pPr>
              <w:adjustRightInd w:val="0"/>
              <w:snapToGrid w:val="0"/>
              <w:jc w:val="center"/>
              <w:rPr>
                <w:sz w:val="24"/>
              </w:rPr>
            </w:pPr>
            <w:bookmarkStart w:id="0" w:name="_Hlk49843745"/>
            <w:r>
              <w:rPr>
                <w:sz w:val="24"/>
              </w:rPr>
              <w:t>建设项目行业类别</w:t>
            </w:r>
            <w:bookmarkEnd w:id="0"/>
          </w:p>
        </w:tc>
        <w:tc>
          <w:tcPr>
            <w:tcW w:w="3169" w:type="dxa"/>
            <w:vAlign w:val="center"/>
          </w:tcPr>
          <w:p w14:paraId="6F4433F0">
            <w:pPr>
              <w:autoSpaceDE w:val="0"/>
              <w:autoSpaceDN w:val="0"/>
              <w:adjustRightInd w:val="0"/>
              <w:jc w:val="left"/>
              <w:rPr>
                <w:sz w:val="24"/>
              </w:rPr>
            </w:pPr>
            <w:r>
              <w:rPr>
                <w:rFonts w:hint="eastAsia"/>
                <w:sz w:val="24"/>
              </w:rPr>
              <w:t>10-18屠宰及肉类加工</w:t>
            </w:r>
            <w:r>
              <w:rPr>
                <w:sz w:val="24"/>
              </w:rPr>
              <w:t>135</w:t>
            </w:r>
          </w:p>
          <w:p w14:paraId="39BA9190">
            <w:pPr>
              <w:autoSpaceDE w:val="0"/>
              <w:autoSpaceDN w:val="0"/>
              <w:adjustRightInd w:val="0"/>
              <w:jc w:val="left"/>
              <w:rPr>
                <w:sz w:val="24"/>
              </w:rPr>
            </w:pPr>
            <w:r>
              <w:rPr>
                <w:rFonts w:hint="eastAsia"/>
                <w:sz w:val="24"/>
              </w:rPr>
              <w:t>41-91热力生产和供应工程（包括建设单位自建自用的供热工程）</w:t>
            </w:r>
          </w:p>
        </w:tc>
      </w:tr>
      <w:tr w14:paraId="461525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219" w:hRule="atLeast"/>
          <w:jc w:val="center"/>
        </w:trPr>
        <w:tc>
          <w:tcPr>
            <w:tcW w:w="1132" w:type="dxa"/>
            <w:tcMar>
              <w:top w:w="16" w:type="dxa"/>
              <w:left w:w="16" w:type="dxa"/>
              <w:right w:w="16" w:type="dxa"/>
            </w:tcMar>
            <w:vAlign w:val="center"/>
          </w:tcPr>
          <w:p w14:paraId="66C454FE">
            <w:pPr>
              <w:adjustRightInd w:val="0"/>
              <w:snapToGrid w:val="0"/>
              <w:jc w:val="center"/>
              <w:rPr>
                <w:sz w:val="24"/>
              </w:rPr>
            </w:pPr>
            <w:r>
              <w:rPr>
                <w:sz w:val="24"/>
              </w:rPr>
              <w:t>建设性质</w:t>
            </w:r>
          </w:p>
        </w:tc>
        <w:tc>
          <w:tcPr>
            <w:tcW w:w="2961" w:type="dxa"/>
            <w:vAlign w:val="center"/>
          </w:tcPr>
          <w:p w14:paraId="787BA3F5">
            <w:pPr>
              <w:ind w:left="105" w:leftChars="50"/>
              <w:jc w:val="left"/>
              <w:rPr>
                <w:sz w:val="24"/>
              </w:rPr>
            </w:pPr>
            <w:r>
              <w:rPr>
                <w:sz w:val="24"/>
              </w:rPr>
              <w:sym w:font="Wingdings 2" w:char="0052"/>
            </w:r>
            <w:r>
              <w:rPr>
                <w:sz w:val="24"/>
              </w:rPr>
              <w:t>新建（迁建）</w:t>
            </w:r>
          </w:p>
          <w:p w14:paraId="625C85B5">
            <w:pPr>
              <w:ind w:left="105" w:leftChars="50"/>
              <w:jc w:val="left"/>
              <w:rPr>
                <w:sz w:val="24"/>
              </w:rPr>
            </w:pPr>
            <w:r>
              <w:rPr>
                <w:rFonts w:hint="eastAsia" w:ascii="宋体" w:hAnsi="宋体" w:cs="宋体"/>
                <w:sz w:val="24"/>
              </w:rPr>
              <w:t xml:space="preserve">□ </w:t>
            </w:r>
            <w:r>
              <w:rPr>
                <w:sz w:val="24"/>
              </w:rPr>
              <w:t>改建</w:t>
            </w:r>
          </w:p>
          <w:p w14:paraId="570C89D2">
            <w:pPr>
              <w:ind w:left="105" w:leftChars="50"/>
              <w:jc w:val="left"/>
              <w:rPr>
                <w:sz w:val="24"/>
              </w:rPr>
            </w:pPr>
            <w:r>
              <w:rPr>
                <w:rFonts w:hint="eastAsia" w:ascii="宋体" w:hAnsi="宋体" w:cs="宋体"/>
                <w:sz w:val="24"/>
              </w:rPr>
              <w:t xml:space="preserve">□ </w:t>
            </w:r>
            <w:r>
              <w:rPr>
                <w:sz w:val="24"/>
              </w:rPr>
              <w:t>扩建</w:t>
            </w:r>
          </w:p>
          <w:p w14:paraId="765E05E8">
            <w:pPr>
              <w:ind w:left="105" w:leftChars="50"/>
              <w:jc w:val="left"/>
              <w:rPr>
                <w:sz w:val="24"/>
              </w:rPr>
            </w:pPr>
            <w:r>
              <w:rPr>
                <w:rFonts w:hint="eastAsia" w:ascii="宋体" w:hAnsi="宋体" w:cs="宋体"/>
                <w:sz w:val="24"/>
              </w:rPr>
              <w:t xml:space="preserve">□ </w:t>
            </w:r>
            <w:r>
              <w:rPr>
                <w:sz w:val="24"/>
              </w:rPr>
              <w:t>技术改造</w:t>
            </w:r>
          </w:p>
        </w:tc>
        <w:tc>
          <w:tcPr>
            <w:tcW w:w="2142" w:type="dxa"/>
            <w:vAlign w:val="center"/>
          </w:tcPr>
          <w:p w14:paraId="7EF6D204">
            <w:pPr>
              <w:adjustRightInd w:val="0"/>
              <w:snapToGrid w:val="0"/>
              <w:jc w:val="center"/>
              <w:rPr>
                <w:sz w:val="24"/>
              </w:rPr>
            </w:pPr>
            <w:r>
              <w:rPr>
                <w:sz w:val="24"/>
              </w:rPr>
              <w:t>建设项目</w:t>
            </w:r>
          </w:p>
          <w:p w14:paraId="2C944007">
            <w:pPr>
              <w:adjustRightInd w:val="0"/>
              <w:snapToGrid w:val="0"/>
              <w:jc w:val="center"/>
              <w:rPr>
                <w:sz w:val="24"/>
              </w:rPr>
            </w:pPr>
            <w:r>
              <w:rPr>
                <w:sz w:val="24"/>
              </w:rPr>
              <w:t>申报情形</w:t>
            </w:r>
          </w:p>
        </w:tc>
        <w:tc>
          <w:tcPr>
            <w:tcW w:w="3169" w:type="dxa"/>
            <w:vAlign w:val="center"/>
          </w:tcPr>
          <w:p w14:paraId="648E8E67">
            <w:pPr>
              <w:ind w:left="105" w:leftChars="50"/>
              <w:jc w:val="left"/>
              <w:rPr>
                <w:sz w:val="24"/>
              </w:rPr>
            </w:pPr>
            <w:r>
              <w:rPr>
                <w:sz w:val="24"/>
              </w:rPr>
              <w:sym w:font="Wingdings 2" w:char="0052"/>
            </w:r>
            <w:r>
              <w:rPr>
                <w:sz w:val="24"/>
              </w:rPr>
              <w:t>首次申报项目</w:t>
            </w:r>
          </w:p>
          <w:p w14:paraId="488B52BB">
            <w:pPr>
              <w:ind w:left="105" w:leftChars="50"/>
              <w:jc w:val="left"/>
              <w:rPr>
                <w:sz w:val="24"/>
              </w:rPr>
            </w:pPr>
            <w:r>
              <w:rPr>
                <w:rFonts w:hint="eastAsia" w:ascii="宋体" w:hAnsi="宋体" w:cs="宋体"/>
                <w:sz w:val="24"/>
              </w:rPr>
              <w:t>□</w:t>
            </w:r>
            <w:r>
              <w:rPr>
                <w:sz w:val="24"/>
              </w:rPr>
              <w:t>不予批准后再次申报项目</w:t>
            </w:r>
          </w:p>
          <w:p w14:paraId="336E2020">
            <w:pPr>
              <w:ind w:left="105" w:leftChars="50"/>
              <w:jc w:val="left"/>
              <w:rPr>
                <w:sz w:val="24"/>
              </w:rPr>
            </w:pPr>
            <w:r>
              <w:rPr>
                <w:rFonts w:hint="eastAsia" w:ascii="宋体" w:hAnsi="宋体" w:cs="宋体"/>
                <w:sz w:val="24"/>
              </w:rPr>
              <w:t>□</w:t>
            </w:r>
            <w:r>
              <w:rPr>
                <w:sz w:val="24"/>
              </w:rPr>
              <w:t>超五年重新审核项目</w:t>
            </w:r>
          </w:p>
          <w:p w14:paraId="088C5D82">
            <w:pPr>
              <w:ind w:left="105" w:leftChars="50"/>
              <w:jc w:val="left"/>
              <w:rPr>
                <w:sz w:val="24"/>
              </w:rPr>
            </w:pPr>
            <w:r>
              <w:rPr>
                <w:rFonts w:hint="eastAsia" w:ascii="宋体" w:hAnsi="宋体" w:cs="宋体"/>
                <w:sz w:val="24"/>
              </w:rPr>
              <w:t>□</w:t>
            </w:r>
            <w:r>
              <w:rPr>
                <w:sz w:val="24"/>
              </w:rPr>
              <w:t>重大变动重新报批项目</w:t>
            </w:r>
          </w:p>
        </w:tc>
      </w:tr>
      <w:tr w14:paraId="753F12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705" w:hRule="atLeast"/>
          <w:jc w:val="center"/>
        </w:trPr>
        <w:tc>
          <w:tcPr>
            <w:tcW w:w="1132" w:type="dxa"/>
            <w:tcMar>
              <w:top w:w="16" w:type="dxa"/>
              <w:left w:w="16" w:type="dxa"/>
              <w:right w:w="16" w:type="dxa"/>
            </w:tcMar>
            <w:vAlign w:val="center"/>
          </w:tcPr>
          <w:p w14:paraId="1C86B4E4">
            <w:pPr>
              <w:adjustRightInd w:val="0"/>
              <w:snapToGrid w:val="0"/>
              <w:jc w:val="center"/>
              <w:rPr>
                <w:sz w:val="24"/>
              </w:rPr>
            </w:pPr>
            <w:r>
              <w:rPr>
                <w:sz w:val="24"/>
              </w:rPr>
              <w:t>项目备案部门</w:t>
            </w:r>
          </w:p>
        </w:tc>
        <w:tc>
          <w:tcPr>
            <w:tcW w:w="2961" w:type="dxa"/>
            <w:vAlign w:val="center"/>
          </w:tcPr>
          <w:p w14:paraId="4F02F2F4">
            <w:pPr>
              <w:adjustRightInd w:val="0"/>
              <w:snapToGrid w:val="0"/>
              <w:jc w:val="center"/>
              <w:rPr>
                <w:sz w:val="24"/>
              </w:rPr>
            </w:pPr>
            <w:r>
              <w:rPr>
                <w:rFonts w:hint="eastAsia"/>
                <w:sz w:val="24"/>
              </w:rPr>
              <w:t>民权县发展和改革委员会</w:t>
            </w:r>
          </w:p>
        </w:tc>
        <w:tc>
          <w:tcPr>
            <w:tcW w:w="2142" w:type="dxa"/>
            <w:vAlign w:val="center"/>
          </w:tcPr>
          <w:p w14:paraId="0B162334">
            <w:pPr>
              <w:adjustRightInd w:val="0"/>
              <w:snapToGrid w:val="0"/>
              <w:jc w:val="center"/>
              <w:rPr>
                <w:sz w:val="24"/>
              </w:rPr>
            </w:pPr>
            <w:r>
              <w:rPr>
                <w:sz w:val="24"/>
              </w:rPr>
              <w:t>项目备案文号</w:t>
            </w:r>
          </w:p>
        </w:tc>
        <w:tc>
          <w:tcPr>
            <w:tcW w:w="3169" w:type="dxa"/>
            <w:vAlign w:val="center"/>
          </w:tcPr>
          <w:p w14:paraId="791EA6FA">
            <w:pPr>
              <w:adjustRightInd w:val="0"/>
              <w:snapToGrid w:val="0"/>
              <w:jc w:val="center"/>
              <w:rPr>
                <w:sz w:val="24"/>
              </w:rPr>
            </w:pPr>
            <w:r>
              <w:rPr>
                <w:sz w:val="24"/>
              </w:rPr>
              <w:t>2408-411421-04-01-513947</w:t>
            </w:r>
          </w:p>
        </w:tc>
      </w:tr>
      <w:tr w14:paraId="7BCD6B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497" w:hRule="atLeast"/>
          <w:jc w:val="center"/>
        </w:trPr>
        <w:tc>
          <w:tcPr>
            <w:tcW w:w="1132" w:type="dxa"/>
            <w:tcMar>
              <w:top w:w="16" w:type="dxa"/>
              <w:left w:w="16" w:type="dxa"/>
              <w:right w:w="16" w:type="dxa"/>
            </w:tcMar>
            <w:vAlign w:val="center"/>
          </w:tcPr>
          <w:p w14:paraId="587DF62D">
            <w:pPr>
              <w:adjustRightInd w:val="0"/>
              <w:snapToGrid w:val="0"/>
              <w:jc w:val="center"/>
              <w:rPr>
                <w:sz w:val="24"/>
              </w:rPr>
            </w:pPr>
            <w:r>
              <w:rPr>
                <w:sz w:val="24"/>
              </w:rPr>
              <w:t>总投资（万元）</w:t>
            </w:r>
          </w:p>
        </w:tc>
        <w:tc>
          <w:tcPr>
            <w:tcW w:w="2961" w:type="dxa"/>
            <w:vAlign w:val="center"/>
          </w:tcPr>
          <w:p w14:paraId="420663E9">
            <w:pPr>
              <w:adjustRightInd w:val="0"/>
              <w:snapToGrid w:val="0"/>
              <w:jc w:val="center"/>
              <w:rPr>
                <w:sz w:val="24"/>
              </w:rPr>
            </w:pPr>
            <w:r>
              <w:rPr>
                <w:rFonts w:hint="eastAsia"/>
                <w:sz w:val="24"/>
              </w:rPr>
              <w:t>300</w:t>
            </w:r>
          </w:p>
        </w:tc>
        <w:tc>
          <w:tcPr>
            <w:tcW w:w="2142" w:type="dxa"/>
            <w:tcMar>
              <w:top w:w="16" w:type="dxa"/>
              <w:left w:w="16" w:type="dxa"/>
              <w:right w:w="16" w:type="dxa"/>
            </w:tcMar>
            <w:vAlign w:val="center"/>
          </w:tcPr>
          <w:p w14:paraId="0FAA2534">
            <w:pPr>
              <w:adjustRightInd w:val="0"/>
              <w:snapToGrid w:val="0"/>
              <w:jc w:val="center"/>
              <w:rPr>
                <w:sz w:val="24"/>
              </w:rPr>
            </w:pPr>
            <w:r>
              <w:rPr>
                <w:sz w:val="24"/>
              </w:rPr>
              <w:t>环保投资（万元）</w:t>
            </w:r>
          </w:p>
        </w:tc>
        <w:tc>
          <w:tcPr>
            <w:tcW w:w="3169" w:type="dxa"/>
            <w:vAlign w:val="center"/>
          </w:tcPr>
          <w:p w14:paraId="1EB3F91A">
            <w:pPr>
              <w:adjustRightInd w:val="0"/>
              <w:snapToGrid w:val="0"/>
              <w:jc w:val="center"/>
              <w:rPr>
                <w:sz w:val="24"/>
              </w:rPr>
            </w:pPr>
            <w:r>
              <w:rPr>
                <w:rFonts w:hint="eastAsia"/>
                <w:sz w:val="24"/>
              </w:rPr>
              <w:t>56</w:t>
            </w:r>
          </w:p>
        </w:tc>
      </w:tr>
      <w:tr w14:paraId="70C7AB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497" w:hRule="atLeast"/>
          <w:jc w:val="center"/>
        </w:trPr>
        <w:tc>
          <w:tcPr>
            <w:tcW w:w="1132" w:type="dxa"/>
            <w:tcMar>
              <w:top w:w="16" w:type="dxa"/>
              <w:left w:w="16" w:type="dxa"/>
              <w:right w:w="16" w:type="dxa"/>
            </w:tcMar>
            <w:vAlign w:val="center"/>
          </w:tcPr>
          <w:p w14:paraId="0C05339F">
            <w:pPr>
              <w:adjustRightInd w:val="0"/>
              <w:snapToGrid w:val="0"/>
              <w:jc w:val="center"/>
              <w:rPr>
                <w:sz w:val="24"/>
              </w:rPr>
            </w:pPr>
            <w:r>
              <w:rPr>
                <w:sz w:val="24"/>
              </w:rPr>
              <w:t>环保投资占比（%）</w:t>
            </w:r>
          </w:p>
        </w:tc>
        <w:tc>
          <w:tcPr>
            <w:tcW w:w="2961" w:type="dxa"/>
            <w:vAlign w:val="center"/>
          </w:tcPr>
          <w:p w14:paraId="73B9E34E">
            <w:pPr>
              <w:adjustRightInd w:val="0"/>
              <w:snapToGrid w:val="0"/>
              <w:jc w:val="center"/>
              <w:rPr>
                <w:sz w:val="24"/>
              </w:rPr>
            </w:pPr>
            <w:r>
              <w:rPr>
                <w:rFonts w:hint="eastAsia"/>
                <w:sz w:val="24"/>
              </w:rPr>
              <w:t>18.7</w:t>
            </w:r>
          </w:p>
        </w:tc>
        <w:tc>
          <w:tcPr>
            <w:tcW w:w="2142" w:type="dxa"/>
            <w:tcMar>
              <w:top w:w="16" w:type="dxa"/>
              <w:left w:w="16" w:type="dxa"/>
              <w:right w:w="16" w:type="dxa"/>
            </w:tcMar>
            <w:vAlign w:val="center"/>
          </w:tcPr>
          <w:p w14:paraId="7B1D4B63">
            <w:pPr>
              <w:adjustRightInd w:val="0"/>
              <w:snapToGrid w:val="0"/>
              <w:jc w:val="center"/>
              <w:rPr>
                <w:sz w:val="24"/>
              </w:rPr>
            </w:pPr>
            <w:r>
              <w:rPr>
                <w:sz w:val="24"/>
              </w:rPr>
              <w:t>施工工期</w:t>
            </w:r>
          </w:p>
        </w:tc>
        <w:tc>
          <w:tcPr>
            <w:tcW w:w="3169" w:type="dxa"/>
            <w:vAlign w:val="center"/>
          </w:tcPr>
          <w:p w14:paraId="26FA1036">
            <w:pPr>
              <w:adjustRightInd w:val="0"/>
              <w:snapToGrid w:val="0"/>
              <w:jc w:val="center"/>
              <w:rPr>
                <w:sz w:val="24"/>
              </w:rPr>
            </w:pPr>
            <w:r>
              <w:rPr>
                <w:rFonts w:hint="eastAsia"/>
                <w:sz w:val="24"/>
              </w:rPr>
              <w:t>3个</w:t>
            </w:r>
            <w:r>
              <w:rPr>
                <w:sz w:val="24"/>
              </w:rPr>
              <w:t>月</w:t>
            </w:r>
          </w:p>
        </w:tc>
      </w:tr>
      <w:tr w14:paraId="1F5641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497" w:hRule="atLeast"/>
          <w:jc w:val="center"/>
        </w:trPr>
        <w:tc>
          <w:tcPr>
            <w:tcW w:w="1132" w:type="dxa"/>
            <w:tcMar>
              <w:top w:w="16" w:type="dxa"/>
              <w:left w:w="16" w:type="dxa"/>
              <w:right w:w="16" w:type="dxa"/>
            </w:tcMar>
            <w:vAlign w:val="center"/>
          </w:tcPr>
          <w:p w14:paraId="79C099A5">
            <w:pPr>
              <w:adjustRightInd w:val="0"/>
              <w:snapToGrid w:val="0"/>
              <w:jc w:val="center"/>
              <w:rPr>
                <w:sz w:val="24"/>
              </w:rPr>
            </w:pPr>
            <w:r>
              <w:rPr>
                <w:sz w:val="24"/>
              </w:rPr>
              <w:t>是否开工建设</w:t>
            </w:r>
          </w:p>
        </w:tc>
        <w:tc>
          <w:tcPr>
            <w:tcW w:w="2961" w:type="dxa"/>
            <w:vAlign w:val="center"/>
          </w:tcPr>
          <w:p w14:paraId="05C65854">
            <w:pPr>
              <w:adjustRightInd w:val="0"/>
              <w:snapToGrid w:val="0"/>
              <w:ind w:firstLine="120" w:firstLineChars="50"/>
              <w:jc w:val="left"/>
              <w:rPr>
                <w:sz w:val="24"/>
              </w:rPr>
            </w:pPr>
            <w:r>
              <w:rPr>
                <w:rFonts w:hint="eastAsia"/>
                <w:sz w:val="24"/>
              </w:rPr>
              <w:t>□</w:t>
            </w:r>
            <w:r>
              <w:rPr>
                <w:sz w:val="24"/>
              </w:rPr>
              <w:t>否</w:t>
            </w:r>
          </w:p>
          <w:p w14:paraId="5AD213A5">
            <w:pPr>
              <w:adjustRightInd w:val="0"/>
              <w:snapToGrid w:val="0"/>
              <w:ind w:firstLine="108"/>
              <w:rPr>
                <w:sz w:val="24"/>
                <w:u w:val="single"/>
              </w:rPr>
            </w:pPr>
            <w:r>
              <w:rPr>
                <w:sz w:val="24"/>
              </w:rPr>
              <w:sym w:font="Wingdings 2" w:char="0052"/>
            </w:r>
            <w:r>
              <w:rPr>
                <w:rFonts w:hint="eastAsia"/>
                <w:sz w:val="24"/>
              </w:rPr>
              <w:t xml:space="preserve"> </w:t>
            </w:r>
            <w:r>
              <w:rPr>
                <w:sz w:val="24"/>
              </w:rPr>
              <w:t>是：</w:t>
            </w:r>
            <w:r>
              <w:rPr>
                <w:rFonts w:hint="eastAsia"/>
                <w:sz w:val="24"/>
                <w:u w:val="single"/>
              </w:rPr>
              <w:t>已未批先建，商丘市生态环境局已对本项目出具了处罚决定书，文号为豫1421环罚决字〔2024〕40号，行政处罚决定书及企业缴款罚单</w:t>
            </w:r>
            <w:r>
              <w:rPr>
                <w:rFonts w:hint="eastAsia"/>
                <w:spacing w:val="-10"/>
                <w:sz w:val="24"/>
                <w:u w:val="single"/>
              </w:rPr>
              <w:t xml:space="preserve">见附件九   </w:t>
            </w:r>
          </w:p>
        </w:tc>
        <w:tc>
          <w:tcPr>
            <w:tcW w:w="2142" w:type="dxa"/>
            <w:tcMar>
              <w:top w:w="16" w:type="dxa"/>
              <w:left w:w="16" w:type="dxa"/>
              <w:right w:w="16" w:type="dxa"/>
            </w:tcMar>
            <w:vAlign w:val="center"/>
          </w:tcPr>
          <w:p w14:paraId="7736B834">
            <w:pPr>
              <w:adjustRightInd w:val="0"/>
              <w:snapToGrid w:val="0"/>
              <w:jc w:val="center"/>
              <w:rPr>
                <w:spacing w:val="-6"/>
                <w:sz w:val="24"/>
              </w:rPr>
            </w:pPr>
            <w:r>
              <w:rPr>
                <w:spacing w:val="-6"/>
                <w:sz w:val="24"/>
              </w:rPr>
              <w:t>用地面积（m</w:t>
            </w:r>
            <w:r>
              <w:rPr>
                <w:spacing w:val="-6"/>
                <w:sz w:val="24"/>
                <w:vertAlign w:val="superscript"/>
              </w:rPr>
              <w:t>2</w:t>
            </w:r>
            <w:r>
              <w:rPr>
                <w:spacing w:val="-6"/>
                <w:sz w:val="24"/>
              </w:rPr>
              <w:t>）</w:t>
            </w:r>
          </w:p>
        </w:tc>
        <w:tc>
          <w:tcPr>
            <w:tcW w:w="3169" w:type="dxa"/>
            <w:vAlign w:val="center"/>
          </w:tcPr>
          <w:p w14:paraId="35F7D82C">
            <w:pPr>
              <w:adjustRightInd w:val="0"/>
              <w:snapToGrid w:val="0"/>
              <w:jc w:val="center"/>
              <w:rPr>
                <w:sz w:val="24"/>
              </w:rPr>
            </w:pPr>
            <w:r>
              <w:rPr>
                <w:rFonts w:hint="eastAsia"/>
                <w:sz w:val="24"/>
              </w:rPr>
              <w:t>10000</w:t>
            </w:r>
          </w:p>
        </w:tc>
      </w:tr>
      <w:tr w14:paraId="2416BD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702" w:hRule="atLeast"/>
          <w:jc w:val="center"/>
        </w:trPr>
        <w:tc>
          <w:tcPr>
            <w:tcW w:w="1132" w:type="dxa"/>
            <w:tcMar>
              <w:top w:w="16" w:type="dxa"/>
              <w:left w:w="16" w:type="dxa"/>
              <w:right w:w="16" w:type="dxa"/>
            </w:tcMar>
            <w:vAlign w:val="center"/>
          </w:tcPr>
          <w:p w14:paraId="738F8A0C">
            <w:pPr>
              <w:adjustRightInd w:val="0"/>
              <w:snapToGrid w:val="0"/>
              <w:jc w:val="center"/>
              <w:rPr>
                <w:sz w:val="24"/>
              </w:rPr>
            </w:pPr>
            <w:r>
              <w:rPr>
                <w:sz w:val="24"/>
              </w:rPr>
              <w:t>专项评价设置情况</w:t>
            </w:r>
          </w:p>
        </w:tc>
        <w:tc>
          <w:tcPr>
            <w:tcW w:w="8272" w:type="dxa"/>
            <w:gridSpan w:val="3"/>
            <w:vAlign w:val="center"/>
          </w:tcPr>
          <w:p w14:paraId="76CEBCF2">
            <w:pPr>
              <w:pStyle w:val="11"/>
              <w:ind w:firstLine="0" w:firstLineChars="0"/>
              <w:jc w:val="center"/>
              <w:rPr>
                <w:rFonts w:hAnsi="宋体"/>
                <w:sz w:val="24"/>
              </w:rPr>
            </w:pPr>
            <w:r>
              <w:rPr>
                <w:rFonts w:hint="eastAsia" w:ascii="宋体" w:cs="宋体"/>
                <w:kern w:val="0"/>
                <w:sz w:val="24"/>
              </w:rPr>
              <w:t>无</w:t>
            </w:r>
          </w:p>
        </w:tc>
      </w:tr>
      <w:tr w14:paraId="7139CD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207" w:hRule="atLeast"/>
          <w:jc w:val="center"/>
        </w:trPr>
        <w:tc>
          <w:tcPr>
            <w:tcW w:w="1132" w:type="dxa"/>
            <w:tcMar>
              <w:top w:w="16" w:type="dxa"/>
              <w:left w:w="16" w:type="dxa"/>
              <w:right w:w="16" w:type="dxa"/>
            </w:tcMar>
            <w:vAlign w:val="center"/>
          </w:tcPr>
          <w:p w14:paraId="643244FE">
            <w:pPr>
              <w:adjustRightInd w:val="0"/>
              <w:snapToGrid w:val="0"/>
              <w:jc w:val="center"/>
              <w:rPr>
                <w:sz w:val="24"/>
              </w:rPr>
            </w:pPr>
            <w:r>
              <w:rPr>
                <w:sz w:val="24"/>
              </w:rPr>
              <w:t>规划情况</w:t>
            </w:r>
          </w:p>
        </w:tc>
        <w:tc>
          <w:tcPr>
            <w:tcW w:w="8272" w:type="dxa"/>
            <w:gridSpan w:val="3"/>
            <w:vAlign w:val="center"/>
          </w:tcPr>
          <w:p w14:paraId="1AD847FE">
            <w:pPr>
              <w:adjustRightInd w:val="0"/>
              <w:snapToGrid w:val="0"/>
              <w:jc w:val="center"/>
              <w:rPr>
                <w:sz w:val="24"/>
              </w:rPr>
            </w:pPr>
            <w:r>
              <w:rPr>
                <w:rFonts w:hint="eastAsia" w:ascii="宋体" w:cs="宋体"/>
                <w:kern w:val="0"/>
                <w:sz w:val="24"/>
              </w:rPr>
              <w:t>无</w:t>
            </w:r>
          </w:p>
        </w:tc>
      </w:tr>
      <w:tr w14:paraId="1758F4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774" w:hRule="atLeast"/>
          <w:jc w:val="center"/>
        </w:trPr>
        <w:tc>
          <w:tcPr>
            <w:tcW w:w="1132" w:type="dxa"/>
            <w:tcMar>
              <w:top w:w="16" w:type="dxa"/>
              <w:left w:w="16" w:type="dxa"/>
              <w:right w:w="16" w:type="dxa"/>
            </w:tcMar>
            <w:vAlign w:val="center"/>
          </w:tcPr>
          <w:p w14:paraId="55895E30">
            <w:pPr>
              <w:adjustRightInd w:val="0"/>
              <w:snapToGrid w:val="0"/>
              <w:jc w:val="center"/>
              <w:rPr>
                <w:sz w:val="24"/>
              </w:rPr>
            </w:pPr>
            <w:r>
              <w:rPr>
                <w:sz w:val="24"/>
              </w:rPr>
              <w:t>规划环境影响评价情况</w:t>
            </w:r>
          </w:p>
        </w:tc>
        <w:tc>
          <w:tcPr>
            <w:tcW w:w="8272" w:type="dxa"/>
            <w:gridSpan w:val="3"/>
            <w:vAlign w:val="center"/>
          </w:tcPr>
          <w:p w14:paraId="252FE4EB">
            <w:pPr>
              <w:adjustRightInd w:val="0"/>
              <w:snapToGrid w:val="0"/>
              <w:jc w:val="center"/>
              <w:rPr>
                <w:rFonts w:ascii="宋体" w:cs="宋体"/>
                <w:kern w:val="0"/>
                <w:sz w:val="24"/>
              </w:rPr>
            </w:pPr>
            <w:r>
              <w:rPr>
                <w:rFonts w:hint="eastAsia" w:ascii="宋体" w:cs="宋体"/>
                <w:kern w:val="0"/>
                <w:sz w:val="24"/>
              </w:rPr>
              <w:t>无</w:t>
            </w:r>
          </w:p>
        </w:tc>
      </w:tr>
      <w:tr w14:paraId="0493F0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83" w:hRule="atLeast"/>
          <w:jc w:val="center"/>
        </w:trPr>
        <w:tc>
          <w:tcPr>
            <w:tcW w:w="1132" w:type="dxa"/>
            <w:tcMar>
              <w:top w:w="16" w:type="dxa"/>
              <w:left w:w="16" w:type="dxa"/>
              <w:right w:w="16" w:type="dxa"/>
            </w:tcMar>
            <w:vAlign w:val="center"/>
          </w:tcPr>
          <w:p w14:paraId="13FF4B8E">
            <w:pPr>
              <w:adjustRightInd w:val="0"/>
              <w:snapToGrid w:val="0"/>
              <w:jc w:val="center"/>
              <w:rPr>
                <w:sz w:val="24"/>
              </w:rPr>
            </w:pPr>
            <w:r>
              <w:rPr>
                <w:sz w:val="24"/>
              </w:rPr>
              <w:t>规划及规划环境影响评价符合性分析</w:t>
            </w:r>
          </w:p>
        </w:tc>
        <w:tc>
          <w:tcPr>
            <w:tcW w:w="8272" w:type="dxa"/>
            <w:gridSpan w:val="3"/>
            <w:vAlign w:val="center"/>
          </w:tcPr>
          <w:p w14:paraId="47E8F0EB">
            <w:pPr>
              <w:autoSpaceDE w:val="0"/>
              <w:autoSpaceDN w:val="0"/>
              <w:adjustRightInd w:val="0"/>
              <w:jc w:val="center"/>
              <w:rPr>
                <w:rFonts w:ascii="宋体" w:cs="宋体"/>
                <w:kern w:val="0"/>
                <w:sz w:val="24"/>
              </w:rPr>
            </w:pPr>
            <w:r>
              <w:rPr>
                <w:rFonts w:hint="eastAsia" w:ascii="宋体" w:cs="宋体"/>
                <w:kern w:val="0"/>
                <w:sz w:val="24"/>
              </w:rPr>
              <w:t>无</w:t>
            </w:r>
          </w:p>
        </w:tc>
      </w:tr>
      <w:tr w14:paraId="1E755E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497" w:hRule="atLeast"/>
          <w:jc w:val="center"/>
        </w:trPr>
        <w:tc>
          <w:tcPr>
            <w:tcW w:w="1132" w:type="dxa"/>
            <w:tcMar>
              <w:top w:w="16" w:type="dxa"/>
              <w:left w:w="16" w:type="dxa"/>
              <w:right w:w="16" w:type="dxa"/>
            </w:tcMar>
            <w:vAlign w:val="center"/>
          </w:tcPr>
          <w:p w14:paraId="0424E765">
            <w:pPr>
              <w:adjustRightInd w:val="0"/>
              <w:snapToGrid w:val="0"/>
              <w:jc w:val="center"/>
              <w:rPr>
                <w:sz w:val="24"/>
              </w:rPr>
            </w:pPr>
            <w:r>
              <w:rPr>
                <w:kern w:val="0"/>
                <w:sz w:val="24"/>
              </w:rPr>
              <w:t>其他符合性分析</w:t>
            </w:r>
          </w:p>
        </w:tc>
        <w:tc>
          <w:tcPr>
            <w:tcW w:w="8272" w:type="dxa"/>
            <w:gridSpan w:val="3"/>
            <w:vAlign w:val="center"/>
          </w:tcPr>
          <w:p w14:paraId="094B05EB">
            <w:pPr>
              <w:pStyle w:val="11"/>
              <w:spacing w:line="360" w:lineRule="auto"/>
              <w:ind w:firstLine="482"/>
              <w:rPr>
                <w:b/>
                <w:sz w:val="24"/>
              </w:rPr>
            </w:pPr>
            <w:r>
              <w:rPr>
                <w:rFonts w:hint="eastAsia"/>
                <w:b/>
                <w:sz w:val="24"/>
              </w:rPr>
              <w:t>1、项目环评类别判定</w:t>
            </w:r>
          </w:p>
          <w:p w14:paraId="6A920437">
            <w:pPr>
              <w:widowControl/>
              <w:spacing w:line="360" w:lineRule="auto"/>
              <w:ind w:firstLine="480" w:firstLineChars="200"/>
              <w:rPr>
                <w:sz w:val="24"/>
              </w:rPr>
            </w:pPr>
            <w:r>
              <w:rPr>
                <w:rFonts w:hint="eastAsia"/>
                <w:sz w:val="24"/>
              </w:rPr>
              <w:t>根据《建设项目环境影响评价分类管理名录》（</w:t>
            </w:r>
            <w:r>
              <w:rPr>
                <w:sz w:val="24"/>
              </w:rPr>
              <w:t>2021</w:t>
            </w:r>
            <w:r>
              <w:rPr>
                <w:rFonts w:hint="eastAsia"/>
                <w:sz w:val="24"/>
              </w:rPr>
              <w:t>年版），本项目属于“10-18屠宰及肉类加工</w:t>
            </w:r>
            <w:r>
              <w:rPr>
                <w:sz w:val="24"/>
              </w:rPr>
              <w:t>135</w:t>
            </w:r>
            <w:r>
              <w:rPr>
                <w:rFonts w:hint="eastAsia"/>
                <w:sz w:val="24"/>
              </w:rPr>
              <w:t>和41-91热力生产和供应工程（包括建设单位自建自用的供热工程）”</w:t>
            </w:r>
            <w:r>
              <w:rPr>
                <w:sz w:val="24"/>
              </w:rPr>
              <w:t>，该名录节选见下表。</w:t>
            </w:r>
          </w:p>
          <w:p w14:paraId="3555EFBA">
            <w:pPr>
              <w:pStyle w:val="77"/>
              <w:spacing w:line="240" w:lineRule="auto"/>
              <w:rPr>
                <w:sz w:val="24"/>
                <w:szCs w:val="24"/>
              </w:rPr>
            </w:pPr>
            <w:r>
              <w:rPr>
                <w:rFonts w:hint="eastAsia"/>
                <w:sz w:val="24"/>
                <w:szCs w:val="24"/>
              </w:rPr>
              <w:t>表1   《</w:t>
            </w:r>
            <w:r>
              <w:rPr>
                <w:rFonts w:hint="eastAsia"/>
                <w:sz w:val="24"/>
              </w:rPr>
              <w:t>名录</w:t>
            </w:r>
            <w:r>
              <w:rPr>
                <w:rFonts w:hint="eastAsia"/>
                <w:sz w:val="24"/>
                <w:szCs w:val="24"/>
              </w:rPr>
              <w:t>》（节选）一览表</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350"/>
              <w:gridCol w:w="1414"/>
              <w:gridCol w:w="2268"/>
              <w:gridCol w:w="3261"/>
              <w:gridCol w:w="855"/>
            </w:tblGrid>
            <w:tr w14:paraId="64D6D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83" w:type="pct"/>
                  <w:gridSpan w:val="2"/>
                  <w:tcBorders>
                    <w:tl2br w:val="single" w:color="auto" w:sz="4" w:space="0"/>
                  </w:tcBorders>
                  <w:vAlign w:val="center"/>
                </w:tcPr>
                <w:p w14:paraId="400128E9">
                  <w:pPr>
                    <w:widowControl/>
                    <w:adjustRightInd w:val="0"/>
                    <w:snapToGrid w:val="0"/>
                    <w:jc w:val="right"/>
                    <w:rPr>
                      <w:szCs w:val="21"/>
                    </w:rPr>
                  </w:pPr>
                  <w:r>
                    <w:rPr>
                      <w:rFonts w:hint="eastAsia"/>
                      <w:szCs w:val="21"/>
                    </w:rPr>
                    <w:t>环评类别</w:t>
                  </w:r>
                </w:p>
                <w:p w14:paraId="2C275ABF">
                  <w:pPr>
                    <w:widowControl/>
                    <w:adjustRightInd w:val="0"/>
                    <w:snapToGrid w:val="0"/>
                    <w:jc w:val="left"/>
                    <w:rPr>
                      <w:szCs w:val="21"/>
                    </w:rPr>
                  </w:pPr>
                  <w:r>
                    <w:rPr>
                      <w:rFonts w:hint="eastAsia"/>
                      <w:szCs w:val="21"/>
                    </w:rPr>
                    <w:t>项目类别</w:t>
                  </w:r>
                </w:p>
              </w:tc>
              <w:tc>
                <w:tcPr>
                  <w:tcW w:w="1392" w:type="pct"/>
                  <w:vAlign w:val="center"/>
                </w:tcPr>
                <w:p w14:paraId="77DCC771">
                  <w:pPr>
                    <w:widowControl/>
                    <w:adjustRightInd w:val="0"/>
                    <w:snapToGrid w:val="0"/>
                    <w:jc w:val="center"/>
                    <w:rPr>
                      <w:szCs w:val="21"/>
                    </w:rPr>
                  </w:pPr>
                  <w:r>
                    <w:rPr>
                      <w:rFonts w:hint="eastAsia"/>
                      <w:szCs w:val="21"/>
                    </w:rPr>
                    <w:t>报告书</w:t>
                  </w:r>
                </w:p>
              </w:tc>
              <w:tc>
                <w:tcPr>
                  <w:tcW w:w="2001" w:type="pct"/>
                  <w:vAlign w:val="center"/>
                </w:tcPr>
                <w:p w14:paraId="30D1C2F5">
                  <w:pPr>
                    <w:widowControl/>
                    <w:adjustRightInd w:val="0"/>
                    <w:snapToGrid w:val="0"/>
                    <w:jc w:val="center"/>
                    <w:rPr>
                      <w:szCs w:val="21"/>
                    </w:rPr>
                  </w:pPr>
                  <w:r>
                    <w:rPr>
                      <w:rFonts w:hint="eastAsia"/>
                      <w:szCs w:val="21"/>
                    </w:rPr>
                    <w:t>报告表</w:t>
                  </w:r>
                </w:p>
              </w:tc>
              <w:tc>
                <w:tcPr>
                  <w:tcW w:w="524" w:type="pct"/>
                  <w:vAlign w:val="center"/>
                </w:tcPr>
                <w:p w14:paraId="2C9E7E0B">
                  <w:pPr>
                    <w:widowControl/>
                    <w:adjustRightInd w:val="0"/>
                    <w:snapToGrid w:val="0"/>
                    <w:jc w:val="center"/>
                    <w:rPr>
                      <w:szCs w:val="21"/>
                    </w:rPr>
                  </w:pPr>
                  <w:r>
                    <w:rPr>
                      <w:rFonts w:hint="eastAsia"/>
                      <w:szCs w:val="21"/>
                    </w:rPr>
                    <w:t>登记表</w:t>
                  </w:r>
                </w:p>
              </w:tc>
            </w:tr>
            <w:tr w14:paraId="21C77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000" w:type="pct"/>
                  <w:gridSpan w:val="5"/>
                  <w:vAlign w:val="center"/>
                </w:tcPr>
                <w:p w14:paraId="3B964682">
                  <w:pPr>
                    <w:widowControl/>
                    <w:adjustRightInd w:val="0"/>
                    <w:snapToGrid w:val="0"/>
                    <w:jc w:val="left"/>
                    <w:rPr>
                      <w:b/>
                      <w:szCs w:val="21"/>
                    </w:rPr>
                  </w:pPr>
                  <w:r>
                    <w:rPr>
                      <w:rFonts w:hint="eastAsia"/>
                      <w:b/>
                      <w:szCs w:val="21"/>
                    </w:rPr>
                    <w:t>十、农副食品加工业13</w:t>
                  </w:r>
                </w:p>
              </w:tc>
            </w:tr>
            <w:tr w14:paraId="1A461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5" w:type="pct"/>
                  <w:vAlign w:val="center"/>
                </w:tcPr>
                <w:p w14:paraId="3CB23882">
                  <w:pPr>
                    <w:widowControl/>
                    <w:adjustRightInd w:val="0"/>
                    <w:snapToGrid w:val="0"/>
                    <w:jc w:val="center"/>
                    <w:rPr>
                      <w:szCs w:val="21"/>
                    </w:rPr>
                  </w:pPr>
                  <w:r>
                    <w:rPr>
                      <w:rFonts w:hint="eastAsia"/>
                      <w:szCs w:val="21"/>
                    </w:rPr>
                    <w:t>18</w:t>
                  </w:r>
                </w:p>
              </w:tc>
              <w:tc>
                <w:tcPr>
                  <w:tcW w:w="868" w:type="pct"/>
                  <w:vAlign w:val="center"/>
                </w:tcPr>
                <w:p w14:paraId="50892CD0">
                  <w:pPr>
                    <w:widowControl/>
                    <w:adjustRightInd w:val="0"/>
                    <w:snapToGrid w:val="0"/>
                    <w:jc w:val="center"/>
                    <w:rPr>
                      <w:rFonts w:hAnsi="宋体"/>
                      <w:szCs w:val="21"/>
                    </w:rPr>
                  </w:pPr>
                  <w:r>
                    <w:rPr>
                      <w:rFonts w:hint="eastAsia" w:hAnsi="宋体"/>
                      <w:szCs w:val="21"/>
                    </w:rPr>
                    <w:t>屠宰及肉类加工</w:t>
                  </w:r>
                  <w:r>
                    <w:rPr>
                      <w:rFonts w:hAnsi="宋体"/>
                      <w:szCs w:val="21"/>
                    </w:rPr>
                    <w:t>135</w:t>
                  </w:r>
                </w:p>
              </w:tc>
              <w:tc>
                <w:tcPr>
                  <w:tcW w:w="1392" w:type="pct"/>
                  <w:vAlign w:val="center"/>
                </w:tcPr>
                <w:p w14:paraId="6AABA732">
                  <w:pPr>
                    <w:widowControl/>
                    <w:adjustRightInd w:val="0"/>
                    <w:snapToGrid w:val="0"/>
                    <w:jc w:val="center"/>
                    <w:rPr>
                      <w:rFonts w:hAnsi="宋体"/>
                      <w:szCs w:val="21"/>
                    </w:rPr>
                  </w:pPr>
                  <w:r>
                    <w:rPr>
                      <w:rFonts w:hint="eastAsia" w:hAnsi="宋体"/>
                      <w:szCs w:val="21"/>
                    </w:rPr>
                    <w:t>屠宰生猪10万头、肉牛1万头、肉羊15万只、禽类1000万只及以上的</w:t>
                  </w:r>
                </w:p>
              </w:tc>
              <w:tc>
                <w:tcPr>
                  <w:tcW w:w="2001" w:type="pct"/>
                  <w:vAlign w:val="center"/>
                </w:tcPr>
                <w:p w14:paraId="41828510">
                  <w:pPr>
                    <w:widowControl/>
                    <w:adjustRightInd w:val="0"/>
                    <w:snapToGrid w:val="0"/>
                    <w:jc w:val="center"/>
                    <w:rPr>
                      <w:rFonts w:hAnsi="宋体"/>
                      <w:szCs w:val="21"/>
                    </w:rPr>
                  </w:pPr>
                  <w:r>
                    <w:rPr>
                      <w:rFonts w:hint="eastAsia" w:hAnsi="宋体"/>
                      <w:szCs w:val="21"/>
                    </w:rPr>
                    <w:t>其他屠宰；年加工2万吨及以上的肉类加工</w:t>
                  </w:r>
                </w:p>
              </w:tc>
              <w:tc>
                <w:tcPr>
                  <w:tcW w:w="524" w:type="pct"/>
                  <w:vAlign w:val="center"/>
                </w:tcPr>
                <w:p w14:paraId="4060C671">
                  <w:pPr>
                    <w:widowControl/>
                    <w:adjustRightInd w:val="0"/>
                    <w:snapToGrid w:val="0"/>
                    <w:jc w:val="center"/>
                    <w:rPr>
                      <w:szCs w:val="21"/>
                    </w:rPr>
                  </w:pPr>
                  <w:r>
                    <w:rPr>
                      <w:rFonts w:hint="eastAsia"/>
                      <w:szCs w:val="21"/>
                    </w:rPr>
                    <w:t>其他肉类加工</w:t>
                  </w:r>
                </w:p>
              </w:tc>
            </w:tr>
            <w:tr w14:paraId="10BFE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000" w:type="pct"/>
                  <w:gridSpan w:val="5"/>
                  <w:vAlign w:val="center"/>
                </w:tcPr>
                <w:p w14:paraId="410518B5">
                  <w:pPr>
                    <w:widowControl/>
                    <w:adjustRightInd w:val="0"/>
                    <w:snapToGrid w:val="0"/>
                    <w:jc w:val="left"/>
                    <w:rPr>
                      <w:b/>
                      <w:szCs w:val="21"/>
                    </w:rPr>
                  </w:pPr>
                  <w:r>
                    <w:rPr>
                      <w:rFonts w:hint="eastAsia"/>
                      <w:b/>
                      <w:szCs w:val="21"/>
                    </w:rPr>
                    <w:t>四十一、电力、热力生产和供应业</w:t>
                  </w:r>
                </w:p>
              </w:tc>
            </w:tr>
            <w:tr w14:paraId="0D411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215" w:type="pct"/>
                  <w:vAlign w:val="center"/>
                </w:tcPr>
                <w:p w14:paraId="08905556">
                  <w:pPr>
                    <w:widowControl/>
                    <w:adjustRightInd w:val="0"/>
                    <w:snapToGrid w:val="0"/>
                    <w:jc w:val="center"/>
                    <w:rPr>
                      <w:szCs w:val="21"/>
                    </w:rPr>
                  </w:pPr>
                  <w:r>
                    <w:rPr>
                      <w:rFonts w:hint="eastAsia"/>
                      <w:szCs w:val="21"/>
                    </w:rPr>
                    <w:t>91</w:t>
                  </w:r>
                </w:p>
              </w:tc>
              <w:tc>
                <w:tcPr>
                  <w:tcW w:w="868" w:type="pct"/>
                  <w:vAlign w:val="center"/>
                </w:tcPr>
                <w:p w14:paraId="0EDE220B">
                  <w:pPr>
                    <w:widowControl/>
                    <w:adjustRightInd w:val="0"/>
                    <w:snapToGrid w:val="0"/>
                    <w:jc w:val="center"/>
                    <w:rPr>
                      <w:rFonts w:hAnsi="宋体"/>
                      <w:szCs w:val="21"/>
                    </w:rPr>
                  </w:pPr>
                  <w:r>
                    <w:rPr>
                      <w:rFonts w:hint="eastAsia" w:hAnsi="宋体"/>
                      <w:szCs w:val="21"/>
                    </w:rPr>
                    <w:t>热力生产和供应工程（包括建设单位自建自用的供热工程）</w:t>
                  </w:r>
                </w:p>
              </w:tc>
              <w:tc>
                <w:tcPr>
                  <w:tcW w:w="1392" w:type="pct"/>
                  <w:vAlign w:val="center"/>
                </w:tcPr>
                <w:p w14:paraId="43083B7E">
                  <w:pPr>
                    <w:widowControl/>
                    <w:adjustRightInd w:val="0"/>
                    <w:snapToGrid w:val="0"/>
                    <w:jc w:val="center"/>
                    <w:rPr>
                      <w:rFonts w:hAnsi="宋体"/>
                      <w:szCs w:val="21"/>
                    </w:rPr>
                  </w:pPr>
                  <w:r>
                    <w:rPr>
                      <w:rFonts w:hint="eastAsia" w:hAnsi="宋体"/>
                      <w:szCs w:val="21"/>
                    </w:rPr>
                    <w:t>燃煤、燃油锅炉总容量65吨/小时（45.5兆瓦）以上的</w:t>
                  </w:r>
                </w:p>
              </w:tc>
              <w:tc>
                <w:tcPr>
                  <w:tcW w:w="2001" w:type="pct"/>
                  <w:vAlign w:val="center"/>
                </w:tcPr>
                <w:p w14:paraId="19076D6A">
                  <w:pPr>
                    <w:widowControl/>
                    <w:adjustRightInd w:val="0"/>
                    <w:snapToGrid w:val="0"/>
                    <w:jc w:val="center"/>
                    <w:rPr>
                      <w:rFonts w:hAnsi="宋体"/>
                      <w:szCs w:val="21"/>
                    </w:rPr>
                  </w:pPr>
                  <w:r>
                    <w:rPr>
                      <w:rFonts w:hint="eastAsia" w:hAnsi="宋体"/>
                      <w:szCs w:val="21"/>
                    </w:rPr>
                    <w:t>燃煤、燃油锅炉总容量65吨/小时（45.5兆瓦）及以下的；天然气锅炉总容量1吨/小时（0.7兆瓦）以上的；使用其他高污染燃料的（高污染燃料指国环规大气〔2017〕2号《高污染燃料目录》中规定的燃料）</w:t>
                  </w:r>
                </w:p>
              </w:tc>
              <w:tc>
                <w:tcPr>
                  <w:tcW w:w="524" w:type="pct"/>
                  <w:vAlign w:val="center"/>
                </w:tcPr>
                <w:p w14:paraId="08B593CB">
                  <w:pPr>
                    <w:widowControl/>
                    <w:adjustRightInd w:val="0"/>
                    <w:snapToGrid w:val="0"/>
                    <w:jc w:val="center"/>
                    <w:rPr>
                      <w:szCs w:val="21"/>
                    </w:rPr>
                  </w:pPr>
                  <w:r>
                    <w:rPr>
                      <w:rFonts w:hint="eastAsia"/>
                      <w:szCs w:val="21"/>
                    </w:rPr>
                    <w:t>/</w:t>
                  </w:r>
                </w:p>
              </w:tc>
            </w:tr>
          </w:tbl>
          <w:p w14:paraId="6A8358E3">
            <w:pPr>
              <w:widowControl/>
              <w:spacing w:line="360" w:lineRule="auto"/>
              <w:ind w:firstLine="480" w:firstLineChars="200"/>
              <w:rPr>
                <w:sz w:val="24"/>
              </w:rPr>
            </w:pPr>
            <w:r>
              <w:rPr>
                <w:rFonts w:hint="eastAsia"/>
                <w:bCs/>
                <w:sz w:val="24"/>
              </w:rPr>
              <w:t>本项目为年产2.5万吨动物油脂项目</w:t>
            </w:r>
            <w:r>
              <w:rPr>
                <w:rFonts w:hint="eastAsia"/>
                <w:sz w:val="24"/>
              </w:rPr>
              <w:t>，同时项目设置1台2.1MW和1台1.4MW的燃气导热油锅炉，因此本项目应编制环境影响报告表。</w:t>
            </w:r>
          </w:p>
          <w:p w14:paraId="451235D7">
            <w:pPr>
              <w:pStyle w:val="11"/>
              <w:spacing w:line="360" w:lineRule="auto"/>
              <w:ind w:firstLine="482"/>
              <w:rPr>
                <w:b/>
                <w:sz w:val="24"/>
              </w:rPr>
            </w:pPr>
            <w:r>
              <w:rPr>
                <w:rFonts w:hint="eastAsia"/>
                <w:b/>
                <w:sz w:val="24"/>
              </w:rPr>
              <w:t>2、产业政策相符性分析</w:t>
            </w:r>
          </w:p>
          <w:p w14:paraId="43ABB53E">
            <w:pPr>
              <w:spacing w:line="360" w:lineRule="auto"/>
              <w:ind w:firstLine="480" w:firstLineChars="200"/>
              <w:rPr>
                <w:sz w:val="24"/>
                <w:szCs w:val="22"/>
              </w:rPr>
            </w:pPr>
            <w:r>
              <w:rPr>
                <w:rFonts w:hint="eastAsia"/>
                <w:bCs/>
                <w:snapToGrid w:val="0"/>
                <w:kern w:val="0"/>
                <w:sz w:val="24"/>
              </w:rPr>
              <w:t>本项目为</w:t>
            </w:r>
            <w:r>
              <w:rPr>
                <w:rFonts w:hint="eastAsia"/>
                <w:bCs/>
                <w:sz w:val="24"/>
              </w:rPr>
              <w:t>年产2.5万吨动物油脂项目</w:t>
            </w:r>
            <w:r>
              <w:rPr>
                <w:rFonts w:hint="eastAsia"/>
                <w:bCs/>
                <w:snapToGrid w:val="0"/>
                <w:kern w:val="0"/>
                <w:sz w:val="24"/>
              </w:rPr>
              <w:t>，</w:t>
            </w:r>
            <w:r>
              <w:rPr>
                <w:rFonts w:hint="eastAsia"/>
                <w:sz w:val="24"/>
              </w:rPr>
              <w:t>根据《产业结构调整指导目录（</w:t>
            </w:r>
            <w:r>
              <w:rPr>
                <w:sz w:val="24"/>
              </w:rPr>
              <w:t>20</w:t>
            </w:r>
            <w:r>
              <w:rPr>
                <w:rFonts w:hint="eastAsia"/>
                <w:sz w:val="24"/>
              </w:rPr>
              <w:t>24年本）》，本项目不属于</w:t>
            </w:r>
            <w:r>
              <w:rPr>
                <w:rFonts w:hint="eastAsia" w:ascii="宋体" w:hAnsi="宋体"/>
                <w:sz w:val="24"/>
              </w:rPr>
              <w:t>“鼓励类”，</w:t>
            </w:r>
            <w:r>
              <w:rPr>
                <w:rFonts w:hint="eastAsia"/>
                <w:sz w:val="24"/>
              </w:rPr>
              <w:t>也不属于“限制类”和“淘汰类”，为允许类项目，因此项目建设符合国家产业政策。</w:t>
            </w:r>
          </w:p>
          <w:p w14:paraId="0901C63E">
            <w:pPr>
              <w:adjustRightInd w:val="0"/>
              <w:snapToGrid w:val="0"/>
              <w:spacing w:line="360" w:lineRule="auto"/>
              <w:ind w:firstLine="482" w:firstLineChars="200"/>
              <w:rPr>
                <w:b/>
                <w:sz w:val="24"/>
              </w:rPr>
            </w:pPr>
            <w:r>
              <w:rPr>
                <w:rFonts w:hint="eastAsia"/>
                <w:b/>
                <w:sz w:val="24"/>
              </w:rPr>
              <w:t>3、项目建设与“三线一单”相符性分析</w:t>
            </w:r>
          </w:p>
          <w:p w14:paraId="491363FC">
            <w:pPr>
              <w:spacing w:line="360" w:lineRule="auto"/>
              <w:ind w:firstLine="480" w:firstLineChars="200"/>
              <w:rPr>
                <w:b/>
                <w:color w:val="C00000"/>
                <w:sz w:val="24"/>
                <w:u w:val="single"/>
              </w:rPr>
            </w:pPr>
            <w:r>
              <w:rPr>
                <w:rFonts w:hint="eastAsia" w:hAnsi="宋体"/>
                <w:sz w:val="24"/>
              </w:rPr>
              <w:t>（</w:t>
            </w:r>
            <w:r>
              <w:rPr>
                <w:sz w:val="24"/>
              </w:rPr>
              <w:t>1</w:t>
            </w:r>
            <w:r>
              <w:rPr>
                <w:rFonts w:hint="eastAsia" w:hAnsi="宋体"/>
                <w:sz w:val="24"/>
              </w:rPr>
              <w:t>）</w:t>
            </w:r>
            <w:r>
              <w:rPr>
                <w:rFonts w:hint="eastAsia"/>
                <w:sz w:val="24"/>
              </w:rPr>
              <w:t>生态保护红线</w:t>
            </w:r>
          </w:p>
          <w:p w14:paraId="18E17DDA">
            <w:pPr>
              <w:adjustRightInd w:val="0"/>
              <w:snapToGrid w:val="0"/>
              <w:spacing w:line="360" w:lineRule="auto"/>
              <w:ind w:firstLine="480" w:firstLineChars="200"/>
              <w:rPr>
                <w:rFonts w:hAnsi="宋体"/>
                <w:kern w:val="0"/>
                <w:sz w:val="24"/>
              </w:rPr>
            </w:pPr>
            <w:r>
              <w:rPr>
                <w:rFonts w:hint="eastAsia" w:hAnsi="宋体"/>
                <w:kern w:val="0"/>
                <w:sz w:val="24"/>
              </w:rPr>
              <w:t>项目位于河南省商丘市民权县北关镇民荷路北段9号，根据</w:t>
            </w:r>
            <w:r>
              <w:rPr>
                <w:rFonts w:hAnsi="宋体"/>
                <w:sz w:val="24"/>
              </w:rPr>
              <w:t>河南省“三线一单”</w:t>
            </w:r>
            <w:r>
              <w:rPr>
                <w:rFonts w:hint="eastAsia" w:hAnsi="宋体"/>
                <w:sz w:val="24"/>
              </w:rPr>
              <w:t>综合信息</w:t>
            </w:r>
            <w:r>
              <w:rPr>
                <w:rFonts w:hAnsi="宋体"/>
                <w:sz w:val="24"/>
              </w:rPr>
              <w:t>应用平台</w:t>
            </w:r>
            <w:r>
              <w:rPr>
                <w:rFonts w:hint="eastAsia" w:hAnsi="宋体"/>
                <w:sz w:val="24"/>
              </w:rPr>
              <w:t>研判</w:t>
            </w:r>
            <w:r>
              <w:rPr>
                <w:rFonts w:hAnsi="宋体"/>
                <w:sz w:val="24"/>
              </w:rPr>
              <w:t>分析</w:t>
            </w:r>
            <w:r>
              <w:rPr>
                <w:rFonts w:hint="eastAsia" w:hAnsi="宋体"/>
                <w:sz w:val="24"/>
              </w:rPr>
              <w:t>结果</w:t>
            </w:r>
            <w:r>
              <w:rPr>
                <w:rFonts w:hint="eastAsia" w:hAnsi="宋体"/>
                <w:kern w:val="0"/>
                <w:sz w:val="24"/>
              </w:rPr>
              <w:t>（见附图七），本项目位于一般管控单元，不在商丘市生态保护红线范围内。</w:t>
            </w:r>
          </w:p>
          <w:p w14:paraId="459E11C7">
            <w:pPr>
              <w:spacing w:line="360" w:lineRule="auto"/>
              <w:ind w:firstLine="480" w:firstLineChars="200"/>
              <w:rPr>
                <w:sz w:val="24"/>
              </w:rPr>
            </w:pPr>
            <w:r>
              <w:rPr>
                <w:rFonts w:hint="eastAsia" w:hAnsi="宋体"/>
                <w:sz w:val="24"/>
              </w:rPr>
              <w:t>（</w:t>
            </w:r>
            <w:r>
              <w:rPr>
                <w:sz w:val="24"/>
              </w:rPr>
              <w:t>2</w:t>
            </w:r>
            <w:r>
              <w:rPr>
                <w:rFonts w:hint="eastAsia" w:hAnsi="宋体"/>
                <w:sz w:val="24"/>
              </w:rPr>
              <w:t>）环境质量底线</w:t>
            </w:r>
          </w:p>
          <w:p w14:paraId="5DB0D818">
            <w:pPr>
              <w:adjustRightInd w:val="0"/>
              <w:snapToGrid w:val="0"/>
              <w:spacing w:line="360" w:lineRule="auto"/>
              <w:ind w:firstLine="480" w:firstLineChars="200"/>
              <w:rPr>
                <w:kern w:val="0"/>
                <w:sz w:val="24"/>
              </w:rPr>
            </w:pPr>
            <w:r>
              <w:rPr>
                <w:kern w:val="0"/>
                <w:sz w:val="24"/>
              </w:rPr>
              <w:t>根据环境空气质量模型技术支持服务系统统计的商丘市</w:t>
            </w:r>
            <w:r>
              <w:rPr>
                <w:rFonts w:eastAsia="TimesNewRomanPSMT"/>
                <w:kern w:val="0"/>
                <w:sz w:val="24"/>
              </w:rPr>
              <w:t>202</w:t>
            </w:r>
            <w:r>
              <w:rPr>
                <w:rFonts w:hint="eastAsia" w:eastAsia="TimesNewRomanPSMT"/>
                <w:kern w:val="0"/>
                <w:sz w:val="24"/>
              </w:rPr>
              <w:t>3</w:t>
            </w:r>
            <w:r>
              <w:rPr>
                <w:kern w:val="0"/>
                <w:sz w:val="24"/>
              </w:rPr>
              <w:t>年环境空气质量数据可知，项目所在区域</w:t>
            </w:r>
            <w:r>
              <w:rPr>
                <w:rFonts w:eastAsia="TimesNewRomanPSMT"/>
                <w:kern w:val="0"/>
                <w:sz w:val="24"/>
              </w:rPr>
              <w:t>SO</w:t>
            </w:r>
            <w:r>
              <w:rPr>
                <w:rFonts w:eastAsia="TimesNewRomanPSMT"/>
                <w:kern w:val="0"/>
                <w:sz w:val="24"/>
                <w:vertAlign w:val="subscript"/>
              </w:rPr>
              <w:t>2</w:t>
            </w:r>
            <w:r>
              <w:rPr>
                <w:kern w:val="0"/>
                <w:sz w:val="24"/>
              </w:rPr>
              <w:t>、</w:t>
            </w:r>
            <w:r>
              <w:rPr>
                <w:rFonts w:eastAsia="TimesNewRomanPSMT"/>
                <w:kern w:val="0"/>
                <w:sz w:val="24"/>
              </w:rPr>
              <w:t>NO</w:t>
            </w:r>
            <w:r>
              <w:rPr>
                <w:rFonts w:eastAsia="TimesNewRomanPSMT"/>
                <w:kern w:val="0"/>
                <w:sz w:val="24"/>
                <w:vertAlign w:val="subscript"/>
              </w:rPr>
              <w:t>2</w:t>
            </w:r>
            <w:r>
              <w:rPr>
                <w:kern w:val="0"/>
                <w:sz w:val="24"/>
              </w:rPr>
              <w:t>、</w:t>
            </w:r>
            <w:r>
              <w:rPr>
                <w:rFonts w:eastAsia="TimesNewRomanPSMT"/>
                <w:kern w:val="0"/>
                <w:sz w:val="24"/>
              </w:rPr>
              <w:t>CO</w:t>
            </w:r>
            <w:r>
              <w:rPr>
                <w:kern w:val="0"/>
                <w:sz w:val="24"/>
              </w:rPr>
              <w:t>均满足《环境空气质量标准》（</w:t>
            </w:r>
            <w:r>
              <w:rPr>
                <w:rFonts w:eastAsia="TimesNewRomanPSMT"/>
                <w:kern w:val="0"/>
                <w:sz w:val="24"/>
              </w:rPr>
              <w:t>GB3095-2012</w:t>
            </w:r>
            <w:r>
              <w:rPr>
                <w:kern w:val="0"/>
                <w:sz w:val="24"/>
              </w:rPr>
              <w:t>）二级标准，</w:t>
            </w:r>
            <w:r>
              <w:rPr>
                <w:rFonts w:eastAsia="TimesNewRomanPSMT"/>
                <w:kern w:val="0"/>
                <w:sz w:val="24"/>
              </w:rPr>
              <w:t>PM</w:t>
            </w:r>
            <w:r>
              <w:rPr>
                <w:rFonts w:eastAsia="TimesNewRomanPSMT"/>
                <w:kern w:val="0"/>
                <w:sz w:val="24"/>
                <w:vertAlign w:val="subscript"/>
              </w:rPr>
              <w:t>2.5</w:t>
            </w:r>
            <w:r>
              <w:rPr>
                <w:kern w:val="0"/>
                <w:sz w:val="24"/>
              </w:rPr>
              <w:t>、</w:t>
            </w:r>
            <w:r>
              <w:rPr>
                <w:rFonts w:eastAsia="TimesNewRomanPSMT"/>
                <w:kern w:val="0"/>
                <w:sz w:val="24"/>
              </w:rPr>
              <w:t>PM</w:t>
            </w:r>
            <w:r>
              <w:rPr>
                <w:rFonts w:eastAsia="TimesNewRomanPSMT"/>
                <w:kern w:val="0"/>
                <w:sz w:val="24"/>
                <w:vertAlign w:val="subscript"/>
              </w:rPr>
              <w:t>10</w:t>
            </w:r>
            <w:r>
              <w:rPr>
                <w:kern w:val="0"/>
                <w:sz w:val="24"/>
              </w:rPr>
              <w:t>、</w:t>
            </w:r>
            <w:r>
              <w:rPr>
                <w:rFonts w:eastAsia="TimesNewRomanPSMT"/>
                <w:kern w:val="0"/>
                <w:sz w:val="24"/>
              </w:rPr>
              <w:t>O</w:t>
            </w:r>
            <w:r>
              <w:rPr>
                <w:rFonts w:eastAsia="TimesNewRomanPSMT"/>
                <w:kern w:val="0"/>
                <w:sz w:val="24"/>
                <w:vertAlign w:val="subscript"/>
              </w:rPr>
              <w:t>3</w:t>
            </w:r>
            <w:r>
              <w:rPr>
                <w:kern w:val="0"/>
                <w:sz w:val="24"/>
              </w:rPr>
              <w:t>均不满足《环境空气质量标准》（</w:t>
            </w:r>
            <w:r>
              <w:rPr>
                <w:rFonts w:eastAsia="TimesNewRomanPSMT"/>
                <w:kern w:val="0"/>
                <w:sz w:val="24"/>
              </w:rPr>
              <w:t>GB3095-2012</w:t>
            </w:r>
            <w:r>
              <w:rPr>
                <w:kern w:val="0"/>
                <w:sz w:val="24"/>
              </w:rPr>
              <w:t>）二级标准，故项目所在区域环境空气质量为不达标区。目前民权县正在实施《河南省深入打好秋冬季重污染天气消除、夏季臭氧防治和柴油货车污染治理攻坚战行动方案》、《河南省2025年蓝天保卫战实施方案》等文件，通过实施一系列措施，可有效改善当地区域环境空气质量。</w:t>
            </w:r>
          </w:p>
          <w:p w14:paraId="0F300FD7">
            <w:pPr>
              <w:spacing w:line="360" w:lineRule="auto"/>
              <w:ind w:firstLine="480" w:firstLineChars="200"/>
              <w:rPr>
                <w:rFonts w:hAnsi="宋体"/>
                <w:sz w:val="24"/>
              </w:rPr>
            </w:pPr>
            <w:r>
              <w:rPr>
                <w:rFonts w:hint="eastAsia" w:hAnsi="宋体"/>
                <w:sz w:val="24"/>
              </w:rPr>
              <w:t>污水处理厂纳污水体汇入</w:t>
            </w:r>
            <w:r>
              <w:rPr>
                <w:rFonts w:hint="eastAsia"/>
                <w:spacing w:val="8"/>
                <w:sz w:val="24"/>
              </w:rPr>
              <w:t>汇入杨河，最终汇入黄河故道。黄河故道龙泽湖断面各污染因子</w:t>
            </w:r>
            <w:r>
              <w:rPr>
                <w:rFonts w:hint="eastAsia"/>
                <w:sz w:val="24"/>
              </w:rPr>
              <w:t>均可满足《地表水环境质量标准》（GB3838-2002</w:t>
            </w:r>
            <w:r>
              <w:rPr>
                <w:sz w:val="24"/>
              </w:rPr>
              <w:t>）Ⅲ类</w:t>
            </w:r>
            <w:r>
              <w:rPr>
                <w:rFonts w:hint="eastAsia"/>
                <w:sz w:val="24"/>
              </w:rPr>
              <w:t>水质要求，</w:t>
            </w:r>
            <w:r>
              <w:rPr>
                <w:rFonts w:hint="eastAsia" w:hAnsi="宋体"/>
                <w:sz w:val="24"/>
              </w:rPr>
              <w:t>不会对地表水产生影响。</w:t>
            </w:r>
          </w:p>
          <w:p w14:paraId="13CC0037">
            <w:pPr>
              <w:pStyle w:val="11"/>
              <w:adjustRightInd w:val="0"/>
              <w:snapToGrid w:val="0"/>
              <w:spacing w:line="360" w:lineRule="auto"/>
              <w:ind w:firstLine="480"/>
              <w:rPr>
                <w:bCs w:val="0"/>
                <w:kern w:val="0"/>
                <w:sz w:val="24"/>
              </w:rPr>
            </w:pPr>
            <w:r>
              <w:rPr>
                <w:rFonts w:hint="eastAsia"/>
                <w:sz w:val="24"/>
              </w:rPr>
              <w:t>项目原料存放、</w:t>
            </w:r>
            <w:r>
              <w:rPr>
                <w:rFonts w:hint="eastAsia"/>
                <w:spacing w:val="-4"/>
                <w:sz w:val="24"/>
              </w:rPr>
              <w:t>破碎、熬制及压饼等生产过程恶臭废气、熬制油烟废气及污水处理站恶臭气体由</w:t>
            </w:r>
            <w:r>
              <w:rPr>
                <w:rFonts w:hint="eastAsia"/>
                <w:sz w:val="24"/>
                <w:szCs w:val="20"/>
              </w:rPr>
              <w:t>“冷凝+</w:t>
            </w:r>
            <w:r>
              <w:rPr>
                <w:rFonts w:hint="eastAsia"/>
                <w:sz w:val="24"/>
              </w:rPr>
              <w:t>静电油烟净化器+碱液</w:t>
            </w:r>
            <w:r>
              <w:rPr>
                <w:rFonts w:hint="eastAsia"/>
                <w:sz w:val="24"/>
                <w:szCs w:val="20"/>
              </w:rPr>
              <w:t>喷淋塔+除雾器+</w:t>
            </w:r>
            <w:r>
              <w:rPr>
                <w:rFonts w:hint="eastAsia"/>
                <w:sz w:val="24"/>
              </w:rPr>
              <w:t>活性炭吸附装置</w:t>
            </w:r>
            <w:r>
              <w:rPr>
                <w:rFonts w:hint="eastAsia"/>
                <w:sz w:val="24"/>
                <w:szCs w:val="20"/>
              </w:rPr>
              <w:t>”</w:t>
            </w:r>
            <w:r>
              <w:rPr>
                <w:rFonts w:hint="eastAsia"/>
                <w:spacing w:val="-4"/>
                <w:sz w:val="24"/>
              </w:rPr>
              <w:t>处理后通过排气筒达标排放，对环境影响较小；</w:t>
            </w:r>
            <w:r>
              <w:rPr>
                <w:rFonts w:hint="eastAsia"/>
                <w:sz w:val="24"/>
              </w:rPr>
              <w:t>项目</w:t>
            </w:r>
            <w:r>
              <w:rPr>
                <w:rFonts w:hint="eastAsia"/>
                <w:kern w:val="0"/>
                <w:sz w:val="24"/>
              </w:rPr>
              <w:t>生产废水经厂区污水处理站处理后，经罐车运至北关镇污水处理厂处理，生活污水经厂区化粪池处理后交由周边居民外运肥田；循环冷却水系统排水回用于</w:t>
            </w:r>
            <w:r>
              <w:rPr>
                <w:color w:val="000000"/>
                <w:sz w:val="24"/>
              </w:rPr>
              <w:t>设备及地面清洗或洒水抑尘</w:t>
            </w:r>
            <w:r>
              <w:rPr>
                <w:rFonts w:hint="eastAsia"/>
                <w:kern w:val="0"/>
                <w:sz w:val="24"/>
              </w:rPr>
              <w:t>，不外排；项目运营过程中的高噪声设备经采取厂房阻隔等措施，厂界噪声值能够达标排放；项目固体废物分类收集、处置</w:t>
            </w:r>
            <w:r>
              <w:rPr>
                <w:sz w:val="24"/>
              </w:rPr>
              <w:t>。本项目实施后，营运期间产生的各项污染物采取了相应的防治措施，均能实现达标排放或综合利用，对周围环境影响较小。</w:t>
            </w:r>
          </w:p>
          <w:p w14:paraId="6F2BED44">
            <w:pPr>
              <w:pStyle w:val="11"/>
              <w:spacing w:line="360" w:lineRule="auto"/>
              <w:ind w:firstLine="480"/>
              <w:rPr>
                <w:sz w:val="24"/>
              </w:rPr>
            </w:pPr>
            <w:r>
              <w:rPr>
                <w:rFonts w:hint="eastAsia"/>
                <w:sz w:val="24"/>
              </w:rPr>
              <w:t>综上，项目建设对区域环境质量影响较小，满足环境质量底线要求。</w:t>
            </w:r>
          </w:p>
          <w:p w14:paraId="4DB13359">
            <w:pPr>
              <w:spacing w:line="360" w:lineRule="auto"/>
              <w:ind w:firstLine="480" w:firstLineChars="200"/>
              <w:rPr>
                <w:sz w:val="24"/>
              </w:rPr>
            </w:pPr>
            <w:r>
              <w:rPr>
                <w:rFonts w:hint="eastAsia" w:hAnsi="宋体"/>
                <w:sz w:val="24"/>
              </w:rPr>
              <w:t>（</w:t>
            </w:r>
            <w:r>
              <w:rPr>
                <w:sz w:val="24"/>
              </w:rPr>
              <w:t>3</w:t>
            </w:r>
            <w:r>
              <w:rPr>
                <w:rFonts w:hint="eastAsia" w:hAnsi="宋体"/>
                <w:sz w:val="24"/>
              </w:rPr>
              <w:t>）资源利用上线</w:t>
            </w:r>
          </w:p>
          <w:p w14:paraId="171220BC">
            <w:pPr>
              <w:spacing w:line="360" w:lineRule="auto"/>
              <w:ind w:firstLine="480" w:firstLineChars="200"/>
              <w:rPr>
                <w:sz w:val="24"/>
              </w:rPr>
            </w:pPr>
            <w:r>
              <w:rPr>
                <w:rFonts w:hint="eastAsia" w:hAnsi="宋体"/>
                <w:sz w:val="24"/>
              </w:rPr>
              <w:t>本项目利用能源资源主要为水、电、天然气；项目建成运行后通过内部管理、设备选择、原辅材料的选用和管理、废物回收利用、污染治理等多方面措施，可使产生的污染物得到有效的处置。项目对资源的使用较少，利用率较高，不触及资源利用上线。</w:t>
            </w:r>
          </w:p>
          <w:p w14:paraId="2C3E76D4">
            <w:pPr>
              <w:spacing w:line="360" w:lineRule="auto"/>
              <w:ind w:firstLine="480" w:firstLineChars="200"/>
              <w:rPr>
                <w:sz w:val="24"/>
              </w:rPr>
            </w:pPr>
            <w:r>
              <w:rPr>
                <w:rFonts w:hint="eastAsia" w:hAnsi="宋体"/>
                <w:sz w:val="24"/>
              </w:rPr>
              <w:t>（</w:t>
            </w:r>
            <w:r>
              <w:rPr>
                <w:sz w:val="24"/>
              </w:rPr>
              <w:t>4</w:t>
            </w:r>
            <w:r>
              <w:rPr>
                <w:rFonts w:hint="eastAsia" w:hAnsi="宋体"/>
                <w:sz w:val="24"/>
              </w:rPr>
              <w:t>）环境准入清单</w:t>
            </w:r>
          </w:p>
          <w:p w14:paraId="12B21929">
            <w:pPr>
              <w:spacing w:line="360" w:lineRule="auto"/>
              <w:ind w:firstLine="480" w:firstLineChars="200"/>
              <w:rPr>
                <w:rFonts w:hAnsi="宋体"/>
                <w:sz w:val="24"/>
              </w:rPr>
            </w:pPr>
            <w:r>
              <w:rPr>
                <w:bCs/>
                <w:sz w:val="24"/>
              </w:rPr>
              <w:t>根据</w:t>
            </w:r>
            <w:r>
              <w:rPr>
                <w:rFonts w:hint="eastAsia"/>
                <w:bCs/>
                <w:sz w:val="24"/>
              </w:rPr>
              <w:t>《</w:t>
            </w:r>
            <w:r>
              <w:rPr>
                <w:bCs/>
                <w:sz w:val="24"/>
              </w:rPr>
              <w:t>关于公布河南省“三线一单”生态环境分区管控更新成果（2023年版）的通知</w:t>
            </w:r>
            <w:r>
              <w:rPr>
                <w:rFonts w:hint="eastAsia"/>
                <w:bCs/>
                <w:sz w:val="24"/>
              </w:rPr>
              <w:t>》</w:t>
            </w:r>
            <w:r>
              <w:rPr>
                <w:rFonts w:hAnsi="宋体"/>
                <w:sz w:val="24"/>
              </w:rPr>
              <w:t>及河南省“三线一单”</w:t>
            </w:r>
            <w:r>
              <w:rPr>
                <w:rFonts w:hint="eastAsia" w:hAnsi="宋体"/>
                <w:sz w:val="24"/>
              </w:rPr>
              <w:t>综合信息</w:t>
            </w:r>
            <w:r>
              <w:rPr>
                <w:rFonts w:hAnsi="宋体"/>
                <w:sz w:val="24"/>
              </w:rPr>
              <w:t>应用平台</w:t>
            </w:r>
            <w:r>
              <w:rPr>
                <w:rFonts w:hint="eastAsia" w:hAnsi="宋体"/>
                <w:sz w:val="24"/>
              </w:rPr>
              <w:t>研判</w:t>
            </w:r>
            <w:r>
              <w:rPr>
                <w:rFonts w:hAnsi="宋体"/>
                <w:sz w:val="24"/>
              </w:rPr>
              <w:t>分析</w:t>
            </w:r>
            <w:r>
              <w:rPr>
                <w:rFonts w:hint="eastAsia" w:hAnsi="宋体"/>
                <w:sz w:val="24"/>
              </w:rPr>
              <w:t>结果</w:t>
            </w:r>
            <w:r>
              <w:rPr>
                <w:rFonts w:hAnsi="宋体"/>
                <w:sz w:val="24"/>
              </w:rPr>
              <w:t>确定</w:t>
            </w:r>
            <w:r>
              <w:rPr>
                <w:rFonts w:hint="eastAsia" w:hAnsi="宋体"/>
                <w:sz w:val="24"/>
              </w:rPr>
              <w:t>，</w:t>
            </w:r>
            <w:r>
              <w:rPr>
                <w:rFonts w:hAnsi="宋体"/>
                <w:sz w:val="24"/>
              </w:rPr>
              <w:t>本项目位于</w:t>
            </w:r>
            <w:r>
              <w:rPr>
                <w:rFonts w:hint="eastAsia" w:hAnsi="宋体"/>
                <w:sz w:val="24"/>
              </w:rPr>
              <w:t>一般管控单元，编号为</w:t>
            </w:r>
            <w:r>
              <w:rPr>
                <w:rFonts w:hAnsi="宋体"/>
                <w:sz w:val="24"/>
              </w:rPr>
              <w:t>ZH41142130001</w:t>
            </w:r>
            <w:r>
              <w:rPr>
                <w:rFonts w:hint="eastAsia" w:hAnsi="宋体"/>
                <w:sz w:val="24"/>
              </w:rPr>
              <w:t>，</w:t>
            </w:r>
            <w:r>
              <w:rPr>
                <w:rFonts w:hAnsi="宋体"/>
                <w:sz w:val="24"/>
              </w:rPr>
              <w:t>该项目无空间冲突。</w:t>
            </w:r>
            <w:r>
              <w:rPr>
                <w:sz w:val="24"/>
              </w:rPr>
              <w:t>本项目</w:t>
            </w:r>
            <w:r>
              <w:rPr>
                <w:rFonts w:hint="eastAsia"/>
                <w:sz w:val="24"/>
              </w:rPr>
              <w:t>与</w:t>
            </w:r>
            <w:r>
              <w:rPr>
                <w:sz w:val="24"/>
              </w:rPr>
              <w:t>所在区域环境管控单元生态环境准入清单对比分析见下表。</w:t>
            </w:r>
          </w:p>
          <w:p w14:paraId="038EFB67">
            <w:pPr>
              <w:pStyle w:val="77"/>
              <w:spacing w:line="240" w:lineRule="auto"/>
              <w:rPr>
                <w:sz w:val="24"/>
                <w:szCs w:val="24"/>
              </w:rPr>
            </w:pPr>
            <w:r>
              <w:rPr>
                <w:rFonts w:hint="eastAsia"/>
                <w:sz w:val="24"/>
                <w:szCs w:val="24"/>
              </w:rPr>
              <w:t>表2   项目所在区域环境管控单元生态环境准入清单</w:t>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07"/>
              <w:gridCol w:w="787"/>
              <w:gridCol w:w="629"/>
              <w:gridCol w:w="518"/>
              <w:gridCol w:w="3719"/>
              <w:gridCol w:w="1587"/>
              <w:gridCol w:w="401"/>
            </w:tblGrid>
            <w:tr w14:paraId="2FE4E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134" w:hRule="atLeast"/>
                <w:jc w:val="center"/>
              </w:trPr>
              <w:tc>
                <w:tcPr>
                  <w:tcW w:w="311" w:type="pct"/>
                  <w:tcBorders>
                    <w:top w:val="single" w:color="auto" w:sz="4" w:space="0"/>
                    <w:left w:val="single" w:color="auto" w:sz="4" w:space="0"/>
                    <w:bottom w:val="single" w:color="auto" w:sz="4" w:space="0"/>
                    <w:right w:val="single" w:color="auto" w:sz="4" w:space="0"/>
                  </w:tcBorders>
                  <w:vAlign w:val="center"/>
                </w:tcPr>
                <w:p w14:paraId="35F6C982">
                  <w:pPr>
                    <w:jc w:val="center"/>
                    <w:rPr>
                      <w:bCs/>
                      <w:szCs w:val="21"/>
                    </w:rPr>
                  </w:pPr>
                  <w:r>
                    <w:rPr>
                      <w:rFonts w:hint="eastAsia"/>
                      <w:bCs/>
                      <w:szCs w:val="21"/>
                    </w:rPr>
                    <w:t>环境管控单元编码</w:t>
                  </w:r>
                </w:p>
              </w:tc>
              <w:tc>
                <w:tcPr>
                  <w:tcW w:w="483" w:type="pct"/>
                  <w:tcBorders>
                    <w:top w:val="single" w:color="auto" w:sz="4" w:space="0"/>
                    <w:left w:val="single" w:color="auto" w:sz="4" w:space="0"/>
                    <w:bottom w:val="single" w:color="auto" w:sz="4" w:space="0"/>
                    <w:right w:val="single" w:color="auto" w:sz="4" w:space="0"/>
                  </w:tcBorders>
                  <w:vAlign w:val="center"/>
                </w:tcPr>
                <w:p w14:paraId="0CA46EFB">
                  <w:pPr>
                    <w:jc w:val="center"/>
                    <w:rPr>
                      <w:bCs/>
                      <w:szCs w:val="21"/>
                    </w:rPr>
                  </w:pPr>
                  <w:r>
                    <w:rPr>
                      <w:rFonts w:hint="eastAsia"/>
                      <w:bCs/>
                      <w:szCs w:val="21"/>
                    </w:rPr>
                    <w:t>环境管控单元名称</w:t>
                  </w:r>
                </w:p>
              </w:tc>
              <w:tc>
                <w:tcPr>
                  <w:tcW w:w="386" w:type="pct"/>
                  <w:tcBorders>
                    <w:top w:val="single" w:color="auto" w:sz="4" w:space="0"/>
                    <w:left w:val="single" w:color="auto" w:sz="4" w:space="0"/>
                    <w:bottom w:val="single" w:color="auto" w:sz="4" w:space="0"/>
                    <w:right w:val="single" w:color="auto" w:sz="4" w:space="0"/>
                  </w:tcBorders>
                  <w:vAlign w:val="center"/>
                </w:tcPr>
                <w:p w14:paraId="528905F4">
                  <w:pPr>
                    <w:jc w:val="center"/>
                    <w:rPr>
                      <w:bCs/>
                      <w:szCs w:val="21"/>
                    </w:rPr>
                  </w:pPr>
                  <w:r>
                    <w:rPr>
                      <w:rFonts w:hint="eastAsia"/>
                      <w:bCs/>
                      <w:szCs w:val="21"/>
                    </w:rPr>
                    <w:t>管控单元分类</w:t>
                  </w:r>
                </w:p>
              </w:tc>
              <w:tc>
                <w:tcPr>
                  <w:tcW w:w="2599" w:type="pct"/>
                  <w:gridSpan w:val="2"/>
                  <w:tcBorders>
                    <w:top w:val="single" w:color="auto" w:sz="4" w:space="0"/>
                    <w:left w:val="single" w:color="auto" w:sz="4" w:space="0"/>
                    <w:bottom w:val="single" w:color="auto" w:sz="4" w:space="0"/>
                    <w:right w:val="single" w:color="auto" w:sz="4" w:space="0"/>
                  </w:tcBorders>
                  <w:vAlign w:val="center"/>
                </w:tcPr>
                <w:p w14:paraId="69098D6B">
                  <w:pPr>
                    <w:jc w:val="center"/>
                    <w:rPr>
                      <w:bCs/>
                      <w:szCs w:val="21"/>
                    </w:rPr>
                  </w:pPr>
                  <w:r>
                    <w:rPr>
                      <w:rFonts w:hint="eastAsia"/>
                      <w:bCs/>
                      <w:szCs w:val="21"/>
                    </w:rPr>
                    <w:t>管控要求</w:t>
                  </w:r>
                </w:p>
              </w:tc>
              <w:tc>
                <w:tcPr>
                  <w:tcW w:w="974" w:type="pct"/>
                  <w:tcBorders>
                    <w:top w:val="single" w:color="auto" w:sz="4" w:space="0"/>
                    <w:left w:val="single" w:color="auto" w:sz="4" w:space="0"/>
                    <w:bottom w:val="single" w:color="auto" w:sz="4" w:space="0"/>
                    <w:right w:val="single" w:color="auto" w:sz="4" w:space="0"/>
                  </w:tcBorders>
                  <w:vAlign w:val="center"/>
                </w:tcPr>
                <w:p w14:paraId="3BFD9B7B">
                  <w:pPr>
                    <w:jc w:val="center"/>
                    <w:rPr>
                      <w:bCs/>
                      <w:szCs w:val="21"/>
                    </w:rPr>
                  </w:pPr>
                  <w:r>
                    <w:rPr>
                      <w:rFonts w:hint="eastAsia"/>
                      <w:bCs/>
                      <w:szCs w:val="21"/>
                    </w:rPr>
                    <w:t>本项目情况</w:t>
                  </w:r>
                </w:p>
              </w:tc>
              <w:tc>
                <w:tcPr>
                  <w:tcW w:w="246" w:type="pct"/>
                  <w:tcBorders>
                    <w:top w:val="single" w:color="auto" w:sz="4" w:space="0"/>
                    <w:left w:val="single" w:color="auto" w:sz="4" w:space="0"/>
                    <w:bottom w:val="single" w:color="auto" w:sz="4" w:space="0"/>
                    <w:right w:val="single" w:color="auto" w:sz="4" w:space="0"/>
                  </w:tcBorders>
                  <w:vAlign w:val="center"/>
                </w:tcPr>
                <w:p w14:paraId="36885BD2">
                  <w:pPr>
                    <w:jc w:val="center"/>
                    <w:rPr>
                      <w:bCs/>
                      <w:szCs w:val="21"/>
                    </w:rPr>
                  </w:pPr>
                  <w:r>
                    <w:rPr>
                      <w:rFonts w:hint="eastAsia"/>
                      <w:bCs/>
                      <w:szCs w:val="21"/>
                    </w:rPr>
                    <w:t>相符性</w:t>
                  </w:r>
                </w:p>
              </w:tc>
            </w:tr>
            <w:tr w14:paraId="6ADBC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11" w:type="pct"/>
                  <w:vMerge w:val="restart"/>
                  <w:tcBorders>
                    <w:top w:val="single" w:color="auto" w:sz="4" w:space="0"/>
                    <w:left w:val="single" w:color="auto" w:sz="4" w:space="0"/>
                    <w:right w:val="single" w:color="auto" w:sz="4" w:space="0"/>
                  </w:tcBorders>
                  <w:vAlign w:val="center"/>
                </w:tcPr>
                <w:p w14:paraId="0946F2B2">
                  <w:pPr>
                    <w:wordWrap w:val="0"/>
                    <w:jc w:val="center"/>
                    <w:rPr>
                      <w:bCs/>
                      <w:szCs w:val="21"/>
                    </w:rPr>
                  </w:pPr>
                  <w:r>
                    <w:rPr>
                      <w:color w:val="000000"/>
                    </w:rPr>
                    <w:t>ZH41142130001</w:t>
                  </w:r>
                </w:p>
              </w:tc>
              <w:tc>
                <w:tcPr>
                  <w:tcW w:w="483" w:type="pct"/>
                  <w:vMerge w:val="restart"/>
                  <w:tcBorders>
                    <w:top w:val="single" w:color="auto" w:sz="4" w:space="0"/>
                    <w:left w:val="single" w:color="auto" w:sz="4" w:space="0"/>
                    <w:right w:val="single" w:color="auto" w:sz="4" w:space="0"/>
                  </w:tcBorders>
                  <w:vAlign w:val="center"/>
                </w:tcPr>
                <w:p w14:paraId="1F1BC1C2">
                  <w:pPr>
                    <w:wordWrap w:val="0"/>
                    <w:jc w:val="center"/>
                    <w:rPr>
                      <w:bCs/>
                      <w:szCs w:val="21"/>
                    </w:rPr>
                  </w:pPr>
                  <w:r>
                    <w:rPr>
                      <w:rFonts w:hint="eastAsia"/>
                      <w:color w:val="000000"/>
                    </w:rPr>
                    <w:t>民权县</w:t>
                  </w:r>
                  <w:r>
                    <w:rPr>
                      <w:color w:val="000000"/>
                    </w:rPr>
                    <w:t>一般管控单元</w:t>
                  </w:r>
                </w:p>
              </w:tc>
              <w:tc>
                <w:tcPr>
                  <w:tcW w:w="386" w:type="pct"/>
                  <w:vMerge w:val="restart"/>
                  <w:tcBorders>
                    <w:top w:val="single" w:color="auto" w:sz="4" w:space="0"/>
                    <w:left w:val="single" w:color="auto" w:sz="4" w:space="0"/>
                    <w:right w:val="single" w:color="auto" w:sz="4" w:space="0"/>
                  </w:tcBorders>
                  <w:vAlign w:val="center"/>
                </w:tcPr>
                <w:p w14:paraId="6E4FE0CF">
                  <w:pPr>
                    <w:jc w:val="center"/>
                    <w:rPr>
                      <w:bCs/>
                      <w:szCs w:val="21"/>
                    </w:rPr>
                  </w:pPr>
                  <w:r>
                    <w:rPr>
                      <w:bCs/>
                      <w:szCs w:val="21"/>
                    </w:rPr>
                    <w:t>一般管控单元</w:t>
                  </w:r>
                </w:p>
              </w:tc>
              <w:tc>
                <w:tcPr>
                  <w:tcW w:w="318" w:type="pct"/>
                  <w:tcBorders>
                    <w:top w:val="single" w:color="auto" w:sz="4" w:space="0"/>
                    <w:left w:val="single" w:color="auto" w:sz="4" w:space="0"/>
                    <w:bottom w:val="single" w:color="auto" w:sz="4" w:space="0"/>
                    <w:right w:val="single" w:color="auto" w:sz="4" w:space="0"/>
                  </w:tcBorders>
                  <w:vAlign w:val="center"/>
                </w:tcPr>
                <w:p w14:paraId="7F51FA80">
                  <w:pPr>
                    <w:jc w:val="center"/>
                    <w:rPr>
                      <w:bCs/>
                      <w:szCs w:val="21"/>
                    </w:rPr>
                  </w:pPr>
                  <w:r>
                    <w:rPr>
                      <w:rFonts w:hint="eastAsia"/>
                      <w:bCs/>
                      <w:szCs w:val="21"/>
                    </w:rPr>
                    <w:t>空间布局约束</w:t>
                  </w:r>
                </w:p>
              </w:tc>
              <w:tc>
                <w:tcPr>
                  <w:tcW w:w="2282" w:type="pct"/>
                  <w:tcBorders>
                    <w:top w:val="single" w:color="auto" w:sz="4" w:space="0"/>
                    <w:left w:val="single" w:color="auto" w:sz="4" w:space="0"/>
                    <w:bottom w:val="single" w:color="auto" w:sz="4" w:space="0"/>
                    <w:right w:val="single" w:color="auto" w:sz="4" w:space="0"/>
                  </w:tcBorders>
                  <w:vAlign w:val="center"/>
                </w:tcPr>
                <w:p w14:paraId="461B838B">
                  <w:pPr>
                    <w:jc w:val="left"/>
                    <w:rPr>
                      <w:bCs/>
                      <w:spacing w:val="-4"/>
                      <w:szCs w:val="21"/>
                    </w:rPr>
                  </w:pPr>
                  <w:r>
                    <w:rPr>
                      <w:rFonts w:hint="eastAsia"/>
                      <w:bCs/>
                      <w:spacing w:val="-4"/>
                      <w:szCs w:val="21"/>
                    </w:rPr>
                    <w:t>1、严格控制在优先保护类耕地集中区域新建有色金属冶炼、石油化工、化工、焦化等行业企业以及可能造成耕地土壤污染的建设项目。新建、扩建的重有色金属冶炼、电镀、制革企业应选择布设在依法合规设立并经规划环评的产业园区。</w:t>
                  </w:r>
                </w:p>
                <w:p w14:paraId="18A45C26">
                  <w:pPr>
                    <w:jc w:val="left"/>
                    <w:rPr>
                      <w:bCs/>
                      <w:spacing w:val="-4"/>
                      <w:szCs w:val="21"/>
                    </w:rPr>
                  </w:pPr>
                  <w:r>
                    <w:rPr>
                      <w:rFonts w:hint="eastAsia"/>
                      <w:bCs/>
                      <w:spacing w:val="-4"/>
                      <w:szCs w:val="21"/>
                    </w:rPr>
                    <w:t>2、加强对农业空间转为生态空间的监督管理，未经国务院批准，禁止将永久基本农田转为城镇空间。鼓励城镇空间和符合国家生态退耕条件的农业空间转为生态空间。</w:t>
                  </w:r>
                </w:p>
                <w:p w14:paraId="4F3A6076">
                  <w:pPr>
                    <w:jc w:val="left"/>
                    <w:rPr>
                      <w:bCs/>
                      <w:spacing w:val="-4"/>
                      <w:szCs w:val="21"/>
                    </w:rPr>
                  </w:pPr>
                  <w:r>
                    <w:rPr>
                      <w:rFonts w:hint="eastAsia"/>
                      <w:bCs/>
                      <w:spacing w:val="-4"/>
                      <w:szCs w:val="21"/>
                    </w:rPr>
                    <w:t>3、鼓励依托国能民权热电发展蒸汽使用量大、污染轻的工业企业。</w:t>
                  </w:r>
                </w:p>
                <w:p w14:paraId="2DBFC56A">
                  <w:pPr>
                    <w:jc w:val="left"/>
                    <w:rPr>
                      <w:bCs/>
                      <w:spacing w:val="-4"/>
                      <w:szCs w:val="21"/>
                    </w:rPr>
                  </w:pPr>
                  <w:r>
                    <w:rPr>
                      <w:rFonts w:hint="eastAsia"/>
                      <w:bCs/>
                      <w:spacing w:val="-4"/>
                      <w:szCs w:val="21"/>
                    </w:rPr>
                    <w:t>4、做好民权葡萄酒生产加工，鼓励建设集酿酒葡萄种植、葡萄酒酿造、休闲旅游和文化推广于一体的葡萄酒庄，大力发展葡萄酒庄园经济。</w:t>
                  </w:r>
                </w:p>
              </w:tc>
              <w:tc>
                <w:tcPr>
                  <w:tcW w:w="974" w:type="pct"/>
                  <w:tcBorders>
                    <w:top w:val="single" w:color="auto" w:sz="4" w:space="0"/>
                    <w:left w:val="single" w:color="auto" w:sz="4" w:space="0"/>
                    <w:bottom w:val="single" w:color="auto" w:sz="4" w:space="0"/>
                    <w:right w:val="single" w:color="auto" w:sz="4" w:space="0"/>
                  </w:tcBorders>
                  <w:vAlign w:val="center"/>
                </w:tcPr>
                <w:p w14:paraId="3AB2AC97">
                  <w:pPr>
                    <w:wordWrap w:val="0"/>
                    <w:jc w:val="center"/>
                    <w:rPr>
                      <w:snapToGrid w:val="0"/>
                      <w:color w:val="000000"/>
                      <w:kern w:val="0"/>
                      <w:szCs w:val="21"/>
                    </w:rPr>
                  </w:pPr>
                  <w:r>
                    <w:rPr>
                      <w:rFonts w:hint="eastAsia"/>
                      <w:snapToGrid w:val="0"/>
                      <w:color w:val="000000"/>
                      <w:kern w:val="0"/>
                      <w:szCs w:val="21"/>
                    </w:rPr>
                    <w:t>本项目为肉制品及副产品加工项目，不属于涉有色金属冶炼、石油化工、化工、焦化、电镀、制革等行业，且项目占地为建设用地，不涉及占用耕地。</w:t>
                  </w:r>
                </w:p>
              </w:tc>
              <w:tc>
                <w:tcPr>
                  <w:tcW w:w="246" w:type="pct"/>
                  <w:tcBorders>
                    <w:top w:val="single" w:color="auto" w:sz="4" w:space="0"/>
                    <w:left w:val="single" w:color="auto" w:sz="4" w:space="0"/>
                    <w:bottom w:val="single" w:color="auto" w:sz="4" w:space="0"/>
                    <w:right w:val="single" w:color="auto" w:sz="4" w:space="0"/>
                  </w:tcBorders>
                  <w:vAlign w:val="center"/>
                </w:tcPr>
                <w:p w14:paraId="024AE9D3">
                  <w:pPr>
                    <w:jc w:val="center"/>
                    <w:rPr>
                      <w:bCs/>
                      <w:szCs w:val="21"/>
                    </w:rPr>
                  </w:pPr>
                  <w:r>
                    <w:rPr>
                      <w:rFonts w:hint="eastAsia"/>
                      <w:bCs/>
                      <w:szCs w:val="21"/>
                    </w:rPr>
                    <w:t>相符</w:t>
                  </w:r>
                </w:p>
              </w:tc>
            </w:tr>
            <w:tr w14:paraId="37E94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11" w:type="pct"/>
                  <w:vMerge w:val="continue"/>
                  <w:tcBorders>
                    <w:left w:val="single" w:color="auto" w:sz="4" w:space="0"/>
                    <w:right w:val="single" w:color="auto" w:sz="4" w:space="0"/>
                  </w:tcBorders>
                  <w:vAlign w:val="center"/>
                </w:tcPr>
                <w:p w14:paraId="4B8E6A2E">
                  <w:pPr>
                    <w:widowControl/>
                    <w:jc w:val="left"/>
                    <w:rPr>
                      <w:bCs/>
                      <w:szCs w:val="21"/>
                    </w:rPr>
                  </w:pPr>
                </w:p>
              </w:tc>
              <w:tc>
                <w:tcPr>
                  <w:tcW w:w="483" w:type="pct"/>
                  <w:vMerge w:val="continue"/>
                  <w:tcBorders>
                    <w:left w:val="single" w:color="auto" w:sz="4" w:space="0"/>
                    <w:right w:val="single" w:color="auto" w:sz="4" w:space="0"/>
                  </w:tcBorders>
                  <w:vAlign w:val="center"/>
                </w:tcPr>
                <w:p w14:paraId="377860A1">
                  <w:pPr>
                    <w:widowControl/>
                    <w:jc w:val="left"/>
                    <w:rPr>
                      <w:bCs/>
                      <w:szCs w:val="21"/>
                    </w:rPr>
                  </w:pPr>
                </w:p>
              </w:tc>
              <w:tc>
                <w:tcPr>
                  <w:tcW w:w="386" w:type="pct"/>
                  <w:vMerge w:val="continue"/>
                  <w:tcBorders>
                    <w:left w:val="single" w:color="auto" w:sz="4" w:space="0"/>
                    <w:right w:val="single" w:color="auto" w:sz="4" w:space="0"/>
                  </w:tcBorders>
                  <w:vAlign w:val="center"/>
                </w:tcPr>
                <w:p w14:paraId="4003C22E">
                  <w:pPr>
                    <w:widowControl/>
                    <w:jc w:val="left"/>
                    <w:rPr>
                      <w:b/>
                      <w:bCs/>
                      <w:color w:val="C00000"/>
                      <w:szCs w:val="21"/>
                      <w:u w:val="single"/>
                    </w:rPr>
                  </w:pPr>
                </w:p>
              </w:tc>
              <w:tc>
                <w:tcPr>
                  <w:tcW w:w="318" w:type="pct"/>
                  <w:tcBorders>
                    <w:top w:val="single" w:color="auto" w:sz="4" w:space="0"/>
                    <w:left w:val="single" w:color="auto" w:sz="4" w:space="0"/>
                    <w:bottom w:val="single" w:color="auto" w:sz="4" w:space="0"/>
                    <w:right w:val="single" w:color="auto" w:sz="4" w:space="0"/>
                  </w:tcBorders>
                  <w:vAlign w:val="center"/>
                </w:tcPr>
                <w:p w14:paraId="102CA725">
                  <w:pPr>
                    <w:jc w:val="center"/>
                    <w:rPr>
                      <w:bCs/>
                      <w:szCs w:val="21"/>
                    </w:rPr>
                  </w:pPr>
                  <w:r>
                    <w:rPr>
                      <w:rFonts w:hint="eastAsia"/>
                      <w:bCs/>
                      <w:szCs w:val="21"/>
                    </w:rPr>
                    <w:t>污染物排放管控</w:t>
                  </w:r>
                </w:p>
              </w:tc>
              <w:tc>
                <w:tcPr>
                  <w:tcW w:w="2282" w:type="pct"/>
                  <w:tcBorders>
                    <w:top w:val="single" w:color="auto" w:sz="4" w:space="0"/>
                    <w:left w:val="single" w:color="auto" w:sz="4" w:space="0"/>
                    <w:bottom w:val="single" w:color="auto" w:sz="4" w:space="0"/>
                    <w:right w:val="single" w:color="auto" w:sz="4" w:space="0"/>
                  </w:tcBorders>
                  <w:vAlign w:val="center"/>
                </w:tcPr>
                <w:p w14:paraId="02CD6072">
                  <w:pPr>
                    <w:jc w:val="left"/>
                    <w:rPr>
                      <w:bCs/>
                      <w:spacing w:val="-4"/>
                      <w:szCs w:val="21"/>
                    </w:rPr>
                  </w:pPr>
                  <w:r>
                    <w:rPr>
                      <w:rFonts w:hint="eastAsia"/>
                      <w:bCs/>
                      <w:spacing w:val="-4"/>
                      <w:szCs w:val="21"/>
                    </w:rPr>
                    <w:t>1、禁止向耕地及农田沟渠中排放有毒有害工业、生活废水和未经处理的养殖小区畜禽粪便；禁止占用耕地倾倒、堆放城乡生活垃圾、建筑垃圾、医疗垃圾、工业废料及废渣等废弃物。</w:t>
                  </w:r>
                </w:p>
                <w:p w14:paraId="51E202F6">
                  <w:pPr>
                    <w:jc w:val="left"/>
                    <w:rPr>
                      <w:bCs/>
                      <w:spacing w:val="-4"/>
                      <w:szCs w:val="21"/>
                    </w:rPr>
                  </w:pPr>
                  <w:r>
                    <w:rPr>
                      <w:rFonts w:hint="eastAsia"/>
                      <w:bCs/>
                      <w:spacing w:val="-4"/>
                      <w:szCs w:val="21"/>
                    </w:rPr>
                    <w:t>2、加强畜禽养殖污染防治，畜禽规模养殖场（小区）要配套建设与养殖规模相适宜的粪便污水防渗防溢流贮存设施，以及粪便污水收集、利用和无害化处理设施；积极引导散养密集区实行畜禽粪便污水分户收集、集中处理利用。</w:t>
                  </w:r>
                </w:p>
                <w:p w14:paraId="3BC0448A">
                  <w:pPr>
                    <w:jc w:val="left"/>
                    <w:rPr>
                      <w:bCs/>
                      <w:spacing w:val="-4"/>
                      <w:szCs w:val="21"/>
                    </w:rPr>
                  </w:pPr>
                  <w:r>
                    <w:rPr>
                      <w:rFonts w:hint="eastAsia"/>
                      <w:bCs/>
                      <w:spacing w:val="-4"/>
                      <w:szCs w:val="21"/>
                    </w:rPr>
                    <w:t>3、持续开展农村环境综合整治，加快推进农村生活污水处理设施建设，不断提高已建成农村污水处理设施稳定正常运行率。</w:t>
                  </w:r>
                </w:p>
              </w:tc>
              <w:tc>
                <w:tcPr>
                  <w:tcW w:w="974" w:type="pct"/>
                  <w:tcBorders>
                    <w:top w:val="single" w:color="auto" w:sz="4" w:space="0"/>
                    <w:left w:val="single" w:color="auto" w:sz="4" w:space="0"/>
                    <w:bottom w:val="single" w:color="auto" w:sz="4" w:space="0"/>
                    <w:right w:val="single" w:color="auto" w:sz="4" w:space="0"/>
                  </w:tcBorders>
                  <w:vAlign w:val="center"/>
                </w:tcPr>
                <w:p w14:paraId="26A06E9E">
                  <w:pPr>
                    <w:jc w:val="center"/>
                    <w:rPr>
                      <w:szCs w:val="21"/>
                      <w:highlight w:val="yellow"/>
                    </w:rPr>
                  </w:pPr>
                  <w:r>
                    <w:rPr>
                      <w:rFonts w:hint="eastAsia"/>
                      <w:snapToGrid w:val="0"/>
                      <w:color w:val="000000"/>
                      <w:kern w:val="0"/>
                      <w:szCs w:val="21"/>
                    </w:rPr>
                    <w:t>本项目不属于畜禽养殖项目，</w:t>
                  </w:r>
                  <w:r>
                    <w:rPr>
                      <w:rFonts w:hint="eastAsia"/>
                      <w:szCs w:val="21"/>
                    </w:rPr>
                    <w:t>废气经各项环保措施处理后达标排放；</w:t>
                  </w:r>
                  <w:r>
                    <w:rPr>
                      <w:rFonts w:hint="eastAsia"/>
                      <w:snapToGrid w:val="0"/>
                      <w:color w:val="000000"/>
                      <w:kern w:val="0"/>
                      <w:szCs w:val="21"/>
                    </w:rPr>
                    <w:t>生产废水经厂区污水处理站处理后经罐车运入北关镇污水处理厂处理；</w:t>
                  </w:r>
                  <w:r>
                    <w:rPr>
                      <w:rFonts w:hint="eastAsia"/>
                      <w:szCs w:val="21"/>
                    </w:rPr>
                    <w:t>生活污水经化粪池处理后定期清掏用于肥田。</w:t>
                  </w:r>
                </w:p>
              </w:tc>
              <w:tc>
                <w:tcPr>
                  <w:tcW w:w="246" w:type="pct"/>
                  <w:tcBorders>
                    <w:top w:val="single" w:color="auto" w:sz="4" w:space="0"/>
                    <w:left w:val="single" w:color="auto" w:sz="4" w:space="0"/>
                    <w:bottom w:val="single" w:color="auto" w:sz="4" w:space="0"/>
                    <w:right w:val="single" w:color="auto" w:sz="4" w:space="0"/>
                  </w:tcBorders>
                  <w:vAlign w:val="center"/>
                </w:tcPr>
                <w:p w14:paraId="5D419A83">
                  <w:pPr>
                    <w:jc w:val="center"/>
                    <w:rPr>
                      <w:bCs/>
                      <w:szCs w:val="21"/>
                    </w:rPr>
                  </w:pPr>
                  <w:r>
                    <w:rPr>
                      <w:rFonts w:hint="eastAsia"/>
                      <w:bCs/>
                      <w:szCs w:val="21"/>
                    </w:rPr>
                    <w:t>相符</w:t>
                  </w:r>
                </w:p>
              </w:tc>
            </w:tr>
          </w:tbl>
          <w:p w14:paraId="2F784D8E">
            <w:pPr>
              <w:spacing w:line="360" w:lineRule="auto"/>
              <w:ind w:firstLine="480" w:firstLineChars="200"/>
              <w:rPr>
                <w:sz w:val="24"/>
                <w:lang w:val="zh-CN"/>
              </w:rPr>
            </w:pPr>
            <w:r>
              <w:rPr>
                <w:rFonts w:hint="eastAsia"/>
                <w:sz w:val="24"/>
                <w:lang w:val="zh-CN"/>
              </w:rPr>
              <w:t>由上表分析可知，本项目</w:t>
            </w:r>
            <w:r>
              <w:rPr>
                <w:rFonts w:hint="eastAsia"/>
                <w:sz w:val="24"/>
              </w:rPr>
              <w:t>污染物经治理后可以长期稳定达标排放，满足</w:t>
            </w:r>
            <w:r>
              <w:rPr>
                <w:rFonts w:hint="eastAsia"/>
                <w:sz w:val="24"/>
                <w:lang w:val="zh-CN"/>
              </w:rPr>
              <w:t>民权县一般管控区空间布局约束和污染物排放管控要求</w:t>
            </w:r>
            <w:r>
              <w:rPr>
                <w:rFonts w:hint="eastAsia"/>
                <w:sz w:val="24"/>
              </w:rPr>
              <w:t>。</w:t>
            </w:r>
          </w:p>
          <w:p w14:paraId="5B1ACE4F">
            <w:pPr>
              <w:spacing w:line="360" w:lineRule="auto"/>
              <w:ind w:firstLine="480" w:firstLineChars="200"/>
              <w:rPr>
                <w:sz w:val="24"/>
                <w:lang w:val="zh-CN"/>
              </w:rPr>
            </w:pPr>
            <w:r>
              <w:rPr>
                <w:rFonts w:hint="eastAsia"/>
                <w:sz w:val="24"/>
                <w:lang w:val="zh-CN"/>
              </w:rPr>
              <w:t>综上所述，</w:t>
            </w:r>
            <w:r>
              <w:rPr>
                <w:rFonts w:hint="eastAsia"/>
                <w:sz w:val="24"/>
              </w:rPr>
              <w:t>本项目符合</w:t>
            </w:r>
            <w:r>
              <w:rPr>
                <w:rFonts w:asciiTheme="minorEastAsia" w:hAnsiTheme="minorEastAsia" w:eastAsiaTheme="minorEastAsia"/>
                <w:sz w:val="24"/>
              </w:rPr>
              <w:t>“</w:t>
            </w:r>
            <w:r>
              <w:rPr>
                <w:rFonts w:hint="eastAsia" w:asciiTheme="minorEastAsia" w:hAnsiTheme="minorEastAsia" w:eastAsiaTheme="minorEastAsia"/>
                <w:sz w:val="24"/>
              </w:rPr>
              <w:t>三线一单</w:t>
            </w:r>
            <w:r>
              <w:rPr>
                <w:rFonts w:asciiTheme="minorEastAsia" w:hAnsiTheme="minorEastAsia" w:eastAsiaTheme="minorEastAsia"/>
                <w:sz w:val="24"/>
              </w:rPr>
              <w:t>”</w:t>
            </w:r>
            <w:r>
              <w:rPr>
                <w:rFonts w:hint="eastAsia"/>
                <w:sz w:val="24"/>
              </w:rPr>
              <w:t>相关要求。</w:t>
            </w:r>
          </w:p>
          <w:p w14:paraId="0BF28D12">
            <w:pPr>
              <w:pStyle w:val="17"/>
              <w:spacing w:line="360" w:lineRule="auto"/>
              <w:ind w:left="0" w:right="0" w:firstLine="482"/>
              <w:rPr>
                <w:rFonts w:eastAsiaTheme="majorEastAsia"/>
                <w:b/>
                <w:bCs/>
                <w:kern w:val="0"/>
                <w:sz w:val="24"/>
                <w:highlight w:val="green"/>
              </w:rPr>
            </w:pPr>
            <w:r>
              <w:rPr>
                <w:rFonts w:eastAsiaTheme="majorEastAsia"/>
                <w:b/>
                <w:bCs/>
                <w:kern w:val="0"/>
                <w:sz w:val="24"/>
              </w:rPr>
              <w:t>4</w:t>
            </w:r>
            <w:r>
              <w:rPr>
                <w:rFonts w:hAnsiTheme="majorEastAsia" w:eastAsiaTheme="majorEastAsia"/>
                <w:b/>
                <w:bCs/>
                <w:kern w:val="0"/>
                <w:sz w:val="24"/>
              </w:rPr>
              <w:t>、饮用水源保护区规划相符性分析</w:t>
            </w:r>
          </w:p>
          <w:p w14:paraId="4CD8CB23">
            <w:pPr>
              <w:spacing w:line="360" w:lineRule="auto"/>
              <w:ind w:firstLine="482" w:firstLineChars="200"/>
              <w:rPr>
                <w:b/>
                <w:sz w:val="24"/>
              </w:rPr>
            </w:pPr>
            <w:r>
              <w:rPr>
                <w:rFonts w:hint="eastAsia"/>
                <w:b/>
                <w:bCs/>
                <w:color w:val="000000"/>
                <w:sz w:val="24"/>
              </w:rPr>
              <w:t>4</w:t>
            </w:r>
            <w:r>
              <w:rPr>
                <w:b/>
                <w:bCs/>
                <w:color w:val="000000"/>
                <w:sz w:val="24"/>
              </w:rPr>
              <w:t>.1</w:t>
            </w:r>
            <w:r>
              <w:rPr>
                <w:rFonts w:hint="eastAsia"/>
                <w:b/>
                <w:sz w:val="24"/>
              </w:rPr>
              <w:t>河南省县级集中式饮用水水源保护区划</w:t>
            </w:r>
          </w:p>
          <w:p w14:paraId="004D188C">
            <w:pPr>
              <w:pStyle w:val="25"/>
              <w:spacing w:before="0" w:beforeAutospacing="0" w:after="0" w:afterAutospacing="0" w:line="360" w:lineRule="auto"/>
              <w:ind w:firstLine="480" w:firstLineChars="200"/>
              <w:rPr>
                <w:rFonts w:ascii="Times New Roman" w:hAnsi="Times New Roman"/>
              </w:rPr>
            </w:pPr>
            <w:r>
              <w:rPr>
                <w:rFonts w:ascii="Times New Roman"/>
                <w:bCs/>
              </w:rPr>
              <w:t>根据河南省人民政府办</w:t>
            </w:r>
            <w:r>
              <w:rPr>
                <w:rFonts w:ascii="Times New Roman" w:hAnsi="Times New Roman"/>
                <w:bCs/>
              </w:rPr>
              <w:t>公厅于2014年1月7日发布</w:t>
            </w:r>
            <w:r>
              <w:rPr>
                <w:rFonts w:ascii="Times New Roman"/>
                <w:bCs/>
              </w:rPr>
              <w:t>的《河南省人民政府办公厅关于印发河南省县级集中式饮用水水源保护区划的通知》（豫政办</w:t>
            </w:r>
            <w:r>
              <w:rPr>
                <w:rFonts w:ascii="Times New Roman" w:hAnsi="Times New Roman"/>
                <w:bCs/>
              </w:rPr>
              <w:t>[2013]107</w:t>
            </w:r>
            <w:r>
              <w:rPr>
                <w:rFonts w:ascii="Times New Roman"/>
                <w:bCs/>
              </w:rPr>
              <w:t>号），</w:t>
            </w:r>
            <w:r>
              <w:rPr>
                <w:rFonts w:ascii="Times New Roman" w:hAnsi="Times New Roman"/>
                <w:color w:val="000000"/>
              </w:rPr>
              <w:t>涉及的民权县饮用水水源</w:t>
            </w:r>
            <w:r>
              <w:rPr>
                <w:rFonts w:ascii="Times New Roman"/>
              </w:rPr>
              <w:t>保护区如下：</w:t>
            </w:r>
          </w:p>
          <w:p w14:paraId="585A3024">
            <w:pPr>
              <w:spacing w:line="360" w:lineRule="auto"/>
              <w:ind w:firstLine="480" w:firstLineChars="200"/>
              <w:rPr>
                <w:bCs/>
                <w:sz w:val="24"/>
              </w:rPr>
            </w:pPr>
            <w:r>
              <w:rPr>
                <w:bCs/>
                <w:sz w:val="24"/>
              </w:rPr>
              <w:t>（1）民权县一水厂地下水井群(共6眼井)</w:t>
            </w:r>
          </w:p>
          <w:p w14:paraId="3F509CDD">
            <w:pPr>
              <w:spacing w:line="360" w:lineRule="auto"/>
              <w:ind w:firstLine="480" w:firstLineChars="200"/>
              <w:rPr>
                <w:bCs/>
                <w:sz w:val="24"/>
              </w:rPr>
            </w:pPr>
            <w:r>
              <w:rPr>
                <w:rFonts w:hint="eastAsia"/>
                <w:bCs/>
                <w:sz w:val="24"/>
              </w:rPr>
              <w:t>一级保护区范围</w:t>
            </w:r>
            <w:r>
              <w:rPr>
                <w:bCs/>
                <w:sz w:val="24"/>
              </w:rPr>
              <w:t>:</w:t>
            </w:r>
            <w:r>
              <w:rPr>
                <w:rFonts w:hint="eastAsia"/>
                <w:bCs/>
                <w:sz w:val="24"/>
              </w:rPr>
              <w:t>水厂厂区及外围东</w:t>
            </w:r>
            <w:r>
              <w:rPr>
                <w:bCs/>
                <w:sz w:val="24"/>
              </w:rPr>
              <w:t>30</w:t>
            </w:r>
            <w:r>
              <w:rPr>
                <w:rFonts w:hint="eastAsia"/>
                <w:bCs/>
                <w:sz w:val="24"/>
              </w:rPr>
              <w:t>米、南</w:t>
            </w:r>
            <w:r>
              <w:rPr>
                <w:bCs/>
                <w:sz w:val="24"/>
              </w:rPr>
              <w:t>30</w:t>
            </w:r>
            <w:r>
              <w:rPr>
                <w:rFonts w:hint="eastAsia"/>
                <w:bCs/>
                <w:sz w:val="24"/>
              </w:rPr>
              <w:t>米、北</w:t>
            </w:r>
            <w:r>
              <w:rPr>
                <w:bCs/>
                <w:sz w:val="24"/>
              </w:rPr>
              <w:t>30</w:t>
            </w:r>
            <w:r>
              <w:rPr>
                <w:rFonts w:hint="eastAsia"/>
                <w:bCs/>
                <w:sz w:val="24"/>
              </w:rPr>
              <w:t>米、西</w:t>
            </w:r>
            <w:r>
              <w:rPr>
                <w:bCs/>
                <w:sz w:val="24"/>
              </w:rPr>
              <w:t>50</w:t>
            </w:r>
            <w:r>
              <w:rPr>
                <w:rFonts w:hint="eastAsia"/>
                <w:bCs/>
                <w:sz w:val="24"/>
              </w:rPr>
              <w:t>米的区域</w:t>
            </w:r>
            <w:r>
              <w:rPr>
                <w:bCs/>
                <w:sz w:val="24"/>
              </w:rPr>
              <w:t>(1</w:t>
            </w:r>
            <w:r>
              <w:rPr>
                <w:rFonts w:hint="eastAsia"/>
                <w:bCs/>
                <w:sz w:val="24"/>
              </w:rPr>
              <w:t>～</w:t>
            </w:r>
            <w:r>
              <w:rPr>
                <w:bCs/>
                <w:sz w:val="24"/>
              </w:rPr>
              <w:t>3</w:t>
            </w:r>
            <w:r>
              <w:rPr>
                <w:rFonts w:hint="eastAsia"/>
                <w:bCs/>
                <w:sz w:val="24"/>
              </w:rPr>
              <w:t>号取水井</w:t>
            </w:r>
            <w:r>
              <w:rPr>
                <w:bCs/>
                <w:sz w:val="24"/>
              </w:rPr>
              <w:t>)</w:t>
            </w:r>
            <w:r>
              <w:rPr>
                <w:rFonts w:hint="eastAsia"/>
                <w:bCs/>
                <w:sz w:val="24"/>
              </w:rPr>
              <w:t>；</w:t>
            </w:r>
            <w:r>
              <w:rPr>
                <w:bCs/>
                <w:sz w:val="24"/>
              </w:rPr>
              <w:t>4</w:t>
            </w:r>
            <w:r>
              <w:rPr>
                <w:rFonts w:hint="eastAsia"/>
                <w:bCs/>
                <w:sz w:val="24"/>
              </w:rPr>
              <w:t>～</w:t>
            </w:r>
            <w:r>
              <w:rPr>
                <w:bCs/>
                <w:sz w:val="24"/>
              </w:rPr>
              <w:t>6</w:t>
            </w:r>
            <w:r>
              <w:rPr>
                <w:rFonts w:hint="eastAsia"/>
                <w:bCs/>
                <w:sz w:val="24"/>
              </w:rPr>
              <w:t>号取水井外围</w:t>
            </w:r>
            <w:r>
              <w:rPr>
                <w:bCs/>
                <w:sz w:val="24"/>
              </w:rPr>
              <w:t>30</w:t>
            </w:r>
            <w:r>
              <w:rPr>
                <w:rFonts w:hint="eastAsia"/>
                <w:bCs/>
                <w:sz w:val="24"/>
              </w:rPr>
              <w:t>米的区域。</w:t>
            </w:r>
          </w:p>
          <w:p w14:paraId="7A173F1E">
            <w:pPr>
              <w:spacing w:line="360" w:lineRule="auto"/>
              <w:ind w:firstLine="480" w:firstLineChars="200"/>
              <w:rPr>
                <w:bCs/>
                <w:sz w:val="24"/>
              </w:rPr>
            </w:pPr>
            <w:r>
              <w:rPr>
                <w:rFonts w:hint="eastAsia"/>
                <w:bCs/>
                <w:sz w:val="24"/>
              </w:rPr>
              <w:t>（2）民权县二水厂地下水井群</w:t>
            </w:r>
            <w:r>
              <w:rPr>
                <w:bCs/>
                <w:sz w:val="24"/>
              </w:rPr>
              <w:t>(</w:t>
            </w:r>
            <w:r>
              <w:rPr>
                <w:rFonts w:hint="eastAsia"/>
                <w:bCs/>
                <w:sz w:val="24"/>
              </w:rPr>
              <w:t>共</w:t>
            </w:r>
            <w:r>
              <w:rPr>
                <w:bCs/>
                <w:sz w:val="24"/>
              </w:rPr>
              <w:t>5</w:t>
            </w:r>
            <w:r>
              <w:rPr>
                <w:rFonts w:hint="eastAsia"/>
                <w:bCs/>
                <w:sz w:val="24"/>
              </w:rPr>
              <w:t>眼井</w:t>
            </w:r>
            <w:r>
              <w:rPr>
                <w:bCs/>
                <w:sz w:val="24"/>
              </w:rPr>
              <w:t>)</w:t>
            </w:r>
          </w:p>
          <w:p w14:paraId="7BD26A58">
            <w:pPr>
              <w:spacing w:line="360" w:lineRule="auto"/>
              <w:ind w:firstLine="480" w:firstLineChars="200"/>
              <w:rPr>
                <w:bCs/>
                <w:sz w:val="24"/>
              </w:rPr>
            </w:pPr>
            <w:r>
              <w:rPr>
                <w:rFonts w:hint="eastAsia"/>
                <w:bCs/>
                <w:sz w:val="24"/>
              </w:rPr>
              <w:t>一级保护区范围</w:t>
            </w:r>
            <w:r>
              <w:rPr>
                <w:bCs/>
                <w:sz w:val="24"/>
              </w:rPr>
              <w:t>:</w:t>
            </w:r>
            <w:r>
              <w:rPr>
                <w:rFonts w:hint="eastAsia"/>
                <w:bCs/>
                <w:sz w:val="24"/>
              </w:rPr>
              <w:t>水厂厂区及外围</w:t>
            </w:r>
            <w:r>
              <w:rPr>
                <w:bCs/>
                <w:sz w:val="24"/>
              </w:rPr>
              <w:t>30</w:t>
            </w:r>
            <w:r>
              <w:rPr>
                <w:rFonts w:hint="eastAsia"/>
                <w:bCs/>
                <w:sz w:val="24"/>
              </w:rPr>
              <w:t>米的区域</w:t>
            </w:r>
          </w:p>
          <w:p w14:paraId="1E71021E">
            <w:pPr>
              <w:spacing w:line="360" w:lineRule="auto"/>
              <w:ind w:firstLine="482" w:firstLineChars="200"/>
              <w:rPr>
                <w:bCs/>
                <w:sz w:val="24"/>
              </w:rPr>
            </w:pPr>
            <w:r>
              <w:rPr>
                <w:b/>
                <w:sz w:val="24"/>
              </w:rPr>
              <w:t>4.2</w:t>
            </w:r>
            <w:r>
              <w:rPr>
                <w:b/>
                <w:bCs/>
                <w:color w:val="000000"/>
                <w:sz w:val="24"/>
              </w:rPr>
              <w:t>河南省乡镇集中式饮用水水源保护区划</w:t>
            </w:r>
          </w:p>
          <w:p w14:paraId="5879F327">
            <w:pPr>
              <w:pStyle w:val="25"/>
              <w:spacing w:before="0" w:beforeAutospacing="0" w:after="0" w:afterAutospacing="0" w:line="360" w:lineRule="auto"/>
              <w:ind w:firstLine="480" w:firstLineChars="200"/>
              <w:rPr>
                <w:rFonts w:ascii="Times New Roman" w:hAnsi="Times New Roman"/>
                <w:color w:val="000000"/>
              </w:rPr>
            </w:pPr>
            <w:r>
              <w:rPr>
                <w:rFonts w:ascii="Times New Roman" w:hAnsi="Times New Roman"/>
                <w:color w:val="000000"/>
              </w:rPr>
              <w:t>根据河南省人民政府办公厅于2016年3月4日发布的《河南省人民政府办公厅关于印发河南省乡镇集中式饮用水水源保护区划的通知》（豫政办[2016]23号），涉及民权县北关乡的饮用水水源地为：</w:t>
            </w:r>
          </w:p>
          <w:p w14:paraId="04EFD927">
            <w:pPr>
              <w:pStyle w:val="25"/>
              <w:spacing w:before="0" w:beforeAutospacing="0" w:after="0" w:afterAutospacing="0" w:line="360" w:lineRule="auto"/>
              <w:ind w:firstLine="480" w:firstLineChars="200"/>
              <w:rPr>
                <w:rFonts w:ascii="Times New Roman" w:hAnsi="Times New Roman"/>
                <w:color w:val="000000"/>
              </w:rPr>
            </w:pPr>
            <w:r>
              <w:rPr>
                <w:rFonts w:ascii="Times New Roman" w:hAnsi="Times New Roman"/>
                <w:bCs/>
              </w:rPr>
              <w:t>民权县北关镇地下水井群(共2眼井)</w:t>
            </w:r>
            <w:r>
              <w:rPr>
                <w:rFonts w:hint="eastAsia" w:ascii="Times New Roman" w:hAnsi="Times New Roman"/>
                <w:color w:val="000000"/>
              </w:rPr>
              <w:t>，</w:t>
            </w:r>
            <w:r>
              <w:rPr>
                <w:rFonts w:ascii="Times New Roman" w:hAnsi="Times New Roman"/>
                <w:bCs/>
              </w:rPr>
              <w:t>一级保护区范围:水厂厂区及外围西5米的区域(1号取水井)，2号取水井外围30米的区域。</w:t>
            </w:r>
          </w:p>
          <w:p w14:paraId="2522E8EB">
            <w:pPr>
              <w:pStyle w:val="25"/>
              <w:spacing w:before="0" w:beforeAutospacing="0" w:after="0" w:afterAutospacing="0" w:line="360" w:lineRule="auto"/>
              <w:ind w:firstLine="482" w:firstLineChars="200"/>
              <w:rPr>
                <w:rFonts w:ascii="Times New Roman" w:hAnsi="Times New Roman"/>
                <w:b/>
                <w:bCs/>
                <w:color w:val="000000"/>
              </w:rPr>
            </w:pPr>
            <w:r>
              <w:rPr>
                <w:rFonts w:ascii="Times New Roman" w:hAnsi="Times New Roman"/>
                <w:b/>
              </w:rPr>
              <w:t>4.3</w:t>
            </w:r>
            <w:r>
              <w:rPr>
                <w:rFonts w:ascii="Times New Roman" w:hAnsi="Times New Roman"/>
                <w:b/>
                <w:bCs/>
                <w:color w:val="000000"/>
              </w:rPr>
              <w:t>本</w:t>
            </w:r>
            <w:r>
              <w:rPr>
                <w:rFonts w:hint="eastAsia" w:ascii="Times New Roman" w:hAnsi="Times New Roman"/>
                <w:b/>
                <w:bCs/>
                <w:color w:val="000000"/>
              </w:rPr>
              <w:t>项目与区域饮用水水源保护区的位置关系分析</w:t>
            </w:r>
          </w:p>
          <w:p w14:paraId="0C79D9B6">
            <w:pPr>
              <w:spacing w:line="360" w:lineRule="auto"/>
              <w:ind w:firstLine="480" w:firstLineChars="200"/>
              <w:rPr>
                <w:bCs/>
                <w:spacing w:val="-4"/>
                <w:sz w:val="24"/>
              </w:rPr>
            </w:pPr>
            <w:r>
              <w:rPr>
                <w:rFonts w:hint="eastAsia"/>
                <w:bCs/>
                <w:sz w:val="24"/>
              </w:rPr>
              <w:t>根据调查可知，河南省内距离项目最近的饮用水源保护区为</w:t>
            </w:r>
            <w:r>
              <w:rPr>
                <w:bCs/>
                <w:sz w:val="24"/>
              </w:rPr>
              <w:t>民权县北关镇地下水井群</w:t>
            </w:r>
            <w:r>
              <w:rPr>
                <w:rFonts w:hint="eastAsia"/>
                <w:bCs/>
                <w:sz w:val="24"/>
              </w:rPr>
              <w:t>，直线</w:t>
            </w:r>
            <w:r>
              <w:rPr>
                <w:rFonts w:hint="eastAsia"/>
                <w:sz w:val="24"/>
              </w:rPr>
              <w:t>距离约4.2k</w:t>
            </w:r>
            <w:r>
              <w:rPr>
                <w:sz w:val="24"/>
              </w:rPr>
              <w:t>m</w:t>
            </w:r>
            <w:r>
              <w:rPr>
                <w:rFonts w:hint="eastAsia"/>
                <w:sz w:val="24"/>
              </w:rPr>
              <w:t>，即</w:t>
            </w:r>
            <w:r>
              <w:rPr>
                <w:rFonts w:hint="eastAsia"/>
                <w:bCs/>
                <w:sz w:val="24"/>
              </w:rPr>
              <w:t>本项目位于</w:t>
            </w:r>
            <w:r>
              <w:rPr>
                <w:bCs/>
                <w:sz w:val="24"/>
              </w:rPr>
              <w:t>民权县北关镇地下水井群</w:t>
            </w:r>
            <w:r>
              <w:rPr>
                <w:rFonts w:hint="eastAsia"/>
                <w:bCs/>
                <w:spacing w:val="-4"/>
                <w:sz w:val="24"/>
              </w:rPr>
              <w:t>保护区范围外。</w:t>
            </w:r>
          </w:p>
          <w:p w14:paraId="4B99CCDC">
            <w:pPr>
              <w:pStyle w:val="17"/>
              <w:spacing w:line="360" w:lineRule="auto"/>
              <w:ind w:left="0" w:right="0" w:firstLine="482" w:firstLineChars="200"/>
              <w:jc w:val="both"/>
              <w:rPr>
                <w:rFonts w:hAnsi="宋体"/>
                <w:b/>
                <w:bCs/>
                <w:kern w:val="0"/>
                <w:sz w:val="24"/>
              </w:rPr>
            </w:pPr>
            <w:r>
              <w:rPr>
                <w:rFonts w:hint="eastAsia"/>
                <w:b/>
                <w:bCs/>
                <w:kern w:val="0"/>
                <w:sz w:val="24"/>
              </w:rPr>
              <w:t>5</w:t>
            </w:r>
            <w:r>
              <w:rPr>
                <w:rFonts w:hAnsi="宋体"/>
                <w:b/>
                <w:bCs/>
                <w:kern w:val="0"/>
                <w:sz w:val="24"/>
              </w:rPr>
              <w:t>、</w:t>
            </w:r>
            <w:r>
              <w:rPr>
                <w:rFonts w:hint="eastAsia" w:hAnsi="宋体"/>
                <w:b/>
                <w:bCs/>
                <w:kern w:val="0"/>
                <w:sz w:val="24"/>
              </w:rPr>
              <w:t>与</w:t>
            </w:r>
            <w:r>
              <w:rPr>
                <w:rFonts w:hAnsi="宋体"/>
                <w:b/>
                <w:bCs/>
                <w:sz w:val="24"/>
              </w:rPr>
              <w:t>污染</w:t>
            </w:r>
            <w:r>
              <w:rPr>
                <w:rFonts w:hint="eastAsia" w:hAnsi="宋体"/>
                <w:b/>
                <w:bCs/>
                <w:sz w:val="24"/>
              </w:rPr>
              <w:t>治理攻坚战</w:t>
            </w:r>
            <w:r>
              <w:rPr>
                <w:rFonts w:hAnsi="宋体"/>
                <w:b/>
                <w:bCs/>
                <w:sz w:val="24"/>
              </w:rPr>
              <w:t>实施方案相符性分析</w:t>
            </w:r>
          </w:p>
          <w:p w14:paraId="3B171E75">
            <w:pPr>
              <w:adjustRightInd w:val="0"/>
              <w:snapToGrid w:val="0"/>
              <w:spacing w:line="360" w:lineRule="auto"/>
              <w:ind w:firstLine="480" w:firstLineChars="200"/>
              <w:rPr>
                <w:snapToGrid w:val="0"/>
                <w:kern w:val="0"/>
                <w:sz w:val="24"/>
              </w:rPr>
            </w:pPr>
            <w:r>
              <w:rPr>
                <w:rFonts w:hint="eastAsia"/>
                <w:snapToGrid w:val="0"/>
                <w:kern w:val="0"/>
                <w:sz w:val="24"/>
              </w:rPr>
              <w:t>本项目与</w:t>
            </w:r>
            <w:r>
              <w:rPr>
                <w:rFonts w:hint="eastAsia" w:hAnsi="宋体"/>
                <w:bCs/>
                <w:kern w:val="0"/>
                <w:sz w:val="24"/>
              </w:rPr>
              <w:t>《河南省深入打好秋冬季重污染天气消除、夏季臭氧污染防治和柴油货车污染治理攻坚战行动方案》</w:t>
            </w:r>
            <w:r>
              <w:rPr>
                <w:rFonts w:hint="eastAsia"/>
                <w:snapToGrid w:val="0"/>
                <w:kern w:val="0"/>
                <w:sz w:val="24"/>
              </w:rPr>
              <w:t>及《河南省生态环境保护委员会办公室关于印发〈河南省2025年蓝天保卫战实施方案〉〈河南省2025年碧水保卫战实施方案〉〈河南省2025年净土保卫战实施方案〉〈河南省2025年柴油货车污染治理攻坚战实施方案〉的通知》（豫环委办[2025]6号）的相符性分析见下表。</w:t>
            </w:r>
          </w:p>
          <w:p w14:paraId="17AAC195">
            <w:pPr>
              <w:snapToGrid w:val="0"/>
              <w:jc w:val="center"/>
              <w:rPr>
                <w:b/>
                <w:bCs/>
                <w:sz w:val="24"/>
              </w:rPr>
            </w:pPr>
            <w:r>
              <w:rPr>
                <w:rFonts w:hAnsi="宋体"/>
                <w:b/>
                <w:bCs/>
                <w:sz w:val="24"/>
              </w:rPr>
              <w:t>表</w:t>
            </w:r>
            <w:r>
              <w:rPr>
                <w:rFonts w:hint="eastAsia"/>
                <w:b/>
                <w:bCs/>
                <w:sz w:val="24"/>
              </w:rPr>
              <w:t xml:space="preserve">3   </w:t>
            </w:r>
            <w:r>
              <w:rPr>
                <w:rFonts w:hAnsi="宋体"/>
                <w:b/>
                <w:bCs/>
                <w:sz w:val="24"/>
              </w:rPr>
              <w:t>本项目与污染</w:t>
            </w:r>
            <w:r>
              <w:rPr>
                <w:rFonts w:hint="eastAsia" w:hAnsi="宋体"/>
                <w:b/>
                <w:bCs/>
                <w:sz w:val="24"/>
              </w:rPr>
              <w:t>治理攻坚战</w:t>
            </w:r>
            <w:r>
              <w:rPr>
                <w:rFonts w:hAnsi="宋体"/>
                <w:b/>
                <w:bCs/>
                <w:sz w:val="24"/>
              </w:rPr>
              <w:t>实施方案的相符性分析</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72"/>
              <w:gridCol w:w="565"/>
              <w:gridCol w:w="4115"/>
              <w:gridCol w:w="2325"/>
              <w:gridCol w:w="371"/>
            </w:tblGrid>
            <w:tr w14:paraId="7FA6B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474" w:type="pct"/>
                  <w:tcBorders>
                    <w:top w:val="single" w:color="auto" w:sz="4" w:space="0"/>
                    <w:left w:val="single" w:color="auto" w:sz="4" w:space="0"/>
                    <w:bottom w:val="single" w:color="auto" w:sz="4" w:space="0"/>
                    <w:right w:val="single" w:color="auto" w:sz="4" w:space="0"/>
                  </w:tcBorders>
                  <w:vAlign w:val="center"/>
                </w:tcPr>
                <w:p w14:paraId="4CD253F5">
                  <w:pPr>
                    <w:widowControl/>
                    <w:autoSpaceDE w:val="0"/>
                    <w:adjustRightInd w:val="0"/>
                    <w:snapToGrid w:val="0"/>
                    <w:ind w:left="42" w:leftChars="20"/>
                    <w:jc w:val="center"/>
                    <w:rPr>
                      <w:color w:val="000000"/>
                      <w:kern w:val="0"/>
                      <w:szCs w:val="21"/>
                    </w:rPr>
                  </w:pPr>
                  <w:r>
                    <w:rPr>
                      <w:rFonts w:hint="eastAsia"/>
                      <w:color w:val="000000"/>
                      <w:kern w:val="0"/>
                      <w:szCs w:val="21"/>
                    </w:rPr>
                    <w:t>文件名称</w:t>
                  </w:r>
                </w:p>
              </w:tc>
              <w:tc>
                <w:tcPr>
                  <w:tcW w:w="2871" w:type="pct"/>
                  <w:gridSpan w:val="2"/>
                  <w:tcBorders>
                    <w:top w:val="single" w:color="auto" w:sz="4" w:space="0"/>
                    <w:left w:val="single" w:color="auto" w:sz="4" w:space="0"/>
                    <w:bottom w:val="single" w:color="auto" w:sz="4" w:space="0"/>
                    <w:right w:val="single" w:color="auto" w:sz="4" w:space="0"/>
                  </w:tcBorders>
                  <w:vAlign w:val="center"/>
                </w:tcPr>
                <w:p w14:paraId="4C94450F">
                  <w:pPr>
                    <w:widowControl/>
                    <w:autoSpaceDE w:val="0"/>
                    <w:adjustRightInd w:val="0"/>
                    <w:snapToGrid w:val="0"/>
                    <w:ind w:left="42" w:leftChars="20"/>
                    <w:jc w:val="center"/>
                    <w:rPr>
                      <w:color w:val="000000"/>
                      <w:szCs w:val="21"/>
                    </w:rPr>
                  </w:pPr>
                  <w:r>
                    <w:rPr>
                      <w:rFonts w:hint="eastAsia"/>
                      <w:color w:val="000000"/>
                      <w:kern w:val="0"/>
                      <w:szCs w:val="21"/>
                    </w:rPr>
                    <w:t>文件内容</w:t>
                  </w:r>
                </w:p>
              </w:tc>
              <w:tc>
                <w:tcPr>
                  <w:tcW w:w="1427" w:type="pct"/>
                  <w:tcBorders>
                    <w:top w:val="single" w:color="auto" w:sz="4" w:space="0"/>
                    <w:left w:val="single" w:color="auto" w:sz="4" w:space="0"/>
                    <w:bottom w:val="single" w:color="auto" w:sz="4" w:space="0"/>
                    <w:right w:val="single" w:color="auto" w:sz="4" w:space="0"/>
                  </w:tcBorders>
                  <w:vAlign w:val="center"/>
                </w:tcPr>
                <w:p w14:paraId="6378D3A1">
                  <w:pPr>
                    <w:widowControl/>
                    <w:autoSpaceDE w:val="0"/>
                    <w:adjustRightInd w:val="0"/>
                    <w:snapToGrid w:val="0"/>
                    <w:ind w:left="42" w:leftChars="20"/>
                    <w:jc w:val="center"/>
                    <w:rPr>
                      <w:color w:val="000000"/>
                      <w:szCs w:val="21"/>
                      <w:highlight w:val="yellow"/>
                    </w:rPr>
                  </w:pPr>
                  <w:r>
                    <w:rPr>
                      <w:rFonts w:hint="eastAsia"/>
                      <w:color w:val="000000"/>
                      <w:kern w:val="0"/>
                      <w:szCs w:val="21"/>
                    </w:rPr>
                    <w:t>本项目情况</w:t>
                  </w:r>
                </w:p>
              </w:tc>
              <w:tc>
                <w:tcPr>
                  <w:tcW w:w="228" w:type="pct"/>
                  <w:tcBorders>
                    <w:top w:val="single" w:color="auto" w:sz="4" w:space="0"/>
                    <w:left w:val="single" w:color="auto" w:sz="4" w:space="0"/>
                    <w:bottom w:val="single" w:color="auto" w:sz="4" w:space="0"/>
                    <w:right w:val="single" w:color="auto" w:sz="4" w:space="0"/>
                  </w:tcBorders>
                  <w:vAlign w:val="center"/>
                </w:tcPr>
                <w:p w14:paraId="6325D165">
                  <w:pPr>
                    <w:widowControl/>
                    <w:autoSpaceDE w:val="0"/>
                    <w:adjustRightInd w:val="0"/>
                    <w:snapToGrid w:val="0"/>
                    <w:ind w:left="42" w:leftChars="20"/>
                    <w:jc w:val="center"/>
                    <w:rPr>
                      <w:color w:val="000000"/>
                      <w:szCs w:val="21"/>
                    </w:rPr>
                  </w:pPr>
                  <w:r>
                    <w:rPr>
                      <w:rFonts w:hint="eastAsia"/>
                      <w:color w:val="000000"/>
                      <w:kern w:val="0"/>
                      <w:szCs w:val="21"/>
                    </w:rPr>
                    <w:t>相符性</w:t>
                  </w:r>
                </w:p>
              </w:tc>
            </w:tr>
            <w:tr w14:paraId="51769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474" w:type="pct"/>
                  <w:vMerge w:val="restart"/>
                  <w:tcBorders>
                    <w:top w:val="single" w:color="auto" w:sz="4" w:space="0"/>
                    <w:left w:val="single" w:color="auto" w:sz="4" w:space="0"/>
                    <w:right w:val="single" w:color="auto" w:sz="4" w:space="0"/>
                  </w:tcBorders>
                  <w:vAlign w:val="center"/>
                </w:tcPr>
                <w:p w14:paraId="59B26D3F">
                  <w:pPr>
                    <w:adjustRightInd w:val="0"/>
                    <w:snapToGrid w:val="0"/>
                    <w:jc w:val="center"/>
                    <w:rPr>
                      <w:color w:val="000000"/>
                      <w:szCs w:val="21"/>
                    </w:rPr>
                  </w:pPr>
                  <w:r>
                    <w:rPr>
                      <w:rFonts w:hint="eastAsia"/>
                      <w:color w:val="000000"/>
                      <w:szCs w:val="21"/>
                    </w:rPr>
                    <w:t>秋冬季重污染天气消除攻坚战行动方案</w:t>
                  </w:r>
                </w:p>
              </w:tc>
              <w:tc>
                <w:tcPr>
                  <w:tcW w:w="347" w:type="pct"/>
                  <w:tcBorders>
                    <w:top w:val="single" w:color="auto" w:sz="4" w:space="0"/>
                    <w:left w:val="single" w:color="auto" w:sz="4" w:space="0"/>
                    <w:right w:val="single" w:color="auto" w:sz="4" w:space="0"/>
                  </w:tcBorders>
                  <w:vAlign w:val="center"/>
                </w:tcPr>
                <w:p w14:paraId="2CA61201">
                  <w:pPr>
                    <w:adjustRightInd w:val="0"/>
                    <w:snapToGrid w:val="0"/>
                    <w:jc w:val="center"/>
                    <w:rPr>
                      <w:rFonts w:asciiTheme="minorEastAsia" w:hAnsiTheme="minorEastAsia" w:eastAsiaTheme="minorEastAsia"/>
                    </w:rPr>
                  </w:pPr>
                  <w:r>
                    <w:rPr>
                      <w:rFonts w:asciiTheme="minorEastAsia" w:hAnsiTheme="minorEastAsia" w:eastAsiaTheme="minorEastAsia"/>
                    </w:rPr>
                    <w:t>遏制“两高”项目盲目发展</w:t>
                  </w:r>
                </w:p>
              </w:tc>
              <w:tc>
                <w:tcPr>
                  <w:tcW w:w="2525" w:type="pct"/>
                  <w:tcBorders>
                    <w:top w:val="single" w:color="auto" w:sz="4" w:space="0"/>
                    <w:left w:val="single" w:color="auto" w:sz="4" w:space="0"/>
                    <w:bottom w:val="single" w:color="auto" w:sz="4" w:space="0"/>
                    <w:right w:val="single" w:color="auto" w:sz="4" w:space="0"/>
                  </w:tcBorders>
                  <w:vAlign w:val="center"/>
                </w:tcPr>
                <w:p w14:paraId="5109544D">
                  <w:pPr>
                    <w:adjustRightInd w:val="0"/>
                    <w:snapToGrid w:val="0"/>
                    <w:jc w:val="center"/>
                    <w:rPr>
                      <w:color w:val="000000"/>
                      <w:szCs w:val="21"/>
                    </w:rPr>
                  </w:pPr>
                  <w:r>
                    <w:t>严格落实国家产业规划、产业政策、</w:t>
                  </w:r>
                  <w:r>
                    <w:rPr>
                      <w:rFonts w:asciiTheme="majorEastAsia" w:hAnsiTheme="majorEastAsia" w:eastAsiaTheme="majorEastAsia"/>
                    </w:rPr>
                    <w:t>“三线一单”</w:t>
                  </w:r>
                  <w:r>
                    <w:t>、规划环评，以及产能置换、煤炭消费减量替代、区域污染物削减等要求，严把高耗能、高排放、低水平项目准入关口。全省大气污染防治重点区域禁止新增钢铁、电解铝、氧化铝、水泥熟料、平板玻璃（光伏压延玻璃除外）、煤化工、焦化、铝用炭素、含烧结工序的耐火材料和砖瓦制品等行业产能，合理控制煤制油气产能规模，严控新增炼油产能。强化项目环评及“三同时”管理，国家、省绩效分级重点行业以及涉及锅炉炉窑的其他行业，新建、扩建项目污染物排放限值、污染治理措施、无组织排放控制水平、运输方式等达到A级绩效水平，改建项目污染物排放限值、污染治理措施、无组织排放控制水平、运输方式等达到B级以上绩效水平。新建、改建、扩建项目大宗货物年货运量150万吨及以上的，原则上要接入铁路专用线或管道；具有铁路专用线的，大宗货物铁路运输比例应达到80%以上。</w:t>
                  </w:r>
                </w:p>
              </w:tc>
              <w:tc>
                <w:tcPr>
                  <w:tcW w:w="1427" w:type="pct"/>
                  <w:tcBorders>
                    <w:top w:val="single" w:color="auto" w:sz="4" w:space="0"/>
                    <w:left w:val="single" w:color="auto" w:sz="4" w:space="0"/>
                    <w:bottom w:val="single" w:color="auto" w:sz="4" w:space="0"/>
                    <w:right w:val="single" w:color="auto" w:sz="4" w:space="0"/>
                  </w:tcBorders>
                  <w:vAlign w:val="center"/>
                </w:tcPr>
                <w:p w14:paraId="4D70DEB6">
                  <w:pPr>
                    <w:pStyle w:val="14"/>
                    <w:adjustRightInd w:val="0"/>
                    <w:snapToGrid w:val="0"/>
                    <w:ind w:left="42" w:leftChars="20"/>
                    <w:jc w:val="center"/>
                    <w:rPr>
                      <w:rFonts w:cs="宋体"/>
                      <w:sz w:val="21"/>
                      <w:szCs w:val="21"/>
                    </w:rPr>
                  </w:pPr>
                  <w:r>
                    <w:rPr>
                      <w:rFonts w:hint="eastAsia" w:cs="宋体"/>
                      <w:sz w:val="21"/>
                      <w:szCs w:val="21"/>
                    </w:rPr>
                    <w:t>本项目不属于“两高”项目；项目严格落实国家产业规划、产业政策、“三线一单”、区域污染物削减等要求；项目不属于钢铁、电解铝、氧化铝等行业，不涉及相关生产；</w:t>
                  </w:r>
                  <w:r>
                    <w:rPr>
                      <w:rFonts w:hint="eastAsia"/>
                      <w:sz w:val="21"/>
                      <w:szCs w:val="21"/>
                    </w:rPr>
                    <w:t>本项目原料存放、破碎、熬制、压饼等过程恶臭废气、熬制油烟废气及污水处理站恶臭气体由“冷凝+静电油烟净化器+碱液喷淋塔+除雾器+活性炭吸附装置”处理后通过排气筒达标排放</w:t>
                  </w:r>
                  <w:r>
                    <w:rPr>
                      <w:rFonts w:hint="eastAsia" w:cs="宋体"/>
                      <w:sz w:val="21"/>
                      <w:szCs w:val="21"/>
                    </w:rPr>
                    <w:t>，本项目属于新建项目，涉及导热油炉，项目污染物排放限值、污染治理措施、无组织排放控制水平、运输方式等严格按照</w:t>
                  </w:r>
                  <w:r>
                    <w:rPr>
                      <w:rFonts w:hint="eastAsia"/>
                      <w:kern w:val="2"/>
                      <w:sz w:val="21"/>
                      <w:szCs w:val="21"/>
                    </w:rPr>
                    <w:t>涉锅炉A级指标</w:t>
                  </w:r>
                  <w:r>
                    <w:rPr>
                      <w:rFonts w:hint="eastAsia" w:cs="宋体"/>
                      <w:sz w:val="21"/>
                      <w:szCs w:val="21"/>
                    </w:rPr>
                    <w:t>要求建设</w:t>
                  </w:r>
                </w:p>
              </w:tc>
              <w:tc>
                <w:tcPr>
                  <w:tcW w:w="228" w:type="pct"/>
                  <w:tcBorders>
                    <w:top w:val="single" w:color="auto" w:sz="4" w:space="0"/>
                    <w:left w:val="single" w:color="auto" w:sz="4" w:space="0"/>
                    <w:bottom w:val="single" w:color="auto" w:sz="4" w:space="0"/>
                    <w:right w:val="single" w:color="auto" w:sz="4" w:space="0"/>
                  </w:tcBorders>
                  <w:vAlign w:val="center"/>
                </w:tcPr>
                <w:p w14:paraId="44C59BAD">
                  <w:pPr>
                    <w:autoSpaceDE w:val="0"/>
                    <w:autoSpaceDN w:val="0"/>
                    <w:adjustRightInd w:val="0"/>
                    <w:snapToGrid w:val="0"/>
                    <w:spacing w:line="240" w:lineRule="exact"/>
                    <w:jc w:val="center"/>
                    <w:rPr>
                      <w:color w:val="000000"/>
                      <w:szCs w:val="21"/>
                    </w:rPr>
                  </w:pPr>
                  <w:r>
                    <w:rPr>
                      <w:rFonts w:hint="eastAsia"/>
                      <w:color w:val="000000"/>
                      <w:szCs w:val="21"/>
                    </w:rPr>
                    <w:t>相符</w:t>
                  </w:r>
                </w:p>
              </w:tc>
            </w:tr>
            <w:tr w14:paraId="71B4C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474" w:type="pct"/>
                  <w:vMerge w:val="continue"/>
                  <w:tcBorders>
                    <w:left w:val="single" w:color="auto" w:sz="4" w:space="0"/>
                    <w:right w:val="single" w:color="auto" w:sz="4" w:space="0"/>
                  </w:tcBorders>
                  <w:vAlign w:val="center"/>
                </w:tcPr>
                <w:p w14:paraId="44F2F7DE">
                  <w:pPr>
                    <w:adjustRightInd w:val="0"/>
                    <w:snapToGrid w:val="0"/>
                    <w:jc w:val="center"/>
                    <w:rPr>
                      <w:color w:val="000000"/>
                      <w:szCs w:val="21"/>
                    </w:rPr>
                  </w:pPr>
                </w:p>
              </w:tc>
              <w:tc>
                <w:tcPr>
                  <w:tcW w:w="347" w:type="pct"/>
                  <w:tcBorders>
                    <w:top w:val="single" w:color="auto" w:sz="4" w:space="0"/>
                    <w:left w:val="single" w:color="auto" w:sz="4" w:space="0"/>
                    <w:right w:val="single" w:color="auto" w:sz="4" w:space="0"/>
                  </w:tcBorders>
                  <w:vAlign w:val="center"/>
                </w:tcPr>
                <w:p w14:paraId="76CE8FC2">
                  <w:pPr>
                    <w:adjustRightInd w:val="0"/>
                    <w:snapToGrid w:val="0"/>
                    <w:jc w:val="center"/>
                    <w:rPr>
                      <w:szCs w:val="21"/>
                    </w:rPr>
                  </w:pPr>
                  <w:r>
                    <w:rPr>
                      <w:rFonts w:hint="eastAsia" w:cs="宋体"/>
                      <w:kern w:val="0"/>
                      <w:szCs w:val="21"/>
                    </w:rPr>
                    <w:t>实施工业污染排放深度治理</w:t>
                  </w:r>
                </w:p>
              </w:tc>
              <w:tc>
                <w:tcPr>
                  <w:tcW w:w="2525" w:type="pct"/>
                  <w:tcBorders>
                    <w:top w:val="single" w:color="auto" w:sz="4" w:space="0"/>
                    <w:left w:val="single" w:color="auto" w:sz="4" w:space="0"/>
                    <w:bottom w:val="single" w:color="auto" w:sz="4" w:space="0"/>
                    <w:right w:val="single" w:color="auto" w:sz="4" w:space="0"/>
                  </w:tcBorders>
                  <w:vAlign w:val="center"/>
                </w:tcPr>
                <w:p w14:paraId="37503BEC">
                  <w:pPr>
                    <w:adjustRightInd w:val="0"/>
                    <w:snapToGrid w:val="0"/>
                    <w:jc w:val="center"/>
                  </w:pPr>
                  <w:r>
                    <w:rPr>
                      <w:rFonts w:hint="eastAsia" w:cs="宋体"/>
                      <w:kern w:val="0"/>
                      <w:szCs w:val="21"/>
                    </w:rPr>
                    <w:t>推进玻璃、煤化工、无机化工、化肥、有色、铸造、石灰、砖瓦、耐火材料、炭素、生物质锅炉、生活垃圾焚烧等行业锅炉炉窑深度治理，全面提升治污设施处理能力和运行管理水平，加强物料运输、装卸储存及生产过程中的无组织排放控制，确保稳定达标排放。推进氨排放治理，加强电力、钢铁、水泥、焦化等重点行业烟气脱硫脱硝氨逃逸防控，减少大气氨排放。建立并动态更新重点行业企业全口径清单，实施精细化管理。</w:t>
                  </w:r>
                </w:p>
              </w:tc>
              <w:tc>
                <w:tcPr>
                  <w:tcW w:w="1427" w:type="pct"/>
                  <w:tcBorders>
                    <w:top w:val="single" w:color="auto" w:sz="4" w:space="0"/>
                    <w:left w:val="single" w:color="auto" w:sz="4" w:space="0"/>
                    <w:bottom w:val="single" w:color="auto" w:sz="4" w:space="0"/>
                    <w:right w:val="single" w:color="auto" w:sz="4" w:space="0"/>
                  </w:tcBorders>
                  <w:vAlign w:val="center"/>
                </w:tcPr>
                <w:p w14:paraId="44558AEE">
                  <w:pPr>
                    <w:pStyle w:val="14"/>
                    <w:adjustRightInd w:val="0"/>
                    <w:snapToGrid w:val="0"/>
                    <w:ind w:left="42" w:leftChars="20"/>
                    <w:jc w:val="center"/>
                    <w:rPr>
                      <w:color w:val="000000"/>
                      <w:kern w:val="2"/>
                      <w:sz w:val="21"/>
                      <w:szCs w:val="21"/>
                      <w:highlight w:val="yellow"/>
                    </w:rPr>
                  </w:pPr>
                  <w:r>
                    <w:rPr>
                      <w:rFonts w:hint="eastAsia"/>
                      <w:sz w:val="21"/>
                      <w:szCs w:val="21"/>
                    </w:rPr>
                    <w:t>本项目原料存放、破碎、熬制及压饼等生产过程恶臭废气、熬制油烟废气及污水处理站恶臭气体由“冷凝+静电油烟净化器+碱液喷淋塔+除雾器+活性炭吸附装置”处理，</w:t>
                  </w:r>
                  <w:r>
                    <w:rPr>
                      <w:rFonts w:hint="eastAsia" w:cs="宋体"/>
                      <w:sz w:val="21"/>
                      <w:szCs w:val="21"/>
                    </w:rPr>
                    <w:t>导热油炉</w:t>
                  </w:r>
                  <w:r>
                    <w:rPr>
                      <w:rFonts w:hint="eastAsia"/>
                      <w:sz w:val="21"/>
                      <w:szCs w:val="21"/>
                    </w:rPr>
                    <w:t>配套安装低氮燃烧装置，废气经处理后通过排气筒达标排放，物料装卸及生产过程均在密闭车间内进行</w:t>
                  </w:r>
                </w:p>
              </w:tc>
              <w:tc>
                <w:tcPr>
                  <w:tcW w:w="228" w:type="pct"/>
                  <w:tcBorders>
                    <w:top w:val="single" w:color="auto" w:sz="4" w:space="0"/>
                    <w:left w:val="single" w:color="auto" w:sz="4" w:space="0"/>
                    <w:bottom w:val="single" w:color="auto" w:sz="4" w:space="0"/>
                    <w:right w:val="single" w:color="auto" w:sz="4" w:space="0"/>
                  </w:tcBorders>
                  <w:vAlign w:val="center"/>
                </w:tcPr>
                <w:p w14:paraId="188837EE">
                  <w:pPr>
                    <w:autoSpaceDE w:val="0"/>
                    <w:autoSpaceDN w:val="0"/>
                    <w:adjustRightInd w:val="0"/>
                    <w:snapToGrid w:val="0"/>
                    <w:spacing w:line="240" w:lineRule="exact"/>
                    <w:jc w:val="center"/>
                    <w:rPr>
                      <w:color w:val="000000"/>
                      <w:szCs w:val="21"/>
                    </w:rPr>
                  </w:pPr>
                  <w:r>
                    <w:rPr>
                      <w:rFonts w:hint="eastAsia"/>
                      <w:color w:val="000000"/>
                      <w:szCs w:val="21"/>
                    </w:rPr>
                    <w:t>相符</w:t>
                  </w:r>
                </w:p>
              </w:tc>
            </w:tr>
            <w:tr w14:paraId="7A8F2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474" w:type="pct"/>
                  <w:vMerge w:val="restart"/>
                  <w:tcBorders>
                    <w:top w:val="single" w:color="auto" w:sz="4" w:space="0"/>
                    <w:left w:val="single" w:color="auto" w:sz="4" w:space="0"/>
                    <w:right w:val="single" w:color="auto" w:sz="4" w:space="0"/>
                  </w:tcBorders>
                  <w:vAlign w:val="center"/>
                </w:tcPr>
                <w:p w14:paraId="15D95DC9">
                  <w:pPr>
                    <w:adjustRightInd w:val="0"/>
                    <w:snapToGrid w:val="0"/>
                    <w:jc w:val="center"/>
                    <w:rPr>
                      <w:b/>
                      <w:color w:val="000000"/>
                      <w:szCs w:val="21"/>
                      <w:u w:val="single"/>
                    </w:rPr>
                  </w:pPr>
                  <w:r>
                    <w:rPr>
                      <w:rFonts w:hint="eastAsia"/>
                      <w:b/>
                      <w:color w:val="000000"/>
                      <w:szCs w:val="21"/>
                      <w:u w:val="single"/>
                    </w:rPr>
                    <w:t>河南省2025年蓝天保卫战实施方案</w:t>
                  </w:r>
                </w:p>
              </w:tc>
              <w:tc>
                <w:tcPr>
                  <w:tcW w:w="347" w:type="pct"/>
                  <w:tcBorders>
                    <w:top w:val="single" w:color="auto" w:sz="4" w:space="0"/>
                    <w:left w:val="single" w:color="auto" w:sz="4" w:space="0"/>
                    <w:right w:val="single" w:color="auto" w:sz="4" w:space="0"/>
                  </w:tcBorders>
                  <w:vAlign w:val="center"/>
                </w:tcPr>
                <w:p w14:paraId="7211D9F4">
                  <w:pPr>
                    <w:pStyle w:val="62"/>
                    <w:rPr>
                      <w:b/>
                      <w:u w:val="single"/>
                    </w:rPr>
                  </w:pPr>
                  <w:r>
                    <w:rPr>
                      <w:rFonts w:hint="eastAsia"/>
                      <w:b/>
                      <w:u w:val="single"/>
                    </w:rPr>
                    <w:t>依法依规淘汰落后低效产能</w:t>
                  </w:r>
                </w:p>
              </w:tc>
              <w:tc>
                <w:tcPr>
                  <w:tcW w:w="2525" w:type="pct"/>
                  <w:tcBorders>
                    <w:top w:val="single" w:color="auto" w:sz="4" w:space="0"/>
                    <w:left w:val="single" w:color="auto" w:sz="4" w:space="0"/>
                    <w:bottom w:val="single" w:color="auto" w:sz="4" w:space="0"/>
                    <w:right w:val="single" w:color="auto" w:sz="4" w:space="0"/>
                  </w:tcBorders>
                  <w:vAlign w:val="center"/>
                </w:tcPr>
                <w:p w14:paraId="69ED2AAE">
                  <w:pPr>
                    <w:pStyle w:val="62"/>
                    <w:rPr>
                      <w:b/>
                      <w:u w:val="single"/>
                    </w:rPr>
                  </w:pPr>
                  <w:r>
                    <w:rPr>
                      <w:rFonts w:hint="eastAsia"/>
                      <w:b/>
                      <w:u w:val="single"/>
                    </w:rPr>
                    <w:t>严格落实《产业结构调整指导目录（2024年本）》《河南省淘汰落后产能综合标准体系（2023年本）》《国家污染防治技术指导目录（2024年，限制类和淘汰类）》要求，加快落后生产工艺装备和过剩产能淘汰退出，列入2025年去产能计划的生产设施9月底前停止排污。全省严禁新改扩建烧结砖瓦项目，加快退出6000万标砖/年以下、城市规划区内的烧结砖及烧结空心砌块生产线，各省辖市、济源示范区、航空港区在2025年4月组织开展烧结砖瓦行业专项整治“回头看”，原则上对达不到B级及以上绩效水平的烧结砖瓦企业实施停产整治；持续推动生物质小锅炉关停整合。2025年4月底前，各省辖市、济源示范区、航空港区制定年度落后产能淘汰退出工作方案，排查建立淘汰退出任务台账；2025年9月底前，淘汰退出烧结砖瓦生产线200条以上，整合淘汰现有的175台2蒸吨及以下和未采用专用炉具的生物质锅炉。</w:t>
                  </w:r>
                </w:p>
              </w:tc>
              <w:tc>
                <w:tcPr>
                  <w:tcW w:w="1427" w:type="pct"/>
                  <w:tcBorders>
                    <w:top w:val="single" w:color="auto" w:sz="4" w:space="0"/>
                    <w:left w:val="single" w:color="auto" w:sz="4" w:space="0"/>
                    <w:bottom w:val="single" w:color="auto" w:sz="4" w:space="0"/>
                    <w:right w:val="single" w:color="auto" w:sz="4" w:space="0"/>
                  </w:tcBorders>
                  <w:vAlign w:val="center"/>
                </w:tcPr>
                <w:p w14:paraId="48506378">
                  <w:pPr>
                    <w:pStyle w:val="14"/>
                    <w:adjustRightInd w:val="0"/>
                    <w:snapToGrid w:val="0"/>
                    <w:ind w:left="42" w:leftChars="20"/>
                    <w:jc w:val="center"/>
                    <w:rPr>
                      <w:b/>
                      <w:sz w:val="21"/>
                      <w:szCs w:val="21"/>
                      <w:u w:val="single"/>
                    </w:rPr>
                  </w:pPr>
                  <w:r>
                    <w:rPr>
                      <w:rFonts w:hint="eastAsia"/>
                      <w:b/>
                      <w:sz w:val="21"/>
                      <w:szCs w:val="21"/>
                      <w:u w:val="single"/>
                    </w:rPr>
                    <w:t>本项目严格落实《产业结构调整指导目录（2024年本）》《河南省淘汰落后产能综合标准体系（2023年本）》《国家污染防治技术指导目录（2024年，限制类和淘汰类）》要求，不涉及落后生产工艺装备和过剩产能</w:t>
                  </w:r>
                </w:p>
              </w:tc>
              <w:tc>
                <w:tcPr>
                  <w:tcW w:w="228" w:type="pct"/>
                  <w:tcBorders>
                    <w:top w:val="single" w:color="auto" w:sz="4" w:space="0"/>
                    <w:left w:val="single" w:color="auto" w:sz="4" w:space="0"/>
                    <w:bottom w:val="single" w:color="auto" w:sz="4" w:space="0"/>
                    <w:right w:val="single" w:color="auto" w:sz="4" w:space="0"/>
                  </w:tcBorders>
                  <w:vAlign w:val="center"/>
                </w:tcPr>
                <w:p w14:paraId="6FC20039">
                  <w:pPr>
                    <w:autoSpaceDE w:val="0"/>
                    <w:autoSpaceDN w:val="0"/>
                    <w:adjustRightInd w:val="0"/>
                    <w:snapToGrid w:val="0"/>
                    <w:spacing w:line="240" w:lineRule="exact"/>
                    <w:jc w:val="center"/>
                    <w:rPr>
                      <w:b/>
                      <w:color w:val="000000"/>
                      <w:szCs w:val="21"/>
                      <w:u w:val="single"/>
                    </w:rPr>
                  </w:pPr>
                  <w:r>
                    <w:rPr>
                      <w:b/>
                      <w:color w:val="000000"/>
                      <w:szCs w:val="21"/>
                      <w:u w:val="single"/>
                    </w:rPr>
                    <w:t>相符</w:t>
                  </w:r>
                </w:p>
              </w:tc>
            </w:tr>
            <w:tr w14:paraId="7F1A4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474" w:type="pct"/>
                  <w:vMerge w:val="continue"/>
                  <w:tcBorders>
                    <w:left w:val="single" w:color="auto" w:sz="4" w:space="0"/>
                    <w:right w:val="single" w:color="auto" w:sz="4" w:space="0"/>
                  </w:tcBorders>
                  <w:vAlign w:val="center"/>
                </w:tcPr>
                <w:p w14:paraId="589CED5F">
                  <w:pPr>
                    <w:adjustRightInd w:val="0"/>
                    <w:snapToGrid w:val="0"/>
                    <w:jc w:val="center"/>
                    <w:rPr>
                      <w:b/>
                      <w:color w:val="000000"/>
                      <w:szCs w:val="21"/>
                      <w:u w:val="single"/>
                    </w:rPr>
                  </w:pPr>
                </w:p>
              </w:tc>
              <w:tc>
                <w:tcPr>
                  <w:tcW w:w="347" w:type="pct"/>
                  <w:tcBorders>
                    <w:left w:val="single" w:color="auto" w:sz="4" w:space="0"/>
                    <w:right w:val="single" w:color="auto" w:sz="4" w:space="0"/>
                  </w:tcBorders>
                  <w:vAlign w:val="center"/>
                </w:tcPr>
                <w:p w14:paraId="11D842E3">
                  <w:pPr>
                    <w:pStyle w:val="62"/>
                    <w:rPr>
                      <w:b/>
                      <w:u w:val="single"/>
                    </w:rPr>
                  </w:pPr>
                  <w:r>
                    <w:rPr>
                      <w:rFonts w:hint="eastAsia"/>
                      <w:b/>
                      <w:u w:val="single"/>
                    </w:rPr>
                    <w:t>深入开展低效失效治理设施排查整治</w:t>
                  </w:r>
                </w:p>
              </w:tc>
              <w:tc>
                <w:tcPr>
                  <w:tcW w:w="2525" w:type="pct"/>
                  <w:tcBorders>
                    <w:top w:val="single" w:color="auto" w:sz="4" w:space="0"/>
                    <w:left w:val="single" w:color="auto" w:sz="4" w:space="0"/>
                    <w:bottom w:val="single" w:color="auto" w:sz="4" w:space="0"/>
                    <w:right w:val="single" w:color="auto" w:sz="4" w:space="0"/>
                  </w:tcBorders>
                  <w:vAlign w:val="center"/>
                </w:tcPr>
                <w:p w14:paraId="55B4A31E">
                  <w:pPr>
                    <w:pStyle w:val="62"/>
                    <w:rPr>
                      <w:b/>
                      <w:u w:val="single"/>
                    </w:rPr>
                  </w:pPr>
                  <w:r>
                    <w:rPr>
                      <w:rFonts w:hint="eastAsia"/>
                      <w:b/>
                      <w:u w:val="single"/>
                    </w:rPr>
                    <w:t>对照《低效失效大气污染治理设施排查整治技术要点》，持续开展低效失效大气污染治理设施排查，淘汰不成熟、不适用、无法稳定达标排放的治理工艺，整治关键组件缺失、质量低劣、自动化水平低的治理设施，纳入年度重点治理任务限期完成提升改造。2025年10月底前，完成低效失效治理设施提升改造企业800家以上，未按时完成提升改造的纳入秋冬季生产调控范围。</w:t>
                  </w:r>
                </w:p>
              </w:tc>
              <w:tc>
                <w:tcPr>
                  <w:tcW w:w="1427" w:type="pct"/>
                  <w:tcBorders>
                    <w:top w:val="single" w:color="auto" w:sz="4" w:space="0"/>
                    <w:left w:val="single" w:color="auto" w:sz="4" w:space="0"/>
                    <w:bottom w:val="single" w:color="auto" w:sz="4" w:space="0"/>
                    <w:right w:val="single" w:color="auto" w:sz="4" w:space="0"/>
                  </w:tcBorders>
                  <w:vAlign w:val="center"/>
                </w:tcPr>
                <w:p w14:paraId="6854C5B0">
                  <w:pPr>
                    <w:pStyle w:val="14"/>
                    <w:adjustRightInd w:val="0"/>
                    <w:snapToGrid w:val="0"/>
                    <w:ind w:left="42" w:leftChars="20"/>
                    <w:jc w:val="center"/>
                    <w:rPr>
                      <w:b/>
                      <w:color w:val="000000"/>
                      <w:kern w:val="2"/>
                      <w:sz w:val="21"/>
                      <w:szCs w:val="21"/>
                      <w:u w:val="single"/>
                    </w:rPr>
                  </w:pPr>
                  <w:r>
                    <w:rPr>
                      <w:rFonts w:hint="eastAsia"/>
                      <w:b/>
                      <w:color w:val="000000"/>
                      <w:kern w:val="2"/>
                      <w:sz w:val="21"/>
                      <w:szCs w:val="21"/>
                      <w:u w:val="single"/>
                    </w:rPr>
                    <w:t>项目原料存放、破碎、熬制及压饼等生产过程恶臭废气、熬制油烟废气及污水处理站恶臭气体由“冷凝+静电油烟净化器+碱液喷淋塔+除雾器+活性炭吸附装置”处理后通过排气筒达标排放，建设单位对废气处理设施进行定期检查维护，避免出现废气无法稳定达标排放的的情况发生</w:t>
                  </w:r>
                </w:p>
              </w:tc>
              <w:tc>
                <w:tcPr>
                  <w:tcW w:w="228" w:type="pct"/>
                  <w:tcBorders>
                    <w:top w:val="single" w:color="auto" w:sz="4" w:space="0"/>
                    <w:left w:val="single" w:color="auto" w:sz="4" w:space="0"/>
                    <w:bottom w:val="single" w:color="auto" w:sz="4" w:space="0"/>
                    <w:right w:val="single" w:color="auto" w:sz="4" w:space="0"/>
                  </w:tcBorders>
                  <w:vAlign w:val="center"/>
                </w:tcPr>
                <w:p w14:paraId="7E758B12">
                  <w:pPr>
                    <w:autoSpaceDE w:val="0"/>
                    <w:autoSpaceDN w:val="0"/>
                    <w:adjustRightInd w:val="0"/>
                    <w:snapToGrid w:val="0"/>
                    <w:spacing w:line="240" w:lineRule="exact"/>
                    <w:jc w:val="center"/>
                    <w:rPr>
                      <w:b/>
                      <w:color w:val="000000"/>
                      <w:szCs w:val="21"/>
                      <w:u w:val="single"/>
                    </w:rPr>
                  </w:pPr>
                  <w:r>
                    <w:rPr>
                      <w:b/>
                      <w:color w:val="000000"/>
                      <w:szCs w:val="21"/>
                      <w:u w:val="single"/>
                    </w:rPr>
                    <w:t>相符</w:t>
                  </w:r>
                </w:p>
              </w:tc>
            </w:tr>
            <w:tr w14:paraId="09595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474" w:type="pct"/>
                  <w:vMerge w:val="continue"/>
                  <w:tcBorders>
                    <w:left w:val="single" w:color="auto" w:sz="4" w:space="0"/>
                    <w:right w:val="single" w:color="auto" w:sz="4" w:space="0"/>
                  </w:tcBorders>
                  <w:vAlign w:val="center"/>
                </w:tcPr>
                <w:p w14:paraId="47493864">
                  <w:pPr>
                    <w:adjustRightInd w:val="0"/>
                    <w:snapToGrid w:val="0"/>
                    <w:jc w:val="center"/>
                    <w:rPr>
                      <w:b/>
                      <w:color w:val="000000"/>
                      <w:szCs w:val="21"/>
                      <w:u w:val="single"/>
                    </w:rPr>
                  </w:pPr>
                </w:p>
              </w:tc>
              <w:tc>
                <w:tcPr>
                  <w:tcW w:w="347" w:type="pct"/>
                  <w:tcBorders>
                    <w:left w:val="single" w:color="auto" w:sz="4" w:space="0"/>
                    <w:right w:val="single" w:color="auto" w:sz="4" w:space="0"/>
                  </w:tcBorders>
                  <w:vAlign w:val="center"/>
                </w:tcPr>
                <w:p w14:paraId="04BA3F88">
                  <w:pPr>
                    <w:pStyle w:val="62"/>
                    <w:rPr>
                      <w:b/>
                      <w:u w:val="single"/>
                    </w:rPr>
                  </w:pPr>
                  <w:r>
                    <w:rPr>
                      <w:rFonts w:hint="eastAsia"/>
                      <w:b/>
                      <w:u w:val="single"/>
                    </w:rPr>
                    <w:t>深化扬尘污染综合治理</w:t>
                  </w:r>
                </w:p>
              </w:tc>
              <w:tc>
                <w:tcPr>
                  <w:tcW w:w="2525" w:type="pct"/>
                  <w:tcBorders>
                    <w:top w:val="single" w:color="auto" w:sz="4" w:space="0"/>
                    <w:left w:val="single" w:color="auto" w:sz="4" w:space="0"/>
                    <w:bottom w:val="single" w:color="auto" w:sz="4" w:space="0"/>
                    <w:right w:val="single" w:color="auto" w:sz="4" w:space="0"/>
                  </w:tcBorders>
                  <w:vAlign w:val="center"/>
                </w:tcPr>
                <w:p w14:paraId="3EE43FA0">
                  <w:pPr>
                    <w:pStyle w:val="62"/>
                    <w:rPr>
                      <w:b/>
                      <w:u w:val="single"/>
                    </w:rPr>
                  </w:pPr>
                  <w:r>
                    <w:rPr>
                      <w:rFonts w:hint="eastAsia"/>
                      <w:b/>
                      <w:u w:val="single"/>
                    </w:rPr>
                    <w:t>持续开展扬尘污染治理提升行动，以城市建成区及周边房屋建筑、市政、交通、水利、拆除等工程为重点，突出大风沙尘天气、重污染天气等重点时段防控，切实做好土石方开挖、回填等施工作业期间全时段湿法作业，强化各项扬尘防治措施落实；加大城区主次干道、背街小巷保洁力度，严格渣土运输车辆规范化管理，鼓励引导施工工地使用新能源渣土车、商砼车运输，依法查处渣土车密闭不严、带泥上路、沿途遗撒、随意倾倒等违法违规行为。加强重点建设工程达标管理，实施分包帮扶，对土石方作业实施驻场监管。严格矿山开采、运输和加工过程防尘、除尘措施。加快全省扬尘污染防治智慧化监控平台建设，完成市级平台与省级平台的互联互通和数据上报。</w:t>
                  </w:r>
                </w:p>
              </w:tc>
              <w:tc>
                <w:tcPr>
                  <w:tcW w:w="1427" w:type="pct"/>
                  <w:tcBorders>
                    <w:top w:val="single" w:color="auto" w:sz="4" w:space="0"/>
                    <w:left w:val="single" w:color="auto" w:sz="4" w:space="0"/>
                    <w:bottom w:val="single" w:color="auto" w:sz="4" w:space="0"/>
                    <w:right w:val="single" w:color="auto" w:sz="4" w:space="0"/>
                  </w:tcBorders>
                  <w:vAlign w:val="center"/>
                </w:tcPr>
                <w:p w14:paraId="4A1E0A28">
                  <w:pPr>
                    <w:pStyle w:val="14"/>
                    <w:adjustRightInd w:val="0"/>
                    <w:snapToGrid w:val="0"/>
                    <w:ind w:left="42" w:leftChars="20"/>
                    <w:jc w:val="center"/>
                    <w:rPr>
                      <w:b/>
                      <w:color w:val="000000"/>
                      <w:kern w:val="2"/>
                      <w:sz w:val="21"/>
                      <w:szCs w:val="21"/>
                      <w:highlight w:val="yellow"/>
                      <w:u w:val="single"/>
                    </w:rPr>
                  </w:pPr>
                  <w:r>
                    <w:rPr>
                      <w:b/>
                      <w:color w:val="000000"/>
                      <w:kern w:val="2"/>
                      <w:sz w:val="21"/>
                      <w:szCs w:val="21"/>
                      <w:u w:val="single"/>
                    </w:rPr>
                    <w:t>项目主要施工内容</w:t>
                  </w:r>
                  <w:r>
                    <w:rPr>
                      <w:rFonts w:hint="eastAsia"/>
                      <w:b/>
                      <w:color w:val="000000"/>
                      <w:kern w:val="2"/>
                      <w:sz w:val="21"/>
                      <w:szCs w:val="21"/>
                      <w:u w:val="single"/>
                    </w:rPr>
                    <w:t>为地面硬化、锅炉房建设、生活区建设等</w:t>
                  </w:r>
                  <w:r>
                    <w:rPr>
                      <w:b/>
                      <w:color w:val="000000"/>
                      <w:kern w:val="2"/>
                      <w:sz w:val="21"/>
                      <w:szCs w:val="21"/>
                      <w:u w:val="single"/>
                    </w:rPr>
                    <w:t>，在严格执行</w:t>
                  </w:r>
                  <w:r>
                    <w:rPr>
                      <w:rFonts w:hint="eastAsia"/>
                      <w:b/>
                      <w:color w:val="000000"/>
                      <w:kern w:val="2"/>
                      <w:sz w:val="21"/>
                      <w:szCs w:val="21"/>
                      <w:u w:val="single"/>
                    </w:rPr>
                    <w:t>落实扬尘治理“两个标准”要求，加强施工围挡、车辆冲洗、湿法作业、密闭运输、地面硬化、物料覆盖等管理的情况下对环境影响较小；厂区地面已硬化，运营过程中定期对厂区地面进行打扫，最大程度减少扬尘的产生</w:t>
                  </w:r>
                </w:p>
              </w:tc>
              <w:tc>
                <w:tcPr>
                  <w:tcW w:w="228" w:type="pct"/>
                  <w:tcBorders>
                    <w:top w:val="single" w:color="auto" w:sz="4" w:space="0"/>
                    <w:left w:val="single" w:color="auto" w:sz="4" w:space="0"/>
                    <w:bottom w:val="single" w:color="auto" w:sz="4" w:space="0"/>
                    <w:right w:val="single" w:color="auto" w:sz="4" w:space="0"/>
                  </w:tcBorders>
                  <w:vAlign w:val="center"/>
                </w:tcPr>
                <w:p w14:paraId="4FE6EC88">
                  <w:pPr>
                    <w:autoSpaceDE w:val="0"/>
                    <w:autoSpaceDN w:val="0"/>
                    <w:adjustRightInd w:val="0"/>
                    <w:snapToGrid w:val="0"/>
                    <w:spacing w:line="240" w:lineRule="exact"/>
                    <w:jc w:val="center"/>
                    <w:rPr>
                      <w:b/>
                      <w:color w:val="000000"/>
                      <w:szCs w:val="21"/>
                      <w:u w:val="single"/>
                    </w:rPr>
                  </w:pPr>
                  <w:r>
                    <w:rPr>
                      <w:b/>
                      <w:color w:val="000000"/>
                      <w:szCs w:val="21"/>
                      <w:u w:val="single"/>
                    </w:rPr>
                    <w:t>相符</w:t>
                  </w:r>
                </w:p>
              </w:tc>
            </w:tr>
            <w:tr w14:paraId="0B277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474" w:type="pct"/>
                  <w:vMerge w:val="continue"/>
                  <w:tcBorders>
                    <w:left w:val="single" w:color="auto" w:sz="4" w:space="0"/>
                    <w:right w:val="single" w:color="auto" w:sz="4" w:space="0"/>
                  </w:tcBorders>
                  <w:vAlign w:val="center"/>
                </w:tcPr>
                <w:p w14:paraId="1D605D5E">
                  <w:pPr>
                    <w:adjustRightInd w:val="0"/>
                    <w:snapToGrid w:val="0"/>
                    <w:jc w:val="center"/>
                    <w:rPr>
                      <w:b/>
                      <w:color w:val="000000"/>
                      <w:szCs w:val="21"/>
                      <w:u w:val="single"/>
                    </w:rPr>
                  </w:pPr>
                </w:p>
              </w:tc>
              <w:tc>
                <w:tcPr>
                  <w:tcW w:w="347" w:type="pct"/>
                  <w:tcBorders>
                    <w:left w:val="single" w:color="auto" w:sz="4" w:space="0"/>
                    <w:right w:val="single" w:color="auto" w:sz="4" w:space="0"/>
                  </w:tcBorders>
                  <w:vAlign w:val="center"/>
                </w:tcPr>
                <w:p w14:paraId="4569415C">
                  <w:pPr>
                    <w:pStyle w:val="62"/>
                    <w:rPr>
                      <w:b/>
                      <w:u w:val="single"/>
                    </w:rPr>
                  </w:pPr>
                  <w:r>
                    <w:rPr>
                      <w:rFonts w:hint="eastAsia"/>
                      <w:b/>
                      <w:color w:val="000000"/>
                      <w:szCs w:val="21"/>
                      <w:u w:val="single"/>
                    </w:rPr>
                    <w:t>强化应急减排措施落实</w:t>
                  </w:r>
                </w:p>
              </w:tc>
              <w:tc>
                <w:tcPr>
                  <w:tcW w:w="2525" w:type="pct"/>
                  <w:tcBorders>
                    <w:top w:val="single" w:color="auto" w:sz="4" w:space="0"/>
                    <w:left w:val="single" w:color="auto" w:sz="4" w:space="0"/>
                    <w:bottom w:val="single" w:color="auto" w:sz="4" w:space="0"/>
                    <w:right w:val="single" w:color="auto" w:sz="4" w:space="0"/>
                  </w:tcBorders>
                  <w:vAlign w:val="center"/>
                </w:tcPr>
                <w:p w14:paraId="47960E83">
                  <w:pPr>
                    <w:pStyle w:val="62"/>
                    <w:rPr>
                      <w:b/>
                      <w:u w:val="single"/>
                    </w:rPr>
                  </w:pPr>
                  <w:r>
                    <w:rPr>
                      <w:rFonts w:hAnsiTheme="majorEastAsia" w:eastAsiaTheme="majorEastAsia"/>
                      <w:b/>
                      <w:kern w:val="0"/>
                      <w:szCs w:val="21"/>
                      <w:u w:val="single"/>
                    </w:rPr>
                    <w:t>精准实施重污染天气重点行业企业差异化管控，持续开展水泥、砖瓦窑、砂石骨料等行业错峰生产调控，制定长时间、大范围、重污染天气协商减排措施，引导企业合理制定生产计划，加强生产物资储备，优化重点行业高排放车辆运输调控，有效降低秋冬季区域大气污染物排放强度。加强区域联动和监督帮扶，压实应急减排责任，精准识别环境违法问题线索，夯实减排措施落实。各省辖市、济源示范区、航空港区结合产业结构特点、污染排放情况，对短时间难以停产的行业实施差异化轮流停产减排，可提高限制类或绩效等级低的企业生产调控比例。</w:t>
                  </w:r>
                </w:p>
              </w:tc>
              <w:tc>
                <w:tcPr>
                  <w:tcW w:w="1427" w:type="pct"/>
                  <w:tcBorders>
                    <w:top w:val="single" w:color="auto" w:sz="4" w:space="0"/>
                    <w:left w:val="single" w:color="auto" w:sz="4" w:space="0"/>
                    <w:bottom w:val="single" w:color="auto" w:sz="4" w:space="0"/>
                    <w:right w:val="single" w:color="auto" w:sz="4" w:space="0"/>
                  </w:tcBorders>
                  <w:vAlign w:val="center"/>
                </w:tcPr>
                <w:p w14:paraId="0CE8AAE8">
                  <w:pPr>
                    <w:pStyle w:val="14"/>
                    <w:adjustRightInd w:val="0"/>
                    <w:snapToGrid w:val="0"/>
                    <w:ind w:left="42" w:leftChars="20"/>
                    <w:jc w:val="center"/>
                    <w:rPr>
                      <w:b/>
                      <w:color w:val="000000"/>
                      <w:kern w:val="2"/>
                      <w:sz w:val="21"/>
                      <w:szCs w:val="21"/>
                      <w:u w:val="single"/>
                    </w:rPr>
                  </w:pPr>
                  <w:r>
                    <w:rPr>
                      <w:b/>
                      <w:color w:val="000000"/>
                      <w:kern w:val="2"/>
                      <w:sz w:val="21"/>
                      <w:szCs w:val="21"/>
                      <w:u w:val="single"/>
                    </w:rPr>
                    <w:t>项目污染物排放限值、污染治理措施、无组织排放控制水平、运输方式等</w:t>
                  </w:r>
                  <w:r>
                    <w:rPr>
                      <w:rFonts w:hint="eastAsia"/>
                      <w:b/>
                      <w:color w:val="000000"/>
                      <w:kern w:val="2"/>
                      <w:sz w:val="21"/>
                      <w:szCs w:val="21"/>
                      <w:u w:val="single"/>
                    </w:rPr>
                    <w:t>严格执行《河南省重污染天气通用行业应急减排措施制定技术指南》（2024年修订版）涉锅炉绩效分级指标</w:t>
                  </w:r>
                </w:p>
              </w:tc>
              <w:tc>
                <w:tcPr>
                  <w:tcW w:w="228" w:type="pct"/>
                  <w:tcBorders>
                    <w:top w:val="single" w:color="auto" w:sz="4" w:space="0"/>
                    <w:left w:val="single" w:color="auto" w:sz="4" w:space="0"/>
                    <w:bottom w:val="single" w:color="auto" w:sz="4" w:space="0"/>
                    <w:right w:val="single" w:color="auto" w:sz="4" w:space="0"/>
                  </w:tcBorders>
                  <w:vAlign w:val="center"/>
                </w:tcPr>
                <w:p w14:paraId="2EE2799F">
                  <w:pPr>
                    <w:autoSpaceDE w:val="0"/>
                    <w:autoSpaceDN w:val="0"/>
                    <w:adjustRightInd w:val="0"/>
                    <w:snapToGrid w:val="0"/>
                    <w:spacing w:line="240" w:lineRule="exact"/>
                    <w:jc w:val="center"/>
                    <w:rPr>
                      <w:b/>
                      <w:color w:val="000000"/>
                      <w:szCs w:val="21"/>
                      <w:u w:val="single"/>
                    </w:rPr>
                  </w:pPr>
                  <w:r>
                    <w:rPr>
                      <w:b/>
                      <w:color w:val="000000"/>
                      <w:szCs w:val="21"/>
                      <w:u w:val="single"/>
                    </w:rPr>
                    <w:t>相符</w:t>
                  </w:r>
                </w:p>
              </w:tc>
            </w:tr>
            <w:tr w14:paraId="2BD55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474" w:type="pct"/>
                  <w:tcBorders>
                    <w:left w:val="single" w:color="auto" w:sz="4" w:space="0"/>
                    <w:right w:val="single" w:color="auto" w:sz="4" w:space="0"/>
                  </w:tcBorders>
                  <w:vAlign w:val="center"/>
                </w:tcPr>
                <w:p w14:paraId="10F1260B">
                  <w:pPr>
                    <w:pStyle w:val="62"/>
                    <w:rPr>
                      <w:b/>
                      <w:u w:val="single"/>
                    </w:rPr>
                  </w:pPr>
                  <w:r>
                    <w:rPr>
                      <w:rFonts w:hint="eastAsia"/>
                      <w:b/>
                      <w:u w:val="single"/>
                    </w:rPr>
                    <w:t>河南省</w:t>
                  </w:r>
                  <w:r>
                    <w:rPr>
                      <w:b/>
                      <w:u w:val="single"/>
                    </w:rPr>
                    <w:t>202</w:t>
                  </w:r>
                  <w:r>
                    <w:rPr>
                      <w:rFonts w:hint="eastAsia"/>
                      <w:b/>
                      <w:u w:val="single"/>
                    </w:rPr>
                    <w:t>5</w:t>
                  </w:r>
                  <w:r>
                    <w:rPr>
                      <w:b/>
                      <w:u w:val="single"/>
                    </w:rPr>
                    <w:t>年碧水保卫战实施方案</w:t>
                  </w:r>
                </w:p>
              </w:tc>
              <w:tc>
                <w:tcPr>
                  <w:tcW w:w="347" w:type="pct"/>
                  <w:tcBorders>
                    <w:left w:val="single" w:color="auto" w:sz="4" w:space="0"/>
                    <w:right w:val="single" w:color="auto" w:sz="4" w:space="0"/>
                  </w:tcBorders>
                  <w:vAlign w:val="center"/>
                </w:tcPr>
                <w:p w14:paraId="6BB88E4F">
                  <w:pPr>
                    <w:pStyle w:val="62"/>
                    <w:rPr>
                      <w:b/>
                      <w:u w:val="single"/>
                    </w:rPr>
                  </w:pPr>
                  <w:r>
                    <w:rPr>
                      <w:rFonts w:hint="eastAsia"/>
                      <w:b/>
                      <w:u w:val="single"/>
                    </w:rPr>
                    <w:t>持续强化水资源节约集约利</w:t>
                  </w:r>
                </w:p>
              </w:tc>
              <w:tc>
                <w:tcPr>
                  <w:tcW w:w="2525" w:type="pct"/>
                  <w:tcBorders>
                    <w:top w:val="single" w:color="auto" w:sz="4" w:space="0"/>
                    <w:left w:val="single" w:color="auto" w:sz="4" w:space="0"/>
                    <w:bottom w:val="single" w:color="auto" w:sz="4" w:space="0"/>
                    <w:right w:val="single" w:color="auto" w:sz="4" w:space="0"/>
                  </w:tcBorders>
                  <w:vAlign w:val="center"/>
                </w:tcPr>
                <w:p w14:paraId="305944A3">
                  <w:pPr>
                    <w:pStyle w:val="62"/>
                    <w:rPr>
                      <w:b/>
                      <w:u w:val="single"/>
                    </w:rPr>
                  </w:pPr>
                  <w:r>
                    <w:rPr>
                      <w:rFonts w:hint="eastAsia"/>
                      <w:b/>
                      <w:u w:val="single"/>
                    </w:rPr>
                    <w:t>打造节水控水示范区，加快推进高标准农田建设和大中型灌区建设改造；严格用水总量与强度双控管理，分解下达区域年度用水计划；郑州、开封、安阳、焦作、三门峡和信阳市要加快再生水利用重点城市建设，确保按期实现再生水利用目标；郑州、开封、洛阳和鹤壁区域再生水循环利用试点城市要加快构建污染治理、生态保护、循环利用有机结合的综合治理体系；开展水效“领跑者”遴选工作和水效对标达标活动，开展2025年工业废水循环利用标杆企业和园区遴选，进一步提升工业水资源集约节约利用水平。</w:t>
                  </w:r>
                </w:p>
              </w:tc>
              <w:tc>
                <w:tcPr>
                  <w:tcW w:w="1427" w:type="pct"/>
                  <w:tcBorders>
                    <w:top w:val="single" w:color="auto" w:sz="4" w:space="0"/>
                    <w:left w:val="single" w:color="auto" w:sz="4" w:space="0"/>
                    <w:bottom w:val="single" w:color="auto" w:sz="4" w:space="0"/>
                    <w:right w:val="single" w:color="auto" w:sz="4" w:space="0"/>
                  </w:tcBorders>
                  <w:vAlign w:val="center"/>
                </w:tcPr>
                <w:p w14:paraId="5F1669AF">
                  <w:pPr>
                    <w:pStyle w:val="14"/>
                    <w:adjustRightInd w:val="0"/>
                    <w:snapToGrid w:val="0"/>
                    <w:ind w:left="42" w:leftChars="20"/>
                    <w:jc w:val="center"/>
                    <w:rPr>
                      <w:b/>
                      <w:color w:val="000000"/>
                      <w:kern w:val="2"/>
                      <w:sz w:val="21"/>
                      <w:szCs w:val="21"/>
                      <w:highlight w:val="yellow"/>
                      <w:u w:val="single"/>
                    </w:rPr>
                  </w:pPr>
                  <w:r>
                    <w:rPr>
                      <w:rFonts w:hint="eastAsia"/>
                      <w:b/>
                      <w:color w:val="000000"/>
                      <w:kern w:val="2"/>
                      <w:sz w:val="21"/>
                      <w:szCs w:val="21"/>
                      <w:u w:val="single"/>
                    </w:rPr>
                    <w:t>项目生产废水经厂区污水处理站处理后，经罐车运至北关镇污水处理厂处理，生活污水经厂区化粪池处理后交由周边居民外运肥田；循环冷却水系统排水回用于设备及地面清洗或洒水抑尘，不外排</w:t>
                  </w:r>
                </w:p>
              </w:tc>
              <w:tc>
                <w:tcPr>
                  <w:tcW w:w="228" w:type="pct"/>
                  <w:tcBorders>
                    <w:top w:val="single" w:color="auto" w:sz="4" w:space="0"/>
                    <w:left w:val="single" w:color="auto" w:sz="4" w:space="0"/>
                    <w:bottom w:val="single" w:color="auto" w:sz="4" w:space="0"/>
                    <w:right w:val="single" w:color="auto" w:sz="4" w:space="0"/>
                  </w:tcBorders>
                  <w:vAlign w:val="center"/>
                </w:tcPr>
                <w:p w14:paraId="7B3770EA">
                  <w:pPr>
                    <w:autoSpaceDE w:val="0"/>
                    <w:autoSpaceDN w:val="0"/>
                    <w:adjustRightInd w:val="0"/>
                    <w:snapToGrid w:val="0"/>
                    <w:spacing w:line="240" w:lineRule="exact"/>
                    <w:jc w:val="center"/>
                    <w:rPr>
                      <w:b/>
                      <w:color w:val="000000"/>
                      <w:szCs w:val="21"/>
                      <w:u w:val="single"/>
                    </w:rPr>
                  </w:pPr>
                  <w:r>
                    <w:rPr>
                      <w:b/>
                      <w:color w:val="000000"/>
                      <w:szCs w:val="21"/>
                      <w:u w:val="single"/>
                    </w:rPr>
                    <w:t>相符</w:t>
                  </w:r>
                </w:p>
              </w:tc>
            </w:tr>
            <w:tr w14:paraId="36ED8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07" w:hRule="atLeast"/>
              </w:trPr>
              <w:tc>
                <w:tcPr>
                  <w:tcW w:w="474" w:type="pct"/>
                  <w:tcBorders>
                    <w:left w:val="single" w:color="auto" w:sz="4" w:space="0"/>
                    <w:right w:val="single" w:color="auto" w:sz="4" w:space="0"/>
                  </w:tcBorders>
                  <w:vAlign w:val="center"/>
                </w:tcPr>
                <w:p w14:paraId="427F2BED">
                  <w:pPr>
                    <w:pStyle w:val="62"/>
                    <w:rPr>
                      <w:b/>
                      <w:u w:val="single"/>
                    </w:rPr>
                  </w:pPr>
                  <w:r>
                    <w:rPr>
                      <w:rFonts w:hint="eastAsia"/>
                      <w:b/>
                      <w:u w:val="single"/>
                    </w:rPr>
                    <w:t>河南省</w:t>
                  </w:r>
                  <w:r>
                    <w:rPr>
                      <w:b/>
                      <w:u w:val="single"/>
                    </w:rPr>
                    <w:t>202</w:t>
                  </w:r>
                  <w:r>
                    <w:rPr>
                      <w:rFonts w:hint="eastAsia"/>
                      <w:b/>
                      <w:u w:val="single"/>
                    </w:rPr>
                    <w:t>5</w:t>
                  </w:r>
                  <w:r>
                    <w:rPr>
                      <w:b/>
                      <w:u w:val="single"/>
                    </w:rPr>
                    <w:t>年柴油货车污染治理攻坚战实施方案</w:t>
                  </w:r>
                </w:p>
              </w:tc>
              <w:tc>
                <w:tcPr>
                  <w:tcW w:w="347" w:type="pct"/>
                  <w:tcBorders>
                    <w:left w:val="single" w:color="auto" w:sz="4" w:space="0"/>
                    <w:right w:val="single" w:color="auto" w:sz="4" w:space="0"/>
                  </w:tcBorders>
                  <w:vAlign w:val="center"/>
                </w:tcPr>
                <w:p w14:paraId="098DEA56">
                  <w:pPr>
                    <w:pStyle w:val="62"/>
                    <w:rPr>
                      <w:b/>
                      <w:u w:val="single"/>
                    </w:rPr>
                  </w:pPr>
                  <w:r>
                    <w:rPr>
                      <w:rFonts w:hint="eastAsia"/>
                      <w:b/>
                      <w:u w:val="single"/>
                    </w:rPr>
                    <w:t>提升重点行业清洁运输比例</w:t>
                  </w:r>
                </w:p>
              </w:tc>
              <w:tc>
                <w:tcPr>
                  <w:tcW w:w="2525" w:type="pct"/>
                  <w:tcBorders>
                    <w:top w:val="single" w:color="auto" w:sz="4" w:space="0"/>
                    <w:left w:val="single" w:color="auto" w:sz="4" w:space="0"/>
                    <w:bottom w:val="single" w:color="auto" w:sz="4" w:space="0"/>
                    <w:right w:val="single" w:color="auto" w:sz="4" w:space="0"/>
                  </w:tcBorders>
                  <w:vAlign w:val="center"/>
                </w:tcPr>
                <w:p w14:paraId="68EBA158">
                  <w:pPr>
                    <w:pStyle w:val="62"/>
                    <w:rPr>
                      <w:b/>
                      <w:highlight w:val="green"/>
                      <w:u w:val="single"/>
                    </w:rPr>
                  </w:pPr>
                  <w:r>
                    <w:rPr>
                      <w:rFonts w:hint="eastAsia"/>
                      <w:b/>
                      <w:u w:val="single"/>
                    </w:rPr>
                    <w:t>大宗货物中长距离运输优先采用铁路、水路，短距离运输优先采用封闭式皮带廊道或新能源车船。鼓励工矿企业等用车单位通过与运输企业（个人）签订合作协议等方式实现清洁运输。探索将清洁运输作为煤矿、钢铁、火电、有色、焦化、煤化工等行业新改扩建项目审核和监管重点。2025年9月底前，钢铁、水泥、焦化企业完成超低排放清洁运输改造。2025年底前，火电、钢铁、煤炭、焦化、有色、石化、化工、水泥等行业大宗货物清洁运输比例达到80%以上；砂石骨料、耐材、环保绩效A、B级和绩效引领性企业清洁运输比例力争达到80%。</w:t>
                  </w:r>
                </w:p>
              </w:tc>
              <w:tc>
                <w:tcPr>
                  <w:tcW w:w="1427" w:type="pct"/>
                  <w:tcBorders>
                    <w:top w:val="single" w:color="auto" w:sz="4" w:space="0"/>
                    <w:left w:val="single" w:color="auto" w:sz="4" w:space="0"/>
                    <w:bottom w:val="single" w:color="auto" w:sz="4" w:space="0"/>
                    <w:right w:val="single" w:color="auto" w:sz="4" w:space="0"/>
                  </w:tcBorders>
                  <w:vAlign w:val="center"/>
                </w:tcPr>
                <w:p w14:paraId="0D4AAF1B">
                  <w:pPr>
                    <w:pStyle w:val="14"/>
                    <w:adjustRightInd w:val="0"/>
                    <w:snapToGrid w:val="0"/>
                    <w:ind w:left="42" w:leftChars="20"/>
                    <w:jc w:val="center"/>
                    <w:rPr>
                      <w:b/>
                      <w:color w:val="000000"/>
                      <w:kern w:val="2"/>
                      <w:sz w:val="21"/>
                      <w:szCs w:val="21"/>
                      <w:highlight w:val="yellow"/>
                      <w:u w:val="single"/>
                    </w:rPr>
                  </w:pPr>
                  <w:r>
                    <w:rPr>
                      <w:rFonts w:hint="eastAsia"/>
                      <w:b/>
                      <w:sz w:val="21"/>
                      <w:szCs w:val="21"/>
                      <w:u w:val="single"/>
                    </w:rPr>
                    <w:t>项目不属于火电、钢铁、煤炭、焦化、石化、化工、有色等重点行业，运输量较少，建议企业积极采用</w:t>
                  </w:r>
                  <w:r>
                    <w:rPr>
                      <w:b/>
                      <w:sz w:val="21"/>
                      <w:szCs w:val="21"/>
                      <w:u w:val="single"/>
                    </w:rPr>
                    <w:t>清洁方式运输</w:t>
                  </w:r>
                </w:p>
              </w:tc>
              <w:tc>
                <w:tcPr>
                  <w:tcW w:w="228" w:type="pct"/>
                  <w:tcBorders>
                    <w:top w:val="single" w:color="auto" w:sz="4" w:space="0"/>
                    <w:left w:val="single" w:color="auto" w:sz="4" w:space="0"/>
                    <w:bottom w:val="single" w:color="auto" w:sz="4" w:space="0"/>
                    <w:right w:val="single" w:color="auto" w:sz="4" w:space="0"/>
                  </w:tcBorders>
                  <w:vAlign w:val="center"/>
                </w:tcPr>
                <w:p w14:paraId="0A0FAD35">
                  <w:pPr>
                    <w:autoSpaceDE w:val="0"/>
                    <w:autoSpaceDN w:val="0"/>
                    <w:adjustRightInd w:val="0"/>
                    <w:snapToGrid w:val="0"/>
                    <w:spacing w:line="240" w:lineRule="exact"/>
                    <w:jc w:val="center"/>
                    <w:rPr>
                      <w:b/>
                      <w:color w:val="000000"/>
                      <w:szCs w:val="21"/>
                      <w:u w:val="single"/>
                    </w:rPr>
                  </w:pPr>
                  <w:r>
                    <w:rPr>
                      <w:b/>
                      <w:color w:val="000000"/>
                      <w:szCs w:val="21"/>
                      <w:u w:val="single"/>
                    </w:rPr>
                    <w:t>相符</w:t>
                  </w:r>
                </w:p>
              </w:tc>
            </w:tr>
          </w:tbl>
          <w:p w14:paraId="6A1BF782">
            <w:pPr>
              <w:adjustRightInd w:val="0"/>
              <w:snapToGrid w:val="0"/>
              <w:spacing w:line="360" w:lineRule="auto"/>
              <w:ind w:firstLine="480" w:firstLineChars="200"/>
              <w:rPr>
                <w:sz w:val="24"/>
              </w:rPr>
            </w:pPr>
            <w:r>
              <w:rPr>
                <w:rFonts w:hint="eastAsia"/>
                <w:sz w:val="24"/>
              </w:rPr>
              <w:t>综上所述，本项目建设满足</w:t>
            </w:r>
            <w:r>
              <w:rPr>
                <w:rFonts w:hint="eastAsia" w:hAnsi="宋体"/>
                <w:bCs/>
                <w:kern w:val="0"/>
                <w:sz w:val="24"/>
              </w:rPr>
              <w:t>《河南省深入打好秋冬季重污染天气消除、夏季臭氧污染防治和柴油货车污染治理攻坚战行动方案》</w:t>
            </w:r>
            <w:r>
              <w:rPr>
                <w:rFonts w:hint="eastAsia"/>
                <w:snapToGrid w:val="0"/>
                <w:kern w:val="0"/>
                <w:sz w:val="24"/>
              </w:rPr>
              <w:t>及《河南省生态环境保护委员会办公室关于印发〈河南省2025年蓝天保卫战实施方案〉〈河南省2025年碧水保卫战实施方案〉〈河南省2025年净土保卫战实施方案〉〈河南省2025年柴油货车污染治理攻坚战实施方案〉的通知》（豫环委办[2025]6号）</w:t>
            </w:r>
            <w:r>
              <w:rPr>
                <w:rFonts w:hint="eastAsia"/>
                <w:sz w:val="24"/>
              </w:rPr>
              <w:t>的相关要求。</w:t>
            </w:r>
          </w:p>
          <w:p w14:paraId="28E9837C">
            <w:pPr>
              <w:pStyle w:val="17"/>
              <w:spacing w:line="360" w:lineRule="auto"/>
              <w:ind w:firstLine="482" w:firstLineChars="200"/>
              <w:jc w:val="both"/>
              <w:rPr>
                <w:b/>
                <w:kern w:val="0"/>
                <w:sz w:val="24"/>
              </w:rPr>
            </w:pPr>
            <w:r>
              <w:rPr>
                <w:rFonts w:hint="eastAsia" w:hAnsi="宋体"/>
                <w:b/>
                <w:bCs/>
                <w:kern w:val="0"/>
                <w:sz w:val="24"/>
              </w:rPr>
              <w:t>6、</w:t>
            </w:r>
            <w:r>
              <w:rPr>
                <w:rFonts w:hint="eastAsia"/>
                <w:b/>
                <w:sz w:val="24"/>
              </w:rPr>
              <w:t>与</w:t>
            </w:r>
            <w:r>
              <w:rPr>
                <w:rFonts w:hint="eastAsia"/>
                <w:b/>
                <w:kern w:val="0"/>
                <w:sz w:val="24"/>
              </w:rPr>
              <w:t>河南省人民政府《关于印发河南省空气质量持续改善行动计划的通知》（豫政[2024]12号）相符性分析</w:t>
            </w:r>
          </w:p>
          <w:p w14:paraId="52311497">
            <w:pPr>
              <w:pStyle w:val="17"/>
              <w:spacing w:line="360" w:lineRule="auto"/>
              <w:ind w:firstLine="480" w:firstLineChars="200"/>
              <w:jc w:val="both"/>
              <w:rPr>
                <w:kern w:val="0"/>
                <w:sz w:val="24"/>
              </w:rPr>
            </w:pPr>
            <w:r>
              <w:rPr>
                <w:rFonts w:hint="eastAsia"/>
                <w:kern w:val="0"/>
                <w:sz w:val="24"/>
              </w:rPr>
              <w:t>本项目与河南省人民政府《关于印发河南省空气质量持续改善行动计划的通知》（豫政[2024]12号）相符性分析见下表。</w:t>
            </w:r>
          </w:p>
          <w:p w14:paraId="4AD056C2">
            <w:pPr>
              <w:snapToGrid w:val="0"/>
              <w:jc w:val="center"/>
              <w:rPr>
                <w:rFonts w:hAnsi="宋体"/>
                <w:b/>
                <w:bCs/>
                <w:sz w:val="24"/>
              </w:rPr>
            </w:pPr>
            <w:r>
              <w:rPr>
                <w:rFonts w:hAnsi="宋体"/>
                <w:b/>
                <w:bCs/>
                <w:sz w:val="24"/>
              </w:rPr>
              <w:t>表</w:t>
            </w:r>
            <w:r>
              <w:rPr>
                <w:rFonts w:hint="eastAsia" w:hAnsi="宋体"/>
                <w:b/>
                <w:bCs/>
                <w:sz w:val="24"/>
              </w:rPr>
              <w:t>4</w:t>
            </w:r>
            <w:r>
              <w:rPr>
                <w:rFonts w:hint="eastAsia"/>
                <w:b/>
                <w:bCs/>
                <w:sz w:val="24"/>
              </w:rPr>
              <w:t xml:space="preserve">   </w:t>
            </w:r>
            <w:r>
              <w:rPr>
                <w:rFonts w:hAnsi="宋体"/>
                <w:b/>
                <w:bCs/>
                <w:sz w:val="24"/>
              </w:rPr>
              <w:t>本项目与</w:t>
            </w:r>
            <w:r>
              <w:rPr>
                <w:rFonts w:hint="eastAsia"/>
                <w:b/>
                <w:kern w:val="0"/>
                <w:sz w:val="24"/>
              </w:rPr>
              <w:t>豫政[2024]12号文</w:t>
            </w:r>
            <w:r>
              <w:rPr>
                <w:rFonts w:hAnsi="宋体"/>
                <w:b/>
                <w:bCs/>
                <w:sz w:val="24"/>
              </w:rPr>
              <w:t>相符性分析</w:t>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912"/>
              <w:gridCol w:w="4611"/>
              <w:gridCol w:w="2054"/>
              <w:gridCol w:w="571"/>
            </w:tblGrid>
            <w:tr w14:paraId="506DE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60" w:type="pct"/>
                  <w:tcBorders>
                    <w:top w:val="single" w:color="auto" w:sz="4" w:space="0"/>
                    <w:left w:val="single" w:color="auto" w:sz="4" w:space="0"/>
                    <w:bottom w:val="single" w:color="auto" w:sz="4" w:space="0"/>
                    <w:right w:val="single" w:color="auto" w:sz="4" w:space="0"/>
                  </w:tcBorders>
                  <w:vAlign w:val="center"/>
                </w:tcPr>
                <w:p w14:paraId="68B3DBE8">
                  <w:pPr>
                    <w:widowControl/>
                    <w:autoSpaceDE w:val="0"/>
                    <w:adjustRightInd w:val="0"/>
                    <w:snapToGrid w:val="0"/>
                    <w:ind w:left="42" w:leftChars="20"/>
                    <w:jc w:val="center"/>
                    <w:rPr>
                      <w:color w:val="000000"/>
                      <w:kern w:val="0"/>
                      <w:szCs w:val="21"/>
                    </w:rPr>
                  </w:pPr>
                  <w:r>
                    <w:rPr>
                      <w:rFonts w:hint="eastAsia"/>
                      <w:color w:val="000000"/>
                      <w:kern w:val="0"/>
                      <w:szCs w:val="21"/>
                    </w:rPr>
                    <w:t>文件名称</w:t>
                  </w:r>
                </w:p>
              </w:tc>
              <w:tc>
                <w:tcPr>
                  <w:tcW w:w="2829" w:type="pct"/>
                  <w:tcBorders>
                    <w:top w:val="single" w:color="auto" w:sz="4" w:space="0"/>
                    <w:left w:val="single" w:color="auto" w:sz="4" w:space="0"/>
                    <w:bottom w:val="single" w:color="auto" w:sz="4" w:space="0"/>
                    <w:right w:val="single" w:color="auto" w:sz="4" w:space="0"/>
                  </w:tcBorders>
                  <w:vAlign w:val="center"/>
                </w:tcPr>
                <w:p w14:paraId="60C4A0B5">
                  <w:pPr>
                    <w:widowControl/>
                    <w:autoSpaceDE w:val="0"/>
                    <w:adjustRightInd w:val="0"/>
                    <w:snapToGrid w:val="0"/>
                    <w:ind w:left="42" w:leftChars="20"/>
                    <w:jc w:val="center"/>
                    <w:rPr>
                      <w:color w:val="000000"/>
                      <w:szCs w:val="21"/>
                    </w:rPr>
                  </w:pPr>
                  <w:r>
                    <w:rPr>
                      <w:rFonts w:hint="eastAsia"/>
                      <w:color w:val="000000"/>
                      <w:kern w:val="0"/>
                      <w:szCs w:val="21"/>
                    </w:rPr>
                    <w:t>文件内容</w:t>
                  </w:r>
                </w:p>
              </w:tc>
              <w:tc>
                <w:tcPr>
                  <w:tcW w:w="1260" w:type="pct"/>
                  <w:tcBorders>
                    <w:top w:val="single" w:color="auto" w:sz="4" w:space="0"/>
                    <w:left w:val="single" w:color="auto" w:sz="4" w:space="0"/>
                    <w:bottom w:val="single" w:color="auto" w:sz="4" w:space="0"/>
                    <w:right w:val="single" w:color="auto" w:sz="4" w:space="0"/>
                  </w:tcBorders>
                  <w:vAlign w:val="center"/>
                </w:tcPr>
                <w:p w14:paraId="1292D109">
                  <w:pPr>
                    <w:widowControl/>
                    <w:autoSpaceDE w:val="0"/>
                    <w:adjustRightInd w:val="0"/>
                    <w:snapToGrid w:val="0"/>
                    <w:ind w:left="42" w:leftChars="20"/>
                    <w:jc w:val="center"/>
                    <w:rPr>
                      <w:color w:val="000000"/>
                      <w:szCs w:val="21"/>
                    </w:rPr>
                  </w:pPr>
                  <w:r>
                    <w:rPr>
                      <w:rFonts w:hint="eastAsia"/>
                      <w:color w:val="000000"/>
                      <w:kern w:val="0"/>
                      <w:szCs w:val="21"/>
                    </w:rPr>
                    <w:t>本项目情况</w:t>
                  </w:r>
                </w:p>
              </w:tc>
              <w:tc>
                <w:tcPr>
                  <w:tcW w:w="350" w:type="pct"/>
                  <w:tcBorders>
                    <w:top w:val="single" w:color="auto" w:sz="4" w:space="0"/>
                    <w:left w:val="single" w:color="auto" w:sz="4" w:space="0"/>
                    <w:bottom w:val="single" w:color="auto" w:sz="4" w:space="0"/>
                    <w:right w:val="single" w:color="auto" w:sz="4" w:space="0"/>
                  </w:tcBorders>
                  <w:vAlign w:val="center"/>
                </w:tcPr>
                <w:p w14:paraId="58BEF522">
                  <w:pPr>
                    <w:widowControl/>
                    <w:autoSpaceDE w:val="0"/>
                    <w:adjustRightInd w:val="0"/>
                    <w:snapToGrid w:val="0"/>
                    <w:ind w:left="42" w:leftChars="20"/>
                    <w:jc w:val="center"/>
                    <w:rPr>
                      <w:color w:val="000000"/>
                      <w:szCs w:val="21"/>
                    </w:rPr>
                  </w:pPr>
                  <w:r>
                    <w:rPr>
                      <w:rFonts w:hint="eastAsia"/>
                      <w:color w:val="000000"/>
                      <w:kern w:val="0"/>
                      <w:szCs w:val="21"/>
                    </w:rPr>
                    <w:t>相符性</w:t>
                  </w:r>
                </w:p>
              </w:tc>
            </w:tr>
            <w:tr w14:paraId="33E38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60" w:type="pct"/>
                  <w:vMerge w:val="restart"/>
                  <w:tcBorders>
                    <w:top w:val="single" w:color="auto" w:sz="4" w:space="0"/>
                    <w:left w:val="single" w:color="auto" w:sz="4" w:space="0"/>
                    <w:right w:val="single" w:color="auto" w:sz="4" w:space="0"/>
                  </w:tcBorders>
                  <w:vAlign w:val="center"/>
                </w:tcPr>
                <w:p w14:paraId="2C3F7C8E">
                  <w:pPr>
                    <w:adjustRightInd w:val="0"/>
                    <w:snapToGrid w:val="0"/>
                    <w:jc w:val="center"/>
                    <w:rPr>
                      <w:color w:val="000000"/>
                      <w:szCs w:val="21"/>
                    </w:rPr>
                  </w:pPr>
                  <w:r>
                    <w:rPr>
                      <w:rFonts w:hint="eastAsia"/>
                      <w:color w:val="000000"/>
                      <w:szCs w:val="21"/>
                    </w:rPr>
                    <w:t>河南省空气质量持续改善行动计划</w:t>
                  </w:r>
                </w:p>
              </w:tc>
              <w:tc>
                <w:tcPr>
                  <w:tcW w:w="2829" w:type="pct"/>
                  <w:tcBorders>
                    <w:top w:val="single" w:color="auto" w:sz="4" w:space="0"/>
                    <w:left w:val="single" w:color="auto" w:sz="4" w:space="0"/>
                    <w:bottom w:val="single" w:color="auto" w:sz="4" w:space="0"/>
                    <w:right w:val="single" w:color="auto" w:sz="4" w:space="0"/>
                  </w:tcBorders>
                  <w:vAlign w:val="center"/>
                </w:tcPr>
                <w:p w14:paraId="794BB850">
                  <w:pPr>
                    <w:adjustRightInd w:val="0"/>
                    <w:snapToGrid w:val="0"/>
                    <w:rPr>
                      <w:color w:val="000000"/>
                      <w:szCs w:val="21"/>
                    </w:rPr>
                  </w:pPr>
                  <w:r>
                    <w:rPr>
                      <w:rFonts w:hint="eastAsia" w:cs="宋体"/>
                      <w:kern w:val="0"/>
                      <w:szCs w:val="21"/>
                    </w:rPr>
                    <w:t>1.严把“两高”项目准入关口。严格落实国家和我省“两高”项目相关要求，严禁新增钢铁产能。严格执行有关行业产能置换政策，被置换产能及其配套设施关停后，新建项目方可投产。国家、省绩效分级重点行业以及涉及锅炉炉窑的其他行业，新（改、扩）建项目原则上达到环境绩效A级或国内清洁生产先进水平。推进钢铁、焦化、烧结一体化布局，大幅减少独立烧结、球团和热轧企业及工序，推动高炉—转炉长流程炼钢转型为电炉短流程炼钢，淘汰落后煤炭洗选产能。统筹落实国家“以钢定焦”有关要求，研究制定焦化行业产能退出实施方案。到2025年，全省短流程炼钢产量占比达15%以上，郑州市钢铁企业全部退出。</w:t>
                  </w:r>
                </w:p>
              </w:tc>
              <w:tc>
                <w:tcPr>
                  <w:tcW w:w="1260" w:type="pct"/>
                  <w:tcBorders>
                    <w:top w:val="single" w:color="auto" w:sz="4" w:space="0"/>
                    <w:left w:val="single" w:color="auto" w:sz="4" w:space="0"/>
                    <w:bottom w:val="single" w:color="auto" w:sz="4" w:space="0"/>
                    <w:right w:val="single" w:color="auto" w:sz="4" w:space="0"/>
                  </w:tcBorders>
                  <w:vAlign w:val="center"/>
                </w:tcPr>
                <w:p w14:paraId="04FF3815">
                  <w:pPr>
                    <w:jc w:val="center"/>
                    <w:rPr>
                      <w:color w:val="000000"/>
                      <w:highlight w:val="yellow"/>
                    </w:rPr>
                  </w:pPr>
                  <w:r>
                    <w:rPr>
                      <w:rFonts w:hint="eastAsia"/>
                      <w:color w:val="000000"/>
                      <w:szCs w:val="21"/>
                    </w:rPr>
                    <w:t>本项目主要产品为动物油脂，属于农副食品加工业，不属于“两高”项目；</w:t>
                  </w:r>
                  <w:r>
                    <w:rPr>
                      <w:rFonts w:hint="eastAsia" w:cs="宋体"/>
                      <w:kern w:val="0"/>
                      <w:szCs w:val="21"/>
                    </w:rPr>
                    <w:t>本项目属于新建项目，涉及</w:t>
                  </w:r>
                  <w:r>
                    <w:rPr>
                      <w:rFonts w:hint="eastAsia" w:cs="宋体"/>
                      <w:szCs w:val="21"/>
                    </w:rPr>
                    <w:t>导热油炉</w:t>
                  </w:r>
                  <w:r>
                    <w:rPr>
                      <w:rFonts w:hint="eastAsia" w:cs="宋体"/>
                      <w:kern w:val="0"/>
                      <w:szCs w:val="21"/>
                    </w:rPr>
                    <w:t>，项目污染物排放限值、污染治理措施、无组织排放控制水平、运输方式等严格按照</w:t>
                  </w:r>
                  <w:r>
                    <w:rPr>
                      <w:rFonts w:hint="eastAsia"/>
                      <w:szCs w:val="21"/>
                    </w:rPr>
                    <w:t>涉锅炉A级指标</w:t>
                  </w:r>
                  <w:r>
                    <w:rPr>
                      <w:rFonts w:hint="eastAsia" w:cs="宋体"/>
                      <w:kern w:val="0"/>
                      <w:szCs w:val="21"/>
                    </w:rPr>
                    <w:t>要求建设</w:t>
                  </w:r>
                </w:p>
              </w:tc>
              <w:tc>
                <w:tcPr>
                  <w:tcW w:w="350" w:type="pct"/>
                  <w:tcBorders>
                    <w:top w:val="single" w:color="auto" w:sz="4" w:space="0"/>
                    <w:left w:val="single" w:color="auto" w:sz="4" w:space="0"/>
                    <w:bottom w:val="single" w:color="auto" w:sz="4" w:space="0"/>
                    <w:right w:val="single" w:color="auto" w:sz="4" w:space="0"/>
                  </w:tcBorders>
                  <w:vAlign w:val="center"/>
                </w:tcPr>
                <w:p w14:paraId="79375DFC">
                  <w:pPr>
                    <w:autoSpaceDE w:val="0"/>
                    <w:autoSpaceDN w:val="0"/>
                    <w:adjustRightInd w:val="0"/>
                    <w:snapToGrid w:val="0"/>
                    <w:spacing w:line="240" w:lineRule="exact"/>
                    <w:jc w:val="center"/>
                    <w:rPr>
                      <w:color w:val="000000"/>
                      <w:szCs w:val="21"/>
                    </w:rPr>
                  </w:pPr>
                  <w:r>
                    <w:rPr>
                      <w:rFonts w:hint="eastAsia"/>
                      <w:color w:val="000000"/>
                      <w:szCs w:val="21"/>
                    </w:rPr>
                    <w:t>相符</w:t>
                  </w:r>
                </w:p>
              </w:tc>
            </w:tr>
            <w:tr w14:paraId="60E5F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60" w:type="pct"/>
                  <w:vMerge w:val="continue"/>
                  <w:tcBorders>
                    <w:left w:val="single" w:color="auto" w:sz="4" w:space="0"/>
                    <w:right w:val="single" w:color="auto" w:sz="4" w:space="0"/>
                  </w:tcBorders>
                  <w:vAlign w:val="center"/>
                </w:tcPr>
                <w:p w14:paraId="71D5B581">
                  <w:pPr>
                    <w:adjustRightInd w:val="0"/>
                    <w:snapToGrid w:val="0"/>
                    <w:jc w:val="center"/>
                    <w:rPr>
                      <w:b/>
                      <w:bCs/>
                      <w:color w:val="000000"/>
                      <w:szCs w:val="21"/>
                      <w:u w:val="single"/>
                    </w:rPr>
                  </w:pPr>
                </w:p>
              </w:tc>
              <w:tc>
                <w:tcPr>
                  <w:tcW w:w="2829" w:type="pct"/>
                  <w:tcBorders>
                    <w:top w:val="single" w:color="auto" w:sz="4" w:space="0"/>
                    <w:left w:val="single" w:color="auto" w:sz="4" w:space="0"/>
                    <w:bottom w:val="single" w:color="auto" w:sz="4" w:space="0"/>
                    <w:right w:val="single" w:color="auto" w:sz="4" w:space="0"/>
                  </w:tcBorders>
                  <w:vAlign w:val="center"/>
                </w:tcPr>
                <w:p w14:paraId="0D0AA7ED">
                  <w:pPr>
                    <w:adjustRightInd w:val="0"/>
                    <w:snapToGrid w:val="0"/>
                  </w:pPr>
                  <w:r>
                    <w:rPr>
                      <w:rFonts w:hint="eastAsia"/>
                    </w:rPr>
                    <w:t>加强VOCs全流程综合治理。按照应收尽收、分质收集原则，将无组织排放转变为有组织排放集中治理。含VOCs有机废水储罐、装置区集水井（池）有机废气要密闭收集处理，企业污水处理场排放的高浓度有机废气要单独收集处理。配套建设适宜高效治理设施，加强治理设施运行维护。企业生产设施开停、检维修期间，按照要求及时收集处理退料、清洗、吹扫等作业产生的VOCs废气。不得将火炬燃烧装置作为日常大气污染处理设施。规范开展VOCs泄漏检测与修复工作，定期开展储罐部件密封性检测，石化、化工行业集中的城市和重点工业园区要在2024年年底前建立统一的泄漏检测与修复信息管理平台。2025年年底前，挥发性有机液体储罐基本使用低泄漏的储罐呼吸阀、紧急泄压阀，汽车罐车基本使用自封式快速接头。</w:t>
                  </w:r>
                </w:p>
              </w:tc>
              <w:tc>
                <w:tcPr>
                  <w:tcW w:w="1260" w:type="pct"/>
                  <w:tcBorders>
                    <w:top w:val="single" w:color="auto" w:sz="4" w:space="0"/>
                    <w:left w:val="single" w:color="auto" w:sz="4" w:space="0"/>
                    <w:bottom w:val="single" w:color="auto" w:sz="4" w:space="0"/>
                    <w:right w:val="single" w:color="auto" w:sz="4" w:space="0"/>
                  </w:tcBorders>
                  <w:vAlign w:val="center"/>
                </w:tcPr>
                <w:p w14:paraId="387E7132">
                  <w:pPr>
                    <w:pStyle w:val="14"/>
                    <w:adjustRightInd w:val="0"/>
                    <w:snapToGrid w:val="0"/>
                    <w:ind w:left="42" w:leftChars="20"/>
                    <w:jc w:val="center"/>
                    <w:rPr>
                      <w:color w:val="000000"/>
                      <w:kern w:val="2"/>
                      <w:sz w:val="21"/>
                      <w:szCs w:val="21"/>
                      <w:highlight w:val="yellow"/>
                    </w:rPr>
                  </w:pPr>
                  <w:r>
                    <w:rPr>
                      <w:rFonts w:hint="eastAsia"/>
                      <w:color w:val="000000"/>
                      <w:kern w:val="2"/>
                      <w:sz w:val="21"/>
                      <w:szCs w:val="21"/>
                    </w:rPr>
                    <w:t>项目生产过程中不涉及有机废气排放，原料存放、破碎、熬制及压饼等生产过程恶臭废气、熬制油烟废气及污水处理站恶臭气体由“冷凝+静电油烟净化器+碱液喷淋塔+除雾器+活性炭吸附装置”处理后通过排气筒达标排放，物料装卸及生产过程均在密闭车间内进行。</w:t>
                  </w:r>
                </w:p>
              </w:tc>
              <w:tc>
                <w:tcPr>
                  <w:tcW w:w="350" w:type="pct"/>
                  <w:tcBorders>
                    <w:top w:val="single" w:color="auto" w:sz="4" w:space="0"/>
                    <w:left w:val="single" w:color="auto" w:sz="4" w:space="0"/>
                    <w:bottom w:val="single" w:color="auto" w:sz="4" w:space="0"/>
                    <w:right w:val="single" w:color="auto" w:sz="4" w:space="0"/>
                  </w:tcBorders>
                  <w:vAlign w:val="center"/>
                </w:tcPr>
                <w:p w14:paraId="53EDCB4E">
                  <w:pPr>
                    <w:autoSpaceDE w:val="0"/>
                    <w:autoSpaceDN w:val="0"/>
                    <w:adjustRightInd w:val="0"/>
                    <w:snapToGrid w:val="0"/>
                    <w:spacing w:line="240" w:lineRule="exact"/>
                    <w:jc w:val="center"/>
                    <w:rPr>
                      <w:color w:val="000000"/>
                      <w:szCs w:val="21"/>
                    </w:rPr>
                  </w:pPr>
                  <w:r>
                    <w:rPr>
                      <w:rFonts w:hint="eastAsia"/>
                      <w:color w:val="000000"/>
                      <w:szCs w:val="21"/>
                    </w:rPr>
                    <w:t>相符</w:t>
                  </w:r>
                </w:p>
              </w:tc>
            </w:tr>
          </w:tbl>
          <w:p w14:paraId="39167932">
            <w:pPr>
              <w:autoSpaceDE w:val="0"/>
              <w:autoSpaceDN w:val="0"/>
              <w:adjustRightInd w:val="0"/>
              <w:snapToGrid w:val="0"/>
              <w:spacing w:line="360" w:lineRule="auto"/>
              <w:ind w:firstLine="480" w:firstLineChars="200"/>
              <w:rPr>
                <w:sz w:val="24"/>
              </w:rPr>
            </w:pPr>
            <w:r>
              <w:rPr>
                <w:rFonts w:hint="eastAsia"/>
                <w:sz w:val="24"/>
              </w:rPr>
              <w:t>综上所述，本项目建设满足</w:t>
            </w:r>
            <w:r>
              <w:rPr>
                <w:rFonts w:hint="eastAsia" w:hAnsi="宋体"/>
                <w:kern w:val="0"/>
                <w:sz w:val="24"/>
              </w:rPr>
              <w:t>《关于印发河南省空气质量持续改善行动计划的通知》</w:t>
            </w:r>
            <w:r>
              <w:rPr>
                <w:rFonts w:hint="eastAsia"/>
                <w:sz w:val="24"/>
              </w:rPr>
              <w:t>相关要求。</w:t>
            </w:r>
          </w:p>
          <w:p w14:paraId="6A47C0E2">
            <w:pPr>
              <w:autoSpaceDE w:val="0"/>
              <w:autoSpaceDN w:val="0"/>
              <w:adjustRightInd w:val="0"/>
              <w:snapToGrid w:val="0"/>
              <w:spacing w:line="360" w:lineRule="auto"/>
              <w:ind w:firstLine="482" w:firstLineChars="200"/>
              <w:rPr>
                <w:rFonts w:cs="宋体"/>
                <w:b/>
                <w:kern w:val="0"/>
                <w:sz w:val="24"/>
              </w:rPr>
            </w:pPr>
            <w:r>
              <w:rPr>
                <w:rFonts w:hint="eastAsia"/>
                <w:b/>
                <w:bCs/>
                <w:kern w:val="0"/>
                <w:sz w:val="24"/>
              </w:rPr>
              <w:t>7</w:t>
            </w:r>
            <w:r>
              <w:rPr>
                <w:rFonts w:hAnsi="宋体"/>
                <w:b/>
                <w:bCs/>
                <w:kern w:val="0"/>
                <w:sz w:val="24"/>
              </w:rPr>
              <w:t>、</w:t>
            </w:r>
            <w:r>
              <w:rPr>
                <w:rFonts w:hint="eastAsia" w:cs="宋体"/>
                <w:b/>
                <w:kern w:val="0"/>
                <w:sz w:val="24"/>
              </w:rPr>
              <w:t>与重污染天气应急减排措施制定技术指南相符性分析</w:t>
            </w:r>
          </w:p>
          <w:p w14:paraId="16ECE8A9">
            <w:pPr>
              <w:spacing w:line="360" w:lineRule="auto"/>
              <w:ind w:firstLine="480" w:firstLineChars="200"/>
              <w:jc w:val="left"/>
              <w:rPr>
                <w:sz w:val="24"/>
                <w:lang w:val="zh-CN"/>
              </w:rPr>
            </w:pPr>
            <w:r>
              <w:rPr>
                <w:rFonts w:hint="eastAsia"/>
                <w:sz w:val="24"/>
              </w:rPr>
              <w:t>按照《关于印发河南省深入打好秋冬季重污染天气消除、夏季臭氧污染防治和柴油货车污染治理攻坚战行动方案的通知》（豫环委办〔</w:t>
            </w:r>
            <w:r>
              <w:rPr>
                <w:sz w:val="24"/>
              </w:rPr>
              <w:t>2023</w:t>
            </w:r>
            <w:r>
              <w:rPr>
                <w:rFonts w:hint="eastAsia"/>
                <w:sz w:val="24"/>
              </w:rPr>
              <w:t>〕</w:t>
            </w:r>
            <w:r>
              <w:rPr>
                <w:sz w:val="24"/>
              </w:rPr>
              <w:t>3</w:t>
            </w:r>
            <w:r>
              <w:rPr>
                <w:rFonts w:hint="eastAsia"/>
                <w:sz w:val="24"/>
              </w:rPr>
              <w:t>号）要求，国家、省绩效分级重点行业以及涉及锅炉炉窑的其他行业，新建、扩建项目污染物排放限值、污染治理措施、无组织排放控制水平、运输方式等达到</w:t>
            </w:r>
            <w:r>
              <w:rPr>
                <w:sz w:val="24"/>
              </w:rPr>
              <w:t>A</w:t>
            </w:r>
            <w:r>
              <w:rPr>
                <w:rFonts w:hint="eastAsia"/>
                <w:sz w:val="24"/>
              </w:rPr>
              <w:t>级绩效水平，本项目为</w:t>
            </w:r>
            <w:r>
              <w:rPr>
                <w:rFonts w:hint="eastAsia"/>
                <w:kern w:val="0"/>
                <w:sz w:val="24"/>
              </w:rPr>
              <w:t>肉制品及副产品加工项</w:t>
            </w:r>
            <w:r>
              <w:rPr>
                <w:rFonts w:hint="eastAsia"/>
                <w:sz w:val="24"/>
              </w:rPr>
              <w:t>目，不属于国家及省级绩效分级重点行业，但项目涉及燃气导热油炉建设，</w:t>
            </w:r>
            <w:r>
              <w:rPr>
                <w:rFonts w:hint="eastAsia"/>
                <w:sz w:val="24"/>
                <w:lang w:val="zh-CN"/>
              </w:rPr>
              <w:t>因此本次评价与</w:t>
            </w:r>
            <w:r>
              <w:rPr>
                <w:rFonts w:hint="eastAsia"/>
                <w:sz w:val="24"/>
              </w:rPr>
              <w:t>《河南省重污染天气通用行业应急减排措施制定技术指南》（2024年修订版）涉锅炉/炉窑绩效分级指标</w:t>
            </w:r>
            <w:r>
              <w:rPr>
                <w:rFonts w:hint="eastAsia"/>
                <w:sz w:val="24"/>
                <w:lang w:val="zh-CN"/>
              </w:rPr>
              <w:t>对照分析，详见表5。</w:t>
            </w:r>
          </w:p>
          <w:p w14:paraId="24B432BE">
            <w:pPr>
              <w:jc w:val="center"/>
              <w:rPr>
                <w:bCs/>
                <w:sz w:val="24"/>
              </w:rPr>
            </w:pPr>
            <w:r>
              <w:rPr>
                <w:rFonts w:hint="eastAsia"/>
                <w:b/>
                <w:color w:val="000000"/>
                <w:sz w:val="24"/>
              </w:rPr>
              <w:t xml:space="preserve">表5   </w:t>
            </w:r>
            <w:r>
              <w:rPr>
                <w:rFonts w:hint="eastAsia"/>
                <w:b/>
                <w:bCs/>
                <w:color w:val="000000"/>
                <w:sz w:val="24"/>
              </w:rPr>
              <w:t>企业与通用行业</w:t>
            </w:r>
            <w:r>
              <w:rPr>
                <w:rFonts w:hint="eastAsia"/>
                <w:b/>
                <w:color w:val="000000"/>
                <w:kern w:val="0"/>
                <w:sz w:val="24"/>
              </w:rPr>
              <w:t>涉锅炉/炉窑绩效分级指标</w:t>
            </w:r>
            <w:r>
              <w:rPr>
                <w:rFonts w:hint="eastAsia"/>
                <w:b/>
                <w:bCs/>
                <w:color w:val="000000"/>
                <w:sz w:val="24"/>
              </w:rPr>
              <w:t>相符性分析一览表</w:t>
            </w:r>
          </w:p>
          <w:tbl>
            <w:tblPr>
              <w:tblStyle w:val="29"/>
              <w:tblW w:w="4994" w:type="pct"/>
              <w:jc w:val="center"/>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Layout w:type="autofit"/>
              <w:tblCellMar>
                <w:top w:w="0" w:type="dxa"/>
                <w:left w:w="57" w:type="dxa"/>
                <w:bottom w:w="0" w:type="dxa"/>
                <w:right w:w="57" w:type="dxa"/>
              </w:tblCellMar>
            </w:tblPr>
            <w:tblGrid>
              <w:gridCol w:w="814"/>
              <w:gridCol w:w="3642"/>
              <w:gridCol w:w="2620"/>
              <w:gridCol w:w="1067"/>
            </w:tblGrid>
            <w:tr w14:paraId="74907A9A">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00" w:type="pct"/>
                  <w:tcBorders>
                    <w:tl2br w:val="nil"/>
                    <w:tr2bl w:val="nil"/>
                  </w:tcBorders>
                  <w:vAlign w:val="center"/>
                </w:tcPr>
                <w:p w14:paraId="56709E7F">
                  <w:pPr>
                    <w:adjustRightInd w:val="0"/>
                    <w:snapToGrid w:val="0"/>
                    <w:jc w:val="center"/>
                    <w:rPr>
                      <w:szCs w:val="21"/>
                    </w:rPr>
                  </w:pPr>
                  <w:r>
                    <w:rPr>
                      <w:szCs w:val="21"/>
                    </w:rPr>
                    <w:t>差异化指标</w:t>
                  </w:r>
                </w:p>
              </w:tc>
              <w:tc>
                <w:tcPr>
                  <w:tcW w:w="2236" w:type="pct"/>
                  <w:tcBorders>
                    <w:tl2br w:val="nil"/>
                    <w:tr2bl w:val="nil"/>
                  </w:tcBorders>
                  <w:vAlign w:val="center"/>
                </w:tcPr>
                <w:p w14:paraId="3B49A1E5">
                  <w:pPr>
                    <w:adjustRightInd w:val="0"/>
                    <w:snapToGrid w:val="0"/>
                    <w:jc w:val="center"/>
                    <w:rPr>
                      <w:szCs w:val="21"/>
                    </w:rPr>
                  </w:pPr>
                  <w:r>
                    <w:rPr>
                      <w:szCs w:val="21"/>
                    </w:rPr>
                    <w:t>A级企业</w:t>
                  </w:r>
                </w:p>
              </w:tc>
              <w:tc>
                <w:tcPr>
                  <w:tcW w:w="1609" w:type="pct"/>
                  <w:tcBorders>
                    <w:tl2br w:val="nil"/>
                    <w:tr2bl w:val="nil"/>
                  </w:tcBorders>
                  <w:vAlign w:val="center"/>
                </w:tcPr>
                <w:p w14:paraId="7B7D8E3F">
                  <w:pPr>
                    <w:adjustRightInd w:val="0"/>
                    <w:snapToGrid w:val="0"/>
                    <w:jc w:val="center"/>
                    <w:rPr>
                      <w:szCs w:val="21"/>
                    </w:rPr>
                  </w:pPr>
                  <w:r>
                    <w:rPr>
                      <w:szCs w:val="21"/>
                    </w:rPr>
                    <w:t>本项目情况</w:t>
                  </w:r>
                </w:p>
              </w:tc>
              <w:tc>
                <w:tcPr>
                  <w:tcW w:w="655" w:type="pct"/>
                  <w:tcBorders>
                    <w:tl2br w:val="nil"/>
                    <w:tr2bl w:val="nil"/>
                  </w:tcBorders>
                  <w:vAlign w:val="center"/>
                </w:tcPr>
                <w:p w14:paraId="2F4CA24B">
                  <w:pPr>
                    <w:adjustRightInd w:val="0"/>
                    <w:snapToGrid w:val="0"/>
                    <w:jc w:val="center"/>
                    <w:rPr>
                      <w:szCs w:val="21"/>
                    </w:rPr>
                  </w:pPr>
                  <w:r>
                    <w:rPr>
                      <w:szCs w:val="21"/>
                    </w:rPr>
                    <w:t>对比</w:t>
                  </w:r>
                </w:p>
                <w:p w14:paraId="283D0FA8">
                  <w:pPr>
                    <w:adjustRightInd w:val="0"/>
                    <w:snapToGrid w:val="0"/>
                    <w:jc w:val="center"/>
                    <w:rPr>
                      <w:szCs w:val="21"/>
                    </w:rPr>
                  </w:pPr>
                  <w:r>
                    <w:rPr>
                      <w:szCs w:val="21"/>
                    </w:rPr>
                    <w:t>结果</w:t>
                  </w:r>
                </w:p>
              </w:tc>
            </w:tr>
            <w:tr w14:paraId="538B3279">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00" w:type="pct"/>
                  <w:tcBorders>
                    <w:tl2br w:val="nil"/>
                    <w:tr2bl w:val="nil"/>
                  </w:tcBorders>
                  <w:vAlign w:val="center"/>
                </w:tcPr>
                <w:p w14:paraId="6D70E030">
                  <w:pPr>
                    <w:autoSpaceDE w:val="0"/>
                    <w:autoSpaceDN w:val="0"/>
                    <w:adjustRightInd w:val="0"/>
                    <w:snapToGrid w:val="0"/>
                    <w:jc w:val="center"/>
                    <w:rPr>
                      <w:kern w:val="0"/>
                      <w:szCs w:val="21"/>
                    </w:rPr>
                  </w:pPr>
                  <w:r>
                    <w:rPr>
                      <w:kern w:val="0"/>
                      <w:szCs w:val="21"/>
                    </w:rPr>
                    <w:t>能源</w:t>
                  </w:r>
                </w:p>
                <w:p w14:paraId="0280DD6F">
                  <w:pPr>
                    <w:autoSpaceDE w:val="0"/>
                    <w:autoSpaceDN w:val="0"/>
                    <w:adjustRightInd w:val="0"/>
                    <w:snapToGrid w:val="0"/>
                    <w:jc w:val="center"/>
                    <w:rPr>
                      <w:szCs w:val="21"/>
                    </w:rPr>
                  </w:pPr>
                  <w:r>
                    <w:rPr>
                      <w:kern w:val="0"/>
                      <w:szCs w:val="21"/>
                    </w:rPr>
                    <w:t>类型</w:t>
                  </w:r>
                </w:p>
              </w:tc>
              <w:tc>
                <w:tcPr>
                  <w:tcW w:w="2236" w:type="pct"/>
                  <w:tcBorders>
                    <w:tl2br w:val="nil"/>
                    <w:tr2bl w:val="nil"/>
                  </w:tcBorders>
                  <w:vAlign w:val="center"/>
                </w:tcPr>
                <w:p w14:paraId="7889C4D1">
                  <w:pPr>
                    <w:autoSpaceDE w:val="0"/>
                    <w:autoSpaceDN w:val="0"/>
                    <w:adjustRightInd w:val="0"/>
                    <w:snapToGrid w:val="0"/>
                    <w:jc w:val="center"/>
                    <w:rPr>
                      <w:szCs w:val="21"/>
                    </w:rPr>
                  </w:pPr>
                  <w:r>
                    <w:rPr>
                      <w:kern w:val="0"/>
                      <w:szCs w:val="21"/>
                    </w:rPr>
                    <w:t>以电、天然气为能源</w:t>
                  </w:r>
                </w:p>
              </w:tc>
              <w:tc>
                <w:tcPr>
                  <w:tcW w:w="1609" w:type="pct"/>
                  <w:tcBorders>
                    <w:tl2br w:val="nil"/>
                    <w:tr2bl w:val="nil"/>
                  </w:tcBorders>
                  <w:vAlign w:val="center"/>
                </w:tcPr>
                <w:p w14:paraId="00D03095">
                  <w:pPr>
                    <w:adjustRightInd w:val="0"/>
                    <w:snapToGrid w:val="0"/>
                    <w:jc w:val="center"/>
                    <w:rPr>
                      <w:szCs w:val="21"/>
                    </w:rPr>
                  </w:pPr>
                  <w:r>
                    <w:rPr>
                      <w:szCs w:val="21"/>
                    </w:rPr>
                    <w:t>项目以电、</w:t>
                  </w:r>
                  <w:r>
                    <w:rPr>
                      <w:rFonts w:hint="eastAsia"/>
                      <w:szCs w:val="21"/>
                    </w:rPr>
                    <w:t>天然气</w:t>
                  </w:r>
                  <w:r>
                    <w:rPr>
                      <w:szCs w:val="21"/>
                    </w:rPr>
                    <w:t>为能源。</w:t>
                  </w:r>
                </w:p>
              </w:tc>
              <w:tc>
                <w:tcPr>
                  <w:tcW w:w="655" w:type="pct"/>
                  <w:tcBorders>
                    <w:tl2br w:val="nil"/>
                    <w:tr2bl w:val="nil"/>
                  </w:tcBorders>
                  <w:vAlign w:val="center"/>
                </w:tcPr>
                <w:p w14:paraId="42917731">
                  <w:pPr>
                    <w:adjustRightInd w:val="0"/>
                    <w:snapToGrid w:val="0"/>
                    <w:jc w:val="center"/>
                    <w:rPr>
                      <w:szCs w:val="21"/>
                    </w:rPr>
                  </w:pPr>
                  <w:r>
                    <w:rPr>
                      <w:szCs w:val="21"/>
                    </w:rPr>
                    <w:t>符合A级企业</w:t>
                  </w:r>
                  <w:r>
                    <w:rPr>
                      <w:rFonts w:hint="eastAsia"/>
                      <w:szCs w:val="21"/>
                    </w:rPr>
                    <w:t>要求</w:t>
                  </w:r>
                </w:p>
              </w:tc>
            </w:tr>
            <w:tr w14:paraId="6427EC6D">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00" w:type="pct"/>
                  <w:tcBorders>
                    <w:tl2br w:val="nil"/>
                    <w:tr2bl w:val="nil"/>
                  </w:tcBorders>
                  <w:vAlign w:val="center"/>
                </w:tcPr>
                <w:p w14:paraId="02BC51FB">
                  <w:pPr>
                    <w:autoSpaceDE w:val="0"/>
                    <w:autoSpaceDN w:val="0"/>
                    <w:adjustRightInd w:val="0"/>
                    <w:snapToGrid w:val="0"/>
                    <w:jc w:val="center"/>
                    <w:rPr>
                      <w:kern w:val="0"/>
                      <w:szCs w:val="21"/>
                    </w:rPr>
                  </w:pPr>
                  <w:r>
                    <w:rPr>
                      <w:kern w:val="0"/>
                      <w:szCs w:val="21"/>
                    </w:rPr>
                    <w:t>生产</w:t>
                  </w:r>
                </w:p>
                <w:p w14:paraId="57586A9E">
                  <w:pPr>
                    <w:autoSpaceDE w:val="0"/>
                    <w:autoSpaceDN w:val="0"/>
                    <w:adjustRightInd w:val="0"/>
                    <w:snapToGrid w:val="0"/>
                    <w:jc w:val="center"/>
                    <w:rPr>
                      <w:kern w:val="0"/>
                      <w:szCs w:val="21"/>
                    </w:rPr>
                  </w:pPr>
                  <w:r>
                    <w:rPr>
                      <w:kern w:val="0"/>
                      <w:szCs w:val="21"/>
                    </w:rPr>
                    <w:t>工艺</w:t>
                  </w:r>
                </w:p>
              </w:tc>
              <w:tc>
                <w:tcPr>
                  <w:tcW w:w="2236" w:type="pct"/>
                  <w:tcBorders>
                    <w:tl2br w:val="nil"/>
                    <w:tr2bl w:val="nil"/>
                  </w:tcBorders>
                  <w:vAlign w:val="center"/>
                </w:tcPr>
                <w:p w14:paraId="7EE23DC1">
                  <w:pPr>
                    <w:autoSpaceDE w:val="0"/>
                    <w:autoSpaceDN w:val="0"/>
                    <w:adjustRightInd w:val="0"/>
                    <w:snapToGrid w:val="0"/>
                    <w:rPr>
                      <w:kern w:val="0"/>
                      <w:szCs w:val="21"/>
                    </w:rPr>
                  </w:pPr>
                  <w:r>
                    <w:rPr>
                      <w:szCs w:val="21"/>
                    </w:rPr>
                    <w:t>1.属于《产业结构调整指导目录（20</w:t>
                  </w:r>
                  <w:r>
                    <w:rPr>
                      <w:rFonts w:hint="eastAsia"/>
                      <w:szCs w:val="21"/>
                    </w:rPr>
                    <w:t>24</w:t>
                  </w:r>
                  <w:r>
                    <w:rPr>
                      <w:szCs w:val="21"/>
                    </w:rPr>
                    <w:t>年版）》鼓励类和允许类；2.符合相关行业产业政策；3.符合河南省相关政策要求；4.符合市级规划。</w:t>
                  </w:r>
                </w:p>
              </w:tc>
              <w:tc>
                <w:tcPr>
                  <w:tcW w:w="1609" w:type="pct"/>
                  <w:tcBorders>
                    <w:tl2br w:val="nil"/>
                    <w:tr2bl w:val="nil"/>
                  </w:tcBorders>
                </w:tcPr>
                <w:p w14:paraId="3152B3EB">
                  <w:pPr>
                    <w:adjustRightInd w:val="0"/>
                    <w:snapToGrid w:val="0"/>
                    <w:jc w:val="center"/>
                    <w:rPr>
                      <w:szCs w:val="21"/>
                    </w:rPr>
                  </w:pPr>
                  <w:r>
                    <w:rPr>
                      <w:rFonts w:hint="eastAsia"/>
                      <w:szCs w:val="21"/>
                    </w:rPr>
                    <w:t>本项目</w:t>
                  </w:r>
                  <w:r>
                    <w:rPr>
                      <w:szCs w:val="21"/>
                    </w:rPr>
                    <w:t>属于《产业结构调整指导目录（20</w:t>
                  </w:r>
                  <w:r>
                    <w:rPr>
                      <w:rFonts w:hint="eastAsia"/>
                      <w:szCs w:val="21"/>
                    </w:rPr>
                    <w:t>24</w:t>
                  </w:r>
                  <w:r>
                    <w:rPr>
                      <w:szCs w:val="21"/>
                    </w:rPr>
                    <w:t>年版）》允许类</w:t>
                  </w:r>
                  <w:r>
                    <w:rPr>
                      <w:rFonts w:hint="eastAsia"/>
                      <w:szCs w:val="21"/>
                    </w:rPr>
                    <w:t>；</w:t>
                  </w:r>
                  <w:r>
                    <w:rPr>
                      <w:szCs w:val="21"/>
                    </w:rPr>
                    <w:t>符合相关行业产业政策；符合河南省相关政策要求；符合市级规划</w:t>
                  </w:r>
                </w:p>
              </w:tc>
              <w:tc>
                <w:tcPr>
                  <w:tcW w:w="655" w:type="pct"/>
                  <w:tcBorders>
                    <w:tl2br w:val="nil"/>
                    <w:tr2bl w:val="nil"/>
                  </w:tcBorders>
                  <w:vAlign w:val="center"/>
                </w:tcPr>
                <w:p w14:paraId="4F7AEC29">
                  <w:pPr>
                    <w:adjustRightInd w:val="0"/>
                    <w:snapToGrid w:val="0"/>
                    <w:jc w:val="center"/>
                    <w:rPr>
                      <w:szCs w:val="21"/>
                    </w:rPr>
                  </w:pPr>
                  <w:r>
                    <w:rPr>
                      <w:szCs w:val="21"/>
                    </w:rPr>
                    <w:t>符合A级企业</w:t>
                  </w:r>
                  <w:r>
                    <w:rPr>
                      <w:rFonts w:hint="eastAsia"/>
                      <w:szCs w:val="21"/>
                    </w:rPr>
                    <w:t>要求</w:t>
                  </w:r>
                </w:p>
              </w:tc>
            </w:tr>
            <w:tr w14:paraId="01F2571B">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00" w:type="pct"/>
                  <w:tcBorders>
                    <w:tl2br w:val="nil"/>
                    <w:tr2bl w:val="nil"/>
                  </w:tcBorders>
                  <w:vAlign w:val="center"/>
                </w:tcPr>
                <w:p w14:paraId="761F7D8C">
                  <w:pPr>
                    <w:autoSpaceDE w:val="0"/>
                    <w:autoSpaceDN w:val="0"/>
                    <w:adjustRightInd w:val="0"/>
                    <w:snapToGrid w:val="0"/>
                    <w:jc w:val="center"/>
                    <w:rPr>
                      <w:kern w:val="0"/>
                      <w:szCs w:val="21"/>
                    </w:rPr>
                  </w:pPr>
                  <w:r>
                    <w:rPr>
                      <w:kern w:val="0"/>
                      <w:szCs w:val="21"/>
                    </w:rPr>
                    <w:t>污染治理技术</w:t>
                  </w:r>
                </w:p>
              </w:tc>
              <w:tc>
                <w:tcPr>
                  <w:tcW w:w="2236" w:type="pct"/>
                  <w:tcBorders>
                    <w:tl2br w:val="nil"/>
                    <w:tr2bl w:val="nil"/>
                  </w:tcBorders>
                  <w:vAlign w:val="center"/>
                </w:tcPr>
                <w:p w14:paraId="565CFB3F">
                  <w:pPr>
                    <w:pStyle w:val="65"/>
                    <w:snapToGrid w:val="0"/>
                    <w:jc w:val="both"/>
                    <w:rPr>
                      <w:rFonts w:ascii="Times New Roman" w:cs="Times New Roman"/>
                      <w:color w:val="auto"/>
                      <w:kern w:val="2"/>
                      <w:sz w:val="21"/>
                      <w:szCs w:val="21"/>
                    </w:rPr>
                  </w:pPr>
                  <w:r>
                    <w:rPr>
                      <w:rFonts w:ascii="Times New Roman" w:cs="Times New Roman"/>
                      <w:color w:val="auto"/>
                      <w:kern w:val="2"/>
                      <w:sz w:val="21"/>
                      <w:szCs w:val="21"/>
                    </w:rPr>
                    <w:t>1.电窑：</w:t>
                  </w:r>
                </w:p>
                <w:p w14:paraId="2A900FE8">
                  <w:pPr>
                    <w:pStyle w:val="65"/>
                    <w:snapToGrid w:val="0"/>
                    <w:jc w:val="both"/>
                    <w:rPr>
                      <w:rFonts w:ascii="Times New Roman" w:cs="Times New Roman"/>
                      <w:color w:val="auto"/>
                      <w:kern w:val="2"/>
                      <w:sz w:val="21"/>
                      <w:szCs w:val="21"/>
                    </w:rPr>
                  </w:pPr>
                  <w:r>
                    <w:rPr>
                      <w:rFonts w:ascii="Times New Roman" w:cs="Times New Roman"/>
                      <w:color w:val="auto"/>
                      <w:kern w:val="2"/>
                      <w:sz w:val="21"/>
                      <w:szCs w:val="21"/>
                    </w:rPr>
                    <w:t>PM采用袋式除尘、电袋复合除尘、湿电除尘、静电除尘等高效除尘技术。</w:t>
                  </w:r>
                </w:p>
                <w:p w14:paraId="40DCA844">
                  <w:pPr>
                    <w:pStyle w:val="65"/>
                    <w:snapToGrid w:val="0"/>
                    <w:jc w:val="both"/>
                    <w:rPr>
                      <w:rFonts w:ascii="Times New Roman" w:cs="Times New Roman"/>
                      <w:color w:val="auto"/>
                      <w:kern w:val="2"/>
                      <w:sz w:val="21"/>
                      <w:szCs w:val="21"/>
                    </w:rPr>
                  </w:pPr>
                  <w:r>
                    <w:rPr>
                      <w:rFonts w:ascii="Times New Roman" w:cs="Times New Roman"/>
                      <w:color w:val="auto"/>
                      <w:kern w:val="2"/>
                      <w:sz w:val="21"/>
                      <w:szCs w:val="21"/>
                    </w:rPr>
                    <w:t>2.燃气锅炉/炉窑：</w:t>
                  </w:r>
                </w:p>
                <w:p w14:paraId="27E02218">
                  <w:pPr>
                    <w:pStyle w:val="65"/>
                    <w:snapToGrid w:val="0"/>
                    <w:jc w:val="both"/>
                    <w:rPr>
                      <w:rFonts w:ascii="Times New Roman" w:cs="Times New Roman"/>
                      <w:color w:val="auto"/>
                      <w:kern w:val="2"/>
                      <w:sz w:val="21"/>
                      <w:szCs w:val="21"/>
                    </w:rPr>
                  </w:pPr>
                  <w:r>
                    <w:rPr>
                      <w:rFonts w:ascii="Times New Roman" w:cs="Times New Roman"/>
                      <w:color w:val="auto"/>
                      <w:kern w:val="2"/>
                      <w:sz w:val="21"/>
                      <w:szCs w:val="21"/>
                    </w:rPr>
                    <w:t>（1）PM</w:t>
                  </w:r>
                  <w:r>
                    <w:rPr>
                      <w:rFonts w:ascii="Times New Roman" w:cs="Times New Roman"/>
                      <w:color w:val="auto"/>
                      <w:kern w:val="2"/>
                      <w:sz w:val="21"/>
                      <w:szCs w:val="21"/>
                      <w:vertAlign w:val="superscript"/>
                    </w:rPr>
                    <w:t>【</w:t>
                  </w:r>
                  <w:r>
                    <w:rPr>
                      <w:rFonts w:cs="Times New Roman" w:asciiTheme="majorEastAsia" w:hAnsiTheme="majorEastAsia" w:eastAsiaTheme="majorEastAsia"/>
                      <w:color w:val="auto"/>
                      <w:kern w:val="2"/>
                      <w:sz w:val="21"/>
                      <w:szCs w:val="21"/>
                      <w:vertAlign w:val="superscript"/>
                    </w:rPr>
                    <w:t>1</w:t>
                  </w:r>
                  <w:r>
                    <w:rPr>
                      <w:rFonts w:ascii="Times New Roman" w:cs="Times New Roman"/>
                      <w:color w:val="auto"/>
                      <w:kern w:val="2"/>
                      <w:sz w:val="21"/>
                      <w:szCs w:val="21"/>
                      <w:vertAlign w:val="superscript"/>
                    </w:rPr>
                    <w:t>】</w:t>
                  </w:r>
                  <w:r>
                    <w:rPr>
                      <w:rFonts w:ascii="Times New Roman" w:cs="Times New Roman"/>
                      <w:color w:val="auto"/>
                      <w:kern w:val="2"/>
                      <w:sz w:val="21"/>
                      <w:szCs w:val="21"/>
                    </w:rPr>
                    <w:t>采用袋式除尘、静电除尘、湿电除尘等高效除尘技术；</w:t>
                  </w:r>
                </w:p>
                <w:p w14:paraId="0B21D95F">
                  <w:pPr>
                    <w:pStyle w:val="65"/>
                    <w:snapToGrid w:val="0"/>
                    <w:jc w:val="both"/>
                    <w:rPr>
                      <w:rFonts w:ascii="Times New Roman" w:cs="Times New Roman"/>
                      <w:color w:val="auto"/>
                      <w:kern w:val="2"/>
                      <w:sz w:val="21"/>
                      <w:szCs w:val="21"/>
                    </w:rPr>
                  </w:pPr>
                  <w:r>
                    <w:rPr>
                      <w:rFonts w:ascii="Times New Roman" w:cs="Times New Roman"/>
                      <w:color w:val="auto"/>
                      <w:kern w:val="2"/>
                      <w:sz w:val="21"/>
                      <w:szCs w:val="21"/>
                    </w:rPr>
                    <w:t>（2）NOx</w:t>
                  </w:r>
                  <w:r>
                    <w:rPr>
                      <w:rFonts w:ascii="Times New Roman" w:cs="Times New Roman"/>
                      <w:color w:val="auto"/>
                      <w:kern w:val="2"/>
                      <w:sz w:val="21"/>
                      <w:szCs w:val="21"/>
                      <w:vertAlign w:val="superscript"/>
                    </w:rPr>
                    <w:t>【</w:t>
                  </w:r>
                  <w:r>
                    <w:rPr>
                      <w:rFonts w:cs="Times New Roman" w:asciiTheme="minorEastAsia" w:hAnsiTheme="minorEastAsia" w:eastAsiaTheme="minorEastAsia"/>
                      <w:color w:val="auto"/>
                      <w:kern w:val="2"/>
                      <w:sz w:val="21"/>
                      <w:szCs w:val="21"/>
                      <w:vertAlign w:val="superscript"/>
                    </w:rPr>
                    <w:t>2</w:t>
                  </w:r>
                  <w:r>
                    <w:rPr>
                      <w:rFonts w:ascii="Times New Roman" w:cs="Times New Roman"/>
                      <w:color w:val="auto"/>
                      <w:kern w:val="2"/>
                      <w:sz w:val="21"/>
                      <w:szCs w:val="21"/>
                      <w:vertAlign w:val="superscript"/>
                    </w:rPr>
                    <w:t>】</w:t>
                  </w:r>
                  <w:r>
                    <w:rPr>
                      <w:rFonts w:ascii="Times New Roman" w:cs="Times New Roman"/>
                      <w:color w:val="auto"/>
                      <w:kern w:val="2"/>
                      <w:sz w:val="21"/>
                      <w:szCs w:val="21"/>
                    </w:rPr>
                    <w:t>采用低氮燃烧或SNCR/SCR等技术。</w:t>
                  </w:r>
                  <w:r>
                    <w:rPr>
                      <w:rFonts w:hint="eastAsia" w:ascii="Times New Roman" w:cs="Times New Roman"/>
                      <w:color w:val="auto"/>
                      <w:kern w:val="2"/>
                      <w:sz w:val="21"/>
                      <w:szCs w:val="21"/>
                    </w:rPr>
                    <w:t>使用氨法脱硝的企业，氨的装卸、储存、输送、制备等过程全密闭，并采取有氨气泄漏检测和收集措施；采用尿素作为还原剂的配备有尿素加热水解制氨系统。</w:t>
                  </w:r>
                </w:p>
                <w:p w14:paraId="16E48C09">
                  <w:pPr>
                    <w:pStyle w:val="65"/>
                    <w:snapToGrid w:val="0"/>
                    <w:jc w:val="both"/>
                    <w:rPr>
                      <w:rFonts w:ascii="Times New Roman" w:cs="Times New Roman"/>
                      <w:color w:val="auto"/>
                      <w:kern w:val="2"/>
                      <w:sz w:val="21"/>
                      <w:szCs w:val="21"/>
                    </w:rPr>
                  </w:pPr>
                  <w:r>
                    <w:rPr>
                      <w:rFonts w:ascii="Times New Roman" w:cs="Times New Roman"/>
                      <w:color w:val="auto"/>
                      <w:kern w:val="2"/>
                      <w:sz w:val="21"/>
                      <w:szCs w:val="21"/>
                    </w:rPr>
                    <w:t>3.其他工序（非锅炉/炉窑）：</w:t>
                  </w:r>
                </w:p>
                <w:p w14:paraId="61A89DCD">
                  <w:pPr>
                    <w:pStyle w:val="65"/>
                    <w:snapToGrid w:val="0"/>
                    <w:jc w:val="both"/>
                    <w:rPr>
                      <w:rFonts w:ascii="Times New Roman" w:cs="Times New Roman"/>
                      <w:color w:val="auto"/>
                      <w:kern w:val="2"/>
                      <w:sz w:val="21"/>
                      <w:szCs w:val="21"/>
                    </w:rPr>
                  </w:pPr>
                  <w:r>
                    <w:rPr>
                      <w:rFonts w:ascii="Times New Roman" w:cs="Times New Roman"/>
                      <w:color w:val="auto"/>
                      <w:kern w:val="2"/>
                      <w:sz w:val="21"/>
                      <w:szCs w:val="21"/>
                    </w:rPr>
                    <w:t>PM采用覆膜袋式除尘器或其他先进除尘工艺。</w:t>
                  </w:r>
                </w:p>
              </w:tc>
              <w:tc>
                <w:tcPr>
                  <w:tcW w:w="1609" w:type="pct"/>
                  <w:tcBorders>
                    <w:tl2br w:val="nil"/>
                    <w:tr2bl w:val="nil"/>
                  </w:tcBorders>
                  <w:vAlign w:val="center"/>
                </w:tcPr>
                <w:p w14:paraId="44B8393E">
                  <w:pPr>
                    <w:adjustRightInd w:val="0"/>
                    <w:snapToGrid w:val="0"/>
                    <w:jc w:val="center"/>
                    <w:rPr>
                      <w:szCs w:val="21"/>
                      <w:highlight w:val="yellow"/>
                    </w:rPr>
                  </w:pPr>
                  <w:r>
                    <w:rPr>
                      <w:szCs w:val="21"/>
                    </w:rPr>
                    <w:t>项目</w:t>
                  </w:r>
                  <w:r>
                    <w:rPr>
                      <w:rFonts w:hint="eastAsia"/>
                      <w:szCs w:val="21"/>
                    </w:rPr>
                    <w:t>设置1台2.1MW和1台1.4MW</w:t>
                  </w:r>
                  <w:r>
                    <w:rPr>
                      <w:szCs w:val="21"/>
                    </w:rPr>
                    <w:t>燃气</w:t>
                  </w:r>
                  <w:r>
                    <w:rPr>
                      <w:rFonts w:hint="eastAsia"/>
                      <w:szCs w:val="21"/>
                    </w:rPr>
                    <w:t>导热油</w:t>
                  </w:r>
                  <w:r>
                    <w:rPr>
                      <w:szCs w:val="21"/>
                    </w:rPr>
                    <w:t>锅炉</w:t>
                  </w:r>
                  <w:r>
                    <w:rPr>
                      <w:rFonts w:hint="eastAsia"/>
                      <w:szCs w:val="21"/>
                    </w:rPr>
                    <w:t>用于生产供热</w:t>
                  </w:r>
                  <w:r>
                    <w:rPr>
                      <w:szCs w:val="21"/>
                    </w:rPr>
                    <w:t>，配套设置低氮燃烧+烟气循环系统</w:t>
                  </w:r>
                  <w:r>
                    <w:rPr>
                      <w:rFonts w:hint="eastAsia"/>
                      <w:szCs w:val="21"/>
                    </w:rPr>
                    <w:t>，</w:t>
                  </w:r>
                  <w:r>
                    <w:rPr>
                      <w:szCs w:val="21"/>
                    </w:rPr>
                    <w:t>PM</w:t>
                  </w:r>
                  <w:r>
                    <w:rPr>
                      <w:rFonts w:hint="eastAsia"/>
                      <w:szCs w:val="21"/>
                    </w:rPr>
                    <w:t>可</w:t>
                  </w:r>
                  <w:r>
                    <w:rPr>
                      <w:szCs w:val="21"/>
                    </w:rPr>
                    <w:t>稳定达到排放限值</w:t>
                  </w:r>
                  <w:r>
                    <w:rPr>
                      <w:rFonts w:hint="eastAsia"/>
                      <w:szCs w:val="21"/>
                    </w:rPr>
                    <w:t>，不需设置除尘工艺</w:t>
                  </w:r>
                </w:p>
              </w:tc>
              <w:tc>
                <w:tcPr>
                  <w:tcW w:w="655" w:type="pct"/>
                  <w:tcBorders>
                    <w:tl2br w:val="nil"/>
                    <w:tr2bl w:val="nil"/>
                  </w:tcBorders>
                  <w:vAlign w:val="center"/>
                </w:tcPr>
                <w:p w14:paraId="69A5707C">
                  <w:pPr>
                    <w:adjustRightInd w:val="0"/>
                    <w:snapToGrid w:val="0"/>
                    <w:jc w:val="center"/>
                    <w:rPr>
                      <w:szCs w:val="21"/>
                    </w:rPr>
                  </w:pPr>
                  <w:r>
                    <w:rPr>
                      <w:szCs w:val="21"/>
                    </w:rPr>
                    <w:t>符合A级企业</w:t>
                  </w:r>
                  <w:r>
                    <w:rPr>
                      <w:rFonts w:hint="eastAsia"/>
                      <w:szCs w:val="21"/>
                    </w:rPr>
                    <w:t>要求</w:t>
                  </w:r>
                </w:p>
              </w:tc>
            </w:tr>
            <w:tr w14:paraId="61329FC2">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00" w:type="pct"/>
                  <w:tcBorders>
                    <w:tl2br w:val="nil"/>
                    <w:tr2bl w:val="nil"/>
                  </w:tcBorders>
                  <w:vAlign w:val="center"/>
                </w:tcPr>
                <w:p w14:paraId="50610A3F">
                  <w:pPr>
                    <w:autoSpaceDE w:val="0"/>
                    <w:autoSpaceDN w:val="0"/>
                    <w:adjustRightInd w:val="0"/>
                    <w:snapToGrid w:val="0"/>
                    <w:jc w:val="center"/>
                    <w:rPr>
                      <w:kern w:val="0"/>
                      <w:szCs w:val="21"/>
                    </w:rPr>
                  </w:pPr>
                  <w:r>
                    <w:rPr>
                      <w:kern w:val="0"/>
                      <w:szCs w:val="21"/>
                    </w:rPr>
                    <w:t>排放</w:t>
                  </w:r>
                </w:p>
                <w:p w14:paraId="252B7D5E">
                  <w:pPr>
                    <w:autoSpaceDE w:val="0"/>
                    <w:autoSpaceDN w:val="0"/>
                    <w:adjustRightInd w:val="0"/>
                    <w:snapToGrid w:val="0"/>
                    <w:jc w:val="center"/>
                    <w:rPr>
                      <w:kern w:val="0"/>
                      <w:szCs w:val="21"/>
                    </w:rPr>
                  </w:pPr>
                  <w:r>
                    <w:rPr>
                      <w:kern w:val="0"/>
                      <w:szCs w:val="21"/>
                    </w:rPr>
                    <w:t>限值</w:t>
                  </w:r>
                </w:p>
              </w:tc>
              <w:tc>
                <w:tcPr>
                  <w:tcW w:w="2236" w:type="pct"/>
                  <w:tcBorders>
                    <w:tl2br w:val="nil"/>
                    <w:tr2bl w:val="nil"/>
                  </w:tcBorders>
                </w:tcPr>
                <w:p w14:paraId="21EFF455">
                  <w:pPr>
                    <w:pStyle w:val="65"/>
                    <w:snapToGrid w:val="0"/>
                    <w:rPr>
                      <w:rFonts w:ascii="Times New Roman" w:cs="Times New Roman"/>
                      <w:color w:val="auto"/>
                      <w:kern w:val="2"/>
                      <w:sz w:val="21"/>
                      <w:szCs w:val="21"/>
                    </w:rPr>
                  </w:pPr>
                  <w:r>
                    <w:rPr>
                      <w:rFonts w:ascii="Times New Roman" w:cs="Times New Roman"/>
                      <w:color w:val="auto"/>
                      <w:kern w:val="2"/>
                      <w:sz w:val="21"/>
                      <w:szCs w:val="21"/>
                    </w:rPr>
                    <w:t>锅炉：PM、SO</w:t>
                  </w:r>
                  <w:r>
                    <w:rPr>
                      <w:rFonts w:ascii="Times New Roman" w:cs="Times New Roman"/>
                      <w:color w:val="auto"/>
                      <w:kern w:val="2"/>
                      <w:sz w:val="21"/>
                      <w:szCs w:val="21"/>
                      <w:vertAlign w:val="subscript"/>
                    </w:rPr>
                    <w:t>2</w:t>
                  </w:r>
                  <w:r>
                    <w:rPr>
                      <w:rFonts w:ascii="Times New Roman" w:cs="Times New Roman"/>
                      <w:color w:val="auto"/>
                      <w:kern w:val="2"/>
                      <w:sz w:val="21"/>
                      <w:szCs w:val="21"/>
                    </w:rPr>
                    <w:t>、NO</w:t>
                  </w:r>
                  <w:r>
                    <w:rPr>
                      <w:rFonts w:ascii="Times New Roman" w:cs="Times New Roman"/>
                      <w:color w:val="auto"/>
                      <w:kern w:val="2"/>
                      <w:sz w:val="21"/>
                      <w:szCs w:val="21"/>
                      <w:vertAlign w:val="subscript"/>
                    </w:rPr>
                    <w:t>X</w:t>
                  </w:r>
                  <w:r>
                    <w:rPr>
                      <w:rFonts w:ascii="Times New Roman" w:cs="Times New Roman"/>
                      <w:color w:val="auto"/>
                      <w:kern w:val="2"/>
                      <w:sz w:val="21"/>
                      <w:szCs w:val="21"/>
                    </w:rPr>
                    <w:t>排放浓度分别不高于：5、10、</w:t>
                  </w:r>
                  <w:r>
                    <w:rPr>
                      <w:rFonts w:hint="eastAsia" w:ascii="Times New Roman" w:cs="Times New Roman"/>
                      <w:color w:val="auto"/>
                      <w:kern w:val="2"/>
                      <w:sz w:val="21"/>
                      <w:szCs w:val="21"/>
                    </w:rPr>
                    <w:t>50/</w:t>
                  </w:r>
                  <w:r>
                    <w:rPr>
                      <w:rFonts w:ascii="Times New Roman" w:cs="Times New Roman"/>
                      <w:color w:val="auto"/>
                      <w:kern w:val="2"/>
                      <w:sz w:val="21"/>
                      <w:szCs w:val="21"/>
                    </w:rPr>
                    <w:t>30</w:t>
                  </w:r>
                  <w:r>
                    <w:rPr>
                      <w:rFonts w:cs="Times New Roman" w:asciiTheme="majorEastAsia" w:hAnsiTheme="majorEastAsia" w:eastAsiaTheme="majorEastAsia"/>
                      <w:color w:val="auto"/>
                      <w:kern w:val="2"/>
                      <w:sz w:val="21"/>
                      <w:szCs w:val="21"/>
                      <w:vertAlign w:val="superscript"/>
                    </w:rPr>
                    <w:t>【4】</w:t>
                  </w:r>
                  <w:r>
                    <w:rPr>
                      <w:rFonts w:ascii="Times New Roman" w:cs="Times New Roman"/>
                      <w:color w:val="auto"/>
                      <w:kern w:val="2"/>
                      <w:sz w:val="21"/>
                      <w:szCs w:val="21"/>
                    </w:rPr>
                    <w:t>mg/m</w:t>
                  </w:r>
                  <w:r>
                    <w:rPr>
                      <w:rFonts w:ascii="Times New Roman" w:cs="Times New Roman"/>
                      <w:color w:val="auto"/>
                      <w:kern w:val="2"/>
                      <w:sz w:val="21"/>
                      <w:szCs w:val="21"/>
                      <w:vertAlign w:val="superscript"/>
                    </w:rPr>
                    <w:t>3</w:t>
                  </w:r>
                </w:p>
                <w:p w14:paraId="34BDBF9B">
                  <w:pPr>
                    <w:pStyle w:val="65"/>
                    <w:snapToGrid w:val="0"/>
                    <w:rPr>
                      <w:rFonts w:ascii="Times New Roman" w:cs="Times New Roman"/>
                      <w:color w:val="auto"/>
                      <w:kern w:val="2"/>
                      <w:sz w:val="21"/>
                      <w:szCs w:val="21"/>
                    </w:rPr>
                  </w:pPr>
                  <w:r>
                    <w:rPr>
                      <w:rFonts w:ascii="Times New Roman" w:cs="Times New Roman"/>
                      <w:color w:val="auto"/>
                      <w:kern w:val="2"/>
                      <w:sz w:val="21"/>
                      <w:szCs w:val="21"/>
                    </w:rPr>
                    <w:t>（基准含氧量：3.5%）</w:t>
                  </w:r>
                </w:p>
              </w:tc>
              <w:tc>
                <w:tcPr>
                  <w:tcW w:w="1609" w:type="pct"/>
                  <w:tcBorders>
                    <w:tl2br w:val="nil"/>
                    <w:tr2bl w:val="nil"/>
                  </w:tcBorders>
                  <w:vAlign w:val="center"/>
                </w:tcPr>
                <w:p w14:paraId="0E0DA825">
                  <w:pPr>
                    <w:pStyle w:val="65"/>
                    <w:snapToGrid w:val="0"/>
                    <w:jc w:val="center"/>
                    <w:rPr>
                      <w:rFonts w:ascii="Times New Roman" w:cs="Times New Roman"/>
                      <w:color w:val="auto"/>
                      <w:kern w:val="2"/>
                      <w:sz w:val="21"/>
                      <w:szCs w:val="21"/>
                      <w:highlight w:val="yellow"/>
                    </w:rPr>
                  </w:pPr>
                  <w:r>
                    <w:rPr>
                      <w:rFonts w:ascii="Times New Roman" w:cs="Times New Roman"/>
                      <w:color w:val="auto"/>
                      <w:kern w:val="2"/>
                      <w:sz w:val="21"/>
                      <w:szCs w:val="21"/>
                    </w:rPr>
                    <w:t>项目燃气</w:t>
                  </w:r>
                  <w:r>
                    <w:rPr>
                      <w:rFonts w:hint="eastAsia"/>
                      <w:sz w:val="21"/>
                      <w:szCs w:val="21"/>
                    </w:rPr>
                    <w:t>导热油炉</w:t>
                  </w:r>
                  <w:r>
                    <w:rPr>
                      <w:rFonts w:ascii="Times New Roman" w:cs="Times New Roman"/>
                      <w:color w:val="auto"/>
                      <w:kern w:val="2"/>
                      <w:sz w:val="21"/>
                      <w:szCs w:val="21"/>
                    </w:rPr>
                    <w:t>PM、SO</w:t>
                  </w:r>
                  <w:r>
                    <w:rPr>
                      <w:rFonts w:ascii="Times New Roman" w:cs="Times New Roman"/>
                      <w:color w:val="auto"/>
                      <w:kern w:val="2"/>
                      <w:sz w:val="21"/>
                      <w:szCs w:val="21"/>
                      <w:vertAlign w:val="subscript"/>
                    </w:rPr>
                    <w:t>2</w:t>
                  </w:r>
                  <w:r>
                    <w:rPr>
                      <w:rFonts w:ascii="Times New Roman" w:cs="Times New Roman"/>
                      <w:color w:val="auto"/>
                      <w:kern w:val="2"/>
                      <w:sz w:val="21"/>
                      <w:szCs w:val="21"/>
                    </w:rPr>
                    <w:t>、NO</w:t>
                  </w:r>
                  <w:r>
                    <w:rPr>
                      <w:rFonts w:ascii="Times New Roman" w:cs="Times New Roman"/>
                      <w:color w:val="auto"/>
                      <w:kern w:val="2"/>
                      <w:sz w:val="21"/>
                      <w:szCs w:val="21"/>
                      <w:vertAlign w:val="subscript"/>
                    </w:rPr>
                    <w:t>X</w:t>
                  </w:r>
                  <w:r>
                    <w:rPr>
                      <w:rFonts w:ascii="Times New Roman" w:cs="Times New Roman"/>
                      <w:color w:val="auto"/>
                      <w:kern w:val="2"/>
                      <w:sz w:val="21"/>
                      <w:szCs w:val="21"/>
                    </w:rPr>
                    <w:t>排放浓度分别不高于：5、10、30mg/m</w:t>
                  </w:r>
                  <w:r>
                    <w:rPr>
                      <w:rFonts w:ascii="Times New Roman" w:cs="Times New Roman"/>
                      <w:color w:val="auto"/>
                      <w:kern w:val="2"/>
                      <w:sz w:val="21"/>
                      <w:szCs w:val="21"/>
                      <w:vertAlign w:val="superscript"/>
                    </w:rPr>
                    <w:t>3</w:t>
                  </w:r>
                </w:p>
              </w:tc>
              <w:tc>
                <w:tcPr>
                  <w:tcW w:w="655" w:type="pct"/>
                  <w:tcBorders>
                    <w:tl2br w:val="nil"/>
                    <w:tr2bl w:val="nil"/>
                  </w:tcBorders>
                  <w:vAlign w:val="center"/>
                </w:tcPr>
                <w:p w14:paraId="47DD1A4C">
                  <w:pPr>
                    <w:adjustRightInd w:val="0"/>
                    <w:snapToGrid w:val="0"/>
                    <w:jc w:val="center"/>
                    <w:rPr>
                      <w:szCs w:val="21"/>
                    </w:rPr>
                  </w:pPr>
                  <w:r>
                    <w:rPr>
                      <w:szCs w:val="21"/>
                    </w:rPr>
                    <w:t>符合A级企业</w:t>
                  </w:r>
                  <w:r>
                    <w:rPr>
                      <w:rFonts w:hint="eastAsia"/>
                      <w:szCs w:val="21"/>
                    </w:rPr>
                    <w:t>要求</w:t>
                  </w:r>
                </w:p>
              </w:tc>
            </w:tr>
            <w:tr w14:paraId="3148E30E">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00" w:type="pct"/>
                  <w:tcBorders>
                    <w:tl2br w:val="nil"/>
                    <w:tr2bl w:val="nil"/>
                  </w:tcBorders>
                  <w:vAlign w:val="center"/>
                </w:tcPr>
                <w:p w14:paraId="212F7284">
                  <w:pPr>
                    <w:autoSpaceDE w:val="0"/>
                    <w:autoSpaceDN w:val="0"/>
                    <w:adjustRightInd w:val="0"/>
                    <w:snapToGrid w:val="0"/>
                    <w:jc w:val="center"/>
                    <w:rPr>
                      <w:kern w:val="0"/>
                      <w:szCs w:val="21"/>
                    </w:rPr>
                  </w:pPr>
                  <w:r>
                    <w:rPr>
                      <w:kern w:val="0"/>
                      <w:szCs w:val="21"/>
                    </w:rPr>
                    <w:t>监控</w:t>
                  </w:r>
                </w:p>
                <w:p w14:paraId="4DA18587">
                  <w:pPr>
                    <w:autoSpaceDE w:val="0"/>
                    <w:autoSpaceDN w:val="0"/>
                    <w:adjustRightInd w:val="0"/>
                    <w:snapToGrid w:val="0"/>
                    <w:jc w:val="center"/>
                    <w:rPr>
                      <w:kern w:val="0"/>
                      <w:szCs w:val="21"/>
                    </w:rPr>
                  </w:pPr>
                  <w:r>
                    <w:rPr>
                      <w:kern w:val="0"/>
                      <w:szCs w:val="21"/>
                    </w:rPr>
                    <w:t>水平</w:t>
                  </w:r>
                </w:p>
              </w:tc>
              <w:tc>
                <w:tcPr>
                  <w:tcW w:w="2236" w:type="pct"/>
                  <w:tcBorders>
                    <w:tl2br w:val="nil"/>
                    <w:tr2bl w:val="nil"/>
                  </w:tcBorders>
                  <w:vAlign w:val="center"/>
                </w:tcPr>
                <w:p w14:paraId="6A5E2FE2">
                  <w:pPr>
                    <w:pStyle w:val="65"/>
                    <w:snapToGrid w:val="0"/>
                    <w:jc w:val="center"/>
                    <w:rPr>
                      <w:rFonts w:ascii="Times New Roman" w:cs="Times New Roman"/>
                      <w:color w:val="auto"/>
                      <w:kern w:val="2"/>
                      <w:sz w:val="21"/>
                      <w:szCs w:val="21"/>
                    </w:rPr>
                  </w:pPr>
                  <w:r>
                    <w:rPr>
                      <w:rFonts w:hint="eastAsia" w:ascii="Times New Roman" w:cs="Times New Roman"/>
                      <w:color w:val="auto"/>
                      <w:kern w:val="2"/>
                      <w:sz w:val="21"/>
                      <w:szCs w:val="21"/>
                    </w:rPr>
                    <w:t>重点排污企业主要排放口</w:t>
                  </w:r>
                  <w:r>
                    <w:rPr>
                      <w:rFonts w:hint="eastAsia" w:ascii="Times New Roman" w:cs="Times New Roman"/>
                      <w:color w:val="auto"/>
                      <w:kern w:val="2"/>
                      <w:sz w:val="21"/>
                      <w:szCs w:val="21"/>
                      <w:vertAlign w:val="superscript"/>
                    </w:rPr>
                    <w:t>【6】</w:t>
                  </w:r>
                  <w:r>
                    <w:rPr>
                      <w:rFonts w:hint="eastAsia" w:ascii="Times New Roman" w:cs="Times New Roman"/>
                      <w:color w:val="auto"/>
                      <w:kern w:val="2"/>
                      <w:sz w:val="21"/>
                      <w:szCs w:val="21"/>
                    </w:rPr>
                    <w:t>安装CEMS，记录生产设施运行情况，并按要求与省厅联网；CEMS数据至少保存最近12个月的1分钟均值、36个月的1小时均值及60个月的日均值和月均值。（投产或安装时间不满一年以上的企业，以现有数据为准）。</w:t>
                  </w:r>
                </w:p>
              </w:tc>
              <w:tc>
                <w:tcPr>
                  <w:tcW w:w="1609" w:type="pct"/>
                  <w:tcBorders>
                    <w:tl2br w:val="nil"/>
                    <w:tr2bl w:val="nil"/>
                  </w:tcBorders>
                  <w:vAlign w:val="center"/>
                </w:tcPr>
                <w:p w14:paraId="4D039B8C">
                  <w:pPr>
                    <w:adjustRightInd w:val="0"/>
                    <w:snapToGrid w:val="0"/>
                    <w:jc w:val="center"/>
                    <w:rPr>
                      <w:szCs w:val="21"/>
                    </w:rPr>
                  </w:pPr>
                  <w:r>
                    <w:rPr>
                      <w:szCs w:val="21"/>
                    </w:rPr>
                    <w:t>本项目不属于重点排污</w:t>
                  </w:r>
                </w:p>
                <w:p w14:paraId="1AEA4216">
                  <w:pPr>
                    <w:adjustRightInd w:val="0"/>
                    <w:snapToGrid w:val="0"/>
                    <w:jc w:val="center"/>
                    <w:rPr>
                      <w:szCs w:val="21"/>
                      <w:highlight w:val="yellow"/>
                    </w:rPr>
                  </w:pPr>
                  <w:r>
                    <w:rPr>
                      <w:szCs w:val="21"/>
                    </w:rPr>
                    <w:t>单位</w:t>
                  </w:r>
                </w:p>
              </w:tc>
              <w:tc>
                <w:tcPr>
                  <w:tcW w:w="655" w:type="pct"/>
                  <w:tcBorders>
                    <w:tl2br w:val="nil"/>
                    <w:tr2bl w:val="nil"/>
                  </w:tcBorders>
                  <w:vAlign w:val="center"/>
                </w:tcPr>
                <w:p w14:paraId="1048FDAA">
                  <w:pPr>
                    <w:adjustRightInd w:val="0"/>
                    <w:snapToGrid w:val="0"/>
                    <w:jc w:val="center"/>
                    <w:rPr>
                      <w:szCs w:val="21"/>
                    </w:rPr>
                  </w:pPr>
                  <w:r>
                    <w:rPr>
                      <w:rFonts w:hint="eastAsia"/>
                      <w:szCs w:val="21"/>
                    </w:rPr>
                    <w:t>/</w:t>
                  </w:r>
                </w:p>
              </w:tc>
            </w:tr>
            <w:tr w14:paraId="2170EC96">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000" w:type="pct"/>
                  <w:gridSpan w:val="4"/>
                  <w:tcBorders>
                    <w:tl2br w:val="nil"/>
                    <w:tr2bl w:val="nil"/>
                  </w:tcBorders>
                  <w:vAlign w:val="center"/>
                </w:tcPr>
                <w:p w14:paraId="4AE7EDAC">
                  <w:pPr>
                    <w:rPr>
                      <w:szCs w:val="21"/>
                    </w:rPr>
                  </w:pPr>
                  <w:r>
                    <w:rPr>
                      <w:szCs w:val="21"/>
                    </w:rPr>
                    <w:t>备注</w:t>
                  </w:r>
                  <w:r>
                    <w:rPr>
                      <w:szCs w:val="21"/>
                      <w:vertAlign w:val="superscript"/>
                    </w:rPr>
                    <w:t>[1]</w:t>
                  </w:r>
                  <w:r>
                    <w:rPr>
                      <w:szCs w:val="21"/>
                    </w:rPr>
                    <w:t>：燃气锅炉在PM稳定达到排放限值情况下可不采用除尘工艺；</w:t>
                  </w:r>
                </w:p>
                <w:p w14:paraId="3977F5B7">
                  <w:pPr>
                    <w:rPr>
                      <w:szCs w:val="21"/>
                    </w:rPr>
                  </w:pPr>
                  <w:r>
                    <w:rPr>
                      <w:szCs w:val="21"/>
                    </w:rPr>
                    <w:t>备注</w:t>
                  </w:r>
                  <w:r>
                    <w:rPr>
                      <w:szCs w:val="21"/>
                      <w:vertAlign w:val="superscript"/>
                    </w:rPr>
                    <w:t>[2]</w:t>
                  </w:r>
                  <w:r>
                    <w:rPr>
                      <w:szCs w:val="21"/>
                    </w:rPr>
                    <w:t>：温度低于800℃的燃气/燃油的干燥窑、热处理窑和燃气/生物质锅炉，在稳定达到排放限值情况下可不采用SCR/SNCR等工艺；</w:t>
                  </w:r>
                </w:p>
                <w:p w14:paraId="288CC7C4">
                  <w:pPr>
                    <w:rPr>
                      <w:szCs w:val="21"/>
                    </w:rPr>
                  </w:pPr>
                  <w:r>
                    <w:rPr>
                      <w:szCs w:val="21"/>
                    </w:rPr>
                    <w:t>备注</w:t>
                  </w:r>
                  <w:r>
                    <w:rPr>
                      <w:szCs w:val="21"/>
                      <w:vertAlign w:val="superscript"/>
                    </w:rPr>
                    <w:t>[4]</w:t>
                  </w:r>
                  <w:r>
                    <w:rPr>
                      <w:szCs w:val="21"/>
                    </w:rPr>
                    <w:t>：新建燃气锅炉和需要采取特别保护措施的区域，执行该排放限值；</w:t>
                  </w:r>
                </w:p>
                <w:p w14:paraId="3C9A2DA1">
                  <w:pPr>
                    <w:adjustRightInd w:val="0"/>
                    <w:snapToGrid w:val="0"/>
                    <w:rPr>
                      <w:szCs w:val="21"/>
                    </w:rPr>
                  </w:pPr>
                  <w:r>
                    <w:rPr>
                      <w:szCs w:val="21"/>
                    </w:rPr>
                    <w:t>备注</w:t>
                  </w:r>
                  <w:r>
                    <w:rPr>
                      <w:szCs w:val="21"/>
                      <w:vertAlign w:val="superscript"/>
                    </w:rPr>
                    <w:t>[6]</w:t>
                  </w:r>
                  <w:r>
                    <w:rPr>
                      <w:szCs w:val="21"/>
                    </w:rPr>
                    <w:t>：主要排放口按照《排污许可证申请与核发技术规范XX工业》确定。</w:t>
                  </w:r>
                </w:p>
              </w:tc>
            </w:tr>
          </w:tbl>
          <w:p w14:paraId="0B8FFF79">
            <w:pPr>
              <w:spacing w:line="360" w:lineRule="auto"/>
              <w:ind w:firstLine="480" w:firstLineChars="200"/>
              <w:rPr>
                <w:rFonts w:cs="宋体"/>
                <w:kern w:val="0"/>
                <w:sz w:val="24"/>
              </w:rPr>
            </w:pPr>
            <w:r>
              <w:rPr>
                <w:rFonts w:hint="eastAsia" w:cs="宋体"/>
                <w:kern w:val="0"/>
                <w:sz w:val="24"/>
              </w:rPr>
              <w:t>综上可知，项目建成后污染物排放限值、污染治理措施、无组织排放控制水平、运输方式等与</w:t>
            </w:r>
            <w:r>
              <w:rPr>
                <w:rFonts w:hint="eastAsia"/>
                <w:sz w:val="24"/>
              </w:rPr>
              <w:t>《河南省重污染天气通用行业应急减排措施制定技术指南》（2024年修订版）涉锅炉/炉窑绩效分级指标</w:t>
            </w:r>
            <w:r>
              <w:rPr>
                <w:rFonts w:hint="eastAsia" w:cs="宋体"/>
                <w:kern w:val="0"/>
                <w:sz w:val="24"/>
              </w:rPr>
              <w:t>各项要求相符。</w:t>
            </w:r>
          </w:p>
          <w:p w14:paraId="177ADE83">
            <w:pPr>
              <w:spacing w:line="360" w:lineRule="auto"/>
              <w:ind w:firstLine="480" w:firstLineChars="200"/>
              <w:rPr>
                <w:rFonts w:cs="宋体"/>
                <w:kern w:val="0"/>
                <w:sz w:val="24"/>
              </w:rPr>
            </w:pPr>
          </w:p>
          <w:p w14:paraId="7523A2A1">
            <w:pPr>
              <w:spacing w:line="360" w:lineRule="auto"/>
              <w:ind w:firstLine="480" w:firstLineChars="200"/>
              <w:rPr>
                <w:rFonts w:cs="宋体"/>
                <w:kern w:val="0"/>
                <w:sz w:val="24"/>
              </w:rPr>
            </w:pPr>
          </w:p>
          <w:p w14:paraId="19549249">
            <w:pPr>
              <w:spacing w:line="360" w:lineRule="auto"/>
              <w:ind w:firstLine="480" w:firstLineChars="200"/>
              <w:rPr>
                <w:rFonts w:cs="宋体"/>
                <w:kern w:val="0"/>
                <w:sz w:val="24"/>
              </w:rPr>
            </w:pPr>
          </w:p>
          <w:p w14:paraId="27E6178B">
            <w:pPr>
              <w:spacing w:line="360" w:lineRule="auto"/>
              <w:ind w:firstLine="480" w:firstLineChars="200"/>
              <w:rPr>
                <w:rFonts w:cs="宋体"/>
                <w:kern w:val="0"/>
                <w:sz w:val="24"/>
              </w:rPr>
            </w:pPr>
          </w:p>
          <w:p w14:paraId="598722A6">
            <w:pPr>
              <w:spacing w:line="360" w:lineRule="auto"/>
              <w:ind w:firstLine="480" w:firstLineChars="200"/>
              <w:rPr>
                <w:rFonts w:cs="宋体"/>
                <w:kern w:val="0"/>
                <w:sz w:val="24"/>
              </w:rPr>
            </w:pPr>
          </w:p>
          <w:p w14:paraId="7E147634">
            <w:pPr>
              <w:spacing w:line="360" w:lineRule="auto"/>
              <w:ind w:firstLine="480" w:firstLineChars="200"/>
              <w:rPr>
                <w:rFonts w:cs="宋体"/>
                <w:kern w:val="0"/>
                <w:sz w:val="24"/>
              </w:rPr>
            </w:pPr>
          </w:p>
          <w:p w14:paraId="7860D9E3">
            <w:pPr>
              <w:spacing w:line="360" w:lineRule="auto"/>
              <w:ind w:firstLine="480" w:firstLineChars="200"/>
              <w:rPr>
                <w:rFonts w:cs="宋体"/>
                <w:kern w:val="0"/>
                <w:sz w:val="24"/>
              </w:rPr>
            </w:pPr>
          </w:p>
          <w:p w14:paraId="3E2204E5">
            <w:pPr>
              <w:spacing w:line="360" w:lineRule="auto"/>
              <w:ind w:firstLine="480" w:firstLineChars="200"/>
              <w:rPr>
                <w:rFonts w:cs="宋体"/>
                <w:kern w:val="0"/>
                <w:sz w:val="24"/>
              </w:rPr>
            </w:pPr>
          </w:p>
          <w:p w14:paraId="03A385D9">
            <w:pPr>
              <w:spacing w:line="360" w:lineRule="auto"/>
              <w:ind w:firstLine="480" w:firstLineChars="200"/>
              <w:rPr>
                <w:rFonts w:cs="宋体"/>
                <w:kern w:val="0"/>
                <w:sz w:val="24"/>
              </w:rPr>
            </w:pPr>
          </w:p>
          <w:p w14:paraId="48B2D9F5">
            <w:pPr>
              <w:spacing w:line="360" w:lineRule="auto"/>
              <w:ind w:firstLine="480" w:firstLineChars="200"/>
              <w:rPr>
                <w:rFonts w:cs="宋体"/>
                <w:kern w:val="0"/>
                <w:sz w:val="24"/>
              </w:rPr>
            </w:pPr>
          </w:p>
          <w:p w14:paraId="004298D2">
            <w:pPr>
              <w:spacing w:line="360" w:lineRule="auto"/>
              <w:ind w:firstLine="480" w:firstLineChars="200"/>
              <w:rPr>
                <w:rFonts w:cs="宋体"/>
                <w:kern w:val="0"/>
                <w:sz w:val="24"/>
              </w:rPr>
            </w:pPr>
          </w:p>
          <w:p w14:paraId="3546923C">
            <w:pPr>
              <w:spacing w:line="360" w:lineRule="auto"/>
              <w:ind w:firstLine="480" w:firstLineChars="200"/>
              <w:rPr>
                <w:rFonts w:cs="宋体"/>
                <w:kern w:val="0"/>
                <w:sz w:val="24"/>
              </w:rPr>
            </w:pPr>
          </w:p>
          <w:p w14:paraId="448A850C">
            <w:pPr>
              <w:spacing w:line="360" w:lineRule="auto"/>
              <w:ind w:firstLine="480" w:firstLineChars="200"/>
              <w:rPr>
                <w:rFonts w:cs="宋体"/>
                <w:kern w:val="0"/>
                <w:sz w:val="24"/>
              </w:rPr>
            </w:pPr>
          </w:p>
          <w:p w14:paraId="4D07E784">
            <w:pPr>
              <w:spacing w:line="360" w:lineRule="auto"/>
              <w:ind w:firstLine="480" w:firstLineChars="200"/>
              <w:rPr>
                <w:rFonts w:cs="宋体"/>
                <w:kern w:val="0"/>
                <w:sz w:val="24"/>
              </w:rPr>
            </w:pPr>
          </w:p>
          <w:p w14:paraId="2F1AD26E">
            <w:pPr>
              <w:spacing w:line="360" w:lineRule="auto"/>
              <w:ind w:firstLine="480" w:firstLineChars="200"/>
              <w:rPr>
                <w:rFonts w:cs="宋体"/>
                <w:kern w:val="0"/>
                <w:sz w:val="24"/>
              </w:rPr>
            </w:pPr>
          </w:p>
          <w:p w14:paraId="0143C6F3">
            <w:pPr>
              <w:spacing w:line="360" w:lineRule="auto"/>
              <w:ind w:firstLine="480" w:firstLineChars="200"/>
              <w:rPr>
                <w:rFonts w:cs="宋体"/>
                <w:kern w:val="0"/>
                <w:sz w:val="24"/>
              </w:rPr>
            </w:pPr>
          </w:p>
          <w:p w14:paraId="629C0FE4">
            <w:pPr>
              <w:spacing w:line="360" w:lineRule="auto"/>
              <w:ind w:firstLine="480" w:firstLineChars="200"/>
              <w:rPr>
                <w:rFonts w:cs="宋体"/>
                <w:kern w:val="0"/>
                <w:sz w:val="24"/>
              </w:rPr>
            </w:pPr>
          </w:p>
          <w:p w14:paraId="321DB9F0">
            <w:pPr>
              <w:spacing w:line="360" w:lineRule="auto"/>
              <w:ind w:firstLine="480" w:firstLineChars="200"/>
              <w:rPr>
                <w:rFonts w:cs="宋体"/>
                <w:kern w:val="0"/>
                <w:sz w:val="24"/>
              </w:rPr>
            </w:pPr>
          </w:p>
          <w:p w14:paraId="1C4FADC0">
            <w:pPr>
              <w:spacing w:line="360" w:lineRule="auto"/>
              <w:ind w:firstLine="480" w:firstLineChars="200"/>
              <w:rPr>
                <w:rFonts w:cs="宋体"/>
                <w:kern w:val="0"/>
                <w:sz w:val="24"/>
              </w:rPr>
            </w:pPr>
          </w:p>
          <w:p w14:paraId="379D208A">
            <w:pPr>
              <w:spacing w:line="360" w:lineRule="auto"/>
              <w:ind w:firstLine="480" w:firstLineChars="200"/>
              <w:rPr>
                <w:rFonts w:cs="宋体"/>
                <w:kern w:val="0"/>
                <w:sz w:val="24"/>
              </w:rPr>
            </w:pPr>
          </w:p>
          <w:p w14:paraId="35D24183">
            <w:pPr>
              <w:spacing w:line="360" w:lineRule="auto"/>
              <w:rPr>
                <w:rFonts w:cs="宋体"/>
                <w:kern w:val="0"/>
                <w:sz w:val="24"/>
              </w:rPr>
            </w:pPr>
          </w:p>
          <w:p w14:paraId="2948A187">
            <w:pPr>
              <w:spacing w:line="360" w:lineRule="auto"/>
              <w:rPr>
                <w:rFonts w:cs="宋体"/>
                <w:kern w:val="0"/>
                <w:sz w:val="24"/>
              </w:rPr>
            </w:pPr>
          </w:p>
          <w:p w14:paraId="3D422EF4">
            <w:pPr>
              <w:spacing w:line="360" w:lineRule="auto"/>
              <w:rPr>
                <w:rFonts w:cs="宋体"/>
                <w:kern w:val="0"/>
                <w:sz w:val="24"/>
              </w:rPr>
            </w:pPr>
          </w:p>
        </w:tc>
      </w:tr>
    </w:tbl>
    <w:p w14:paraId="579168B4">
      <w:pPr>
        <w:spacing w:line="360" w:lineRule="auto"/>
        <w:outlineLvl w:val="0"/>
        <w:rPr>
          <w:rFonts w:eastAsia="黑体"/>
          <w:sz w:val="30"/>
        </w:rPr>
        <w:sectPr>
          <w:footerReference r:id="rId3" w:type="default"/>
          <w:pgSz w:w="11906" w:h="16838"/>
          <w:pgMar w:top="1440" w:right="1800" w:bottom="1440" w:left="1800" w:header="851" w:footer="1077" w:gutter="0"/>
          <w:cols w:space="720" w:num="1"/>
          <w:docGrid w:linePitch="312" w:charSpace="0"/>
        </w:sectPr>
      </w:pPr>
    </w:p>
    <w:p w14:paraId="2AA7E418">
      <w:pPr>
        <w:pStyle w:val="25"/>
        <w:jc w:val="center"/>
        <w:outlineLvl w:val="0"/>
        <w:rPr>
          <w:rFonts w:ascii="黑体" w:hAnsi="黑体" w:eastAsia="黑体"/>
          <w:snapToGrid w:val="0"/>
          <w:sz w:val="30"/>
          <w:szCs w:val="30"/>
        </w:rPr>
      </w:pPr>
      <w:r>
        <w:rPr>
          <w:rFonts w:hint="eastAsia" w:ascii="黑体" w:hAnsi="黑体" w:eastAsia="黑体"/>
          <w:snapToGrid w:val="0"/>
          <w:sz w:val="30"/>
          <w:szCs w:val="30"/>
        </w:rPr>
        <w:t>二、建设项目工程分析</w:t>
      </w:r>
    </w:p>
    <w:tbl>
      <w:tblPr>
        <w:tblStyle w:val="29"/>
        <w:tblW w:w="943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57" w:type="dxa"/>
          <w:bottom w:w="0" w:type="dxa"/>
          <w:right w:w="57" w:type="dxa"/>
        </w:tblCellMar>
      </w:tblPr>
      <w:tblGrid>
        <w:gridCol w:w="711"/>
        <w:gridCol w:w="8723"/>
      </w:tblGrid>
      <w:tr w14:paraId="7813C1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3670" w:hRule="atLeast"/>
          <w:jc w:val="center"/>
        </w:trPr>
        <w:tc>
          <w:tcPr>
            <w:tcW w:w="721" w:type="dxa"/>
            <w:vAlign w:val="center"/>
          </w:tcPr>
          <w:p w14:paraId="4DB87DA1">
            <w:pPr>
              <w:pStyle w:val="25"/>
              <w:adjustRightInd w:val="0"/>
              <w:snapToGrid w:val="0"/>
              <w:spacing w:before="0" w:beforeAutospacing="0" w:after="0" w:afterAutospacing="0"/>
              <w:jc w:val="center"/>
              <w:rPr>
                <w:rFonts w:ascii="Times New Roman" w:hAnsi="Times New Roman"/>
                <w:szCs w:val="24"/>
              </w:rPr>
            </w:pPr>
            <w:r>
              <w:rPr>
                <w:rFonts w:ascii="Times New Roman" w:hAnsi="Times New Roman"/>
                <w:szCs w:val="24"/>
              </w:rPr>
              <w:t>建设内容</w:t>
            </w:r>
          </w:p>
        </w:tc>
        <w:tc>
          <w:tcPr>
            <w:tcW w:w="8713" w:type="dxa"/>
          </w:tcPr>
          <w:p w14:paraId="369E2701">
            <w:pPr>
              <w:adjustRightInd w:val="0"/>
              <w:snapToGrid w:val="0"/>
              <w:spacing w:line="360" w:lineRule="auto"/>
              <w:ind w:firstLine="482" w:firstLineChars="200"/>
              <w:rPr>
                <w:rFonts w:eastAsia="黑体"/>
                <w:b/>
                <w:iCs/>
                <w:sz w:val="24"/>
              </w:rPr>
            </w:pPr>
            <w:r>
              <w:rPr>
                <w:rFonts w:eastAsia="黑体"/>
                <w:b/>
                <w:iCs/>
                <w:sz w:val="24"/>
              </w:rPr>
              <w:t>1</w:t>
            </w:r>
            <w:r>
              <w:rPr>
                <w:rFonts w:hint="eastAsia" w:eastAsia="黑体"/>
                <w:b/>
                <w:iCs/>
                <w:sz w:val="24"/>
              </w:rPr>
              <w:t>、项目基本情况</w:t>
            </w:r>
          </w:p>
          <w:p w14:paraId="26AA5B97">
            <w:pPr>
              <w:spacing w:line="360" w:lineRule="auto"/>
              <w:ind w:firstLine="480" w:firstLineChars="200"/>
              <w:rPr>
                <w:bCs/>
                <w:sz w:val="24"/>
              </w:rPr>
            </w:pPr>
            <w:r>
              <w:rPr>
                <w:rFonts w:hint="eastAsia"/>
                <w:sz w:val="24"/>
              </w:rPr>
              <w:t>民权县顺哲生物科技有限公司拟投资300万元在商丘市民权县北关镇民荷路北段9号利用现有厂区建设</w:t>
            </w:r>
            <w:r>
              <w:rPr>
                <w:rFonts w:hint="eastAsia"/>
                <w:bCs/>
                <w:sz w:val="24"/>
              </w:rPr>
              <w:t>年产2.5万吨动物油脂项目，</w:t>
            </w:r>
            <w:r>
              <w:rPr>
                <w:rFonts w:hint="eastAsia"/>
                <w:bCs/>
                <w:spacing w:val="-6"/>
                <w:sz w:val="24"/>
              </w:rPr>
              <w:t>建设单位</w:t>
            </w:r>
            <w:r>
              <w:rPr>
                <w:rFonts w:hint="eastAsia"/>
                <w:sz w:val="24"/>
              </w:rPr>
              <w:t>于</w:t>
            </w:r>
            <w:r>
              <w:rPr>
                <w:sz w:val="24"/>
              </w:rPr>
              <w:t>20</w:t>
            </w:r>
            <w:r>
              <w:rPr>
                <w:rFonts w:hint="eastAsia"/>
                <w:sz w:val="24"/>
              </w:rPr>
              <w:t>24年8月20日经民权县发展和改革委员会以</w:t>
            </w:r>
            <w:r>
              <w:rPr>
                <w:rFonts w:ascii="宋体" w:hAnsi="宋体"/>
                <w:sz w:val="24"/>
              </w:rPr>
              <w:t>“</w:t>
            </w:r>
            <w:r>
              <w:rPr>
                <w:sz w:val="24"/>
              </w:rPr>
              <w:t>2408-411421-04-01-513947</w:t>
            </w:r>
            <w:r>
              <w:rPr>
                <w:rFonts w:ascii="宋体" w:hAnsi="宋体"/>
                <w:sz w:val="24"/>
              </w:rPr>
              <w:t>”</w:t>
            </w:r>
            <w:r>
              <w:rPr>
                <w:rFonts w:hint="eastAsia"/>
                <w:sz w:val="24"/>
              </w:rPr>
              <w:t>备案（见附件二）。本项目</w:t>
            </w:r>
            <w:r>
              <w:rPr>
                <w:rFonts w:hint="eastAsia"/>
                <w:bCs/>
                <w:spacing w:val="-4"/>
                <w:sz w:val="24"/>
              </w:rPr>
              <w:t>租赁民权县北关镇民荷路北段9号的厂区内</w:t>
            </w:r>
            <w:r>
              <w:rPr>
                <w:rFonts w:hint="eastAsia"/>
                <w:sz w:val="24"/>
              </w:rPr>
              <w:t>进行建设生产，租赁合同见附件三；根据民权县自然资源局北关自然资源所出具的证明（见附件四）可知，该宗土地属于规划的建设用地，符合民权县北关镇土地利用总体规划；</w:t>
            </w:r>
            <w:r>
              <w:rPr>
                <w:rFonts w:hint="eastAsia"/>
                <w:bCs/>
                <w:sz w:val="24"/>
              </w:rPr>
              <w:t>根据</w:t>
            </w:r>
            <w:r>
              <w:rPr>
                <w:rFonts w:hint="eastAsia"/>
                <w:sz w:val="24"/>
              </w:rPr>
              <w:t>民权县北关镇乡村规划建设中心出具的入驻证明（见附件五），项目建设符合北关镇总体规划，同意项目入驻</w:t>
            </w:r>
            <w:r>
              <w:rPr>
                <w:rFonts w:hint="eastAsia"/>
                <w:bCs/>
                <w:sz w:val="24"/>
              </w:rPr>
              <w:t>。</w:t>
            </w:r>
          </w:p>
          <w:p w14:paraId="36463985">
            <w:pPr>
              <w:spacing w:line="360" w:lineRule="auto"/>
              <w:ind w:firstLine="482" w:firstLineChars="200"/>
              <w:rPr>
                <w:rFonts w:eastAsia="黑体"/>
                <w:b/>
                <w:iCs/>
                <w:sz w:val="24"/>
              </w:rPr>
            </w:pPr>
            <w:r>
              <w:rPr>
                <w:rFonts w:hint="eastAsia" w:eastAsia="黑体"/>
                <w:b/>
                <w:iCs/>
                <w:sz w:val="24"/>
              </w:rPr>
              <w:t>2</w:t>
            </w:r>
            <w:r>
              <w:rPr>
                <w:rFonts w:eastAsia="黑体"/>
                <w:b/>
                <w:iCs/>
                <w:sz w:val="24"/>
              </w:rPr>
              <w:t>、</w:t>
            </w:r>
            <w:r>
              <w:rPr>
                <w:rFonts w:hint="eastAsia" w:eastAsia="黑体"/>
                <w:b/>
                <w:iCs/>
                <w:sz w:val="24"/>
              </w:rPr>
              <w:t>项目基本组成</w:t>
            </w:r>
          </w:p>
          <w:p w14:paraId="7ADDF8AD">
            <w:pPr>
              <w:spacing w:line="360" w:lineRule="auto"/>
              <w:ind w:firstLine="480" w:firstLineChars="200"/>
              <w:rPr>
                <w:sz w:val="24"/>
              </w:rPr>
            </w:pPr>
            <w:r>
              <w:rPr>
                <w:sz w:val="24"/>
              </w:rPr>
              <w:t>项目基本情况见表</w:t>
            </w:r>
            <w:r>
              <w:rPr>
                <w:rFonts w:hint="eastAsia"/>
                <w:sz w:val="24"/>
              </w:rPr>
              <w:t>6，</w:t>
            </w:r>
            <w:r>
              <w:rPr>
                <w:sz w:val="24"/>
              </w:rPr>
              <w:t>项目</w:t>
            </w:r>
            <w:r>
              <w:rPr>
                <w:rFonts w:hint="eastAsia"/>
                <w:sz w:val="24"/>
              </w:rPr>
              <w:t>工程</w:t>
            </w:r>
            <w:r>
              <w:rPr>
                <w:sz w:val="24"/>
              </w:rPr>
              <w:t>内容见表</w:t>
            </w:r>
            <w:r>
              <w:rPr>
                <w:rFonts w:hint="eastAsia"/>
                <w:sz w:val="24"/>
              </w:rPr>
              <w:t>7</w:t>
            </w:r>
            <w:r>
              <w:rPr>
                <w:sz w:val="24"/>
              </w:rPr>
              <w:t>。</w:t>
            </w:r>
          </w:p>
          <w:p w14:paraId="4C989DC0">
            <w:pPr>
              <w:jc w:val="center"/>
              <w:rPr>
                <w:rFonts w:hAnsi="黑体" w:eastAsia="黑体"/>
                <w:b/>
                <w:sz w:val="24"/>
              </w:rPr>
            </w:pPr>
            <w:r>
              <w:rPr>
                <w:rFonts w:hint="eastAsia" w:hAnsi="黑体"/>
                <w:b/>
                <w:sz w:val="24"/>
              </w:rPr>
              <w:t>表6    项目基本情况一览表</w:t>
            </w:r>
          </w:p>
          <w:tbl>
            <w:tblPr>
              <w:tblStyle w:val="29"/>
              <w:tblW w:w="5000" w:type="pct"/>
              <w:jc w:val="center"/>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Layout w:type="autofit"/>
              <w:tblCellMar>
                <w:top w:w="40" w:type="dxa"/>
                <w:left w:w="28" w:type="dxa"/>
                <w:bottom w:w="40" w:type="dxa"/>
                <w:right w:w="28" w:type="dxa"/>
              </w:tblCellMar>
            </w:tblPr>
            <w:tblGrid>
              <w:gridCol w:w="946"/>
              <w:gridCol w:w="2019"/>
              <w:gridCol w:w="5634"/>
            </w:tblGrid>
            <w:tr w14:paraId="63F334D3">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40" w:type="dxa"/>
                  <w:left w:w="28" w:type="dxa"/>
                  <w:bottom w:w="40" w:type="dxa"/>
                  <w:right w:w="28" w:type="dxa"/>
                </w:tblCellMar>
              </w:tblPrEx>
              <w:trPr>
                <w:trHeight w:val="323" w:hRule="atLeast"/>
                <w:jc w:val="center"/>
              </w:trPr>
              <w:tc>
                <w:tcPr>
                  <w:tcW w:w="550" w:type="pct"/>
                  <w:tcBorders>
                    <w:top w:val="single" w:color="000000" w:sz="4" w:space="0"/>
                    <w:left w:val="single" w:color="000000" w:sz="4" w:space="0"/>
                    <w:bottom w:val="single" w:color="000000" w:sz="4" w:space="0"/>
                    <w:right w:val="single" w:color="000000" w:sz="4" w:space="0"/>
                  </w:tcBorders>
                  <w:vAlign w:val="center"/>
                </w:tcPr>
                <w:p w14:paraId="4A6EFE7E">
                  <w:pPr>
                    <w:jc w:val="center"/>
                    <w:rPr>
                      <w:bCs/>
                      <w:szCs w:val="21"/>
                    </w:rPr>
                  </w:pPr>
                  <w:r>
                    <w:rPr>
                      <w:rFonts w:hint="eastAsia"/>
                      <w:szCs w:val="21"/>
                    </w:rPr>
                    <w:t>序号</w:t>
                  </w:r>
                </w:p>
              </w:tc>
              <w:tc>
                <w:tcPr>
                  <w:tcW w:w="1174" w:type="pct"/>
                  <w:tcBorders>
                    <w:top w:val="single" w:color="000000" w:sz="4" w:space="0"/>
                    <w:left w:val="single" w:color="000000" w:sz="4" w:space="0"/>
                    <w:bottom w:val="single" w:color="000000" w:sz="4" w:space="0"/>
                    <w:right w:val="single" w:color="000000" w:sz="4" w:space="0"/>
                  </w:tcBorders>
                  <w:vAlign w:val="center"/>
                </w:tcPr>
                <w:p w14:paraId="6DF959BF">
                  <w:pPr>
                    <w:jc w:val="center"/>
                    <w:rPr>
                      <w:bCs/>
                      <w:szCs w:val="21"/>
                    </w:rPr>
                  </w:pPr>
                  <w:r>
                    <w:rPr>
                      <w:rFonts w:hint="eastAsia"/>
                      <w:szCs w:val="21"/>
                    </w:rPr>
                    <w:t>项目</w:t>
                  </w:r>
                </w:p>
              </w:tc>
              <w:tc>
                <w:tcPr>
                  <w:tcW w:w="3276" w:type="pct"/>
                  <w:tcBorders>
                    <w:top w:val="single" w:color="000000" w:sz="4" w:space="0"/>
                    <w:left w:val="single" w:color="000000" w:sz="4" w:space="0"/>
                    <w:bottom w:val="single" w:color="000000" w:sz="4" w:space="0"/>
                    <w:right w:val="single" w:color="000000" w:sz="4" w:space="0"/>
                  </w:tcBorders>
                  <w:vAlign w:val="center"/>
                </w:tcPr>
                <w:p w14:paraId="54725F75">
                  <w:pPr>
                    <w:jc w:val="center"/>
                    <w:rPr>
                      <w:bCs/>
                      <w:szCs w:val="21"/>
                    </w:rPr>
                  </w:pPr>
                  <w:r>
                    <w:rPr>
                      <w:rFonts w:hint="eastAsia"/>
                      <w:szCs w:val="21"/>
                    </w:rPr>
                    <w:t>建设内容</w:t>
                  </w:r>
                </w:p>
              </w:tc>
            </w:tr>
            <w:tr w14:paraId="6F60E908">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40" w:type="dxa"/>
                  <w:left w:w="28" w:type="dxa"/>
                  <w:bottom w:w="40" w:type="dxa"/>
                  <w:right w:w="28" w:type="dxa"/>
                </w:tblCellMar>
              </w:tblPrEx>
              <w:trPr>
                <w:trHeight w:val="323" w:hRule="atLeast"/>
                <w:jc w:val="center"/>
              </w:trPr>
              <w:tc>
                <w:tcPr>
                  <w:tcW w:w="550" w:type="pct"/>
                  <w:tcBorders>
                    <w:top w:val="single" w:color="000000" w:sz="4" w:space="0"/>
                    <w:left w:val="single" w:color="000000" w:sz="4" w:space="0"/>
                    <w:bottom w:val="single" w:color="000000" w:sz="4" w:space="0"/>
                    <w:right w:val="single" w:color="000000" w:sz="4" w:space="0"/>
                  </w:tcBorders>
                  <w:vAlign w:val="center"/>
                </w:tcPr>
                <w:p w14:paraId="3A6A0CE6">
                  <w:pPr>
                    <w:jc w:val="center"/>
                    <w:rPr>
                      <w:bCs/>
                      <w:szCs w:val="21"/>
                    </w:rPr>
                  </w:pPr>
                  <w:r>
                    <w:rPr>
                      <w:szCs w:val="21"/>
                    </w:rPr>
                    <w:t>1</w:t>
                  </w:r>
                </w:p>
              </w:tc>
              <w:tc>
                <w:tcPr>
                  <w:tcW w:w="1174" w:type="pct"/>
                  <w:tcBorders>
                    <w:top w:val="single" w:color="000000" w:sz="4" w:space="0"/>
                    <w:left w:val="single" w:color="000000" w:sz="4" w:space="0"/>
                    <w:bottom w:val="single" w:color="000000" w:sz="4" w:space="0"/>
                    <w:right w:val="single" w:color="000000" w:sz="4" w:space="0"/>
                  </w:tcBorders>
                  <w:vAlign w:val="center"/>
                </w:tcPr>
                <w:p w14:paraId="6CF7C648">
                  <w:pPr>
                    <w:jc w:val="center"/>
                    <w:rPr>
                      <w:bCs/>
                      <w:szCs w:val="21"/>
                    </w:rPr>
                  </w:pPr>
                  <w:r>
                    <w:rPr>
                      <w:rFonts w:hint="eastAsia"/>
                      <w:szCs w:val="21"/>
                    </w:rPr>
                    <w:t>建设内容及规模</w:t>
                  </w:r>
                </w:p>
              </w:tc>
              <w:tc>
                <w:tcPr>
                  <w:tcW w:w="3276" w:type="pct"/>
                  <w:tcBorders>
                    <w:top w:val="single" w:color="000000" w:sz="4" w:space="0"/>
                    <w:left w:val="single" w:color="000000" w:sz="4" w:space="0"/>
                    <w:bottom w:val="single" w:color="000000" w:sz="4" w:space="0"/>
                    <w:right w:val="single" w:color="000000" w:sz="4" w:space="0"/>
                  </w:tcBorders>
                  <w:vAlign w:val="center"/>
                </w:tcPr>
                <w:p w14:paraId="20944D2C">
                  <w:pPr>
                    <w:jc w:val="center"/>
                    <w:rPr>
                      <w:bCs/>
                      <w:szCs w:val="21"/>
                    </w:rPr>
                  </w:pPr>
                  <w:r>
                    <w:rPr>
                      <w:rFonts w:hint="eastAsia"/>
                      <w:bCs/>
                      <w:szCs w:val="21"/>
                    </w:rPr>
                    <w:t>年产2.5万吨动物油脂项目</w:t>
                  </w:r>
                </w:p>
              </w:tc>
            </w:tr>
            <w:tr w14:paraId="0351FB58">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40" w:type="dxa"/>
                  <w:left w:w="28" w:type="dxa"/>
                  <w:bottom w:w="40" w:type="dxa"/>
                  <w:right w:w="28" w:type="dxa"/>
                </w:tblCellMar>
              </w:tblPrEx>
              <w:trPr>
                <w:trHeight w:val="323" w:hRule="atLeast"/>
                <w:jc w:val="center"/>
              </w:trPr>
              <w:tc>
                <w:tcPr>
                  <w:tcW w:w="550" w:type="pct"/>
                  <w:tcBorders>
                    <w:top w:val="single" w:color="000000" w:sz="4" w:space="0"/>
                    <w:left w:val="single" w:color="000000" w:sz="4" w:space="0"/>
                    <w:bottom w:val="single" w:color="000000" w:sz="4" w:space="0"/>
                    <w:right w:val="single" w:color="000000" w:sz="4" w:space="0"/>
                  </w:tcBorders>
                  <w:vAlign w:val="center"/>
                </w:tcPr>
                <w:p w14:paraId="19A58503">
                  <w:pPr>
                    <w:jc w:val="center"/>
                    <w:rPr>
                      <w:bCs/>
                      <w:szCs w:val="21"/>
                    </w:rPr>
                  </w:pPr>
                  <w:r>
                    <w:rPr>
                      <w:szCs w:val="21"/>
                    </w:rPr>
                    <w:t>2</w:t>
                  </w:r>
                </w:p>
              </w:tc>
              <w:tc>
                <w:tcPr>
                  <w:tcW w:w="1174" w:type="pct"/>
                  <w:tcBorders>
                    <w:top w:val="single" w:color="000000" w:sz="4" w:space="0"/>
                    <w:left w:val="single" w:color="000000" w:sz="4" w:space="0"/>
                    <w:bottom w:val="single" w:color="000000" w:sz="4" w:space="0"/>
                    <w:right w:val="single" w:color="000000" w:sz="4" w:space="0"/>
                  </w:tcBorders>
                  <w:vAlign w:val="center"/>
                </w:tcPr>
                <w:p w14:paraId="030B9F1A">
                  <w:pPr>
                    <w:jc w:val="center"/>
                    <w:rPr>
                      <w:bCs/>
                      <w:szCs w:val="21"/>
                    </w:rPr>
                  </w:pPr>
                  <w:r>
                    <w:rPr>
                      <w:rFonts w:hint="eastAsia"/>
                      <w:szCs w:val="21"/>
                    </w:rPr>
                    <w:t>建设性质</w:t>
                  </w:r>
                </w:p>
              </w:tc>
              <w:tc>
                <w:tcPr>
                  <w:tcW w:w="3276" w:type="pct"/>
                  <w:tcBorders>
                    <w:top w:val="single" w:color="000000" w:sz="4" w:space="0"/>
                    <w:left w:val="single" w:color="000000" w:sz="4" w:space="0"/>
                    <w:bottom w:val="single" w:color="000000" w:sz="4" w:space="0"/>
                    <w:right w:val="single" w:color="000000" w:sz="4" w:space="0"/>
                  </w:tcBorders>
                  <w:vAlign w:val="center"/>
                </w:tcPr>
                <w:p w14:paraId="260B7C4B">
                  <w:pPr>
                    <w:jc w:val="center"/>
                    <w:rPr>
                      <w:bCs/>
                      <w:szCs w:val="21"/>
                    </w:rPr>
                  </w:pPr>
                  <w:r>
                    <w:rPr>
                      <w:rFonts w:hint="eastAsia"/>
                      <w:szCs w:val="21"/>
                    </w:rPr>
                    <w:t>新建</w:t>
                  </w:r>
                </w:p>
              </w:tc>
            </w:tr>
            <w:tr w14:paraId="413B7B81">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40" w:type="dxa"/>
                  <w:left w:w="28" w:type="dxa"/>
                  <w:bottom w:w="40" w:type="dxa"/>
                  <w:right w:w="28" w:type="dxa"/>
                </w:tblCellMar>
              </w:tblPrEx>
              <w:trPr>
                <w:trHeight w:val="323" w:hRule="atLeast"/>
                <w:jc w:val="center"/>
              </w:trPr>
              <w:tc>
                <w:tcPr>
                  <w:tcW w:w="550" w:type="pct"/>
                  <w:tcBorders>
                    <w:top w:val="single" w:color="000000" w:sz="4" w:space="0"/>
                    <w:left w:val="single" w:color="000000" w:sz="4" w:space="0"/>
                    <w:bottom w:val="single" w:color="000000" w:sz="4" w:space="0"/>
                    <w:right w:val="single" w:color="000000" w:sz="4" w:space="0"/>
                  </w:tcBorders>
                  <w:vAlign w:val="center"/>
                </w:tcPr>
                <w:p w14:paraId="7B641AF1">
                  <w:pPr>
                    <w:jc w:val="center"/>
                    <w:rPr>
                      <w:bCs/>
                      <w:szCs w:val="21"/>
                    </w:rPr>
                  </w:pPr>
                  <w:r>
                    <w:rPr>
                      <w:szCs w:val="21"/>
                    </w:rPr>
                    <w:t>3</w:t>
                  </w:r>
                </w:p>
              </w:tc>
              <w:tc>
                <w:tcPr>
                  <w:tcW w:w="1174" w:type="pct"/>
                  <w:tcBorders>
                    <w:top w:val="single" w:color="000000" w:sz="4" w:space="0"/>
                    <w:left w:val="single" w:color="000000" w:sz="4" w:space="0"/>
                    <w:bottom w:val="single" w:color="000000" w:sz="4" w:space="0"/>
                    <w:right w:val="single" w:color="000000" w:sz="4" w:space="0"/>
                  </w:tcBorders>
                  <w:vAlign w:val="center"/>
                </w:tcPr>
                <w:p w14:paraId="4582C26E">
                  <w:pPr>
                    <w:jc w:val="center"/>
                    <w:rPr>
                      <w:bCs/>
                      <w:szCs w:val="21"/>
                    </w:rPr>
                  </w:pPr>
                  <w:r>
                    <w:rPr>
                      <w:rFonts w:hint="eastAsia"/>
                      <w:szCs w:val="21"/>
                    </w:rPr>
                    <w:t>所属行业</w:t>
                  </w:r>
                </w:p>
              </w:tc>
              <w:tc>
                <w:tcPr>
                  <w:tcW w:w="3276" w:type="pct"/>
                  <w:tcBorders>
                    <w:top w:val="single" w:color="000000" w:sz="4" w:space="0"/>
                    <w:left w:val="single" w:color="000000" w:sz="4" w:space="0"/>
                    <w:bottom w:val="single" w:color="000000" w:sz="4" w:space="0"/>
                    <w:right w:val="single" w:color="000000" w:sz="4" w:space="0"/>
                  </w:tcBorders>
                  <w:vAlign w:val="center"/>
                </w:tcPr>
                <w:p w14:paraId="271B3849">
                  <w:pPr>
                    <w:autoSpaceDE w:val="0"/>
                    <w:autoSpaceDN w:val="0"/>
                    <w:adjustRightInd w:val="0"/>
                    <w:jc w:val="center"/>
                    <w:rPr>
                      <w:kern w:val="0"/>
                      <w:szCs w:val="21"/>
                    </w:rPr>
                  </w:pPr>
                  <w:r>
                    <w:rPr>
                      <w:kern w:val="0"/>
                      <w:szCs w:val="21"/>
                    </w:rPr>
                    <w:t>C</w:t>
                  </w:r>
                  <w:r>
                    <w:rPr>
                      <w:rFonts w:hint="eastAsia"/>
                      <w:kern w:val="0"/>
                      <w:szCs w:val="21"/>
                    </w:rPr>
                    <w:t>1353肉制品及副产品加工</w:t>
                  </w:r>
                </w:p>
                <w:p w14:paraId="2C916A71">
                  <w:pPr>
                    <w:autoSpaceDE w:val="0"/>
                    <w:autoSpaceDN w:val="0"/>
                    <w:adjustRightInd w:val="0"/>
                    <w:jc w:val="center"/>
                    <w:rPr>
                      <w:rFonts w:ascii="宋体" w:cs="宋体"/>
                      <w:kern w:val="0"/>
                      <w:szCs w:val="21"/>
                    </w:rPr>
                  </w:pPr>
                  <w:r>
                    <w:rPr>
                      <w:szCs w:val="21"/>
                    </w:rPr>
                    <w:t>D4430热力生产和供应</w:t>
                  </w:r>
                </w:p>
              </w:tc>
            </w:tr>
            <w:tr w14:paraId="09DF42CD">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40" w:type="dxa"/>
                  <w:left w:w="28" w:type="dxa"/>
                  <w:bottom w:w="40" w:type="dxa"/>
                  <w:right w:w="28" w:type="dxa"/>
                </w:tblCellMar>
              </w:tblPrEx>
              <w:trPr>
                <w:trHeight w:val="323" w:hRule="atLeast"/>
                <w:jc w:val="center"/>
              </w:trPr>
              <w:tc>
                <w:tcPr>
                  <w:tcW w:w="550" w:type="pct"/>
                  <w:tcBorders>
                    <w:top w:val="single" w:color="000000" w:sz="4" w:space="0"/>
                    <w:left w:val="single" w:color="000000" w:sz="4" w:space="0"/>
                    <w:bottom w:val="single" w:color="000000" w:sz="4" w:space="0"/>
                    <w:right w:val="single" w:color="000000" w:sz="4" w:space="0"/>
                  </w:tcBorders>
                  <w:vAlign w:val="center"/>
                </w:tcPr>
                <w:p w14:paraId="6F3DE233">
                  <w:pPr>
                    <w:jc w:val="center"/>
                    <w:rPr>
                      <w:bCs/>
                      <w:szCs w:val="21"/>
                    </w:rPr>
                  </w:pPr>
                  <w:r>
                    <w:rPr>
                      <w:szCs w:val="21"/>
                    </w:rPr>
                    <w:t>4</w:t>
                  </w:r>
                </w:p>
              </w:tc>
              <w:tc>
                <w:tcPr>
                  <w:tcW w:w="1174" w:type="pct"/>
                  <w:tcBorders>
                    <w:top w:val="single" w:color="000000" w:sz="4" w:space="0"/>
                    <w:left w:val="single" w:color="000000" w:sz="4" w:space="0"/>
                    <w:bottom w:val="single" w:color="000000" w:sz="4" w:space="0"/>
                    <w:right w:val="single" w:color="000000" w:sz="4" w:space="0"/>
                  </w:tcBorders>
                  <w:vAlign w:val="center"/>
                </w:tcPr>
                <w:p w14:paraId="7EE1DEC8">
                  <w:pPr>
                    <w:jc w:val="center"/>
                    <w:rPr>
                      <w:bCs/>
                      <w:szCs w:val="21"/>
                    </w:rPr>
                  </w:pPr>
                  <w:r>
                    <w:rPr>
                      <w:rFonts w:hint="eastAsia"/>
                      <w:szCs w:val="21"/>
                    </w:rPr>
                    <w:t>建设地点</w:t>
                  </w:r>
                </w:p>
              </w:tc>
              <w:tc>
                <w:tcPr>
                  <w:tcW w:w="3276" w:type="pct"/>
                  <w:tcBorders>
                    <w:top w:val="single" w:color="000000" w:sz="4" w:space="0"/>
                    <w:left w:val="single" w:color="000000" w:sz="4" w:space="0"/>
                    <w:bottom w:val="single" w:color="000000" w:sz="4" w:space="0"/>
                    <w:right w:val="single" w:color="000000" w:sz="4" w:space="0"/>
                  </w:tcBorders>
                  <w:vAlign w:val="center"/>
                </w:tcPr>
                <w:p w14:paraId="2E56EAE1">
                  <w:pPr>
                    <w:jc w:val="center"/>
                    <w:rPr>
                      <w:bCs/>
                      <w:szCs w:val="21"/>
                    </w:rPr>
                  </w:pPr>
                  <w:r>
                    <w:rPr>
                      <w:rFonts w:hint="eastAsia"/>
                      <w:szCs w:val="21"/>
                    </w:rPr>
                    <w:t>河南省商丘市民权县北关镇民荷路北段9号</w:t>
                  </w:r>
                </w:p>
              </w:tc>
            </w:tr>
            <w:tr w14:paraId="0856034C">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40" w:type="dxa"/>
                  <w:left w:w="28" w:type="dxa"/>
                  <w:bottom w:w="40" w:type="dxa"/>
                  <w:right w:w="28" w:type="dxa"/>
                </w:tblCellMar>
              </w:tblPrEx>
              <w:trPr>
                <w:trHeight w:val="323" w:hRule="atLeast"/>
                <w:jc w:val="center"/>
              </w:trPr>
              <w:tc>
                <w:tcPr>
                  <w:tcW w:w="550" w:type="pct"/>
                  <w:tcBorders>
                    <w:top w:val="single" w:color="000000" w:sz="4" w:space="0"/>
                    <w:left w:val="single" w:color="000000" w:sz="4" w:space="0"/>
                    <w:bottom w:val="single" w:color="000000" w:sz="4" w:space="0"/>
                    <w:right w:val="single" w:color="000000" w:sz="4" w:space="0"/>
                  </w:tcBorders>
                  <w:vAlign w:val="center"/>
                </w:tcPr>
                <w:p w14:paraId="4F87CD67">
                  <w:pPr>
                    <w:jc w:val="center"/>
                    <w:rPr>
                      <w:bCs/>
                      <w:szCs w:val="21"/>
                    </w:rPr>
                  </w:pPr>
                  <w:r>
                    <w:rPr>
                      <w:szCs w:val="21"/>
                    </w:rPr>
                    <w:t>5</w:t>
                  </w:r>
                </w:p>
              </w:tc>
              <w:tc>
                <w:tcPr>
                  <w:tcW w:w="1174" w:type="pct"/>
                  <w:tcBorders>
                    <w:top w:val="single" w:color="000000" w:sz="4" w:space="0"/>
                    <w:left w:val="single" w:color="000000" w:sz="4" w:space="0"/>
                    <w:bottom w:val="single" w:color="000000" w:sz="4" w:space="0"/>
                    <w:right w:val="single" w:color="000000" w:sz="4" w:space="0"/>
                  </w:tcBorders>
                  <w:vAlign w:val="center"/>
                </w:tcPr>
                <w:p w14:paraId="45FA6F8D">
                  <w:pPr>
                    <w:jc w:val="center"/>
                    <w:rPr>
                      <w:bCs/>
                      <w:szCs w:val="21"/>
                    </w:rPr>
                  </w:pPr>
                  <w:r>
                    <w:rPr>
                      <w:rFonts w:hint="eastAsia"/>
                      <w:szCs w:val="21"/>
                    </w:rPr>
                    <w:t>建设单位</w:t>
                  </w:r>
                </w:p>
              </w:tc>
              <w:tc>
                <w:tcPr>
                  <w:tcW w:w="3276" w:type="pct"/>
                  <w:tcBorders>
                    <w:top w:val="single" w:color="000000" w:sz="4" w:space="0"/>
                    <w:left w:val="single" w:color="000000" w:sz="4" w:space="0"/>
                    <w:bottom w:val="single" w:color="000000" w:sz="4" w:space="0"/>
                    <w:right w:val="single" w:color="000000" w:sz="4" w:space="0"/>
                  </w:tcBorders>
                  <w:vAlign w:val="center"/>
                </w:tcPr>
                <w:p w14:paraId="53DB6833">
                  <w:pPr>
                    <w:jc w:val="center"/>
                    <w:rPr>
                      <w:bCs/>
                      <w:szCs w:val="21"/>
                    </w:rPr>
                  </w:pPr>
                  <w:r>
                    <w:rPr>
                      <w:rFonts w:hint="eastAsia"/>
                      <w:bCs/>
                      <w:szCs w:val="21"/>
                    </w:rPr>
                    <w:t>民权县顺哲生物科技有限公司</w:t>
                  </w:r>
                </w:p>
              </w:tc>
            </w:tr>
            <w:tr w14:paraId="3C7BDB78">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40" w:type="dxa"/>
                  <w:left w:w="28" w:type="dxa"/>
                  <w:bottom w:w="40" w:type="dxa"/>
                  <w:right w:w="28" w:type="dxa"/>
                </w:tblCellMar>
              </w:tblPrEx>
              <w:trPr>
                <w:trHeight w:val="323" w:hRule="atLeast"/>
                <w:jc w:val="center"/>
              </w:trPr>
              <w:tc>
                <w:tcPr>
                  <w:tcW w:w="550" w:type="pct"/>
                  <w:tcBorders>
                    <w:top w:val="single" w:color="000000" w:sz="4" w:space="0"/>
                    <w:left w:val="single" w:color="000000" w:sz="4" w:space="0"/>
                    <w:bottom w:val="single" w:color="000000" w:sz="4" w:space="0"/>
                    <w:right w:val="single" w:color="000000" w:sz="4" w:space="0"/>
                  </w:tcBorders>
                  <w:vAlign w:val="center"/>
                </w:tcPr>
                <w:p w14:paraId="33747FC7">
                  <w:pPr>
                    <w:jc w:val="center"/>
                    <w:rPr>
                      <w:bCs/>
                      <w:szCs w:val="21"/>
                    </w:rPr>
                  </w:pPr>
                  <w:r>
                    <w:rPr>
                      <w:szCs w:val="21"/>
                    </w:rPr>
                    <w:t>6</w:t>
                  </w:r>
                </w:p>
              </w:tc>
              <w:tc>
                <w:tcPr>
                  <w:tcW w:w="1174" w:type="pct"/>
                  <w:tcBorders>
                    <w:top w:val="single" w:color="000000" w:sz="4" w:space="0"/>
                    <w:left w:val="single" w:color="000000" w:sz="4" w:space="0"/>
                    <w:bottom w:val="single" w:color="000000" w:sz="4" w:space="0"/>
                    <w:right w:val="single" w:color="000000" w:sz="4" w:space="0"/>
                  </w:tcBorders>
                  <w:vAlign w:val="center"/>
                </w:tcPr>
                <w:p w14:paraId="0AB1E498">
                  <w:pPr>
                    <w:jc w:val="center"/>
                    <w:rPr>
                      <w:bCs/>
                      <w:szCs w:val="21"/>
                    </w:rPr>
                  </w:pPr>
                  <w:r>
                    <w:rPr>
                      <w:rFonts w:hint="eastAsia"/>
                      <w:szCs w:val="21"/>
                    </w:rPr>
                    <w:t>总投资</w:t>
                  </w:r>
                </w:p>
              </w:tc>
              <w:tc>
                <w:tcPr>
                  <w:tcW w:w="3276" w:type="pct"/>
                  <w:tcBorders>
                    <w:top w:val="single" w:color="000000" w:sz="4" w:space="0"/>
                    <w:left w:val="single" w:color="000000" w:sz="4" w:space="0"/>
                    <w:bottom w:val="single" w:color="000000" w:sz="4" w:space="0"/>
                    <w:right w:val="single" w:color="000000" w:sz="4" w:space="0"/>
                  </w:tcBorders>
                  <w:vAlign w:val="center"/>
                </w:tcPr>
                <w:p w14:paraId="72D1B6F5">
                  <w:pPr>
                    <w:jc w:val="center"/>
                    <w:rPr>
                      <w:bCs/>
                      <w:szCs w:val="21"/>
                    </w:rPr>
                  </w:pPr>
                  <w:r>
                    <w:rPr>
                      <w:rFonts w:hint="eastAsia"/>
                      <w:szCs w:val="21"/>
                    </w:rPr>
                    <w:t>300万元</w:t>
                  </w:r>
                </w:p>
              </w:tc>
            </w:tr>
            <w:tr w14:paraId="6A4568A8">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40" w:type="dxa"/>
                  <w:left w:w="28" w:type="dxa"/>
                  <w:bottom w:w="40" w:type="dxa"/>
                  <w:right w:w="28" w:type="dxa"/>
                </w:tblCellMar>
              </w:tblPrEx>
              <w:trPr>
                <w:trHeight w:val="323" w:hRule="atLeast"/>
                <w:jc w:val="center"/>
              </w:trPr>
              <w:tc>
                <w:tcPr>
                  <w:tcW w:w="550" w:type="pct"/>
                  <w:tcBorders>
                    <w:top w:val="single" w:color="000000" w:sz="4" w:space="0"/>
                    <w:left w:val="single" w:color="000000" w:sz="4" w:space="0"/>
                    <w:bottom w:val="single" w:color="000000" w:sz="4" w:space="0"/>
                    <w:right w:val="single" w:color="000000" w:sz="4" w:space="0"/>
                  </w:tcBorders>
                  <w:vAlign w:val="center"/>
                </w:tcPr>
                <w:p w14:paraId="5190B691">
                  <w:pPr>
                    <w:jc w:val="center"/>
                    <w:rPr>
                      <w:bCs/>
                      <w:szCs w:val="21"/>
                    </w:rPr>
                  </w:pPr>
                  <w:r>
                    <w:rPr>
                      <w:szCs w:val="21"/>
                    </w:rPr>
                    <w:t>7</w:t>
                  </w:r>
                </w:p>
              </w:tc>
              <w:tc>
                <w:tcPr>
                  <w:tcW w:w="1174" w:type="pct"/>
                  <w:tcBorders>
                    <w:top w:val="single" w:color="000000" w:sz="4" w:space="0"/>
                    <w:left w:val="single" w:color="000000" w:sz="4" w:space="0"/>
                    <w:bottom w:val="single" w:color="000000" w:sz="4" w:space="0"/>
                    <w:right w:val="single" w:color="000000" w:sz="4" w:space="0"/>
                  </w:tcBorders>
                  <w:vAlign w:val="center"/>
                </w:tcPr>
                <w:p w14:paraId="5E52AF23">
                  <w:pPr>
                    <w:jc w:val="center"/>
                    <w:rPr>
                      <w:bCs/>
                      <w:spacing w:val="-12"/>
                      <w:szCs w:val="21"/>
                    </w:rPr>
                  </w:pPr>
                  <w:r>
                    <w:rPr>
                      <w:rFonts w:hint="eastAsia"/>
                      <w:spacing w:val="-12"/>
                      <w:szCs w:val="21"/>
                    </w:rPr>
                    <w:t>劳动定员及工作制度</w:t>
                  </w:r>
                </w:p>
              </w:tc>
              <w:tc>
                <w:tcPr>
                  <w:tcW w:w="3276" w:type="pct"/>
                  <w:tcBorders>
                    <w:top w:val="single" w:color="000000" w:sz="4" w:space="0"/>
                    <w:left w:val="single" w:color="000000" w:sz="4" w:space="0"/>
                    <w:bottom w:val="single" w:color="000000" w:sz="4" w:space="0"/>
                    <w:right w:val="single" w:color="000000" w:sz="4" w:space="0"/>
                  </w:tcBorders>
                  <w:vAlign w:val="center"/>
                </w:tcPr>
                <w:p w14:paraId="01B7126C">
                  <w:pPr>
                    <w:jc w:val="center"/>
                    <w:rPr>
                      <w:bCs/>
                      <w:szCs w:val="21"/>
                    </w:rPr>
                  </w:pPr>
                  <w:r>
                    <w:rPr>
                      <w:rFonts w:hint="eastAsia"/>
                      <w:bCs/>
                      <w:szCs w:val="21"/>
                    </w:rPr>
                    <w:t>劳动定员10人，实行单班制，每班工作8h，年工作300d</w:t>
                  </w:r>
                </w:p>
              </w:tc>
            </w:tr>
            <w:tr w14:paraId="541752E3">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40" w:type="dxa"/>
                  <w:left w:w="28" w:type="dxa"/>
                  <w:bottom w:w="40" w:type="dxa"/>
                  <w:right w:w="28" w:type="dxa"/>
                </w:tblCellMar>
              </w:tblPrEx>
              <w:trPr>
                <w:trHeight w:val="323" w:hRule="atLeast"/>
                <w:jc w:val="center"/>
              </w:trPr>
              <w:tc>
                <w:tcPr>
                  <w:tcW w:w="550" w:type="pct"/>
                  <w:tcBorders>
                    <w:top w:val="single" w:color="000000" w:sz="4" w:space="0"/>
                    <w:left w:val="single" w:color="000000" w:sz="4" w:space="0"/>
                    <w:bottom w:val="single" w:color="auto" w:sz="4" w:space="0"/>
                    <w:right w:val="single" w:color="000000" w:sz="4" w:space="0"/>
                  </w:tcBorders>
                  <w:vAlign w:val="center"/>
                </w:tcPr>
                <w:p w14:paraId="081D1313">
                  <w:pPr>
                    <w:jc w:val="center"/>
                    <w:rPr>
                      <w:bCs/>
                      <w:szCs w:val="21"/>
                    </w:rPr>
                  </w:pPr>
                  <w:r>
                    <w:rPr>
                      <w:szCs w:val="21"/>
                    </w:rPr>
                    <w:t>8</w:t>
                  </w:r>
                </w:p>
              </w:tc>
              <w:tc>
                <w:tcPr>
                  <w:tcW w:w="1174" w:type="pct"/>
                  <w:tcBorders>
                    <w:top w:val="single" w:color="000000" w:sz="4" w:space="0"/>
                    <w:left w:val="single" w:color="000000" w:sz="4" w:space="0"/>
                    <w:bottom w:val="single" w:color="auto" w:sz="4" w:space="0"/>
                    <w:right w:val="single" w:color="000000" w:sz="4" w:space="0"/>
                  </w:tcBorders>
                  <w:vAlign w:val="center"/>
                </w:tcPr>
                <w:p w14:paraId="0ACCE811">
                  <w:pPr>
                    <w:jc w:val="center"/>
                    <w:rPr>
                      <w:bCs/>
                      <w:spacing w:val="-12"/>
                      <w:szCs w:val="21"/>
                    </w:rPr>
                  </w:pPr>
                  <w:r>
                    <w:rPr>
                      <w:rFonts w:hint="eastAsia"/>
                      <w:szCs w:val="21"/>
                    </w:rPr>
                    <w:t>占地面积</w:t>
                  </w:r>
                </w:p>
              </w:tc>
              <w:tc>
                <w:tcPr>
                  <w:tcW w:w="3276" w:type="pct"/>
                  <w:tcBorders>
                    <w:top w:val="single" w:color="000000" w:sz="4" w:space="0"/>
                    <w:left w:val="single" w:color="000000" w:sz="4" w:space="0"/>
                    <w:bottom w:val="single" w:color="auto" w:sz="4" w:space="0"/>
                    <w:right w:val="single" w:color="000000" w:sz="4" w:space="0"/>
                  </w:tcBorders>
                  <w:vAlign w:val="center"/>
                </w:tcPr>
                <w:p w14:paraId="393BEA17">
                  <w:pPr>
                    <w:jc w:val="center"/>
                    <w:rPr>
                      <w:bCs/>
                      <w:szCs w:val="21"/>
                    </w:rPr>
                  </w:pPr>
                  <w:r>
                    <w:rPr>
                      <w:rFonts w:hint="eastAsia"/>
                      <w:spacing w:val="-4"/>
                      <w:szCs w:val="21"/>
                    </w:rPr>
                    <w:t>10000m</w:t>
                  </w:r>
                  <w:r>
                    <w:rPr>
                      <w:rFonts w:hint="eastAsia"/>
                      <w:spacing w:val="-4"/>
                      <w:szCs w:val="21"/>
                      <w:vertAlign w:val="superscript"/>
                    </w:rPr>
                    <w:t>2</w:t>
                  </w:r>
                </w:p>
              </w:tc>
            </w:tr>
          </w:tbl>
          <w:p w14:paraId="7E70D7CD">
            <w:pPr>
              <w:pStyle w:val="60"/>
              <w:rPr>
                <w:rFonts w:hAnsi="宋体" w:eastAsia="宋体"/>
                <w:sz w:val="24"/>
              </w:rPr>
            </w:pPr>
            <w:r>
              <w:rPr>
                <w:rFonts w:hAnsi="宋体" w:eastAsia="宋体"/>
                <w:sz w:val="24"/>
              </w:rPr>
              <w:t>表</w:t>
            </w:r>
            <w:r>
              <w:rPr>
                <w:rFonts w:hint="eastAsia" w:eastAsia="宋体"/>
                <w:sz w:val="24"/>
              </w:rPr>
              <w:t xml:space="preserve">7     </w:t>
            </w:r>
            <w:r>
              <w:rPr>
                <w:rFonts w:hAnsi="宋体" w:eastAsia="宋体"/>
                <w:sz w:val="24"/>
              </w:rPr>
              <w:t>项目</w:t>
            </w:r>
            <w:r>
              <w:rPr>
                <w:rFonts w:hint="eastAsia" w:hAnsi="宋体" w:eastAsia="宋体"/>
                <w:sz w:val="24"/>
              </w:rPr>
              <w:t>工程</w:t>
            </w:r>
            <w:r>
              <w:rPr>
                <w:rFonts w:hAnsi="宋体" w:eastAsia="宋体"/>
                <w:sz w:val="24"/>
              </w:rPr>
              <w:t>内容一览表</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0" w:type="dxa"/>
                <w:bottom w:w="28" w:type="dxa"/>
                <w:right w:w="0" w:type="dxa"/>
              </w:tblCellMar>
            </w:tblPr>
            <w:tblGrid>
              <w:gridCol w:w="669"/>
              <w:gridCol w:w="1171"/>
              <w:gridCol w:w="5813"/>
              <w:gridCol w:w="946"/>
            </w:tblGrid>
            <w:tr w14:paraId="4ED30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0" w:type="dxa"/>
                  <w:bottom w:w="28" w:type="dxa"/>
                  <w:right w:w="0" w:type="dxa"/>
                </w:tblCellMar>
              </w:tblPrEx>
              <w:trPr>
                <w:trHeight w:val="340" w:hRule="atLeast"/>
              </w:trPr>
              <w:tc>
                <w:tcPr>
                  <w:tcW w:w="389" w:type="pct"/>
                  <w:tcBorders>
                    <w:top w:val="single" w:color="auto" w:sz="4" w:space="0"/>
                    <w:left w:val="single" w:color="auto" w:sz="4" w:space="0"/>
                    <w:bottom w:val="single" w:color="auto" w:sz="4" w:space="0"/>
                    <w:right w:val="single" w:color="auto" w:sz="4" w:space="0"/>
                  </w:tcBorders>
                  <w:vAlign w:val="center"/>
                </w:tcPr>
                <w:p w14:paraId="17705FED">
                  <w:pPr>
                    <w:jc w:val="center"/>
                    <w:rPr>
                      <w:bCs/>
                      <w:szCs w:val="21"/>
                    </w:rPr>
                  </w:pPr>
                  <w:r>
                    <w:rPr>
                      <w:szCs w:val="21"/>
                    </w:rPr>
                    <w:t>类别</w:t>
                  </w:r>
                </w:p>
              </w:tc>
              <w:tc>
                <w:tcPr>
                  <w:tcW w:w="681" w:type="pct"/>
                  <w:tcBorders>
                    <w:top w:val="single" w:color="auto" w:sz="4" w:space="0"/>
                    <w:left w:val="single" w:color="auto" w:sz="4" w:space="0"/>
                    <w:bottom w:val="single" w:color="auto" w:sz="4" w:space="0"/>
                    <w:right w:val="single" w:color="auto" w:sz="4" w:space="0"/>
                  </w:tcBorders>
                  <w:vAlign w:val="center"/>
                </w:tcPr>
                <w:p w14:paraId="7268FEED">
                  <w:pPr>
                    <w:jc w:val="center"/>
                    <w:rPr>
                      <w:bCs/>
                      <w:szCs w:val="21"/>
                    </w:rPr>
                  </w:pPr>
                  <w:r>
                    <w:rPr>
                      <w:szCs w:val="21"/>
                    </w:rPr>
                    <w:t>单项工程</w:t>
                  </w:r>
                </w:p>
              </w:tc>
              <w:tc>
                <w:tcPr>
                  <w:tcW w:w="3380" w:type="pct"/>
                  <w:tcBorders>
                    <w:top w:val="single" w:color="auto" w:sz="4" w:space="0"/>
                    <w:left w:val="single" w:color="auto" w:sz="4" w:space="0"/>
                    <w:bottom w:val="single" w:color="auto" w:sz="4" w:space="0"/>
                    <w:right w:val="single" w:color="auto" w:sz="4" w:space="0"/>
                  </w:tcBorders>
                  <w:vAlign w:val="center"/>
                </w:tcPr>
                <w:p w14:paraId="62537358">
                  <w:pPr>
                    <w:jc w:val="center"/>
                    <w:rPr>
                      <w:bCs/>
                      <w:szCs w:val="21"/>
                    </w:rPr>
                  </w:pPr>
                  <w:r>
                    <w:rPr>
                      <w:szCs w:val="21"/>
                    </w:rPr>
                    <w:t>工程内容</w:t>
                  </w:r>
                </w:p>
              </w:tc>
              <w:tc>
                <w:tcPr>
                  <w:tcW w:w="550" w:type="pct"/>
                  <w:tcBorders>
                    <w:top w:val="single" w:color="auto" w:sz="4" w:space="0"/>
                    <w:left w:val="single" w:color="auto" w:sz="4" w:space="0"/>
                    <w:bottom w:val="single" w:color="auto" w:sz="4" w:space="0"/>
                    <w:right w:val="single" w:color="auto" w:sz="4" w:space="0"/>
                  </w:tcBorders>
                  <w:vAlign w:val="center"/>
                </w:tcPr>
                <w:p w14:paraId="0B765C56">
                  <w:pPr>
                    <w:jc w:val="center"/>
                    <w:rPr>
                      <w:bCs/>
                      <w:szCs w:val="21"/>
                    </w:rPr>
                  </w:pPr>
                  <w:r>
                    <w:rPr>
                      <w:szCs w:val="21"/>
                    </w:rPr>
                    <w:t>备注</w:t>
                  </w:r>
                </w:p>
              </w:tc>
            </w:tr>
            <w:tr w14:paraId="47EC1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0" w:type="dxa"/>
                  <w:bottom w:w="28" w:type="dxa"/>
                  <w:right w:w="0" w:type="dxa"/>
                </w:tblCellMar>
              </w:tblPrEx>
              <w:trPr>
                <w:trHeight w:val="340" w:hRule="atLeast"/>
              </w:trPr>
              <w:tc>
                <w:tcPr>
                  <w:tcW w:w="389" w:type="pct"/>
                  <w:vMerge w:val="restart"/>
                  <w:tcBorders>
                    <w:top w:val="single" w:color="auto" w:sz="4" w:space="0"/>
                    <w:left w:val="single" w:color="auto" w:sz="4" w:space="0"/>
                    <w:right w:val="single" w:color="auto" w:sz="4" w:space="0"/>
                  </w:tcBorders>
                  <w:vAlign w:val="center"/>
                </w:tcPr>
                <w:p w14:paraId="46C69C0A">
                  <w:pPr>
                    <w:jc w:val="center"/>
                    <w:rPr>
                      <w:szCs w:val="21"/>
                    </w:rPr>
                  </w:pPr>
                  <w:r>
                    <w:rPr>
                      <w:szCs w:val="21"/>
                    </w:rPr>
                    <w:t>主体</w:t>
                  </w:r>
                </w:p>
                <w:p w14:paraId="75BDA2EB">
                  <w:pPr>
                    <w:jc w:val="center"/>
                    <w:rPr>
                      <w:szCs w:val="21"/>
                    </w:rPr>
                  </w:pPr>
                  <w:r>
                    <w:rPr>
                      <w:szCs w:val="21"/>
                    </w:rPr>
                    <w:t>工程</w:t>
                  </w:r>
                </w:p>
              </w:tc>
              <w:tc>
                <w:tcPr>
                  <w:tcW w:w="681" w:type="pct"/>
                  <w:tcBorders>
                    <w:top w:val="single" w:color="auto" w:sz="4" w:space="0"/>
                    <w:left w:val="single" w:color="auto" w:sz="4" w:space="0"/>
                    <w:bottom w:val="single" w:color="auto" w:sz="4" w:space="0"/>
                    <w:right w:val="single" w:color="auto" w:sz="4" w:space="0"/>
                  </w:tcBorders>
                  <w:vAlign w:val="center"/>
                </w:tcPr>
                <w:p w14:paraId="5F56AAF4">
                  <w:pPr>
                    <w:jc w:val="center"/>
                    <w:rPr>
                      <w:spacing w:val="-6"/>
                      <w:szCs w:val="21"/>
                    </w:rPr>
                  </w:pPr>
                  <w:r>
                    <w:rPr>
                      <w:rFonts w:hint="eastAsia"/>
                      <w:spacing w:val="-6"/>
                      <w:szCs w:val="21"/>
                    </w:rPr>
                    <w:t>1#生产车间</w:t>
                  </w:r>
                </w:p>
              </w:tc>
              <w:tc>
                <w:tcPr>
                  <w:tcW w:w="3380" w:type="pct"/>
                  <w:tcBorders>
                    <w:top w:val="single" w:color="auto" w:sz="4" w:space="0"/>
                    <w:left w:val="single" w:color="auto" w:sz="4" w:space="0"/>
                    <w:bottom w:val="single" w:color="auto" w:sz="4" w:space="0"/>
                    <w:right w:val="single" w:color="auto" w:sz="4" w:space="0"/>
                  </w:tcBorders>
                  <w:vAlign w:val="center"/>
                </w:tcPr>
                <w:p w14:paraId="16A15549">
                  <w:pPr>
                    <w:autoSpaceDE w:val="0"/>
                    <w:autoSpaceDN w:val="0"/>
                    <w:adjustRightInd w:val="0"/>
                    <w:jc w:val="left"/>
                    <w:rPr>
                      <w:kern w:val="0"/>
                      <w:szCs w:val="21"/>
                    </w:rPr>
                  </w:pPr>
                  <w:r>
                    <w:rPr>
                      <w:rFonts w:hint="eastAsia"/>
                      <w:kern w:val="21"/>
                      <w:szCs w:val="21"/>
                    </w:rPr>
                    <w:t>占地面积为1440m</w:t>
                  </w:r>
                  <w:r>
                    <w:rPr>
                      <w:rFonts w:hint="eastAsia"/>
                      <w:kern w:val="21"/>
                      <w:szCs w:val="21"/>
                      <w:vertAlign w:val="superscript"/>
                    </w:rPr>
                    <w:t>2</w:t>
                  </w:r>
                  <w:r>
                    <w:rPr>
                      <w:rFonts w:hint="eastAsia"/>
                      <w:kern w:val="21"/>
                      <w:szCs w:val="21"/>
                    </w:rPr>
                    <w:t>，高9.6m，</w:t>
                  </w:r>
                  <w:r>
                    <w:rPr>
                      <w:rFonts w:hint="eastAsia"/>
                      <w:bCs/>
                      <w:szCs w:val="21"/>
                    </w:rPr>
                    <w:t>全密闭</w:t>
                  </w:r>
                  <w:r>
                    <w:rPr>
                      <w:rFonts w:hint="eastAsia"/>
                      <w:kern w:val="21"/>
                      <w:szCs w:val="21"/>
                    </w:rPr>
                    <w:t>钢结构，</w:t>
                  </w:r>
                  <w:r>
                    <w:rPr>
                      <w:szCs w:val="21"/>
                    </w:rPr>
                    <w:t>内部布置</w:t>
                  </w:r>
                  <w:r>
                    <w:rPr>
                      <w:rFonts w:hint="eastAsia"/>
                      <w:szCs w:val="21"/>
                    </w:rPr>
                    <w:t>冷库</w:t>
                  </w:r>
                  <w:r>
                    <w:rPr>
                      <w:szCs w:val="21"/>
                    </w:rPr>
                    <w:t>、破碎工序、</w:t>
                  </w:r>
                  <w:r>
                    <w:rPr>
                      <w:rFonts w:hint="eastAsia"/>
                      <w:szCs w:val="21"/>
                    </w:rPr>
                    <w:t>熬制</w:t>
                  </w:r>
                  <w:r>
                    <w:rPr>
                      <w:szCs w:val="21"/>
                    </w:rPr>
                    <w:t>工序、</w:t>
                  </w:r>
                  <w:r>
                    <w:rPr>
                      <w:rFonts w:hint="eastAsia"/>
                      <w:szCs w:val="21"/>
                    </w:rPr>
                    <w:t>分离</w:t>
                  </w:r>
                  <w:r>
                    <w:rPr>
                      <w:szCs w:val="21"/>
                    </w:rPr>
                    <w:t>工序、</w:t>
                  </w:r>
                  <w:r>
                    <w:rPr>
                      <w:rFonts w:hint="eastAsia"/>
                      <w:szCs w:val="21"/>
                    </w:rPr>
                    <w:t>油渣暂存间</w:t>
                  </w:r>
                  <w:r>
                    <w:rPr>
                      <w:szCs w:val="21"/>
                    </w:rPr>
                    <w:t>等</w:t>
                  </w:r>
                </w:p>
              </w:tc>
              <w:tc>
                <w:tcPr>
                  <w:tcW w:w="550" w:type="pct"/>
                  <w:tcBorders>
                    <w:top w:val="single" w:color="auto" w:sz="4" w:space="0"/>
                    <w:left w:val="single" w:color="auto" w:sz="4" w:space="0"/>
                    <w:right w:val="single" w:color="auto" w:sz="4" w:space="0"/>
                  </w:tcBorders>
                  <w:vAlign w:val="center"/>
                </w:tcPr>
                <w:p w14:paraId="249CE078">
                  <w:pPr>
                    <w:jc w:val="center"/>
                    <w:rPr>
                      <w:szCs w:val="21"/>
                    </w:rPr>
                  </w:pPr>
                  <w:r>
                    <w:rPr>
                      <w:rFonts w:hint="eastAsia"/>
                      <w:szCs w:val="21"/>
                    </w:rPr>
                    <w:t>利用</w:t>
                  </w:r>
                  <w:r>
                    <w:rPr>
                      <w:szCs w:val="21"/>
                    </w:rPr>
                    <w:t>现有</w:t>
                  </w:r>
                </w:p>
              </w:tc>
            </w:tr>
            <w:tr w14:paraId="03288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0" w:type="dxa"/>
                  <w:bottom w:w="28" w:type="dxa"/>
                  <w:right w:w="0" w:type="dxa"/>
                </w:tblCellMar>
              </w:tblPrEx>
              <w:trPr>
                <w:trHeight w:val="340" w:hRule="atLeast"/>
              </w:trPr>
              <w:tc>
                <w:tcPr>
                  <w:tcW w:w="389" w:type="pct"/>
                  <w:vMerge w:val="continue"/>
                  <w:tcBorders>
                    <w:left w:val="single" w:color="auto" w:sz="4" w:space="0"/>
                    <w:right w:val="single" w:color="auto" w:sz="4" w:space="0"/>
                  </w:tcBorders>
                  <w:vAlign w:val="center"/>
                </w:tcPr>
                <w:p w14:paraId="29271AF6">
                  <w:pPr>
                    <w:jc w:val="center"/>
                    <w:rPr>
                      <w:szCs w:val="21"/>
                    </w:rPr>
                  </w:pPr>
                </w:p>
              </w:tc>
              <w:tc>
                <w:tcPr>
                  <w:tcW w:w="681" w:type="pct"/>
                  <w:tcBorders>
                    <w:top w:val="single" w:color="auto" w:sz="4" w:space="0"/>
                    <w:left w:val="single" w:color="auto" w:sz="4" w:space="0"/>
                    <w:bottom w:val="single" w:color="auto" w:sz="4" w:space="0"/>
                    <w:right w:val="single" w:color="auto" w:sz="4" w:space="0"/>
                  </w:tcBorders>
                  <w:vAlign w:val="center"/>
                </w:tcPr>
                <w:p w14:paraId="17D2357F">
                  <w:pPr>
                    <w:jc w:val="center"/>
                    <w:rPr>
                      <w:spacing w:val="-6"/>
                      <w:szCs w:val="21"/>
                    </w:rPr>
                  </w:pPr>
                  <w:r>
                    <w:rPr>
                      <w:rFonts w:hint="eastAsia"/>
                      <w:spacing w:val="-6"/>
                      <w:szCs w:val="21"/>
                    </w:rPr>
                    <w:t>2#生产车间</w:t>
                  </w:r>
                </w:p>
              </w:tc>
              <w:tc>
                <w:tcPr>
                  <w:tcW w:w="3380" w:type="pct"/>
                  <w:tcBorders>
                    <w:top w:val="single" w:color="auto" w:sz="4" w:space="0"/>
                    <w:left w:val="single" w:color="auto" w:sz="4" w:space="0"/>
                    <w:bottom w:val="single" w:color="auto" w:sz="4" w:space="0"/>
                    <w:right w:val="single" w:color="auto" w:sz="4" w:space="0"/>
                  </w:tcBorders>
                  <w:vAlign w:val="center"/>
                </w:tcPr>
                <w:p w14:paraId="4B7B376D">
                  <w:pPr>
                    <w:adjustRightInd w:val="0"/>
                    <w:jc w:val="left"/>
                    <w:rPr>
                      <w:kern w:val="21"/>
                      <w:szCs w:val="21"/>
                    </w:rPr>
                  </w:pPr>
                  <w:r>
                    <w:rPr>
                      <w:rFonts w:hint="eastAsia"/>
                      <w:kern w:val="21"/>
                      <w:szCs w:val="21"/>
                    </w:rPr>
                    <w:t>占地面积为700m</w:t>
                  </w:r>
                  <w:r>
                    <w:rPr>
                      <w:rFonts w:hint="eastAsia"/>
                      <w:kern w:val="21"/>
                      <w:szCs w:val="21"/>
                      <w:vertAlign w:val="superscript"/>
                    </w:rPr>
                    <w:t>2</w:t>
                  </w:r>
                  <w:r>
                    <w:rPr>
                      <w:rFonts w:hint="eastAsia"/>
                      <w:kern w:val="21"/>
                      <w:szCs w:val="21"/>
                    </w:rPr>
                    <w:t>，高8m，</w:t>
                  </w:r>
                  <w:r>
                    <w:rPr>
                      <w:rFonts w:hint="eastAsia"/>
                      <w:bCs/>
                      <w:szCs w:val="21"/>
                    </w:rPr>
                    <w:t>全密闭</w:t>
                  </w:r>
                  <w:r>
                    <w:rPr>
                      <w:rFonts w:hint="eastAsia"/>
                      <w:kern w:val="21"/>
                      <w:szCs w:val="21"/>
                    </w:rPr>
                    <w:t>钢结构，</w:t>
                  </w:r>
                  <w:r>
                    <w:rPr>
                      <w:szCs w:val="21"/>
                    </w:rPr>
                    <w:t>内部布置</w:t>
                  </w:r>
                  <w:r>
                    <w:rPr>
                      <w:rFonts w:hint="eastAsia"/>
                      <w:szCs w:val="21"/>
                    </w:rPr>
                    <w:t>冷库</w:t>
                  </w:r>
                  <w:r>
                    <w:rPr>
                      <w:szCs w:val="21"/>
                    </w:rPr>
                    <w:t>、破碎工序、</w:t>
                  </w:r>
                  <w:r>
                    <w:rPr>
                      <w:rFonts w:hint="eastAsia"/>
                      <w:szCs w:val="21"/>
                    </w:rPr>
                    <w:t>熬制</w:t>
                  </w:r>
                  <w:r>
                    <w:rPr>
                      <w:szCs w:val="21"/>
                    </w:rPr>
                    <w:t>工序、</w:t>
                  </w:r>
                  <w:r>
                    <w:rPr>
                      <w:rFonts w:hint="eastAsia"/>
                      <w:szCs w:val="21"/>
                    </w:rPr>
                    <w:t>分离</w:t>
                  </w:r>
                  <w:r>
                    <w:rPr>
                      <w:szCs w:val="21"/>
                    </w:rPr>
                    <w:t>工序、</w:t>
                  </w:r>
                  <w:r>
                    <w:rPr>
                      <w:rFonts w:hint="eastAsia"/>
                      <w:szCs w:val="21"/>
                    </w:rPr>
                    <w:t>油渣暂存间</w:t>
                  </w:r>
                  <w:r>
                    <w:rPr>
                      <w:szCs w:val="21"/>
                    </w:rPr>
                    <w:t>等</w:t>
                  </w:r>
                </w:p>
              </w:tc>
              <w:tc>
                <w:tcPr>
                  <w:tcW w:w="550" w:type="pct"/>
                  <w:tcBorders>
                    <w:top w:val="single" w:color="auto" w:sz="4" w:space="0"/>
                    <w:left w:val="single" w:color="auto" w:sz="4" w:space="0"/>
                    <w:right w:val="single" w:color="auto" w:sz="4" w:space="0"/>
                  </w:tcBorders>
                  <w:vAlign w:val="center"/>
                </w:tcPr>
                <w:p w14:paraId="100A4AF7">
                  <w:pPr>
                    <w:jc w:val="center"/>
                    <w:rPr>
                      <w:szCs w:val="21"/>
                    </w:rPr>
                  </w:pPr>
                  <w:r>
                    <w:rPr>
                      <w:rFonts w:hint="eastAsia"/>
                      <w:szCs w:val="21"/>
                    </w:rPr>
                    <w:t>利用</w:t>
                  </w:r>
                  <w:r>
                    <w:rPr>
                      <w:szCs w:val="21"/>
                    </w:rPr>
                    <w:t>现有</w:t>
                  </w:r>
                </w:p>
              </w:tc>
            </w:tr>
            <w:tr w14:paraId="32323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0" w:type="dxa"/>
                  <w:bottom w:w="28" w:type="dxa"/>
                  <w:right w:w="0" w:type="dxa"/>
                </w:tblCellMar>
              </w:tblPrEx>
              <w:trPr>
                <w:trHeight w:val="340" w:hRule="atLeast"/>
              </w:trPr>
              <w:tc>
                <w:tcPr>
                  <w:tcW w:w="389" w:type="pct"/>
                  <w:vMerge w:val="continue"/>
                  <w:tcBorders>
                    <w:left w:val="single" w:color="auto" w:sz="4" w:space="0"/>
                    <w:right w:val="single" w:color="auto" w:sz="4" w:space="0"/>
                  </w:tcBorders>
                  <w:vAlign w:val="center"/>
                </w:tcPr>
                <w:p w14:paraId="185367E5">
                  <w:pPr>
                    <w:jc w:val="center"/>
                    <w:rPr>
                      <w:szCs w:val="21"/>
                    </w:rPr>
                  </w:pPr>
                </w:p>
              </w:tc>
              <w:tc>
                <w:tcPr>
                  <w:tcW w:w="681" w:type="pct"/>
                  <w:tcBorders>
                    <w:top w:val="single" w:color="auto" w:sz="4" w:space="0"/>
                    <w:left w:val="single" w:color="auto" w:sz="4" w:space="0"/>
                    <w:bottom w:val="single" w:color="auto" w:sz="4" w:space="0"/>
                    <w:right w:val="single" w:color="auto" w:sz="4" w:space="0"/>
                  </w:tcBorders>
                  <w:vAlign w:val="center"/>
                </w:tcPr>
                <w:p w14:paraId="7BC7197A">
                  <w:pPr>
                    <w:jc w:val="center"/>
                    <w:rPr>
                      <w:spacing w:val="-6"/>
                      <w:szCs w:val="21"/>
                    </w:rPr>
                  </w:pPr>
                  <w:r>
                    <w:rPr>
                      <w:rFonts w:hint="eastAsia"/>
                      <w:spacing w:val="-6"/>
                      <w:szCs w:val="21"/>
                    </w:rPr>
                    <w:t>锅炉房</w:t>
                  </w:r>
                </w:p>
              </w:tc>
              <w:tc>
                <w:tcPr>
                  <w:tcW w:w="3380" w:type="pct"/>
                  <w:tcBorders>
                    <w:top w:val="single" w:color="auto" w:sz="4" w:space="0"/>
                    <w:left w:val="single" w:color="auto" w:sz="4" w:space="0"/>
                    <w:bottom w:val="single" w:color="auto" w:sz="4" w:space="0"/>
                    <w:right w:val="single" w:color="auto" w:sz="4" w:space="0"/>
                  </w:tcBorders>
                  <w:vAlign w:val="center"/>
                </w:tcPr>
                <w:p w14:paraId="72E3B337">
                  <w:pPr>
                    <w:adjustRightInd w:val="0"/>
                    <w:jc w:val="left"/>
                    <w:rPr>
                      <w:kern w:val="0"/>
                      <w:szCs w:val="21"/>
                    </w:rPr>
                  </w:pPr>
                  <w:r>
                    <w:rPr>
                      <w:rFonts w:hint="eastAsia"/>
                      <w:kern w:val="21"/>
                      <w:szCs w:val="21"/>
                    </w:rPr>
                    <w:t>占地面积为150m</w:t>
                  </w:r>
                  <w:r>
                    <w:rPr>
                      <w:rFonts w:hint="eastAsia"/>
                      <w:kern w:val="21"/>
                      <w:szCs w:val="21"/>
                      <w:vertAlign w:val="superscript"/>
                    </w:rPr>
                    <w:t>2</w:t>
                  </w:r>
                  <w:r>
                    <w:rPr>
                      <w:rFonts w:hint="eastAsia"/>
                      <w:kern w:val="21"/>
                      <w:szCs w:val="21"/>
                    </w:rPr>
                    <w:t>，高9.6m，</w:t>
                  </w:r>
                  <w:r>
                    <w:rPr>
                      <w:rFonts w:hint="eastAsia"/>
                      <w:bCs/>
                      <w:szCs w:val="21"/>
                    </w:rPr>
                    <w:t>全密闭</w:t>
                  </w:r>
                  <w:r>
                    <w:rPr>
                      <w:rFonts w:hint="eastAsia"/>
                      <w:kern w:val="21"/>
                      <w:szCs w:val="21"/>
                    </w:rPr>
                    <w:t>钢结构，内设1台</w:t>
                  </w:r>
                  <w:r>
                    <w:rPr>
                      <w:rFonts w:hint="eastAsia"/>
                      <w:szCs w:val="21"/>
                    </w:rPr>
                    <w:t>2.1MW和</w:t>
                  </w:r>
                  <w:r>
                    <w:rPr>
                      <w:rFonts w:hint="eastAsia"/>
                      <w:kern w:val="21"/>
                      <w:szCs w:val="21"/>
                    </w:rPr>
                    <w:t>1台</w:t>
                  </w:r>
                  <w:r>
                    <w:rPr>
                      <w:rFonts w:hint="eastAsia"/>
                      <w:szCs w:val="21"/>
                    </w:rPr>
                    <w:t>1.4MW</w:t>
                  </w:r>
                  <w:r>
                    <w:rPr>
                      <w:rFonts w:hint="eastAsia"/>
                      <w:kern w:val="21"/>
                      <w:szCs w:val="21"/>
                    </w:rPr>
                    <w:t>导热油锅炉，为生产供热</w:t>
                  </w:r>
                </w:p>
              </w:tc>
              <w:tc>
                <w:tcPr>
                  <w:tcW w:w="550" w:type="pct"/>
                  <w:tcBorders>
                    <w:top w:val="single" w:color="auto" w:sz="4" w:space="0"/>
                    <w:left w:val="single" w:color="auto" w:sz="4" w:space="0"/>
                    <w:right w:val="single" w:color="auto" w:sz="4" w:space="0"/>
                  </w:tcBorders>
                  <w:vAlign w:val="center"/>
                </w:tcPr>
                <w:p w14:paraId="29D1E36E">
                  <w:pPr>
                    <w:jc w:val="center"/>
                    <w:rPr>
                      <w:szCs w:val="21"/>
                    </w:rPr>
                  </w:pPr>
                  <w:r>
                    <w:rPr>
                      <w:szCs w:val="21"/>
                    </w:rPr>
                    <w:t>新建</w:t>
                  </w:r>
                </w:p>
              </w:tc>
            </w:tr>
            <w:tr w14:paraId="1FB9B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0" w:type="dxa"/>
                  <w:bottom w:w="28" w:type="dxa"/>
                  <w:right w:w="0" w:type="dxa"/>
                </w:tblCellMar>
              </w:tblPrEx>
              <w:trPr>
                <w:trHeight w:val="340" w:hRule="atLeast"/>
              </w:trPr>
              <w:tc>
                <w:tcPr>
                  <w:tcW w:w="389" w:type="pct"/>
                  <w:vMerge w:val="restart"/>
                  <w:tcBorders>
                    <w:left w:val="single" w:color="auto" w:sz="4" w:space="0"/>
                    <w:right w:val="single" w:color="auto" w:sz="4" w:space="0"/>
                  </w:tcBorders>
                  <w:vAlign w:val="center"/>
                </w:tcPr>
                <w:p w14:paraId="0B0F3657">
                  <w:pPr>
                    <w:jc w:val="center"/>
                    <w:rPr>
                      <w:szCs w:val="21"/>
                    </w:rPr>
                  </w:pPr>
                  <w:r>
                    <w:rPr>
                      <w:szCs w:val="21"/>
                    </w:rPr>
                    <w:t>储运</w:t>
                  </w:r>
                </w:p>
                <w:p w14:paraId="2C27941E">
                  <w:pPr>
                    <w:jc w:val="center"/>
                    <w:rPr>
                      <w:szCs w:val="21"/>
                    </w:rPr>
                  </w:pPr>
                  <w:r>
                    <w:rPr>
                      <w:szCs w:val="21"/>
                    </w:rPr>
                    <w:t>工程</w:t>
                  </w:r>
                </w:p>
              </w:tc>
              <w:tc>
                <w:tcPr>
                  <w:tcW w:w="681" w:type="pct"/>
                  <w:tcBorders>
                    <w:top w:val="single" w:color="auto" w:sz="4" w:space="0"/>
                    <w:left w:val="single" w:color="auto" w:sz="4" w:space="0"/>
                    <w:bottom w:val="single" w:color="auto" w:sz="4" w:space="0"/>
                    <w:right w:val="single" w:color="auto" w:sz="4" w:space="0"/>
                  </w:tcBorders>
                  <w:vAlign w:val="center"/>
                </w:tcPr>
                <w:p w14:paraId="09694C60">
                  <w:pPr>
                    <w:jc w:val="center"/>
                    <w:rPr>
                      <w:spacing w:val="-6"/>
                      <w:szCs w:val="21"/>
                    </w:rPr>
                  </w:pPr>
                  <w:r>
                    <w:rPr>
                      <w:rFonts w:hint="eastAsia"/>
                      <w:spacing w:val="-6"/>
                      <w:szCs w:val="21"/>
                    </w:rPr>
                    <w:t>成品储油罐</w:t>
                  </w:r>
                </w:p>
              </w:tc>
              <w:tc>
                <w:tcPr>
                  <w:tcW w:w="3380" w:type="pct"/>
                  <w:tcBorders>
                    <w:top w:val="single" w:color="auto" w:sz="4" w:space="0"/>
                    <w:left w:val="single" w:color="auto" w:sz="4" w:space="0"/>
                    <w:bottom w:val="single" w:color="auto" w:sz="4" w:space="0"/>
                    <w:right w:val="single" w:color="auto" w:sz="4" w:space="0"/>
                  </w:tcBorders>
                  <w:vAlign w:val="center"/>
                </w:tcPr>
                <w:p w14:paraId="7067A55B">
                  <w:pPr>
                    <w:autoSpaceDE w:val="0"/>
                    <w:autoSpaceDN w:val="0"/>
                    <w:adjustRightInd w:val="0"/>
                    <w:jc w:val="left"/>
                    <w:rPr>
                      <w:kern w:val="21"/>
                      <w:szCs w:val="21"/>
                    </w:rPr>
                  </w:pPr>
                  <w:r>
                    <w:rPr>
                      <w:rFonts w:hint="eastAsia"/>
                      <w:kern w:val="21"/>
                      <w:szCs w:val="21"/>
                    </w:rPr>
                    <w:t>总占地面积约30m</w:t>
                  </w:r>
                  <w:r>
                    <w:rPr>
                      <w:rFonts w:hint="eastAsia"/>
                      <w:kern w:val="21"/>
                      <w:szCs w:val="21"/>
                      <w:vertAlign w:val="superscript"/>
                    </w:rPr>
                    <w:t>2</w:t>
                  </w:r>
                  <w:r>
                    <w:rPr>
                      <w:rFonts w:hint="eastAsia"/>
                      <w:kern w:val="21"/>
                      <w:szCs w:val="21"/>
                    </w:rPr>
                    <w:t>，</w:t>
                  </w:r>
                  <w:r>
                    <w:rPr>
                      <w:kern w:val="21"/>
                      <w:szCs w:val="21"/>
                    </w:rPr>
                    <w:t>包括2组2×50m</w:t>
                  </w:r>
                  <w:r>
                    <w:rPr>
                      <w:kern w:val="21"/>
                      <w:szCs w:val="21"/>
                      <w:vertAlign w:val="superscript"/>
                    </w:rPr>
                    <w:t>3</w:t>
                  </w:r>
                  <w:r>
                    <w:rPr>
                      <w:kern w:val="21"/>
                      <w:szCs w:val="21"/>
                    </w:rPr>
                    <w:t>储油罐</w:t>
                  </w:r>
                  <w:r>
                    <w:rPr>
                      <w:rFonts w:hint="eastAsia"/>
                      <w:kern w:val="21"/>
                      <w:szCs w:val="21"/>
                    </w:rPr>
                    <w:t>，配套设置围堰及相关设施，均设置在生产车间南侧</w:t>
                  </w:r>
                </w:p>
              </w:tc>
              <w:tc>
                <w:tcPr>
                  <w:tcW w:w="550" w:type="pct"/>
                  <w:tcBorders>
                    <w:top w:val="single" w:color="auto" w:sz="4" w:space="0"/>
                    <w:left w:val="single" w:color="auto" w:sz="4" w:space="0"/>
                    <w:right w:val="single" w:color="auto" w:sz="4" w:space="0"/>
                  </w:tcBorders>
                  <w:vAlign w:val="center"/>
                </w:tcPr>
                <w:p w14:paraId="2F40C7FA">
                  <w:pPr>
                    <w:jc w:val="center"/>
                    <w:rPr>
                      <w:szCs w:val="21"/>
                    </w:rPr>
                  </w:pPr>
                  <w:r>
                    <w:rPr>
                      <w:szCs w:val="21"/>
                    </w:rPr>
                    <w:t>新建</w:t>
                  </w:r>
                </w:p>
              </w:tc>
            </w:tr>
            <w:tr w14:paraId="678A8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0" w:type="dxa"/>
                  <w:bottom w:w="28" w:type="dxa"/>
                  <w:right w:w="0" w:type="dxa"/>
                </w:tblCellMar>
              </w:tblPrEx>
              <w:trPr>
                <w:trHeight w:val="340" w:hRule="atLeast"/>
              </w:trPr>
              <w:tc>
                <w:tcPr>
                  <w:tcW w:w="389" w:type="pct"/>
                  <w:vMerge w:val="continue"/>
                  <w:tcBorders>
                    <w:left w:val="single" w:color="auto" w:sz="4" w:space="0"/>
                    <w:right w:val="single" w:color="auto" w:sz="4" w:space="0"/>
                  </w:tcBorders>
                  <w:vAlign w:val="center"/>
                </w:tcPr>
                <w:p w14:paraId="6F262575">
                  <w:pPr>
                    <w:jc w:val="center"/>
                    <w:rPr>
                      <w:szCs w:val="21"/>
                    </w:rPr>
                  </w:pPr>
                </w:p>
              </w:tc>
              <w:tc>
                <w:tcPr>
                  <w:tcW w:w="681" w:type="pct"/>
                  <w:tcBorders>
                    <w:top w:val="single" w:color="auto" w:sz="4" w:space="0"/>
                    <w:left w:val="single" w:color="auto" w:sz="4" w:space="0"/>
                    <w:bottom w:val="single" w:color="auto" w:sz="4" w:space="0"/>
                    <w:right w:val="single" w:color="auto" w:sz="4" w:space="0"/>
                  </w:tcBorders>
                  <w:vAlign w:val="center"/>
                </w:tcPr>
                <w:p w14:paraId="2457CA51">
                  <w:pPr>
                    <w:jc w:val="center"/>
                    <w:rPr>
                      <w:szCs w:val="21"/>
                    </w:rPr>
                  </w:pPr>
                  <w:r>
                    <w:rPr>
                      <w:rFonts w:hint="eastAsia"/>
                      <w:szCs w:val="21"/>
                    </w:rPr>
                    <w:t>冷库</w:t>
                  </w:r>
                </w:p>
              </w:tc>
              <w:tc>
                <w:tcPr>
                  <w:tcW w:w="3380" w:type="pct"/>
                  <w:tcBorders>
                    <w:top w:val="single" w:color="auto" w:sz="4" w:space="0"/>
                    <w:left w:val="single" w:color="auto" w:sz="4" w:space="0"/>
                    <w:bottom w:val="single" w:color="auto" w:sz="4" w:space="0"/>
                    <w:right w:val="single" w:color="auto" w:sz="4" w:space="0"/>
                  </w:tcBorders>
                  <w:vAlign w:val="center"/>
                </w:tcPr>
                <w:p w14:paraId="189C5D71">
                  <w:pPr>
                    <w:autoSpaceDE w:val="0"/>
                    <w:autoSpaceDN w:val="0"/>
                    <w:adjustRightInd w:val="0"/>
                    <w:jc w:val="left"/>
                    <w:rPr>
                      <w:kern w:val="21"/>
                      <w:szCs w:val="21"/>
                    </w:rPr>
                  </w:pPr>
                  <w:r>
                    <w:rPr>
                      <w:rFonts w:hint="eastAsia"/>
                      <w:kern w:val="21"/>
                      <w:szCs w:val="21"/>
                    </w:rPr>
                    <w:t>占地面积约2</w:t>
                  </w:r>
                  <w:r>
                    <w:rPr>
                      <w:kern w:val="21"/>
                      <w:szCs w:val="21"/>
                    </w:rPr>
                    <w:t>×</w:t>
                  </w:r>
                  <w:r>
                    <w:rPr>
                      <w:rFonts w:hint="eastAsia"/>
                      <w:kern w:val="21"/>
                      <w:szCs w:val="21"/>
                    </w:rPr>
                    <w:t>100m</w:t>
                  </w:r>
                  <w:r>
                    <w:rPr>
                      <w:rFonts w:hint="eastAsia"/>
                      <w:kern w:val="21"/>
                      <w:szCs w:val="21"/>
                      <w:vertAlign w:val="superscript"/>
                    </w:rPr>
                    <w:t>2</w:t>
                  </w:r>
                  <w:r>
                    <w:rPr>
                      <w:rFonts w:hint="eastAsia"/>
                      <w:kern w:val="21"/>
                      <w:szCs w:val="21"/>
                    </w:rPr>
                    <w:t>，1#、2#生产车间各设置一个，用于原料动物板油暂存</w:t>
                  </w:r>
                </w:p>
              </w:tc>
              <w:tc>
                <w:tcPr>
                  <w:tcW w:w="550" w:type="pct"/>
                  <w:tcBorders>
                    <w:top w:val="single" w:color="auto" w:sz="4" w:space="0"/>
                    <w:left w:val="single" w:color="auto" w:sz="4" w:space="0"/>
                    <w:right w:val="single" w:color="auto" w:sz="4" w:space="0"/>
                  </w:tcBorders>
                  <w:vAlign w:val="center"/>
                </w:tcPr>
                <w:p w14:paraId="5EA0E8C9">
                  <w:pPr>
                    <w:jc w:val="center"/>
                    <w:rPr>
                      <w:szCs w:val="21"/>
                    </w:rPr>
                  </w:pPr>
                  <w:r>
                    <w:rPr>
                      <w:szCs w:val="21"/>
                    </w:rPr>
                    <w:t>新建</w:t>
                  </w:r>
                </w:p>
              </w:tc>
            </w:tr>
            <w:tr w14:paraId="0DC71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0" w:type="dxa"/>
                  <w:bottom w:w="28" w:type="dxa"/>
                  <w:right w:w="0" w:type="dxa"/>
                </w:tblCellMar>
              </w:tblPrEx>
              <w:trPr>
                <w:trHeight w:val="340" w:hRule="atLeast"/>
              </w:trPr>
              <w:tc>
                <w:tcPr>
                  <w:tcW w:w="389" w:type="pct"/>
                  <w:vMerge w:val="continue"/>
                  <w:tcBorders>
                    <w:left w:val="single" w:color="auto" w:sz="4" w:space="0"/>
                    <w:right w:val="single" w:color="auto" w:sz="4" w:space="0"/>
                  </w:tcBorders>
                  <w:vAlign w:val="center"/>
                </w:tcPr>
                <w:p w14:paraId="2464B36A">
                  <w:pPr>
                    <w:jc w:val="center"/>
                    <w:rPr>
                      <w:szCs w:val="21"/>
                    </w:rPr>
                  </w:pPr>
                </w:p>
              </w:tc>
              <w:tc>
                <w:tcPr>
                  <w:tcW w:w="681" w:type="pct"/>
                  <w:tcBorders>
                    <w:top w:val="single" w:color="auto" w:sz="4" w:space="0"/>
                    <w:left w:val="single" w:color="auto" w:sz="4" w:space="0"/>
                    <w:bottom w:val="single" w:color="auto" w:sz="4" w:space="0"/>
                    <w:right w:val="single" w:color="auto" w:sz="4" w:space="0"/>
                  </w:tcBorders>
                  <w:vAlign w:val="center"/>
                </w:tcPr>
                <w:p w14:paraId="3EA6BD19">
                  <w:pPr>
                    <w:jc w:val="center"/>
                    <w:rPr>
                      <w:spacing w:val="-6"/>
                      <w:szCs w:val="21"/>
                    </w:rPr>
                  </w:pPr>
                  <w:r>
                    <w:rPr>
                      <w:rFonts w:hint="eastAsia"/>
                      <w:szCs w:val="21"/>
                    </w:rPr>
                    <w:t>油渣暂存间</w:t>
                  </w:r>
                </w:p>
              </w:tc>
              <w:tc>
                <w:tcPr>
                  <w:tcW w:w="3380" w:type="pct"/>
                  <w:tcBorders>
                    <w:top w:val="single" w:color="auto" w:sz="4" w:space="0"/>
                    <w:left w:val="single" w:color="auto" w:sz="4" w:space="0"/>
                    <w:bottom w:val="single" w:color="auto" w:sz="4" w:space="0"/>
                    <w:right w:val="single" w:color="auto" w:sz="4" w:space="0"/>
                  </w:tcBorders>
                  <w:vAlign w:val="center"/>
                </w:tcPr>
                <w:p w14:paraId="517D0A8E">
                  <w:pPr>
                    <w:autoSpaceDE w:val="0"/>
                    <w:autoSpaceDN w:val="0"/>
                    <w:adjustRightInd w:val="0"/>
                    <w:jc w:val="left"/>
                    <w:rPr>
                      <w:kern w:val="21"/>
                      <w:szCs w:val="21"/>
                    </w:rPr>
                  </w:pPr>
                  <w:r>
                    <w:rPr>
                      <w:rFonts w:hint="eastAsia"/>
                      <w:kern w:val="21"/>
                      <w:szCs w:val="21"/>
                    </w:rPr>
                    <w:t>占地面积约2</w:t>
                  </w:r>
                  <w:r>
                    <w:rPr>
                      <w:kern w:val="21"/>
                      <w:szCs w:val="21"/>
                    </w:rPr>
                    <w:t>×</w:t>
                  </w:r>
                  <w:r>
                    <w:rPr>
                      <w:rFonts w:hint="eastAsia"/>
                      <w:kern w:val="21"/>
                      <w:szCs w:val="21"/>
                    </w:rPr>
                    <w:t>150m</w:t>
                  </w:r>
                  <w:r>
                    <w:rPr>
                      <w:rFonts w:hint="eastAsia"/>
                      <w:kern w:val="21"/>
                      <w:szCs w:val="21"/>
                      <w:vertAlign w:val="superscript"/>
                    </w:rPr>
                    <w:t>2</w:t>
                  </w:r>
                  <w:r>
                    <w:rPr>
                      <w:rFonts w:hint="eastAsia"/>
                      <w:kern w:val="21"/>
                      <w:szCs w:val="21"/>
                    </w:rPr>
                    <w:t>，1#、2#生产车间各设置一个，用于油渣压饼后暂存</w:t>
                  </w:r>
                </w:p>
              </w:tc>
              <w:tc>
                <w:tcPr>
                  <w:tcW w:w="550" w:type="pct"/>
                  <w:tcBorders>
                    <w:top w:val="single" w:color="auto" w:sz="4" w:space="0"/>
                    <w:left w:val="single" w:color="auto" w:sz="4" w:space="0"/>
                    <w:right w:val="single" w:color="auto" w:sz="4" w:space="0"/>
                  </w:tcBorders>
                  <w:vAlign w:val="center"/>
                </w:tcPr>
                <w:p w14:paraId="4101B1C2">
                  <w:pPr>
                    <w:jc w:val="center"/>
                    <w:rPr>
                      <w:szCs w:val="21"/>
                    </w:rPr>
                  </w:pPr>
                  <w:r>
                    <w:rPr>
                      <w:szCs w:val="21"/>
                    </w:rPr>
                    <w:t>新建</w:t>
                  </w:r>
                </w:p>
              </w:tc>
            </w:tr>
            <w:tr w14:paraId="7414E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0" w:type="dxa"/>
                  <w:bottom w:w="28" w:type="dxa"/>
                  <w:right w:w="0" w:type="dxa"/>
                </w:tblCellMar>
              </w:tblPrEx>
              <w:trPr>
                <w:trHeight w:val="340" w:hRule="atLeast"/>
              </w:trPr>
              <w:tc>
                <w:tcPr>
                  <w:tcW w:w="389" w:type="pct"/>
                  <w:tcBorders>
                    <w:top w:val="single" w:color="auto" w:sz="4" w:space="0"/>
                    <w:left w:val="single" w:color="auto" w:sz="4" w:space="0"/>
                    <w:right w:val="single" w:color="auto" w:sz="4" w:space="0"/>
                  </w:tcBorders>
                  <w:vAlign w:val="center"/>
                </w:tcPr>
                <w:p w14:paraId="0AB6E8FC">
                  <w:pPr>
                    <w:jc w:val="center"/>
                    <w:rPr>
                      <w:szCs w:val="21"/>
                    </w:rPr>
                  </w:pPr>
                  <w:r>
                    <w:rPr>
                      <w:szCs w:val="21"/>
                    </w:rPr>
                    <w:t>辅助</w:t>
                  </w:r>
                </w:p>
                <w:p w14:paraId="3B81504C">
                  <w:pPr>
                    <w:jc w:val="center"/>
                    <w:rPr>
                      <w:szCs w:val="21"/>
                    </w:rPr>
                  </w:pPr>
                  <w:r>
                    <w:rPr>
                      <w:szCs w:val="21"/>
                    </w:rPr>
                    <w:t>工程</w:t>
                  </w:r>
                </w:p>
              </w:tc>
              <w:tc>
                <w:tcPr>
                  <w:tcW w:w="681" w:type="pct"/>
                  <w:tcBorders>
                    <w:top w:val="single" w:color="auto" w:sz="4" w:space="0"/>
                    <w:left w:val="single" w:color="auto" w:sz="4" w:space="0"/>
                    <w:bottom w:val="single" w:color="auto" w:sz="4" w:space="0"/>
                    <w:right w:val="single" w:color="auto" w:sz="4" w:space="0"/>
                  </w:tcBorders>
                  <w:vAlign w:val="center"/>
                </w:tcPr>
                <w:p w14:paraId="0E3D0BC0">
                  <w:pPr>
                    <w:jc w:val="center"/>
                    <w:rPr>
                      <w:bCs/>
                      <w:szCs w:val="21"/>
                    </w:rPr>
                  </w:pPr>
                  <w:r>
                    <w:rPr>
                      <w:rFonts w:hint="eastAsia"/>
                      <w:bCs/>
                      <w:szCs w:val="21"/>
                    </w:rPr>
                    <w:t>办公区</w:t>
                  </w:r>
                </w:p>
              </w:tc>
              <w:tc>
                <w:tcPr>
                  <w:tcW w:w="3380" w:type="pct"/>
                  <w:tcBorders>
                    <w:top w:val="single" w:color="auto" w:sz="4" w:space="0"/>
                    <w:left w:val="single" w:color="auto" w:sz="4" w:space="0"/>
                    <w:bottom w:val="single" w:color="auto" w:sz="4" w:space="0"/>
                    <w:right w:val="single" w:color="auto" w:sz="4" w:space="0"/>
                  </w:tcBorders>
                  <w:vAlign w:val="center"/>
                </w:tcPr>
                <w:p w14:paraId="4D644158">
                  <w:pPr>
                    <w:autoSpaceDE w:val="0"/>
                    <w:autoSpaceDN w:val="0"/>
                    <w:adjustRightInd w:val="0"/>
                    <w:jc w:val="left"/>
                    <w:rPr>
                      <w:kern w:val="0"/>
                      <w:szCs w:val="21"/>
                    </w:rPr>
                  </w:pPr>
                  <w:r>
                    <w:rPr>
                      <w:rFonts w:ascii="宋体" w:cs="宋体"/>
                      <w:kern w:val="0"/>
                      <w:szCs w:val="21"/>
                    </w:rPr>
                    <w:t>占地面积约</w:t>
                  </w:r>
                  <w:r>
                    <w:rPr>
                      <w:rFonts w:hint="eastAsia"/>
                      <w:kern w:val="0"/>
                      <w:szCs w:val="21"/>
                    </w:rPr>
                    <w:t>144</w:t>
                  </w:r>
                  <w:r>
                    <w:rPr>
                      <w:kern w:val="0"/>
                      <w:szCs w:val="21"/>
                    </w:rPr>
                    <w:t>m</w:t>
                  </w:r>
                  <w:r>
                    <w:rPr>
                      <w:kern w:val="0"/>
                      <w:szCs w:val="21"/>
                      <w:vertAlign w:val="superscript"/>
                    </w:rPr>
                    <w:t>2</w:t>
                  </w:r>
                  <w:r>
                    <w:rPr>
                      <w:kern w:val="0"/>
                      <w:szCs w:val="21"/>
                    </w:rPr>
                    <w:t>，</w:t>
                  </w:r>
                  <w:r>
                    <w:rPr>
                      <w:rFonts w:hint="eastAsia"/>
                      <w:kern w:val="0"/>
                      <w:szCs w:val="21"/>
                    </w:rPr>
                    <w:t>单层</w:t>
                  </w:r>
                  <w:r>
                    <w:rPr>
                      <w:kern w:val="0"/>
                      <w:szCs w:val="21"/>
                    </w:rPr>
                    <w:t>，</w:t>
                  </w:r>
                  <w:r>
                    <w:rPr>
                      <w:rFonts w:hint="eastAsia"/>
                      <w:kern w:val="0"/>
                      <w:szCs w:val="21"/>
                    </w:rPr>
                    <w:t>板房，主要</w:t>
                  </w:r>
                  <w:r>
                    <w:rPr>
                      <w:kern w:val="0"/>
                      <w:szCs w:val="21"/>
                    </w:rPr>
                    <w:t>用于职工办公</w:t>
                  </w:r>
                </w:p>
              </w:tc>
              <w:tc>
                <w:tcPr>
                  <w:tcW w:w="550" w:type="pct"/>
                  <w:tcBorders>
                    <w:left w:val="single" w:color="auto" w:sz="4" w:space="0"/>
                    <w:right w:val="single" w:color="auto" w:sz="4" w:space="0"/>
                  </w:tcBorders>
                  <w:vAlign w:val="center"/>
                </w:tcPr>
                <w:p w14:paraId="0777311A">
                  <w:pPr>
                    <w:jc w:val="center"/>
                    <w:rPr>
                      <w:szCs w:val="21"/>
                    </w:rPr>
                  </w:pPr>
                  <w:r>
                    <w:rPr>
                      <w:szCs w:val="21"/>
                    </w:rPr>
                    <w:t>新建</w:t>
                  </w:r>
                </w:p>
              </w:tc>
            </w:tr>
            <w:tr w14:paraId="57649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0" w:type="dxa"/>
                  <w:bottom w:w="28" w:type="dxa"/>
                  <w:right w:w="0" w:type="dxa"/>
                </w:tblCellMar>
              </w:tblPrEx>
              <w:trPr>
                <w:trHeight w:val="340" w:hRule="atLeast"/>
              </w:trPr>
              <w:tc>
                <w:tcPr>
                  <w:tcW w:w="389" w:type="pct"/>
                  <w:vMerge w:val="restart"/>
                  <w:tcBorders>
                    <w:top w:val="single" w:color="auto" w:sz="4" w:space="0"/>
                    <w:left w:val="single" w:color="auto" w:sz="4" w:space="0"/>
                    <w:right w:val="single" w:color="auto" w:sz="4" w:space="0"/>
                  </w:tcBorders>
                  <w:vAlign w:val="center"/>
                </w:tcPr>
                <w:p w14:paraId="5492FA3A">
                  <w:pPr>
                    <w:jc w:val="center"/>
                    <w:rPr>
                      <w:szCs w:val="21"/>
                    </w:rPr>
                  </w:pPr>
                  <w:r>
                    <w:rPr>
                      <w:szCs w:val="21"/>
                    </w:rPr>
                    <w:t>公用</w:t>
                  </w:r>
                </w:p>
                <w:p w14:paraId="1FBDE2B7">
                  <w:pPr>
                    <w:jc w:val="center"/>
                    <w:rPr>
                      <w:bCs/>
                      <w:szCs w:val="21"/>
                    </w:rPr>
                  </w:pPr>
                  <w:r>
                    <w:rPr>
                      <w:szCs w:val="21"/>
                    </w:rPr>
                    <w:t>工程</w:t>
                  </w:r>
                </w:p>
              </w:tc>
              <w:tc>
                <w:tcPr>
                  <w:tcW w:w="681" w:type="pct"/>
                  <w:tcBorders>
                    <w:top w:val="single" w:color="auto" w:sz="4" w:space="0"/>
                    <w:left w:val="single" w:color="auto" w:sz="4" w:space="0"/>
                    <w:bottom w:val="single" w:color="auto" w:sz="4" w:space="0"/>
                    <w:right w:val="single" w:color="auto" w:sz="4" w:space="0"/>
                  </w:tcBorders>
                  <w:vAlign w:val="center"/>
                </w:tcPr>
                <w:p w14:paraId="6ED03597">
                  <w:pPr>
                    <w:jc w:val="center"/>
                    <w:rPr>
                      <w:bCs/>
                      <w:szCs w:val="21"/>
                    </w:rPr>
                  </w:pPr>
                  <w:r>
                    <w:rPr>
                      <w:szCs w:val="21"/>
                    </w:rPr>
                    <w:t>供电</w:t>
                  </w:r>
                </w:p>
              </w:tc>
              <w:tc>
                <w:tcPr>
                  <w:tcW w:w="3380" w:type="pct"/>
                  <w:tcBorders>
                    <w:top w:val="single" w:color="auto" w:sz="4" w:space="0"/>
                    <w:left w:val="single" w:color="auto" w:sz="4" w:space="0"/>
                    <w:bottom w:val="single" w:color="auto" w:sz="4" w:space="0"/>
                    <w:right w:val="single" w:color="auto" w:sz="4" w:space="0"/>
                  </w:tcBorders>
                  <w:vAlign w:val="center"/>
                </w:tcPr>
                <w:p w14:paraId="4D566293">
                  <w:pPr>
                    <w:jc w:val="left"/>
                    <w:rPr>
                      <w:bCs/>
                      <w:kern w:val="21"/>
                      <w:szCs w:val="21"/>
                    </w:rPr>
                  </w:pPr>
                  <w:r>
                    <w:rPr>
                      <w:kern w:val="21"/>
                      <w:szCs w:val="21"/>
                    </w:rPr>
                    <w:t>由</w:t>
                  </w:r>
                  <w:r>
                    <w:rPr>
                      <w:rFonts w:hint="eastAsia"/>
                      <w:kern w:val="21"/>
                      <w:szCs w:val="21"/>
                    </w:rPr>
                    <w:t>北关镇</w:t>
                  </w:r>
                  <w:r>
                    <w:rPr>
                      <w:kern w:val="21"/>
                      <w:szCs w:val="21"/>
                    </w:rPr>
                    <w:t>电网供给</w:t>
                  </w:r>
                </w:p>
              </w:tc>
              <w:tc>
                <w:tcPr>
                  <w:tcW w:w="550" w:type="pct"/>
                  <w:tcBorders>
                    <w:top w:val="single" w:color="auto" w:sz="4" w:space="0"/>
                    <w:left w:val="single" w:color="auto" w:sz="4" w:space="0"/>
                    <w:bottom w:val="single" w:color="auto" w:sz="4" w:space="0"/>
                    <w:right w:val="single" w:color="auto" w:sz="4" w:space="0"/>
                  </w:tcBorders>
                  <w:vAlign w:val="center"/>
                </w:tcPr>
                <w:p w14:paraId="724F0EE8">
                  <w:pPr>
                    <w:jc w:val="center"/>
                    <w:rPr>
                      <w:bCs/>
                      <w:szCs w:val="21"/>
                    </w:rPr>
                  </w:pPr>
                  <w:r>
                    <w:rPr>
                      <w:rFonts w:hint="eastAsia"/>
                      <w:bCs/>
                      <w:szCs w:val="21"/>
                    </w:rPr>
                    <w:t>/</w:t>
                  </w:r>
                </w:p>
              </w:tc>
            </w:tr>
            <w:tr w14:paraId="43360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0" w:type="dxa"/>
                  <w:bottom w:w="28" w:type="dxa"/>
                  <w:right w:w="0" w:type="dxa"/>
                </w:tblCellMar>
              </w:tblPrEx>
              <w:trPr>
                <w:trHeight w:val="340" w:hRule="atLeast"/>
              </w:trPr>
              <w:tc>
                <w:tcPr>
                  <w:tcW w:w="389" w:type="pct"/>
                  <w:vMerge w:val="continue"/>
                  <w:tcBorders>
                    <w:left w:val="single" w:color="auto" w:sz="4" w:space="0"/>
                    <w:right w:val="single" w:color="auto" w:sz="4" w:space="0"/>
                  </w:tcBorders>
                  <w:vAlign w:val="center"/>
                </w:tcPr>
                <w:p w14:paraId="577A626D">
                  <w:pPr>
                    <w:widowControl/>
                    <w:jc w:val="left"/>
                    <w:rPr>
                      <w:bCs/>
                      <w:szCs w:val="21"/>
                    </w:rPr>
                  </w:pPr>
                </w:p>
              </w:tc>
              <w:tc>
                <w:tcPr>
                  <w:tcW w:w="681" w:type="pct"/>
                  <w:tcBorders>
                    <w:top w:val="single" w:color="auto" w:sz="4" w:space="0"/>
                    <w:left w:val="single" w:color="auto" w:sz="4" w:space="0"/>
                    <w:bottom w:val="single" w:color="auto" w:sz="4" w:space="0"/>
                    <w:right w:val="single" w:color="auto" w:sz="4" w:space="0"/>
                  </w:tcBorders>
                  <w:vAlign w:val="center"/>
                </w:tcPr>
                <w:p w14:paraId="2ED5A681">
                  <w:pPr>
                    <w:jc w:val="center"/>
                    <w:rPr>
                      <w:bCs/>
                      <w:szCs w:val="21"/>
                    </w:rPr>
                  </w:pPr>
                  <w:r>
                    <w:rPr>
                      <w:szCs w:val="21"/>
                    </w:rPr>
                    <w:t>供水</w:t>
                  </w:r>
                </w:p>
              </w:tc>
              <w:tc>
                <w:tcPr>
                  <w:tcW w:w="3380" w:type="pct"/>
                  <w:tcBorders>
                    <w:top w:val="single" w:color="auto" w:sz="4" w:space="0"/>
                    <w:left w:val="single" w:color="auto" w:sz="4" w:space="0"/>
                    <w:bottom w:val="single" w:color="auto" w:sz="4" w:space="0"/>
                    <w:right w:val="single" w:color="auto" w:sz="4" w:space="0"/>
                  </w:tcBorders>
                  <w:vAlign w:val="center"/>
                </w:tcPr>
                <w:p w14:paraId="6A292AC3">
                  <w:pPr>
                    <w:jc w:val="left"/>
                    <w:rPr>
                      <w:bCs/>
                      <w:kern w:val="21"/>
                      <w:szCs w:val="21"/>
                    </w:rPr>
                  </w:pPr>
                  <w:r>
                    <w:rPr>
                      <w:kern w:val="21"/>
                      <w:szCs w:val="21"/>
                    </w:rPr>
                    <w:t>由</w:t>
                  </w:r>
                  <w:r>
                    <w:rPr>
                      <w:rFonts w:hint="eastAsia"/>
                      <w:kern w:val="21"/>
                      <w:szCs w:val="21"/>
                    </w:rPr>
                    <w:t>北关镇自来水管网</w:t>
                  </w:r>
                  <w:r>
                    <w:rPr>
                      <w:kern w:val="21"/>
                      <w:szCs w:val="21"/>
                    </w:rPr>
                    <w:t>供给</w:t>
                  </w:r>
                </w:p>
              </w:tc>
              <w:tc>
                <w:tcPr>
                  <w:tcW w:w="550" w:type="pct"/>
                  <w:tcBorders>
                    <w:top w:val="single" w:color="auto" w:sz="4" w:space="0"/>
                    <w:left w:val="single" w:color="auto" w:sz="4" w:space="0"/>
                    <w:bottom w:val="single" w:color="auto" w:sz="4" w:space="0"/>
                    <w:right w:val="single" w:color="auto" w:sz="4" w:space="0"/>
                  </w:tcBorders>
                  <w:vAlign w:val="center"/>
                </w:tcPr>
                <w:p w14:paraId="68C1732D">
                  <w:pPr>
                    <w:jc w:val="center"/>
                    <w:rPr>
                      <w:bCs/>
                      <w:szCs w:val="21"/>
                    </w:rPr>
                  </w:pPr>
                  <w:r>
                    <w:rPr>
                      <w:rFonts w:hint="eastAsia"/>
                      <w:bCs/>
                      <w:szCs w:val="21"/>
                    </w:rPr>
                    <w:t>/</w:t>
                  </w:r>
                </w:p>
              </w:tc>
            </w:tr>
            <w:tr w14:paraId="072F1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0" w:type="dxa"/>
                  <w:bottom w:w="28" w:type="dxa"/>
                  <w:right w:w="0" w:type="dxa"/>
                </w:tblCellMar>
              </w:tblPrEx>
              <w:trPr>
                <w:trHeight w:val="340" w:hRule="atLeast"/>
              </w:trPr>
              <w:tc>
                <w:tcPr>
                  <w:tcW w:w="389" w:type="pct"/>
                  <w:vMerge w:val="continue"/>
                  <w:tcBorders>
                    <w:left w:val="single" w:color="auto" w:sz="4" w:space="0"/>
                    <w:right w:val="single" w:color="auto" w:sz="4" w:space="0"/>
                  </w:tcBorders>
                  <w:vAlign w:val="center"/>
                </w:tcPr>
                <w:p w14:paraId="4B909877">
                  <w:pPr>
                    <w:widowControl/>
                    <w:jc w:val="left"/>
                    <w:rPr>
                      <w:bCs/>
                      <w:szCs w:val="21"/>
                    </w:rPr>
                  </w:pPr>
                </w:p>
              </w:tc>
              <w:tc>
                <w:tcPr>
                  <w:tcW w:w="681" w:type="pct"/>
                  <w:tcBorders>
                    <w:top w:val="single" w:color="auto" w:sz="4" w:space="0"/>
                    <w:left w:val="single" w:color="auto" w:sz="4" w:space="0"/>
                    <w:bottom w:val="single" w:color="auto" w:sz="4" w:space="0"/>
                    <w:right w:val="single" w:color="auto" w:sz="4" w:space="0"/>
                  </w:tcBorders>
                  <w:vAlign w:val="center"/>
                </w:tcPr>
                <w:p w14:paraId="4AE77AEA">
                  <w:pPr>
                    <w:jc w:val="center"/>
                    <w:rPr>
                      <w:szCs w:val="21"/>
                    </w:rPr>
                  </w:pPr>
                  <w:r>
                    <w:rPr>
                      <w:szCs w:val="21"/>
                    </w:rPr>
                    <w:t>供气</w:t>
                  </w:r>
                </w:p>
              </w:tc>
              <w:tc>
                <w:tcPr>
                  <w:tcW w:w="3380" w:type="pct"/>
                  <w:tcBorders>
                    <w:top w:val="single" w:color="auto" w:sz="4" w:space="0"/>
                    <w:left w:val="single" w:color="auto" w:sz="4" w:space="0"/>
                    <w:bottom w:val="single" w:color="auto" w:sz="4" w:space="0"/>
                    <w:right w:val="single" w:color="auto" w:sz="4" w:space="0"/>
                  </w:tcBorders>
                  <w:vAlign w:val="center"/>
                </w:tcPr>
                <w:p w14:paraId="4A47BBE4">
                  <w:pPr>
                    <w:jc w:val="left"/>
                    <w:rPr>
                      <w:kern w:val="21"/>
                      <w:szCs w:val="21"/>
                    </w:rPr>
                  </w:pPr>
                  <w:r>
                    <w:rPr>
                      <w:kern w:val="21"/>
                      <w:szCs w:val="21"/>
                    </w:rPr>
                    <w:t>由</w:t>
                  </w:r>
                  <w:r>
                    <w:rPr>
                      <w:rFonts w:hint="eastAsia"/>
                      <w:kern w:val="21"/>
                      <w:szCs w:val="21"/>
                    </w:rPr>
                    <w:t>北关镇</w:t>
                  </w:r>
                  <w:r>
                    <w:rPr>
                      <w:kern w:val="21"/>
                      <w:szCs w:val="21"/>
                    </w:rPr>
                    <w:t>天然气</w:t>
                  </w:r>
                  <w:r>
                    <w:rPr>
                      <w:rFonts w:hint="eastAsia"/>
                      <w:kern w:val="21"/>
                      <w:szCs w:val="21"/>
                    </w:rPr>
                    <w:t>公司供气</w:t>
                  </w:r>
                  <w:r>
                    <w:rPr>
                      <w:kern w:val="21"/>
                      <w:szCs w:val="21"/>
                    </w:rPr>
                    <w:t>，在项目所在厂区内</w:t>
                  </w:r>
                  <w:r>
                    <w:rPr>
                      <w:rFonts w:hint="eastAsia"/>
                      <w:kern w:val="21"/>
                      <w:szCs w:val="21"/>
                    </w:rPr>
                    <w:t>建设LNG储罐</w:t>
                  </w:r>
                  <w:r>
                    <w:rPr>
                      <w:kern w:val="21"/>
                      <w:szCs w:val="21"/>
                    </w:rPr>
                    <w:t>，由燃气公司定期采用罐车运入厂内</w:t>
                  </w:r>
                </w:p>
              </w:tc>
              <w:tc>
                <w:tcPr>
                  <w:tcW w:w="550" w:type="pct"/>
                  <w:tcBorders>
                    <w:top w:val="single" w:color="auto" w:sz="4" w:space="0"/>
                    <w:left w:val="single" w:color="auto" w:sz="4" w:space="0"/>
                    <w:bottom w:val="single" w:color="auto" w:sz="4" w:space="0"/>
                    <w:right w:val="single" w:color="auto" w:sz="4" w:space="0"/>
                  </w:tcBorders>
                  <w:vAlign w:val="center"/>
                </w:tcPr>
                <w:p w14:paraId="40535836">
                  <w:pPr>
                    <w:jc w:val="center"/>
                    <w:rPr>
                      <w:bCs/>
                      <w:szCs w:val="21"/>
                    </w:rPr>
                  </w:pPr>
                  <w:r>
                    <w:rPr>
                      <w:rFonts w:hint="eastAsia"/>
                      <w:bCs/>
                      <w:szCs w:val="21"/>
                    </w:rPr>
                    <w:t>/</w:t>
                  </w:r>
                </w:p>
              </w:tc>
            </w:tr>
            <w:tr w14:paraId="454A8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0" w:type="dxa"/>
                  <w:bottom w:w="28" w:type="dxa"/>
                  <w:right w:w="0" w:type="dxa"/>
                </w:tblCellMar>
              </w:tblPrEx>
              <w:trPr>
                <w:trHeight w:val="340" w:hRule="atLeast"/>
              </w:trPr>
              <w:tc>
                <w:tcPr>
                  <w:tcW w:w="389" w:type="pct"/>
                  <w:vMerge w:val="restart"/>
                  <w:tcBorders>
                    <w:top w:val="single" w:color="auto" w:sz="4" w:space="0"/>
                    <w:left w:val="single" w:color="auto" w:sz="4" w:space="0"/>
                    <w:right w:val="single" w:color="auto" w:sz="4" w:space="0"/>
                  </w:tcBorders>
                  <w:vAlign w:val="center"/>
                </w:tcPr>
                <w:p w14:paraId="3A705DE1">
                  <w:pPr>
                    <w:jc w:val="center"/>
                    <w:rPr>
                      <w:bCs/>
                      <w:szCs w:val="21"/>
                    </w:rPr>
                  </w:pPr>
                  <w:r>
                    <w:rPr>
                      <w:szCs w:val="21"/>
                    </w:rPr>
                    <w:t>环保</w:t>
                  </w:r>
                </w:p>
                <w:p w14:paraId="3085685A">
                  <w:pPr>
                    <w:jc w:val="center"/>
                    <w:rPr>
                      <w:szCs w:val="21"/>
                      <w:highlight w:val="yellow"/>
                    </w:rPr>
                  </w:pPr>
                  <w:r>
                    <w:rPr>
                      <w:szCs w:val="21"/>
                    </w:rPr>
                    <w:t>工程</w:t>
                  </w:r>
                </w:p>
              </w:tc>
              <w:tc>
                <w:tcPr>
                  <w:tcW w:w="681" w:type="pct"/>
                  <w:vMerge w:val="restart"/>
                  <w:tcBorders>
                    <w:top w:val="single" w:color="auto" w:sz="4" w:space="0"/>
                    <w:left w:val="single" w:color="auto" w:sz="4" w:space="0"/>
                    <w:right w:val="single" w:color="auto" w:sz="4" w:space="0"/>
                  </w:tcBorders>
                  <w:vAlign w:val="center"/>
                </w:tcPr>
                <w:p w14:paraId="07CB93F2">
                  <w:pPr>
                    <w:jc w:val="center"/>
                    <w:rPr>
                      <w:szCs w:val="21"/>
                    </w:rPr>
                  </w:pPr>
                  <w:r>
                    <w:rPr>
                      <w:szCs w:val="21"/>
                    </w:rPr>
                    <w:t>废气防治</w:t>
                  </w:r>
                </w:p>
              </w:tc>
              <w:tc>
                <w:tcPr>
                  <w:tcW w:w="3380" w:type="pct"/>
                  <w:tcBorders>
                    <w:top w:val="single" w:color="auto" w:sz="4" w:space="0"/>
                    <w:left w:val="single" w:color="auto" w:sz="4" w:space="0"/>
                    <w:bottom w:val="single" w:color="auto" w:sz="4" w:space="0"/>
                    <w:right w:val="single" w:color="auto" w:sz="4" w:space="0"/>
                  </w:tcBorders>
                  <w:vAlign w:val="center"/>
                </w:tcPr>
                <w:p w14:paraId="32FE585C">
                  <w:pPr>
                    <w:jc w:val="left"/>
                    <w:rPr>
                      <w:rFonts w:hAnsiTheme="majorEastAsia" w:eastAsiaTheme="majorEastAsia"/>
                      <w:szCs w:val="21"/>
                    </w:rPr>
                  </w:pPr>
                  <w:r>
                    <w:rPr>
                      <w:rFonts w:hint="eastAsia"/>
                      <w:szCs w:val="21"/>
                    </w:rPr>
                    <w:t>项目1#生产车间原料存放、破碎、熬制及压饼等生产过程恶臭废气、熬制油烟废气及污水处理站恶臭气体由“冷凝+静电油烟净化器+碱液喷淋塔+除雾器+活性炭吸附装置”处理后通过排气筒DA001达标排放，物料装卸及生产过程均在密闭车间内进行</w:t>
                  </w:r>
                </w:p>
              </w:tc>
              <w:tc>
                <w:tcPr>
                  <w:tcW w:w="550" w:type="pct"/>
                  <w:vMerge w:val="restart"/>
                  <w:tcBorders>
                    <w:top w:val="single" w:color="auto" w:sz="4" w:space="0"/>
                    <w:left w:val="single" w:color="auto" w:sz="4" w:space="0"/>
                    <w:right w:val="single" w:color="auto" w:sz="4" w:space="0"/>
                  </w:tcBorders>
                  <w:vAlign w:val="center"/>
                </w:tcPr>
                <w:p w14:paraId="2907792F">
                  <w:pPr>
                    <w:jc w:val="center"/>
                    <w:rPr>
                      <w:szCs w:val="21"/>
                    </w:rPr>
                  </w:pPr>
                  <w:r>
                    <w:rPr>
                      <w:szCs w:val="21"/>
                    </w:rPr>
                    <w:t>新建</w:t>
                  </w:r>
                </w:p>
              </w:tc>
            </w:tr>
            <w:tr w14:paraId="2FA3B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0" w:type="dxa"/>
                  <w:bottom w:w="28" w:type="dxa"/>
                  <w:right w:w="0" w:type="dxa"/>
                </w:tblCellMar>
              </w:tblPrEx>
              <w:trPr>
                <w:trHeight w:val="340" w:hRule="atLeast"/>
              </w:trPr>
              <w:tc>
                <w:tcPr>
                  <w:tcW w:w="389" w:type="pct"/>
                  <w:vMerge w:val="continue"/>
                  <w:tcBorders>
                    <w:top w:val="single" w:color="auto" w:sz="4" w:space="0"/>
                    <w:left w:val="single" w:color="auto" w:sz="4" w:space="0"/>
                    <w:right w:val="single" w:color="auto" w:sz="4" w:space="0"/>
                  </w:tcBorders>
                  <w:vAlign w:val="center"/>
                </w:tcPr>
                <w:p w14:paraId="1351EF5C">
                  <w:pPr>
                    <w:jc w:val="center"/>
                    <w:rPr>
                      <w:szCs w:val="21"/>
                    </w:rPr>
                  </w:pPr>
                </w:p>
              </w:tc>
              <w:tc>
                <w:tcPr>
                  <w:tcW w:w="681" w:type="pct"/>
                  <w:vMerge w:val="continue"/>
                  <w:tcBorders>
                    <w:top w:val="single" w:color="auto" w:sz="4" w:space="0"/>
                    <w:left w:val="single" w:color="auto" w:sz="4" w:space="0"/>
                    <w:right w:val="single" w:color="auto" w:sz="4" w:space="0"/>
                  </w:tcBorders>
                  <w:vAlign w:val="center"/>
                </w:tcPr>
                <w:p w14:paraId="293A03B7">
                  <w:pPr>
                    <w:jc w:val="center"/>
                    <w:rPr>
                      <w:szCs w:val="21"/>
                    </w:rPr>
                  </w:pPr>
                </w:p>
              </w:tc>
              <w:tc>
                <w:tcPr>
                  <w:tcW w:w="3380" w:type="pct"/>
                  <w:tcBorders>
                    <w:top w:val="single" w:color="auto" w:sz="4" w:space="0"/>
                    <w:left w:val="single" w:color="auto" w:sz="4" w:space="0"/>
                    <w:bottom w:val="single" w:color="auto" w:sz="4" w:space="0"/>
                    <w:right w:val="single" w:color="auto" w:sz="4" w:space="0"/>
                  </w:tcBorders>
                  <w:vAlign w:val="center"/>
                </w:tcPr>
                <w:p w14:paraId="574E761A">
                  <w:pPr>
                    <w:jc w:val="left"/>
                    <w:rPr>
                      <w:szCs w:val="21"/>
                    </w:rPr>
                  </w:pPr>
                  <w:r>
                    <w:rPr>
                      <w:rFonts w:hint="eastAsia"/>
                      <w:szCs w:val="21"/>
                    </w:rPr>
                    <w:t>项目2#生产车间原料存放、破碎、熬制及压饼等生产过程恶臭废气、熬制油烟废气由“冷凝+静电油烟净化器+碱液喷淋塔+除雾器+活性炭吸附装置”处理后通过排气筒DA002达标排放，物料装卸及生产过程均在密闭车间内进行</w:t>
                  </w:r>
                </w:p>
              </w:tc>
              <w:tc>
                <w:tcPr>
                  <w:tcW w:w="550" w:type="pct"/>
                  <w:vMerge w:val="continue"/>
                  <w:tcBorders>
                    <w:top w:val="single" w:color="auto" w:sz="4" w:space="0"/>
                    <w:left w:val="single" w:color="auto" w:sz="4" w:space="0"/>
                    <w:right w:val="single" w:color="auto" w:sz="4" w:space="0"/>
                  </w:tcBorders>
                  <w:vAlign w:val="center"/>
                </w:tcPr>
                <w:p w14:paraId="20B5A856">
                  <w:pPr>
                    <w:jc w:val="center"/>
                    <w:rPr>
                      <w:szCs w:val="21"/>
                    </w:rPr>
                  </w:pPr>
                </w:p>
              </w:tc>
            </w:tr>
            <w:tr w14:paraId="2C0BB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0" w:type="dxa"/>
                  <w:bottom w:w="28" w:type="dxa"/>
                  <w:right w:w="0" w:type="dxa"/>
                </w:tblCellMar>
              </w:tblPrEx>
              <w:trPr>
                <w:trHeight w:val="340" w:hRule="atLeast"/>
              </w:trPr>
              <w:tc>
                <w:tcPr>
                  <w:tcW w:w="389" w:type="pct"/>
                  <w:vMerge w:val="continue"/>
                  <w:tcBorders>
                    <w:left w:val="single" w:color="auto" w:sz="4" w:space="0"/>
                    <w:right w:val="single" w:color="auto" w:sz="4" w:space="0"/>
                  </w:tcBorders>
                  <w:vAlign w:val="center"/>
                </w:tcPr>
                <w:p w14:paraId="35DCF61C">
                  <w:pPr>
                    <w:jc w:val="center"/>
                    <w:rPr>
                      <w:szCs w:val="21"/>
                      <w:highlight w:val="yellow"/>
                    </w:rPr>
                  </w:pPr>
                </w:p>
              </w:tc>
              <w:tc>
                <w:tcPr>
                  <w:tcW w:w="681" w:type="pct"/>
                  <w:vMerge w:val="continue"/>
                  <w:tcBorders>
                    <w:left w:val="single" w:color="auto" w:sz="4" w:space="0"/>
                    <w:right w:val="single" w:color="auto" w:sz="4" w:space="0"/>
                  </w:tcBorders>
                  <w:vAlign w:val="center"/>
                </w:tcPr>
                <w:p w14:paraId="012477DF">
                  <w:pPr>
                    <w:jc w:val="center"/>
                    <w:rPr>
                      <w:szCs w:val="21"/>
                    </w:rPr>
                  </w:pPr>
                </w:p>
              </w:tc>
              <w:tc>
                <w:tcPr>
                  <w:tcW w:w="3380" w:type="pct"/>
                  <w:tcBorders>
                    <w:top w:val="single" w:color="auto" w:sz="4" w:space="0"/>
                    <w:left w:val="single" w:color="auto" w:sz="4" w:space="0"/>
                    <w:bottom w:val="single" w:color="auto" w:sz="4" w:space="0"/>
                    <w:right w:val="single" w:color="auto" w:sz="4" w:space="0"/>
                  </w:tcBorders>
                  <w:vAlign w:val="center"/>
                </w:tcPr>
                <w:p w14:paraId="6B20F18B">
                  <w:pPr>
                    <w:jc w:val="left"/>
                    <w:rPr>
                      <w:bCs/>
                      <w:szCs w:val="21"/>
                    </w:rPr>
                  </w:pPr>
                  <w:r>
                    <w:rPr>
                      <w:rFonts w:hint="eastAsia"/>
                      <w:szCs w:val="21"/>
                    </w:rPr>
                    <w:t>燃气导热油锅</w:t>
                  </w:r>
                  <w:r>
                    <w:rPr>
                      <w:rFonts w:hint="eastAsia"/>
                      <w:bCs/>
                      <w:spacing w:val="-4"/>
                      <w:kern w:val="0"/>
                      <w:szCs w:val="21"/>
                    </w:rPr>
                    <w:t>炉采用低氮燃烧+烟气循环系统，烟气经</w:t>
                  </w:r>
                  <w:r>
                    <w:rPr>
                      <w:bCs/>
                      <w:spacing w:val="-4"/>
                      <w:kern w:val="0"/>
                      <w:szCs w:val="21"/>
                    </w:rPr>
                    <w:t>8m</w:t>
                  </w:r>
                  <w:r>
                    <w:rPr>
                      <w:rFonts w:hint="eastAsia"/>
                      <w:bCs/>
                      <w:spacing w:val="-4"/>
                      <w:kern w:val="0"/>
                      <w:szCs w:val="21"/>
                    </w:rPr>
                    <w:t>高排气筒</w:t>
                  </w:r>
                  <w:r>
                    <w:rPr>
                      <w:szCs w:val="21"/>
                    </w:rPr>
                    <w:t>DA0</w:t>
                  </w:r>
                  <w:r>
                    <w:rPr>
                      <w:rFonts w:hint="eastAsia"/>
                      <w:szCs w:val="21"/>
                    </w:rPr>
                    <w:t>03</w:t>
                  </w:r>
                  <w:r>
                    <w:rPr>
                      <w:rFonts w:hint="eastAsia"/>
                      <w:bCs/>
                      <w:spacing w:val="-4"/>
                      <w:kern w:val="0"/>
                      <w:szCs w:val="21"/>
                    </w:rPr>
                    <w:t>排放</w:t>
                  </w:r>
                </w:p>
              </w:tc>
              <w:tc>
                <w:tcPr>
                  <w:tcW w:w="550" w:type="pct"/>
                  <w:vMerge w:val="continue"/>
                  <w:tcBorders>
                    <w:left w:val="single" w:color="auto" w:sz="4" w:space="0"/>
                    <w:right w:val="single" w:color="auto" w:sz="4" w:space="0"/>
                  </w:tcBorders>
                  <w:vAlign w:val="center"/>
                </w:tcPr>
                <w:p w14:paraId="55A038FC">
                  <w:pPr>
                    <w:jc w:val="center"/>
                    <w:rPr>
                      <w:szCs w:val="21"/>
                    </w:rPr>
                  </w:pPr>
                </w:p>
              </w:tc>
            </w:tr>
            <w:tr w14:paraId="0B69F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0" w:type="dxa"/>
                  <w:bottom w:w="28" w:type="dxa"/>
                  <w:right w:w="0" w:type="dxa"/>
                </w:tblCellMar>
              </w:tblPrEx>
              <w:trPr>
                <w:trHeight w:val="340" w:hRule="atLeast"/>
              </w:trPr>
              <w:tc>
                <w:tcPr>
                  <w:tcW w:w="389" w:type="pct"/>
                  <w:vMerge w:val="continue"/>
                  <w:tcBorders>
                    <w:left w:val="single" w:color="auto" w:sz="4" w:space="0"/>
                    <w:right w:val="single" w:color="auto" w:sz="4" w:space="0"/>
                  </w:tcBorders>
                  <w:vAlign w:val="center"/>
                </w:tcPr>
                <w:p w14:paraId="21C749C2">
                  <w:pPr>
                    <w:jc w:val="center"/>
                    <w:rPr>
                      <w:bCs/>
                      <w:szCs w:val="21"/>
                    </w:rPr>
                  </w:pPr>
                </w:p>
              </w:tc>
              <w:tc>
                <w:tcPr>
                  <w:tcW w:w="681" w:type="pct"/>
                  <w:vMerge w:val="restart"/>
                  <w:tcBorders>
                    <w:top w:val="single" w:color="auto" w:sz="4" w:space="0"/>
                    <w:left w:val="single" w:color="auto" w:sz="4" w:space="0"/>
                    <w:right w:val="single" w:color="auto" w:sz="4" w:space="0"/>
                  </w:tcBorders>
                  <w:vAlign w:val="center"/>
                </w:tcPr>
                <w:p w14:paraId="3A5E6F54">
                  <w:pPr>
                    <w:jc w:val="center"/>
                    <w:rPr>
                      <w:szCs w:val="21"/>
                    </w:rPr>
                  </w:pPr>
                  <w:r>
                    <w:rPr>
                      <w:szCs w:val="21"/>
                    </w:rPr>
                    <w:t>废水处理</w:t>
                  </w:r>
                </w:p>
              </w:tc>
              <w:tc>
                <w:tcPr>
                  <w:tcW w:w="3380" w:type="pct"/>
                  <w:tcBorders>
                    <w:top w:val="single" w:color="auto" w:sz="4" w:space="0"/>
                    <w:left w:val="single" w:color="auto" w:sz="4" w:space="0"/>
                    <w:bottom w:val="single" w:color="auto" w:sz="4" w:space="0"/>
                    <w:right w:val="single" w:color="auto" w:sz="4" w:space="0"/>
                  </w:tcBorders>
                  <w:vAlign w:val="center"/>
                </w:tcPr>
                <w:p w14:paraId="5EA3624D">
                  <w:pPr>
                    <w:jc w:val="left"/>
                    <w:rPr>
                      <w:bCs/>
                      <w:spacing w:val="-4"/>
                      <w:szCs w:val="21"/>
                    </w:rPr>
                  </w:pPr>
                  <w:r>
                    <w:rPr>
                      <w:rFonts w:hint="eastAsia"/>
                      <w:bCs/>
                      <w:spacing w:val="-4"/>
                      <w:szCs w:val="21"/>
                    </w:rPr>
                    <w:t>生产废水</w:t>
                  </w:r>
                  <w:r>
                    <w:rPr>
                      <w:rFonts w:hint="eastAsia" w:cs="宋体"/>
                      <w:bCs/>
                      <w:spacing w:val="-4"/>
                      <w:kern w:val="0"/>
                      <w:szCs w:val="21"/>
                    </w:rPr>
                    <w:t>经污水处理站处理后由罐车运至北关镇污水处理厂处理</w:t>
                  </w:r>
                </w:p>
              </w:tc>
              <w:tc>
                <w:tcPr>
                  <w:tcW w:w="550" w:type="pct"/>
                  <w:vMerge w:val="restart"/>
                  <w:tcBorders>
                    <w:top w:val="single" w:color="auto" w:sz="4" w:space="0"/>
                    <w:left w:val="single" w:color="auto" w:sz="4" w:space="0"/>
                    <w:right w:val="single" w:color="auto" w:sz="4" w:space="0"/>
                  </w:tcBorders>
                  <w:vAlign w:val="center"/>
                </w:tcPr>
                <w:p w14:paraId="274CE30A">
                  <w:pPr>
                    <w:jc w:val="center"/>
                    <w:rPr>
                      <w:szCs w:val="21"/>
                    </w:rPr>
                  </w:pPr>
                  <w:r>
                    <w:rPr>
                      <w:szCs w:val="21"/>
                    </w:rPr>
                    <w:t>新建</w:t>
                  </w:r>
                </w:p>
              </w:tc>
            </w:tr>
            <w:tr w14:paraId="7F369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0" w:type="dxa"/>
                  <w:bottom w:w="28" w:type="dxa"/>
                  <w:right w:w="0" w:type="dxa"/>
                </w:tblCellMar>
              </w:tblPrEx>
              <w:trPr>
                <w:trHeight w:val="340" w:hRule="atLeast"/>
              </w:trPr>
              <w:tc>
                <w:tcPr>
                  <w:tcW w:w="389" w:type="pct"/>
                  <w:vMerge w:val="continue"/>
                  <w:tcBorders>
                    <w:left w:val="single" w:color="auto" w:sz="4" w:space="0"/>
                    <w:right w:val="single" w:color="auto" w:sz="4" w:space="0"/>
                  </w:tcBorders>
                  <w:vAlign w:val="center"/>
                </w:tcPr>
                <w:p w14:paraId="0C77AD4E">
                  <w:pPr>
                    <w:jc w:val="center"/>
                    <w:rPr>
                      <w:bCs/>
                      <w:szCs w:val="21"/>
                    </w:rPr>
                  </w:pPr>
                </w:p>
              </w:tc>
              <w:tc>
                <w:tcPr>
                  <w:tcW w:w="681" w:type="pct"/>
                  <w:vMerge w:val="continue"/>
                  <w:tcBorders>
                    <w:left w:val="single" w:color="auto" w:sz="4" w:space="0"/>
                    <w:right w:val="single" w:color="auto" w:sz="4" w:space="0"/>
                  </w:tcBorders>
                  <w:vAlign w:val="center"/>
                </w:tcPr>
                <w:p w14:paraId="6380249E">
                  <w:pPr>
                    <w:jc w:val="center"/>
                    <w:rPr>
                      <w:szCs w:val="21"/>
                    </w:rPr>
                  </w:pPr>
                </w:p>
              </w:tc>
              <w:tc>
                <w:tcPr>
                  <w:tcW w:w="3380" w:type="pct"/>
                  <w:tcBorders>
                    <w:top w:val="single" w:color="auto" w:sz="4" w:space="0"/>
                    <w:left w:val="single" w:color="auto" w:sz="4" w:space="0"/>
                    <w:bottom w:val="single" w:color="auto" w:sz="4" w:space="0"/>
                    <w:right w:val="single" w:color="auto" w:sz="4" w:space="0"/>
                  </w:tcBorders>
                  <w:vAlign w:val="center"/>
                </w:tcPr>
                <w:p w14:paraId="3446D88C">
                  <w:pPr>
                    <w:jc w:val="left"/>
                    <w:rPr>
                      <w:bCs/>
                      <w:szCs w:val="21"/>
                    </w:rPr>
                  </w:pPr>
                  <w:r>
                    <w:rPr>
                      <w:rFonts w:hint="eastAsia" w:cs="宋体"/>
                      <w:bCs/>
                      <w:kern w:val="0"/>
                      <w:szCs w:val="21"/>
                    </w:rPr>
                    <w:t>循环冷却水系统排水回用于设备清洗及地面清洗</w:t>
                  </w:r>
                </w:p>
              </w:tc>
              <w:tc>
                <w:tcPr>
                  <w:tcW w:w="550" w:type="pct"/>
                  <w:vMerge w:val="continue"/>
                  <w:tcBorders>
                    <w:left w:val="single" w:color="auto" w:sz="4" w:space="0"/>
                    <w:right w:val="single" w:color="auto" w:sz="4" w:space="0"/>
                  </w:tcBorders>
                  <w:vAlign w:val="center"/>
                </w:tcPr>
                <w:p w14:paraId="6F67FCC9">
                  <w:pPr>
                    <w:jc w:val="center"/>
                    <w:rPr>
                      <w:szCs w:val="21"/>
                    </w:rPr>
                  </w:pPr>
                </w:p>
              </w:tc>
            </w:tr>
            <w:tr w14:paraId="6FD8F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0" w:type="dxa"/>
                  <w:bottom w:w="28" w:type="dxa"/>
                  <w:right w:w="0" w:type="dxa"/>
                </w:tblCellMar>
              </w:tblPrEx>
              <w:trPr>
                <w:trHeight w:val="340" w:hRule="atLeast"/>
              </w:trPr>
              <w:tc>
                <w:tcPr>
                  <w:tcW w:w="389" w:type="pct"/>
                  <w:vMerge w:val="continue"/>
                  <w:tcBorders>
                    <w:left w:val="single" w:color="auto" w:sz="4" w:space="0"/>
                    <w:right w:val="single" w:color="auto" w:sz="4" w:space="0"/>
                  </w:tcBorders>
                  <w:vAlign w:val="center"/>
                </w:tcPr>
                <w:p w14:paraId="27EDA474">
                  <w:pPr>
                    <w:jc w:val="center"/>
                    <w:rPr>
                      <w:bCs/>
                      <w:szCs w:val="21"/>
                    </w:rPr>
                  </w:pPr>
                </w:p>
              </w:tc>
              <w:tc>
                <w:tcPr>
                  <w:tcW w:w="681" w:type="pct"/>
                  <w:vMerge w:val="continue"/>
                  <w:tcBorders>
                    <w:left w:val="single" w:color="auto" w:sz="4" w:space="0"/>
                    <w:right w:val="single" w:color="auto" w:sz="4" w:space="0"/>
                  </w:tcBorders>
                  <w:vAlign w:val="center"/>
                </w:tcPr>
                <w:p w14:paraId="6237E0C3">
                  <w:pPr>
                    <w:jc w:val="center"/>
                    <w:rPr>
                      <w:szCs w:val="21"/>
                      <w:highlight w:val="yellow"/>
                    </w:rPr>
                  </w:pPr>
                </w:p>
              </w:tc>
              <w:tc>
                <w:tcPr>
                  <w:tcW w:w="3380" w:type="pct"/>
                  <w:tcBorders>
                    <w:top w:val="single" w:color="auto" w:sz="4" w:space="0"/>
                    <w:left w:val="single" w:color="auto" w:sz="4" w:space="0"/>
                    <w:bottom w:val="single" w:color="auto" w:sz="4" w:space="0"/>
                    <w:right w:val="single" w:color="auto" w:sz="4" w:space="0"/>
                  </w:tcBorders>
                  <w:vAlign w:val="center"/>
                </w:tcPr>
                <w:p w14:paraId="31EE317A">
                  <w:pPr>
                    <w:jc w:val="left"/>
                    <w:rPr>
                      <w:szCs w:val="21"/>
                    </w:rPr>
                  </w:pPr>
                  <w:r>
                    <w:rPr>
                      <w:rFonts w:hint="eastAsia"/>
                      <w:bCs/>
                      <w:szCs w:val="21"/>
                    </w:rPr>
                    <w:t>职工生活废水经厂区化粪池（20m</w:t>
                  </w:r>
                  <w:r>
                    <w:rPr>
                      <w:rFonts w:hint="eastAsia"/>
                      <w:bCs/>
                      <w:szCs w:val="21"/>
                      <w:vertAlign w:val="superscript"/>
                    </w:rPr>
                    <w:t>3</w:t>
                  </w:r>
                  <w:r>
                    <w:rPr>
                      <w:rFonts w:hint="eastAsia"/>
                      <w:bCs/>
                      <w:szCs w:val="21"/>
                    </w:rPr>
                    <w:t>）暂存后定期清掏外运肥田</w:t>
                  </w:r>
                  <w:r>
                    <w:rPr>
                      <w:rFonts w:hint="eastAsia"/>
                      <w:szCs w:val="21"/>
                    </w:rPr>
                    <w:t>，项目厂区设有水冲厕</w:t>
                  </w:r>
                </w:p>
              </w:tc>
              <w:tc>
                <w:tcPr>
                  <w:tcW w:w="550" w:type="pct"/>
                  <w:vMerge w:val="continue"/>
                  <w:tcBorders>
                    <w:left w:val="single" w:color="auto" w:sz="4" w:space="0"/>
                    <w:bottom w:val="single" w:color="auto" w:sz="4" w:space="0"/>
                    <w:right w:val="single" w:color="auto" w:sz="4" w:space="0"/>
                  </w:tcBorders>
                  <w:vAlign w:val="center"/>
                </w:tcPr>
                <w:p w14:paraId="6044C7CF">
                  <w:pPr>
                    <w:jc w:val="center"/>
                    <w:rPr>
                      <w:szCs w:val="21"/>
                    </w:rPr>
                  </w:pPr>
                </w:p>
              </w:tc>
            </w:tr>
            <w:tr w14:paraId="3066B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0" w:type="dxa"/>
                  <w:bottom w:w="28" w:type="dxa"/>
                  <w:right w:w="0" w:type="dxa"/>
                </w:tblCellMar>
              </w:tblPrEx>
              <w:trPr>
                <w:trHeight w:val="340" w:hRule="atLeast"/>
              </w:trPr>
              <w:tc>
                <w:tcPr>
                  <w:tcW w:w="389" w:type="pct"/>
                  <w:vMerge w:val="continue"/>
                  <w:tcBorders>
                    <w:left w:val="single" w:color="auto" w:sz="4" w:space="0"/>
                    <w:right w:val="single" w:color="auto" w:sz="4" w:space="0"/>
                  </w:tcBorders>
                  <w:vAlign w:val="center"/>
                </w:tcPr>
                <w:p w14:paraId="0F580330">
                  <w:pPr>
                    <w:widowControl/>
                    <w:jc w:val="left"/>
                    <w:rPr>
                      <w:bCs/>
                      <w:szCs w:val="21"/>
                    </w:rPr>
                  </w:pPr>
                </w:p>
              </w:tc>
              <w:tc>
                <w:tcPr>
                  <w:tcW w:w="681" w:type="pct"/>
                  <w:tcBorders>
                    <w:top w:val="single" w:color="auto" w:sz="4" w:space="0"/>
                    <w:left w:val="single" w:color="auto" w:sz="4" w:space="0"/>
                    <w:bottom w:val="single" w:color="auto" w:sz="4" w:space="0"/>
                    <w:right w:val="single" w:color="auto" w:sz="4" w:space="0"/>
                  </w:tcBorders>
                  <w:vAlign w:val="center"/>
                </w:tcPr>
                <w:p w14:paraId="6AAA010C">
                  <w:pPr>
                    <w:jc w:val="center"/>
                    <w:rPr>
                      <w:bCs/>
                      <w:szCs w:val="21"/>
                    </w:rPr>
                  </w:pPr>
                  <w:r>
                    <w:rPr>
                      <w:szCs w:val="21"/>
                    </w:rPr>
                    <w:t>噪声控制</w:t>
                  </w:r>
                </w:p>
              </w:tc>
              <w:tc>
                <w:tcPr>
                  <w:tcW w:w="3380" w:type="pct"/>
                  <w:tcBorders>
                    <w:top w:val="single" w:color="auto" w:sz="4" w:space="0"/>
                    <w:left w:val="single" w:color="auto" w:sz="4" w:space="0"/>
                    <w:bottom w:val="single" w:color="auto" w:sz="4" w:space="0"/>
                    <w:right w:val="single" w:color="auto" w:sz="4" w:space="0"/>
                  </w:tcBorders>
                  <w:vAlign w:val="center"/>
                </w:tcPr>
                <w:p w14:paraId="1B7D9E38">
                  <w:pPr>
                    <w:pStyle w:val="65"/>
                    <w:adjustRightInd/>
                    <w:rPr>
                      <w:rFonts w:ascii="Times New Roman" w:cs="Times New Roman"/>
                      <w:color w:val="auto"/>
                      <w:kern w:val="21"/>
                      <w:sz w:val="21"/>
                      <w:szCs w:val="21"/>
                    </w:rPr>
                  </w:pPr>
                  <w:r>
                    <w:rPr>
                      <w:rFonts w:ascii="Times New Roman" w:cs="Times New Roman"/>
                      <w:color w:val="auto"/>
                      <w:kern w:val="21"/>
                      <w:sz w:val="21"/>
                      <w:szCs w:val="21"/>
                    </w:rPr>
                    <w:t>选用低噪声设备，</w:t>
                  </w:r>
                  <w:r>
                    <w:rPr>
                      <w:rFonts w:hint="eastAsia" w:ascii="Times New Roman" w:cs="Times New Roman"/>
                      <w:color w:val="auto"/>
                      <w:kern w:val="21"/>
                      <w:sz w:val="21"/>
                      <w:szCs w:val="21"/>
                    </w:rPr>
                    <w:t>生产区域设置基础减振、消声器等</w:t>
                  </w:r>
                </w:p>
              </w:tc>
              <w:tc>
                <w:tcPr>
                  <w:tcW w:w="550" w:type="pct"/>
                  <w:tcBorders>
                    <w:top w:val="single" w:color="auto" w:sz="4" w:space="0"/>
                    <w:left w:val="single" w:color="auto" w:sz="4" w:space="0"/>
                    <w:bottom w:val="single" w:color="auto" w:sz="4" w:space="0"/>
                    <w:right w:val="single" w:color="auto" w:sz="4" w:space="0"/>
                  </w:tcBorders>
                  <w:vAlign w:val="center"/>
                </w:tcPr>
                <w:p w14:paraId="1F9C805A">
                  <w:pPr>
                    <w:pStyle w:val="65"/>
                    <w:adjustRightInd/>
                    <w:jc w:val="center"/>
                    <w:rPr>
                      <w:rFonts w:ascii="Times New Roman" w:cs="Times New Roman"/>
                      <w:color w:val="auto"/>
                      <w:kern w:val="2"/>
                      <w:sz w:val="21"/>
                      <w:szCs w:val="21"/>
                    </w:rPr>
                  </w:pPr>
                  <w:r>
                    <w:rPr>
                      <w:rFonts w:ascii="Times New Roman" w:cs="Times New Roman"/>
                      <w:color w:val="auto"/>
                      <w:kern w:val="2"/>
                      <w:sz w:val="21"/>
                      <w:szCs w:val="21"/>
                    </w:rPr>
                    <w:t>新建</w:t>
                  </w:r>
                </w:p>
              </w:tc>
            </w:tr>
            <w:tr w14:paraId="2AB9F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0" w:type="dxa"/>
                  <w:bottom w:w="28" w:type="dxa"/>
                  <w:right w:w="0" w:type="dxa"/>
                </w:tblCellMar>
              </w:tblPrEx>
              <w:trPr>
                <w:trHeight w:val="340" w:hRule="atLeast"/>
              </w:trPr>
              <w:tc>
                <w:tcPr>
                  <w:tcW w:w="389" w:type="pct"/>
                  <w:vMerge w:val="continue"/>
                  <w:tcBorders>
                    <w:left w:val="single" w:color="auto" w:sz="4" w:space="0"/>
                    <w:right w:val="single" w:color="auto" w:sz="4" w:space="0"/>
                  </w:tcBorders>
                  <w:vAlign w:val="center"/>
                </w:tcPr>
                <w:p w14:paraId="6EBF3F19">
                  <w:pPr>
                    <w:widowControl/>
                    <w:jc w:val="left"/>
                    <w:rPr>
                      <w:bCs/>
                      <w:szCs w:val="21"/>
                    </w:rPr>
                  </w:pPr>
                </w:p>
              </w:tc>
              <w:tc>
                <w:tcPr>
                  <w:tcW w:w="681" w:type="pct"/>
                  <w:tcBorders>
                    <w:top w:val="single" w:color="auto" w:sz="4" w:space="0"/>
                    <w:left w:val="single" w:color="auto" w:sz="4" w:space="0"/>
                    <w:right w:val="single" w:color="auto" w:sz="4" w:space="0"/>
                  </w:tcBorders>
                  <w:vAlign w:val="center"/>
                </w:tcPr>
                <w:p w14:paraId="5A5D3E4E">
                  <w:pPr>
                    <w:jc w:val="center"/>
                    <w:rPr>
                      <w:bCs/>
                      <w:szCs w:val="21"/>
                    </w:rPr>
                  </w:pPr>
                  <w:r>
                    <w:rPr>
                      <w:szCs w:val="21"/>
                    </w:rPr>
                    <w:t>固废处置</w:t>
                  </w:r>
                </w:p>
              </w:tc>
              <w:tc>
                <w:tcPr>
                  <w:tcW w:w="3380" w:type="pct"/>
                  <w:tcBorders>
                    <w:top w:val="single" w:color="auto" w:sz="4" w:space="0"/>
                    <w:left w:val="single" w:color="auto" w:sz="4" w:space="0"/>
                    <w:bottom w:val="single" w:color="auto" w:sz="4" w:space="0"/>
                    <w:right w:val="single" w:color="auto" w:sz="4" w:space="0"/>
                  </w:tcBorders>
                  <w:vAlign w:val="center"/>
                </w:tcPr>
                <w:p w14:paraId="63BA5AD6">
                  <w:pPr>
                    <w:jc w:val="left"/>
                    <w:rPr>
                      <w:kern w:val="21"/>
                      <w:szCs w:val="21"/>
                    </w:rPr>
                  </w:pPr>
                  <w:r>
                    <w:rPr>
                      <w:rFonts w:hint="eastAsia"/>
                      <w:szCs w:val="21"/>
                    </w:rPr>
                    <w:t>设置</w:t>
                  </w:r>
                  <w:r>
                    <w:rPr>
                      <w:rFonts w:hint="eastAsia"/>
                      <w:bCs/>
                      <w:szCs w:val="21"/>
                    </w:rPr>
                    <w:t>一般固废间（20m</w:t>
                  </w:r>
                  <w:r>
                    <w:rPr>
                      <w:rFonts w:hint="eastAsia"/>
                      <w:bCs/>
                      <w:szCs w:val="21"/>
                      <w:vertAlign w:val="superscript"/>
                    </w:rPr>
                    <w:t>2</w:t>
                  </w:r>
                  <w:r>
                    <w:rPr>
                      <w:rFonts w:hint="eastAsia"/>
                      <w:bCs/>
                      <w:szCs w:val="21"/>
                    </w:rPr>
                    <w:t>）和危废暂存间（10m</w:t>
                  </w:r>
                  <w:r>
                    <w:rPr>
                      <w:rFonts w:hint="eastAsia"/>
                      <w:bCs/>
                      <w:szCs w:val="21"/>
                      <w:vertAlign w:val="superscript"/>
                    </w:rPr>
                    <w:t>2</w:t>
                  </w:r>
                  <w:r>
                    <w:rPr>
                      <w:rFonts w:hint="eastAsia"/>
                      <w:bCs/>
                      <w:szCs w:val="21"/>
                    </w:rPr>
                    <w:t>）</w:t>
                  </w:r>
                  <w:r>
                    <w:rPr>
                      <w:rFonts w:hint="eastAsia"/>
                      <w:szCs w:val="21"/>
                    </w:rPr>
                    <w:t>，分类收集处理</w:t>
                  </w:r>
                </w:p>
              </w:tc>
              <w:tc>
                <w:tcPr>
                  <w:tcW w:w="550" w:type="pct"/>
                  <w:tcBorders>
                    <w:top w:val="single" w:color="auto" w:sz="4" w:space="0"/>
                    <w:left w:val="single" w:color="auto" w:sz="4" w:space="0"/>
                    <w:bottom w:val="single" w:color="auto" w:sz="4" w:space="0"/>
                    <w:right w:val="single" w:color="auto" w:sz="4" w:space="0"/>
                  </w:tcBorders>
                  <w:vAlign w:val="center"/>
                </w:tcPr>
                <w:p w14:paraId="5F6DC313">
                  <w:pPr>
                    <w:jc w:val="center"/>
                    <w:rPr>
                      <w:szCs w:val="21"/>
                    </w:rPr>
                  </w:pPr>
                  <w:r>
                    <w:rPr>
                      <w:szCs w:val="21"/>
                    </w:rPr>
                    <w:t>新建</w:t>
                  </w:r>
                </w:p>
              </w:tc>
            </w:tr>
          </w:tbl>
          <w:p w14:paraId="4C1948F8">
            <w:pPr>
              <w:spacing w:line="360" w:lineRule="auto"/>
              <w:ind w:firstLine="482" w:firstLineChars="200"/>
              <w:rPr>
                <w:rFonts w:eastAsia="黑体"/>
                <w:b/>
                <w:iCs/>
                <w:sz w:val="24"/>
              </w:rPr>
            </w:pPr>
            <w:r>
              <w:rPr>
                <w:rFonts w:hint="eastAsia" w:eastAsia="黑体"/>
                <w:b/>
                <w:iCs/>
                <w:sz w:val="24"/>
              </w:rPr>
              <w:t>3</w:t>
            </w:r>
            <w:r>
              <w:rPr>
                <w:rFonts w:eastAsia="黑体"/>
                <w:b/>
                <w:iCs/>
                <w:sz w:val="24"/>
              </w:rPr>
              <w:t>、</w:t>
            </w:r>
            <w:r>
              <w:rPr>
                <w:rFonts w:hint="eastAsia" w:eastAsia="黑体"/>
                <w:b/>
                <w:iCs/>
                <w:sz w:val="24"/>
              </w:rPr>
              <w:t>产品方案</w:t>
            </w:r>
          </w:p>
          <w:p w14:paraId="4DCCECC8">
            <w:pPr>
              <w:spacing w:line="360" w:lineRule="auto"/>
              <w:ind w:firstLine="480" w:firstLineChars="200"/>
              <w:jc w:val="left"/>
              <w:rPr>
                <w:bCs/>
                <w:sz w:val="24"/>
              </w:rPr>
            </w:pPr>
            <w:r>
              <w:rPr>
                <w:rFonts w:hint="eastAsia"/>
                <w:sz w:val="24"/>
              </w:rPr>
              <w:t>本项目为</w:t>
            </w:r>
            <w:r>
              <w:rPr>
                <w:rFonts w:hint="eastAsia"/>
                <w:bCs/>
                <w:sz w:val="24"/>
              </w:rPr>
              <w:t>年产2.5万吨动物油脂项目，</w:t>
            </w:r>
            <w:r>
              <w:rPr>
                <w:rFonts w:hint="eastAsia"/>
                <w:sz w:val="24"/>
              </w:rPr>
              <w:t>具体</w:t>
            </w:r>
            <w:r>
              <w:rPr>
                <w:rFonts w:hint="eastAsia"/>
                <w:bCs/>
                <w:sz w:val="24"/>
              </w:rPr>
              <w:t>产品方案</w:t>
            </w:r>
            <w:r>
              <w:rPr>
                <w:rFonts w:hint="eastAsia"/>
                <w:sz w:val="24"/>
              </w:rPr>
              <w:t>见表8。</w:t>
            </w:r>
          </w:p>
          <w:p w14:paraId="77558F19">
            <w:pPr>
              <w:pStyle w:val="60"/>
              <w:rPr>
                <w:rFonts w:hAnsi="宋体" w:eastAsia="宋体"/>
                <w:sz w:val="24"/>
              </w:rPr>
            </w:pPr>
            <w:r>
              <w:rPr>
                <w:rFonts w:hAnsi="宋体" w:eastAsia="宋体"/>
                <w:sz w:val="24"/>
              </w:rPr>
              <w:t>表</w:t>
            </w:r>
            <w:r>
              <w:rPr>
                <w:rFonts w:hint="eastAsia" w:eastAsia="宋体"/>
                <w:sz w:val="24"/>
              </w:rPr>
              <w:t xml:space="preserve">8   </w:t>
            </w:r>
            <w:r>
              <w:rPr>
                <w:rFonts w:hAnsi="宋体" w:eastAsia="宋体"/>
                <w:sz w:val="24"/>
              </w:rPr>
              <w:t>项目</w:t>
            </w:r>
            <w:r>
              <w:rPr>
                <w:rFonts w:hint="eastAsia" w:hAnsi="宋体" w:eastAsia="宋体"/>
                <w:bCs/>
                <w:sz w:val="24"/>
              </w:rPr>
              <w:t>产品方案</w:t>
            </w:r>
            <w:r>
              <w:rPr>
                <w:rFonts w:hAnsi="宋体" w:eastAsia="宋体"/>
                <w:sz w:val="24"/>
              </w:rPr>
              <w:t>一览表</w:t>
            </w:r>
          </w:p>
          <w:tbl>
            <w:tblPr>
              <w:tblStyle w:val="29"/>
              <w:tblW w:w="4919"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922"/>
              <w:gridCol w:w="2083"/>
              <w:gridCol w:w="990"/>
              <w:gridCol w:w="1296"/>
              <w:gridCol w:w="3169"/>
            </w:tblGrid>
            <w:tr w14:paraId="454857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545" w:type="pct"/>
                  <w:tcBorders>
                    <w:top w:val="single" w:color="000000" w:sz="4" w:space="0"/>
                    <w:left w:val="single" w:color="000000" w:sz="4" w:space="0"/>
                    <w:bottom w:val="single" w:color="000000" w:sz="4" w:space="0"/>
                    <w:right w:val="single" w:color="000000" w:sz="4" w:space="0"/>
                  </w:tcBorders>
                  <w:vAlign w:val="center"/>
                </w:tcPr>
                <w:p w14:paraId="0BBAB810">
                  <w:pPr>
                    <w:pStyle w:val="11"/>
                    <w:ind w:firstLine="0" w:firstLineChars="0"/>
                    <w:jc w:val="center"/>
                    <w:rPr>
                      <w:kern w:val="0"/>
                      <w:szCs w:val="21"/>
                    </w:rPr>
                  </w:pPr>
                  <w:r>
                    <w:rPr>
                      <w:rFonts w:hint="eastAsia"/>
                      <w:kern w:val="0"/>
                      <w:szCs w:val="21"/>
                    </w:rPr>
                    <w:t>序号</w:t>
                  </w:r>
                </w:p>
              </w:tc>
              <w:tc>
                <w:tcPr>
                  <w:tcW w:w="1231" w:type="pct"/>
                  <w:tcBorders>
                    <w:top w:val="single" w:color="000000" w:sz="4" w:space="0"/>
                    <w:left w:val="single" w:color="000000" w:sz="4" w:space="0"/>
                    <w:bottom w:val="single" w:color="000000" w:sz="4" w:space="0"/>
                    <w:right w:val="single" w:color="000000" w:sz="4" w:space="0"/>
                  </w:tcBorders>
                  <w:vAlign w:val="center"/>
                </w:tcPr>
                <w:p w14:paraId="0C34190C">
                  <w:pPr>
                    <w:pStyle w:val="11"/>
                    <w:ind w:firstLine="0" w:firstLineChars="0"/>
                    <w:jc w:val="center"/>
                    <w:rPr>
                      <w:kern w:val="0"/>
                      <w:szCs w:val="21"/>
                    </w:rPr>
                  </w:pPr>
                  <w:r>
                    <w:rPr>
                      <w:rFonts w:hint="eastAsia"/>
                      <w:kern w:val="0"/>
                      <w:szCs w:val="21"/>
                    </w:rPr>
                    <w:t>产品</w:t>
                  </w:r>
                  <w:r>
                    <w:rPr>
                      <w:kern w:val="0"/>
                      <w:szCs w:val="21"/>
                    </w:rPr>
                    <w:t>名称</w:t>
                  </w:r>
                </w:p>
              </w:tc>
              <w:tc>
                <w:tcPr>
                  <w:tcW w:w="585" w:type="pct"/>
                  <w:tcBorders>
                    <w:top w:val="single" w:color="000000" w:sz="4" w:space="0"/>
                    <w:left w:val="single" w:color="000000" w:sz="4" w:space="0"/>
                    <w:bottom w:val="single" w:color="000000" w:sz="4" w:space="0"/>
                    <w:right w:val="single" w:color="000000" w:sz="4" w:space="0"/>
                  </w:tcBorders>
                  <w:vAlign w:val="center"/>
                </w:tcPr>
                <w:p w14:paraId="70F5385D">
                  <w:pPr>
                    <w:pStyle w:val="11"/>
                    <w:ind w:firstLine="0" w:firstLineChars="0"/>
                    <w:jc w:val="center"/>
                    <w:rPr>
                      <w:kern w:val="0"/>
                      <w:szCs w:val="21"/>
                    </w:rPr>
                  </w:pPr>
                  <w:r>
                    <w:rPr>
                      <w:kern w:val="0"/>
                      <w:szCs w:val="21"/>
                    </w:rPr>
                    <w:t>单位</w:t>
                  </w:r>
                </w:p>
              </w:tc>
              <w:tc>
                <w:tcPr>
                  <w:tcW w:w="766" w:type="pct"/>
                  <w:tcBorders>
                    <w:top w:val="single" w:color="000000" w:sz="4" w:space="0"/>
                    <w:left w:val="single" w:color="000000" w:sz="4" w:space="0"/>
                    <w:bottom w:val="single" w:color="000000" w:sz="4" w:space="0"/>
                    <w:right w:val="single" w:color="000000" w:sz="4" w:space="0"/>
                  </w:tcBorders>
                  <w:vAlign w:val="center"/>
                </w:tcPr>
                <w:p w14:paraId="52D7A895">
                  <w:pPr>
                    <w:pStyle w:val="11"/>
                    <w:ind w:firstLine="0" w:firstLineChars="0"/>
                    <w:jc w:val="center"/>
                    <w:rPr>
                      <w:kern w:val="0"/>
                      <w:szCs w:val="21"/>
                    </w:rPr>
                  </w:pPr>
                  <w:r>
                    <w:rPr>
                      <w:rFonts w:hint="eastAsia"/>
                      <w:kern w:val="0"/>
                      <w:szCs w:val="21"/>
                    </w:rPr>
                    <w:t>年产量</w:t>
                  </w:r>
                </w:p>
              </w:tc>
              <w:tc>
                <w:tcPr>
                  <w:tcW w:w="1873" w:type="pct"/>
                  <w:tcBorders>
                    <w:top w:val="single" w:color="000000" w:sz="4" w:space="0"/>
                    <w:left w:val="single" w:color="000000" w:sz="4" w:space="0"/>
                    <w:bottom w:val="single" w:color="000000" w:sz="4" w:space="0"/>
                    <w:right w:val="single" w:color="000000" w:sz="4" w:space="0"/>
                  </w:tcBorders>
                  <w:vAlign w:val="center"/>
                </w:tcPr>
                <w:p w14:paraId="1D9EAA6E">
                  <w:pPr>
                    <w:pStyle w:val="11"/>
                    <w:ind w:firstLine="0" w:firstLineChars="0"/>
                    <w:jc w:val="center"/>
                    <w:rPr>
                      <w:kern w:val="0"/>
                      <w:szCs w:val="21"/>
                    </w:rPr>
                  </w:pPr>
                  <w:r>
                    <w:rPr>
                      <w:rFonts w:hint="eastAsia"/>
                      <w:kern w:val="0"/>
                      <w:szCs w:val="21"/>
                    </w:rPr>
                    <w:t>用途</w:t>
                  </w:r>
                </w:p>
              </w:tc>
            </w:tr>
            <w:tr w14:paraId="5E1624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545" w:type="pct"/>
                  <w:tcBorders>
                    <w:top w:val="single" w:color="000000" w:sz="4" w:space="0"/>
                    <w:left w:val="single" w:color="000000" w:sz="4" w:space="0"/>
                    <w:bottom w:val="single" w:color="000000" w:sz="4" w:space="0"/>
                    <w:right w:val="single" w:color="000000" w:sz="4" w:space="0"/>
                  </w:tcBorders>
                  <w:vAlign w:val="center"/>
                </w:tcPr>
                <w:p w14:paraId="50D09D75">
                  <w:pPr>
                    <w:jc w:val="center"/>
                    <w:rPr>
                      <w:color w:val="000000"/>
                      <w:szCs w:val="21"/>
                    </w:rPr>
                  </w:pPr>
                  <w:r>
                    <w:rPr>
                      <w:rFonts w:hint="eastAsia"/>
                      <w:color w:val="000000"/>
                      <w:szCs w:val="21"/>
                    </w:rPr>
                    <w:t>1</w:t>
                  </w:r>
                </w:p>
              </w:tc>
              <w:tc>
                <w:tcPr>
                  <w:tcW w:w="1231" w:type="pct"/>
                  <w:tcBorders>
                    <w:top w:val="single" w:color="000000" w:sz="4" w:space="0"/>
                    <w:left w:val="single" w:color="000000" w:sz="4" w:space="0"/>
                    <w:bottom w:val="single" w:color="000000" w:sz="4" w:space="0"/>
                    <w:right w:val="single" w:color="000000" w:sz="4" w:space="0"/>
                  </w:tcBorders>
                  <w:vAlign w:val="center"/>
                </w:tcPr>
                <w:p w14:paraId="39DE469B">
                  <w:pPr>
                    <w:jc w:val="center"/>
                    <w:rPr>
                      <w:color w:val="000000"/>
                      <w:szCs w:val="21"/>
                    </w:rPr>
                  </w:pPr>
                  <w:r>
                    <w:rPr>
                      <w:rFonts w:hint="eastAsia"/>
                      <w:color w:val="000000"/>
                      <w:szCs w:val="21"/>
                    </w:rPr>
                    <w:t>动物油脂</w:t>
                  </w:r>
                </w:p>
              </w:tc>
              <w:tc>
                <w:tcPr>
                  <w:tcW w:w="585" w:type="pct"/>
                  <w:tcBorders>
                    <w:top w:val="single" w:color="000000" w:sz="4" w:space="0"/>
                    <w:left w:val="single" w:color="000000" w:sz="4" w:space="0"/>
                    <w:bottom w:val="single" w:color="000000" w:sz="4" w:space="0"/>
                    <w:right w:val="single" w:color="000000" w:sz="4" w:space="0"/>
                  </w:tcBorders>
                  <w:vAlign w:val="center"/>
                </w:tcPr>
                <w:p w14:paraId="22D817FB">
                  <w:pPr>
                    <w:jc w:val="center"/>
                    <w:rPr>
                      <w:rFonts w:hAnsi="宋体"/>
                      <w:color w:val="000000"/>
                      <w:szCs w:val="21"/>
                    </w:rPr>
                  </w:pPr>
                  <w:r>
                    <w:rPr>
                      <w:rFonts w:hint="eastAsia" w:hAnsi="宋体"/>
                      <w:color w:val="000000"/>
                      <w:szCs w:val="21"/>
                    </w:rPr>
                    <w:t>t/a</w:t>
                  </w:r>
                </w:p>
              </w:tc>
              <w:tc>
                <w:tcPr>
                  <w:tcW w:w="766" w:type="pct"/>
                  <w:tcBorders>
                    <w:top w:val="single" w:color="000000" w:sz="4" w:space="0"/>
                    <w:left w:val="single" w:color="000000" w:sz="4" w:space="0"/>
                    <w:bottom w:val="single" w:color="000000" w:sz="4" w:space="0"/>
                    <w:right w:val="single" w:color="000000" w:sz="4" w:space="0"/>
                  </w:tcBorders>
                  <w:vAlign w:val="center"/>
                </w:tcPr>
                <w:p w14:paraId="6F99F938">
                  <w:pPr>
                    <w:jc w:val="center"/>
                    <w:rPr>
                      <w:szCs w:val="21"/>
                    </w:rPr>
                  </w:pPr>
                  <w:r>
                    <w:rPr>
                      <w:rFonts w:hint="eastAsia" w:hAnsi="宋体"/>
                      <w:color w:val="000000"/>
                      <w:szCs w:val="21"/>
                    </w:rPr>
                    <w:t>25000</w:t>
                  </w:r>
                </w:p>
              </w:tc>
              <w:tc>
                <w:tcPr>
                  <w:tcW w:w="1873" w:type="pct"/>
                  <w:tcBorders>
                    <w:top w:val="single" w:color="000000" w:sz="4" w:space="0"/>
                    <w:left w:val="single" w:color="000000" w:sz="4" w:space="0"/>
                    <w:bottom w:val="single" w:color="000000" w:sz="4" w:space="0"/>
                    <w:right w:val="single" w:color="000000" w:sz="4" w:space="0"/>
                  </w:tcBorders>
                  <w:vAlign w:val="center"/>
                </w:tcPr>
                <w:p w14:paraId="4C7E060C">
                  <w:pPr>
                    <w:pStyle w:val="11"/>
                    <w:ind w:firstLine="0" w:firstLineChars="0"/>
                    <w:jc w:val="center"/>
                    <w:rPr>
                      <w:kern w:val="0"/>
                      <w:szCs w:val="21"/>
                    </w:rPr>
                  </w:pPr>
                  <w:r>
                    <w:rPr>
                      <w:rFonts w:hint="eastAsia"/>
                      <w:kern w:val="0"/>
                      <w:szCs w:val="21"/>
                    </w:rPr>
                    <w:t>用于肥皂、甘油、润滑油等生产</w:t>
                  </w:r>
                </w:p>
              </w:tc>
            </w:tr>
            <w:tr w14:paraId="6E397B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545" w:type="pct"/>
                  <w:tcBorders>
                    <w:top w:val="single" w:color="000000" w:sz="4" w:space="0"/>
                    <w:left w:val="single" w:color="000000" w:sz="4" w:space="0"/>
                    <w:bottom w:val="single" w:color="000000" w:sz="4" w:space="0"/>
                    <w:right w:val="single" w:color="000000" w:sz="4" w:space="0"/>
                  </w:tcBorders>
                  <w:vAlign w:val="center"/>
                </w:tcPr>
                <w:p w14:paraId="4BC03146">
                  <w:pPr>
                    <w:jc w:val="center"/>
                    <w:rPr>
                      <w:color w:val="000000"/>
                      <w:szCs w:val="21"/>
                    </w:rPr>
                  </w:pPr>
                  <w:r>
                    <w:rPr>
                      <w:rFonts w:hint="eastAsia"/>
                      <w:color w:val="000000"/>
                      <w:szCs w:val="21"/>
                    </w:rPr>
                    <w:t>2</w:t>
                  </w:r>
                </w:p>
              </w:tc>
              <w:tc>
                <w:tcPr>
                  <w:tcW w:w="1231" w:type="pct"/>
                  <w:tcBorders>
                    <w:top w:val="single" w:color="000000" w:sz="4" w:space="0"/>
                    <w:left w:val="single" w:color="000000" w:sz="4" w:space="0"/>
                    <w:bottom w:val="single" w:color="000000" w:sz="4" w:space="0"/>
                    <w:right w:val="single" w:color="000000" w:sz="4" w:space="0"/>
                  </w:tcBorders>
                  <w:vAlign w:val="center"/>
                </w:tcPr>
                <w:p w14:paraId="64A41A29">
                  <w:pPr>
                    <w:jc w:val="center"/>
                    <w:rPr>
                      <w:color w:val="000000"/>
                      <w:szCs w:val="21"/>
                    </w:rPr>
                  </w:pPr>
                  <w:r>
                    <w:rPr>
                      <w:rFonts w:hint="eastAsia"/>
                      <w:bCs/>
                      <w:szCs w:val="21"/>
                    </w:rPr>
                    <w:t>油渣饼（副产品）</w:t>
                  </w:r>
                </w:p>
              </w:tc>
              <w:tc>
                <w:tcPr>
                  <w:tcW w:w="585" w:type="pct"/>
                  <w:tcBorders>
                    <w:top w:val="single" w:color="000000" w:sz="4" w:space="0"/>
                    <w:left w:val="single" w:color="000000" w:sz="4" w:space="0"/>
                    <w:bottom w:val="single" w:color="000000" w:sz="4" w:space="0"/>
                    <w:right w:val="single" w:color="000000" w:sz="4" w:space="0"/>
                  </w:tcBorders>
                  <w:vAlign w:val="center"/>
                </w:tcPr>
                <w:p w14:paraId="337BE038">
                  <w:pPr>
                    <w:jc w:val="center"/>
                    <w:rPr>
                      <w:rFonts w:hAnsi="宋体"/>
                      <w:color w:val="000000"/>
                      <w:szCs w:val="21"/>
                    </w:rPr>
                  </w:pPr>
                  <w:r>
                    <w:rPr>
                      <w:rFonts w:hint="eastAsia" w:hAnsi="宋体"/>
                      <w:color w:val="000000"/>
                      <w:szCs w:val="21"/>
                    </w:rPr>
                    <w:t>t/a</w:t>
                  </w:r>
                </w:p>
              </w:tc>
              <w:tc>
                <w:tcPr>
                  <w:tcW w:w="766" w:type="pct"/>
                  <w:tcBorders>
                    <w:top w:val="single" w:color="000000" w:sz="4" w:space="0"/>
                    <w:left w:val="single" w:color="000000" w:sz="4" w:space="0"/>
                    <w:bottom w:val="single" w:color="000000" w:sz="4" w:space="0"/>
                    <w:right w:val="single" w:color="000000" w:sz="4" w:space="0"/>
                  </w:tcBorders>
                  <w:vAlign w:val="center"/>
                </w:tcPr>
                <w:p w14:paraId="0835354B">
                  <w:pPr>
                    <w:jc w:val="center"/>
                    <w:rPr>
                      <w:rFonts w:hAnsi="宋体"/>
                      <w:color w:val="000000"/>
                      <w:szCs w:val="21"/>
                    </w:rPr>
                  </w:pPr>
                  <w:r>
                    <w:rPr>
                      <w:rFonts w:hint="eastAsia" w:hAnsi="宋体"/>
                      <w:color w:val="000000"/>
                      <w:szCs w:val="21"/>
                    </w:rPr>
                    <w:t>6000</w:t>
                  </w:r>
                </w:p>
              </w:tc>
              <w:tc>
                <w:tcPr>
                  <w:tcW w:w="1873" w:type="pct"/>
                  <w:tcBorders>
                    <w:top w:val="single" w:color="000000" w:sz="4" w:space="0"/>
                    <w:left w:val="single" w:color="000000" w:sz="4" w:space="0"/>
                    <w:right w:val="single" w:color="000000" w:sz="4" w:space="0"/>
                  </w:tcBorders>
                  <w:vAlign w:val="center"/>
                </w:tcPr>
                <w:p w14:paraId="07566D03">
                  <w:pPr>
                    <w:pStyle w:val="11"/>
                    <w:ind w:firstLine="0" w:firstLineChars="0"/>
                    <w:jc w:val="center"/>
                    <w:rPr>
                      <w:kern w:val="0"/>
                      <w:szCs w:val="21"/>
                    </w:rPr>
                  </w:pPr>
                  <w:r>
                    <w:rPr>
                      <w:rFonts w:hint="eastAsia"/>
                      <w:szCs w:val="21"/>
                    </w:rPr>
                    <w:t>饲料半成品原料</w:t>
                  </w:r>
                </w:p>
              </w:tc>
            </w:tr>
          </w:tbl>
          <w:p w14:paraId="1A9C22E5">
            <w:pPr>
              <w:spacing w:line="360" w:lineRule="auto"/>
              <w:ind w:firstLine="482" w:firstLineChars="200"/>
              <w:rPr>
                <w:rFonts w:eastAsia="黑体"/>
                <w:b/>
                <w:iCs/>
                <w:sz w:val="24"/>
              </w:rPr>
            </w:pPr>
            <w:r>
              <w:rPr>
                <w:rFonts w:hint="eastAsia" w:eastAsia="黑体"/>
                <w:b/>
                <w:iCs/>
                <w:sz w:val="24"/>
              </w:rPr>
              <w:t>4</w:t>
            </w:r>
            <w:r>
              <w:rPr>
                <w:rFonts w:eastAsia="黑体"/>
                <w:b/>
                <w:iCs/>
                <w:sz w:val="24"/>
              </w:rPr>
              <w:t>、主要生产设备</w:t>
            </w:r>
          </w:p>
          <w:p w14:paraId="44369B9D">
            <w:pPr>
              <w:spacing w:line="360" w:lineRule="auto"/>
              <w:ind w:firstLine="482" w:firstLineChars="200"/>
              <w:rPr>
                <w:rFonts w:eastAsiaTheme="minorEastAsia"/>
                <w:b/>
                <w:iCs/>
                <w:sz w:val="24"/>
              </w:rPr>
            </w:pPr>
            <w:r>
              <w:rPr>
                <w:rFonts w:hAnsiTheme="minorEastAsia" w:eastAsiaTheme="minorEastAsia"/>
                <w:b/>
                <w:iCs/>
                <w:sz w:val="24"/>
              </w:rPr>
              <w:t>（</w:t>
            </w:r>
            <w:r>
              <w:rPr>
                <w:rFonts w:eastAsiaTheme="minorEastAsia"/>
                <w:b/>
                <w:iCs/>
                <w:sz w:val="24"/>
              </w:rPr>
              <w:t>1</w:t>
            </w:r>
            <w:r>
              <w:rPr>
                <w:rFonts w:hAnsiTheme="minorEastAsia" w:eastAsiaTheme="minorEastAsia"/>
                <w:b/>
                <w:iCs/>
                <w:sz w:val="24"/>
              </w:rPr>
              <w:t>）主要生产设备</w:t>
            </w:r>
          </w:p>
          <w:p w14:paraId="2067A4C0">
            <w:pPr>
              <w:spacing w:line="360" w:lineRule="auto"/>
              <w:ind w:firstLine="480" w:firstLineChars="200"/>
              <w:rPr>
                <w:sz w:val="24"/>
              </w:rPr>
            </w:pPr>
            <w:r>
              <w:rPr>
                <w:sz w:val="24"/>
              </w:rPr>
              <w:t>本项目主要生产设备见表</w:t>
            </w:r>
            <w:r>
              <w:rPr>
                <w:rFonts w:hint="eastAsia"/>
                <w:sz w:val="24"/>
              </w:rPr>
              <w:t>9</w:t>
            </w:r>
            <w:r>
              <w:rPr>
                <w:sz w:val="24"/>
              </w:rPr>
              <w:t>。</w:t>
            </w:r>
          </w:p>
          <w:p w14:paraId="307E1E63">
            <w:pPr>
              <w:pStyle w:val="60"/>
              <w:rPr>
                <w:rFonts w:hAnsi="宋体" w:eastAsia="宋体"/>
                <w:sz w:val="24"/>
              </w:rPr>
            </w:pPr>
          </w:p>
          <w:p w14:paraId="5CD54CCD">
            <w:pPr>
              <w:pStyle w:val="60"/>
              <w:rPr>
                <w:rFonts w:hAnsi="宋体" w:eastAsia="宋体"/>
                <w:sz w:val="24"/>
              </w:rPr>
            </w:pPr>
            <w:r>
              <w:rPr>
                <w:rFonts w:hAnsi="宋体" w:eastAsia="宋体"/>
                <w:sz w:val="24"/>
              </w:rPr>
              <w:t>表</w:t>
            </w:r>
            <w:r>
              <w:rPr>
                <w:rFonts w:hint="eastAsia" w:eastAsia="宋体"/>
                <w:sz w:val="24"/>
              </w:rPr>
              <w:t xml:space="preserve">9   </w:t>
            </w:r>
            <w:r>
              <w:rPr>
                <w:rFonts w:hint="eastAsia" w:hAnsi="宋体" w:eastAsia="宋体"/>
                <w:sz w:val="24"/>
              </w:rPr>
              <w:t>项目</w:t>
            </w:r>
            <w:r>
              <w:rPr>
                <w:rFonts w:hAnsi="宋体" w:eastAsia="宋体"/>
                <w:sz w:val="24"/>
              </w:rPr>
              <w:t>主要生产设备一览表</w:t>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40" w:type="dxa"/>
                <w:left w:w="0" w:type="dxa"/>
                <w:bottom w:w="40" w:type="dxa"/>
                <w:right w:w="0" w:type="dxa"/>
              </w:tblCellMar>
            </w:tblPr>
            <w:tblGrid>
              <w:gridCol w:w="980"/>
              <w:gridCol w:w="1569"/>
              <w:gridCol w:w="1559"/>
              <w:gridCol w:w="851"/>
              <w:gridCol w:w="850"/>
              <w:gridCol w:w="2790"/>
            </w:tblGrid>
            <w:tr w14:paraId="7DF9C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0" w:type="dxa"/>
                  <w:bottom w:w="40" w:type="dxa"/>
                  <w:right w:w="0" w:type="dxa"/>
                </w:tblCellMar>
              </w:tblPrEx>
              <w:trPr>
                <w:trHeight w:val="312" w:hRule="atLeast"/>
                <w:jc w:val="center"/>
              </w:trPr>
              <w:tc>
                <w:tcPr>
                  <w:tcW w:w="570" w:type="pct"/>
                  <w:tcBorders>
                    <w:top w:val="single" w:color="auto" w:sz="4" w:space="0"/>
                    <w:left w:val="single" w:color="auto" w:sz="4" w:space="0"/>
                    <w:bottom w:val="single" w:color="auto" w:sz="4" w:space="0"/>
                    <w:right w:val="single" w:color="auto" w:sz="4" w:space="0"/>
                  </w:tcBorders>
                  <w:vAlign w:val="center"/>
                </w:tcPr>
                <w:p w14:paraId="0595DF02">
                  <w:pPr>
                    <w:jc w:val="center"/>
                    <w:rPr>
                      <w:bCs/>
                      <w:szCs w:val="21"/>
                    </w:rPr>
                  </w:pPr>
                  <w:r>
                    <w:rPr>
                      <w:rFonts w:hint="eastAsia"/>
                      <w:szCs w:val="21"/>
                    </w:rPr>
                    <w:t>序号</w:t>
                  </w:r>
                </w:p>
              </w:tc>
              <w:tc>
                <w:tcPr>
                  <w:tcW w:w="912" w:type="pct"/>
                  <w:tcBorders>
                    <w:top w:val="single" w:color="auto" w:sz="4" w:space="0"/>
                    <w:left w:val="single" w:color="auto" w:sz="4" w:space="0"/>
                    <w:bottom w:val="single" w:color="auto" w:sz="4" w:space="0"/>
                    <w:right w:val="single" w:color="auto" w:sz="4" w:space="0"/>
                  </w:tcBorders>
                  <w:vAlign w:val="center"/>
                </w:tcPr>
                <w:p w14:paraId="4B2D9680">
                  <w:pPr>
                    <w:jc w:val="center"/>
                    <w:rPr>
                      <w:bCs/>
                      <w:szCs w:val="21"/>
                    </w:rPr>
                  </w:pPr>
                  <w:r>
                    <w:rPr>
                      <w:rFonts w:hint="eastAsia"/>
                      <w:szCs w:val="21"/>
                    </w:rPr>
                    <w:t>名称</w:t>
                  </w:r>
                </w:p>
              </w:tc>
              <w:tc>
                <w:tcPr>
                  <w:tcW w:w="906" w:type="pct"/>
                  <w:tcBorders>
                    <w:top w:val="single" w:color="auto" w:sz="4" w:space="0"/>
                    <w:left w:val="single" w:color="auto" w:sz="4" w:space="0"/>
                    <w:bottom w:val="single" w:color="auto" w:sz="4" w:space="0"/>
                    <w:right w:val="single" w:color="auto" w:sz="4" w:space="0"/>
                  </w:tcBorders>
                  <w:vAlign w:val="center"/>
                </w:tcPr>
                <w:p w14:paraId="2550E3DF">
                  <w:pPr>
                    <w:widowControl/>
                    <w:jc w:val="center"/>
                    <w:rPr>
                      <w:rFonts w:ascii="宋体" w:hAnsi="宋体" w:cs="宋体"/>
                      <w:kern w:val="0"/>
                      <w:szCs w:val="21"/>
                    </w:rPr>
                  </w:pPr>
                  <w:r>
                    <w:rPr>
                      <w:rFonts w:hint="eastAsia"/>
                      <w:szCs w:val="21"/>
                    </w:rPr>
                    <w:t>规格</w:t>
                  </w:r>
                  <w:r>
                    <w:rPr>
                      <w:szCs w:val="21"/>
                    </w:rPr>
                    <w:t>/</w:t>
                  </w:r>
                  <w:r>
                    <w:rPr>
                      <w:rFonts w:hint="eastAsia"/>
                      <w:szCs w:val="21"/>
                    </w:rPr>
                    <w:t>型号</w:t>
                  </w:r>
                </w:p>
              </w:tc>
              <w:tc>
                <w:tcPr>
                  <w:tcW w:w="495" w:type="pct"/>
                  <w:tcBorders>
                    <w:top w:val="single" w:color="auto" w:sz="4" w:space="0"/>
                    <w:left w:val="single" w:color="auto" w:sz="4" w:space="0"/>
                    <w:bottom w:val="single" w:color="auto" w:sz="4" w:space="0"/>
                    <w:right w:val="single" w:color="auto" w:sz="4" w:space="0"/>
                  </w:tcBorders>
                  <w:vAlign w:val="center"/>
                </w:tcPr>
                <w:p w14:paraId="77C75C63">
                  <w:pPr>
                    <w:jc w:val="center"/>
                    <w:rPr>
                      <w:bCs/>
                      <w:szCs w:val="21"/>
                    </w:rPr>
                  </w:pPr>
                  <w:r>
                    <w:rPr>
                      <w:rFonts w:hint="eastAsia"/>
                      <w:szCs w:val="21"/>
                    </w:rPr>
                    <w:t>单位</w:t>
                  </w:r>
                </w:p>
              </w:tc>
              <w:tc>
                <w:tcPr>
                  <w:tcW w:w="494" w:type="pct"/>
                  <w:tcBorders>
                    <w:top w:val="single" w:color="auto" w:sz="4" w:space="0"/>
                    <w:left w:val="single" w:color="auto" w:sz="4" w:space="0"/>
                    <w:bottom w:val="single" w:color="auto" w:sz="4" w:space="0"/>
                    <w:right w:val="single" w:color="auto" w:sz="4" w:space="0"/>
                  </w:tcBorders>
                  <w:vAlign w:val="center"/>
                </w:tcPr>
                <w:p w14:paraId="316BAFE3">
                  <w:pPr>
                    <w:jc w:val="center"/>
                    <w:rPr>
                      <w:bCs/>
                      <w:szCs w:val="21"/>
                    </w:rPr>
                  </w:pPr>
                  <w:r>
                    <w:rPr>
                      <w:rFonts w:hint="eastAsia"/>
                      <w:szCs w:val="21"/>
                    </w:rPr>
                    <w:t>数量</w:t>
                  </w:r>
                </w:p>
              </w:tc>
              <w:tc>
                <w:tcPr>
                  <w:tcW w:w="1622" w:type="pct"/>
                  <w:tcBorders>
                    <w:top w:val="single" w:color="auto" w:sz="4" w:space="0"/>
                    <w:left w:val="single" w:color="auto" w:sz="4" w:space="0"/>
                    <w:bottom w:val="single" w:color="auto" w:sz="4" w:space="0"/>
                    <w:right w:val="single" w:color="auto" w:sz="4" w:space="0"/>
                  </w:tcBorders>
                  <w:vAlign w:val="center"/>
                </w:tcPr>
                <w:p w14:paraId="21B3702D">
                  <w:pPr>
                    <w:jc w:val="center"/>
                    <w:rPr>
                      <w:bCs/>
                      <w:szCs w:val="21"/>
                    </w:rPr>
                  </w:pPr>
                  <w:r>
                    <w:rPr>
                      <w:rFonts w:hint="eastAsia"/>
                      <w:szCs w:val="21"/>
                    </w:rPr>
                    <w:t>用途</w:t>
                  </w:r>
                </w:p>
              </w:tc>
            </w:tr>
            <w:tr w14:paraId="26CA0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0" w:type="dxa"/>
                  <w:bottom w:w="40" w:type="dxa"/>
                  <w:right w:w="0" w:type="dxa"/>
                </w:tblCellMar>
              </w:tblPrEx>
              <w:trPr>
                <w:trHeight w:val="312" w:hRule="atLeast"/>
                <w:jc w:val="center"/>
              </w:trPr>
              <w:tc>
                <w:tcPr>
                  <w:tcW w:w="570" w:type="pct"/>
                  <w:tcBorders>
                    <w:top w:val="single" w:color="auto" w:sz="4" w:space="0"/>
                    <w:left w:val="single" w:color="auto" w:sz="4" w:space="0"/>
                    <w:bottom w:val="single" w:color="auto" w:sz="4" w:space="0"/>
                    <w:right w:val="single" w:color="auto" w:sz="4" w:space="0"/>
                  </w:tcBorders>
                  <w:vAlign w:val="center"/>
                </w:tcPr>
                <w:p w14:paraId="2C58DD41">
                  <w:pPr>
                    <w:jc w:val="center"/>
                    <w:rPr>
                      <w:szCs w:val="21"/>
                    </w:rPr>
                  </w:pPr>
                  <w:r>
                    <w:rPr>
                      <w:rFonts w:hint="eastAsia"/>
                      <w:szCs w:val="21"/>
                    </w:rPr>
                    <w:t>1</w:t>
                  </w:r>
                </w:p>
              </w:tc>
              <w:tc>
                <w:tcPr>
                  <w:tcW w:w="912" w:type="pct"/>
                  <w:tcBorders>
                    <w:top w:val="single" w:color="auto" w:sz="4" w:space="0"/>
                    <w:left w:val="single" w:color="auto" w:sz="4" w:space="0"/>
                    <w:bottom w:val="single" w:color="auto" w:sz="4" w:space="0"/>
                    <w:right w:val="single" w:color="auto" w:sz="4" w:space="0"/>
                  </w:tcBorders>
                  <w:vAlign w:val="center"/>
                </w:tcPr>
                <w:p w14:paraId="67115409">
                  <w:pPr>
                    <w:adjustRightInd w:val="0"/>
                    <w:snapToGrid w:val="0"/>
                    <w:jc w:val="center"/>
                    <w:rPr>
                      <w:szCs w:val="21"/>
                    </w:rPr>
                  </w:pPr>
                  <w:r>
                    <w:rPr>
                      <w:rFonts w:hint="eastAsia"/>
                      <w:szCs w:val="21"/>
                    </w:rPr>
                    <w:t>铲车</w:t>
                  </w:r>
                </w:p>
              </w:tc>
              <w:tc>
                <w:tcPr>
                  <w:tcW w:w="906" w:type="pct"/>
                  <w:tcBorders>
                    <w:top w:val="single" w:color="auto" w:sz="4" w:space="0"/>
                    <w:left w:val="single" w:color="auto" w:sz="4" w:space="0"/>
                    <w:bottom w:val="single" w:color="auto" w:sz="4" w:space="0"/>
                    <w:right w:val="single" w:color="auto" w:sz="4" w:space="0"/>
                  </w:tcBorders>
                  <w:vAlign w:val="center"/>
                </w:tcPr>
                <w:p w14:paraId="15A16C8C">
                  <w:pPr>
                    <w:adjustRightInd w:val="0"/>
                    <w:snapToGrid w:val="0"/>
                    <w:jc w:val="center"/>
                    <w:rPr>
                      <w:szCs w:val="21"/>
                    </w:rPr>
                  </w:pPr>
                  <w:r>
                    <w:rPr>
                      <w:rFonts w:hint="eastAsia"/>
                      <w:szCs w:val="21"/>
                    </w:rPr>
                    <w:t>/</w:t>
                  </w:r>
                </w:p>
              </w:tc>
              <w:tc>
                <w:tcPr>
                  <w:tcW w:w="495" w:type="pct"/>
                  <w:tcBorders>
                    <w:top w:val="single" w:color="auto" w:sz="4" w:space="0"/>
                    <w:left w:val="single" w:color="auto" w:sz="4" w:space="0"/>
                    <w:bottom w:val="single" w:color="auto" w:sz="4" w:space="0"/>
                    <w:right w:val="single" w:color="auto" w:sz="4" w:space="0"/>
                  </w:tcBorders>
                  <w:vAlign w:val="center"/>
                </w:tcPr>
                <w:p w14:paraId="304ACAF8">
                  <w:pPr>
                    <w:jc w:val="center"/>
                    <w:rPr>
                      <w:szCs w:val="21"/>
                    </w:rPr>
                  </w:pPr>
                  <w:r>
                    <w:rPr>
                      <w:rFonts w:hint="eastAsia"/>
                      <w:szCs w:val="21"/>
                    </w:rPr>
                    <w:t>台</w:t>
                  </w:r>
                </w:p>
              </w:tc>
              <w:tc>
                <w:tcPr>
                  <w:tcW w:w="494" w:type="pct"/>
                  <w:tcBorders>
                    <w:top w:val="single" w:color="auto" w:sz="4" w:space="0"/>
                    <w:left w:val="single" w:color="auto" w:sz="4" w:space="0"/>
                    <w:bottom w:val="single" w:color="auto" w:sz="4" w:space="0"/>
                    <w:right w:val="single" w:color="auto" w:sz="4" w:space="0"/>
                  </w:tcBorders>
                  <w:vAlign w:val="center"/>
                </w:tcPr>
                <w:p w14:paraId="726B9C0D">
                  <w:pPr>
                    <w:adjustRightInd w:val="0"/>
                    <w:snapToGrid w:val="0"/>
                    <w:jc w:val="center"/>
                    <w:rPr>
                      <w:szCs w:val="21"/>
                    </w:rPr>
                  </w:pPr>
                  <w:r>
                    <w:rPr>
                      <w:rFonts w:hint="eastAsia"/>
                      <w:szCs w:val="21"/>
                    </w:rPr>
                    <w:t>2</w:t>
                  </w:r>
                </w:p>
              </w:tc>
              <w:tc>
                <w:tcPr>
                  <w:tcW w:w="1622" w:type="pct"/>
                  <w:tcBorders>
                    <w:top w:val="single" w:color="auto" w:sz="4" w:space="0"/>
                    <w:left w:val="single" w:color="auto" w:sz="4" w:space="0"/>
                    <w:bottom w:val="single" w:color="auto" w:sz="4" w:space="0"/>
                    <w:right w:val="single" w:color="auto" w:sz="4" w:space="0"/>
                  </w:tcBorders>
                  <w:vAlign w:val="center"/>
                </w:tcPr>
                <w:p w14:paraId="366C3A9D">
                  <w:pPr>
                    <w:jc w:val="center"/>
                    <w:rPr>
                      <w:szCs w:val="21"/>
                    </w:rPr>
                  </w:pPr>
                  <w:r>
                    <w:rPr>
                      <w:szCs w:val="21"/>
                    </w:rPr>
                    <w:t>用于原料上料</w:t>
                  </w:r>
                </w:p>
              </w:tc>
            </w:tr>
            <w:tr w14:paraId="0FDA0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0" w:type="dxa"/>
                  <w:bottom w:w="40" w:type="dxa"/>
                  <w:right w:w="0" w:type="dxa"/>
                </w:tblCellMar>
              </w:tblPrEx>
              <w:trPr>
                <w:trHeight w:val="312" w:hRule="atLeast"/>
                <w:jc w:val="center"/>
              </w:trPr>
              <w:tc>
                <w:tcPr>
                  <w:tcW w:w="570" w:type="pct"/>
                  <w:tcBorders>
                    <w:top w:val="single" w:color="auto" w:sz="4" w:space="0"/>
                    <w:left w:val="single" w:color="auto" w:sz="4" w:space="0"/>
                    <w:bottom w:val="single" w:color="auto" w:sz="4" w:space="0"/>
                    <w:right w:val="single" w:color="auto" w:sz="4" w:space="0"/>
                  </w:tcBorders>
                  <w:vAlign w:val="center"/>
                </w:tcPr>
                <w:p w14:paraId="7CA3AFA0">
                  <w:pPr>
                    <w:jc w:val="center"/>
                    <w:rPr>
                      <w:szCs w:val="21"/>
                    </w:rPr>
                  </w:pPr>
                  <w:r>
                    <w:rPr>
                      <w:rFonts w:hint="eastAsia"/>
                      <w:szCs w:val="21"/>
                    </w:rPr>
                    <w:t>2</w:t>
                  </w:r>
                </w:p>
              </w:tc>
              <w:tc>
                <w:tcPr>
                  <w:tcW w:w="912" w:type="pct"/>
                  <w:tcBorders>
                    <w:top w:val="single" w:color="auto" w:sz="4" w:space="0"/>
                    <w:left w:val="single" w:color="auto" w:sz="4" w:space="0"/>
                    <w:bottom w:val="single" w:color="auto" w:sz="4" w:space="0"/>
                    <w:right w:val="single" w:color="auto" w:sz="4" w:space="0"/>
                  </w:tcBorders>
                  <w:vAlign w:val="center"/>
                </w:tcPr>
                <w:p w14:paraId="045EACF0">
                  <w:pPr>
                    <w:adjustRightInd w:val="0"/>
                    <w:snapToGrid w:val="0"/>
                    <w:jc w:val="center"/>
                    <w:rPr>
                      <w:szCs w:val="21"/>
                    </w:rPr>
                  </w:pPr>
                  <w:r>
                    <w:rPr>
                      <w:szCs w:val="21"/>
                    </w:rPr>
                    <w:t>粉碎机</w:t>
                  </w:r>
                </w:p>
              </w:tc>
              <w:tc>
                <w:tcPr>
                  <w:tcW w:w="906" w:type="pct"/>
                  <w:tcBorders>
                    <w:top w:val="single" w:color="auto" w:sz="4" w:space="0"/>
                    <w:left w:val="single" w:color="auto" w:sz="4" w:space="0"/>
                    <w:bottom w:val="single" w:color="auto" w:sz="4" w:space="0"/>
                    <w:right w:val="single" w:color="auto" w:sz="4" w:space="0"/>
                  </w:tcBorders>
                  <w:vAlign w:val="center"/>
                </w:tcPr>
                <w:p w14:paraId="1EF7805B">
                  <w:pPr>
                    <w:adjustRightInd w:val="0"/>
                    <w:snapToGrid w:val="0"/>
                    <w:jc w:val="center"/>
                    <w:rPr>
                      <w:szCs w:val="21"/>
                    </w:rPr>
                  </w:pPr>
                  <w:r>
                    <w:rPr>
                      <w:rFonts w:hint="eastAsia"/>
                      <w:szCs w:val="21"/>
                    </w:rPr>
                    <w:t>20t/h</w:t>
                  </w:r>
                </w:p>
              </w:tc>
              <w:tc>
                <w:tcPr>
                  <w:tcW w:w="495" w:type="pct"/>
                  <w:tcBorders>
                    <w:top w:val="single" w:color="auto" w:sz="4" w:space="0"/>
                    <w:left w:val="single" w:color="auto" w:sz="4" w:space="0"/>
                    <w:bottom w:val="single" w:color="auto" w:sz="4" w:space="0"/>
                    <w:right w:val="single" w:color="auto" w:sz="4" w:space="0"/>
                  </w:tcBorders>
                  <w:vAlign w:val="center"/>
                </w:tcPr>
                <w:p w14:paraId="5DB23384">
                  <w:pPr>
                    <w:jc w:val="center"/>
                    <w:rPr>
                      <w:szCs w:val="21"/>
                    </w:rPr>
                  </w:pPr>
                  <w:r>
                    <w:rPr>
                      <w:rFonts w:hint="eastAsia"/>
                      <w:szCs w:val="21"/>
                    </w:rPr>
                    <w:t>台</w:t>
                  </w:r>
                </w:p>
              </w:tc>
              <w:tc>
                <w:tcPr>
                  <w:tcW w:w="494" w:type="pct"/>
                  <w:tcBorders>
                    <w:top w:val="single" w:color="auto" w:sz="4" w:space="0"/>
                    <w:left w:val="single" w:color="auto" w:sz="4" w:space="0"/>
                    <w:bottom w:val="single" w:color="auto" w:sz="4" w:space="0"/>
                    <w:right w:val="single" w:color="auto" w:sz="4" w:space="0"/>
                  </w:tcBorders>
                  <w:vAlign w:val="center"/>
                </w:tcPr>
                <w:p w14:paraId="2527993C">
                  <w:pPr>
                    <w:adjustRightInd w:val="0"/>
                    <w:snapToGrid w:val="0"/>
                    <w:jc w:val="center"/>
                    <w:rPr>
                      <w:szCs w:val="21"/>
                    </w:rPr>
                  </w:pPr>
                  <w:r>
                    <w:rPr>
                      <w:rFonts w:hint="eastAsia"/>
                      <w:szCs w:val="21"/>
                    </w:rPr>
                    <w:t>2</w:t>
                  </w:r>
                </w:p>
              </w:tc>
              <w:tc>
                <w:tcPr>
                  <w:tcW w:w="1622" w:type="pct"/>
                  <w:tcBorders>
                    <w:top w:val="single" w:color="auto" w:sz="4" w:space="0"/>
                    <w:left w:val="single" w:color="auto" w:sz="4" w:space="0"/>
                    <w:bottom w:val="single" w:color="auto" w:sz="4" w:space="0"/>
                    <w:right w:val="single" w:color="auto" w:sz="4" w:space="0"/>
                  </w:tcBorders>
                  <w:vAlign w:val="center"/>
                </w:tcPr>
                <w:p w14:paraId="710DD85E">
                  <w:pPr>
                    <w:jc w:val="center"/>
                    <w:rPr>
                      <w:szCs w:val="21"/>
                    </w:rPr>
                  </w:pPr>
                  <w:r>
                    <w:rPr>
                      <w:szCs w:val="21"/>
                    </w:rPr>
                    <w:t>用于动物油脂破碎</w:t>
                  </w:r>
                </w:p>
              </w:tc>
            </w:tr>
            <w:tr w14:paraId="20DEF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0" w:type="dxa"/>
                  <w:bottom w:w="40" w:type="dxa"/>
                  <w:right w:w="0" w:type="dxa"/>
                </w:tblCellMar>
              </w:tblPrEx>
              <w:trPr>
                <w:trHeight w:val="312" w:hRule="atLeast"/>
                <w:jc w:val="center"/>
              </w:trPr>
              <w:tc>
                <w:tcPr>
                  <w:tcW w:w="570" w:type="pct"/>
                  <w:tcBorders>
                    <w:top w:val="single" w:color="auto" w:sz="4" w:space="0"/>
                    <w:left w:val="single" w:color="auto" w:sz="4" w:space="0"/>
                    <w:bottom w:val="single" w:color="auto" w:sz="4" w:space="0"/>
                    <w:right w:val="single" w:color="auto" w:sz="4" w:space="0"/>
                  </w:tcBorders>
                  <w:vAlign w:val="center"/>
                </w:tcPr>
                <w:p w14:paraId="7727A98D">
                  <w:pPr>
                    <w:jc w:val="center"/>
                    <w:rPr>
                      <w:szCs w:val="21"/>
                    </w:rPr>
                  </w:pPr>
                  <w:r>
                    <w:rPr>
                      <w:rFonts w:hint="eastAsia"/>
                      <w:szCs w:val="21"/>
                    </w:rPr>
                    <w:t>3</w:t>
                  </w:r>
                </w:p>
              </w:tc>
              <w:tc>
                <w:tcPr>
                  <w:tcW w:w="912" w:type="pct"/>
                  <w:tcBorders>
                    <w:top w:val="single" w:color="auto" w:sz="4" w:space="0"/>
                    <w:left w:val="single" w:color="auto" w:sz="4" w:space="0"/>
                    <w:bottom w:val="single" w:color="auto" w:sz="4" w:space="0"/>
                    <w:right w:val="single" w:color="auto" w:sz="4" w:space="0"/>
                  </w:tcBorders>
                  <w:vAlign w:val="center"/>
                </w:tcPr>
                <w:p w14:paraId="196EE07E">
                  <w:pPr>
                    <w:adjustRightInd w:val="0"/>
                    <w:snapToGrid w:val="0"/>
                    <w:jc w:val="center"/>
                    <w:rPr>
                      <w:szCs w:val="21"/>
                    </w:rPr>
                  </w:pPr>
                  <w:r>
                    <w:rPr>
                      <w:rFonts w:hint="eastAsia"/>
                      <w:szCs w:val="21"/>
                    </w:rPr>
                    <w:t>上料绞龙</w:t>
                  </w:r>
                </w:p>
              </w:tc>
              <w:tc>
                <w:tcPr>
                  <w:tcW w:w="906" w:type="pct"/>
                  <w:tcBorders>
                    <w:top w:val="single" w:color="auto" w:sz="4" w:space="0"/>
                    <w:left w:val="single" w:color="auto" w:sz="4" w:space="0"/>
                    <w:bottom w:val="single" w:color="auto" w:sz="4" w:space="0"/>
                    <w:right w:val="single" w:color="auto" w:sz="4" w:space="0"/>
                  </w:tcBorders>
                  <w:vAlign w:val="center"/>
                </w:tcPr>
                <w:p w14:paraId="692CBB32">
                  <w:pPr>
                    <w:adjustRightInd w:val="0"/>
                    <w:snapToGrid w:val="0"/>
                    <w:jc w:val="center"/>
                    <w:rPr>
                      <w:szCs w:val="21"/>
                    </w:rPr>
                  </w:pPr>
                  <w:r>
                    <w:rPr>
                      <w:rFonts w:hint="eastAsia"/>
                      <w:szCs w:val="21"/>
                    </w:rPr>
                    <w:t>/</w:t>
                  </w:r>
                </w:p>
              </w:tc>
              <w:tc>
                <w:tcPr>
                  <w:tcW w:w="495" w:type="pct"/>
                  <w:tcBorders>
                    <w:top w:val="single" w:color="auto" w:sz="4" w:space="0"/>
                    <w:left w:val="single" w:color="auto" w:sz="4" w:space="0"/>
                    <w:bottom w:val="single" w:color="auto" w:sz="4" w:space="0"/>
                    <w:right w:val="single" w:color="auto" w:sz="4" w:space="0"/>
                  </w:tcBorders>
                  <w:vAlign w:val="center"/>
                </w:tcPr>
                <w:p w14:paraId="10B6BC07">
                  <w:pPr>
                    <w:jc w:val="center"/>
                    <w:rPr>
                      <w:szCs w:val="21"/>
                    </w:rPr>
                  </w:pPr>
                  <w:r>
                    <w:rPr>
                      <w:rFonts w:hint="eastAsia"/>
                      <w:szCs w:val="21"/>
                    </w:rPr>
                    <w:t>条</w:t>
                  </w:r>
                </w:p>
              </w:tc>
              <w:tc>
                <w:tcPr>
                  <w:tcW w:w="494" w:type="pct"/>
                  <w:tcBorders>
                    <w:top w:val="single" w:color="auto" w:sz="4" w:space="0"/>
                    <w:left w:val="single" w:color="auto" w:sz="4" w:space="0"/>
                    <w:bottom w:val="single" w:color="auto" w:sz="4" w:space="0"/>
                    <w:right w:val="single" w:color="auto" w:sz="4" w:space="0"/>
                  </w:tcBorders>
                  <w:vAlign w:val="center"/>
                </w:tcPr>
                <w:p w14:paraId="4BDF906C">
                  <w:pPr>
                    <w:adjustRightInd w:val="0"/>
                    <w:snapToGrid w:val="0"/>
                    <w:jc w:val="center"/>
                    <w:rPr>
                      <w:szCs w:val="21"/>
                    </w:rPr>
                  </w:pPr>
                  <w:r>
                    <w:rPr>
                      <w:rFonts w:hint="eastAsia"/>
                      <w:szCs w:val="21"/>
                    </w:rPr>
                    <w:t>2</w:t>
                  </w:r>
                </w:p>
              </w:tc>
              <w:tc>
                <w:tcPr>
                  <w:tcW w:w="1622" w:type="pct"/>
                  <w:tcBorders>
                    <w:top w:val="single" w:color="auto" w:sz="4" w:space="0"/>
                    <w:left w:val="single" w:color="auto" w:sz="4" w:space="0"/>
                    <w:bottom w:val="single" w:color="auto" w:sz="4" w:space="0"/>
                    <w:right w:val="single" w:color="auto" w:sz="4" w:space="0"/>
                  </w:tcBorders>
                  <w:vAlign w:val="center"/>
                </w:tcPr>
                <w:p w14:paraId="3B540107">
                  <w:pPr>
                    <w:jc w:val="center"/>
                    <w:rPr>
                      <w:szCs w:val="21"/>
                    </w:rPr>
                  </w:pPr>
                  <w:r>
                    <w:rPr>
                      <w:szCs w:val="21"/>
                    </w:rPr>
                    <w:t>用于破碎后原料及油渣输送</w:t>
                  </w:r>
                </w:p>
              </w:tc>
            </w:tr>
            <w:tr w14:paraId="59923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0" w:type="dxa"/>
                  <w:bottom w:w="40" w:type="dxa"/>
                  <w:right w:w="0" w:type="dxa"/>
                </w:tblCellMar>
              </w:tblPrEx>
              <w:trPr>
                <w:trHeight w:val="312" w:hRule="atLeast"/>
                <w:jc w:val="center"/>
              </w:trPr>
              <w:tc>
                <w:tcPr>
                  <w:tcW w:w="570" w:type="pct"/>
                  <w:tcBorders>
                    <w:top w:val="single" w:color="auto" w:sz="4" w:space="0"/>
                    <w:left w:val="single" w:color="auto" w:sz="4" w:space="0"/>
                    <w:bottom w:val="single" w:color="auto" w:sz="4" w:space="0"/>
                    <w:right w:val="single" w:color="auto" w:sz="4" w:space="0"/>
                  </w:tcBorders>
                  <w:vAlign w:val="center"/>
                </w:tcPr>
                <w:p w14:paraId="7C0FF97E">
                  <w:pPr>
                    <w:jc w:val="center"/>
                    <w:rPr>
                      <w:szCs w:val="21"/>
                    </w:rPr>
                  </w:pPr>
                  <w:r>
                    <w:rPr>
                      <w:rFonts w:hint="eastAsia"/>
                      <w:szCs w:val="21"/>
                    </w:rPr>
                    <w:t>4</w:t>
                  </w:r>
                </w:p>
              </w:tc>
              <w:tc>
                <w:tcPr>
                  <w:tcW w:w="912" w:type="pct"/>
                  <w:tcBorders>
                    <w:top w:val="single" w:color="auto" w:sz="4" w:space="0"/>
                    <w:left w:val="single" w:color="auto" w:sz="4" w:space="0"/>
                    <w:bottom w:val="single" w:color="auto" w:sz="4" w:space="0"/>
                    <w:right w:val="single" w:color="auto" w:sz="4" w:space="0"/>
                  </w:tcBorders>
                  <w:vAlign w:val="center"/>
                </w:tcPr>
                <w:p w14:paraId="589E0C34">
                  <w:pPr>
                    <w:adjustRightInd w:val="0"/>
                    <w:snapToGrid w:val="0"/>
                    <w:jc w:val="center"/>
                    <w:rPr>
                      <w:szCs w:val="21"/>
                    </w:rPr>
                  </w:pPr>
                  <w:r>
                    <w:rPr>
                      <w:szCs w:val="21"/>
                    </w:rPr>
                    <w:t>熬制炉</w:t>
                  </w:r>
                </w:p>
              </w:tc>
              <w:tc>
                <w:tcPr>
                  <w:tcW w:w="906" w:type="pct"/>
                  <w:tcBorders>
                    <w:top w:val="single" w:color="auto" w:sz="4" w:space="0"/>
                    <w:left w:val="single" w:color="auto" w:sz="4" w:space="0"/>
                    <w:bottom w:val="single" w:color="auto" w:sz="4" w:space="0"/>
                    <w:right w:val="single" w:color="auto" w:sz="4" w:space="0"/>
                  </w:tcBorders>
                  <w:vAlign w:val="center"/>
                </w:tcPr>
                <w:p w14:paraId="3353D1EF">
                  <w:pPr>
                    <w:adjustRightInd w:val="0"/>
                    <w:snapToGrid w:val="0"/>
                    <w:jc w:val="center"/>
                    <w:rPr>
                      <w:szCs w:val="21"/>
                    </w:rPr>
                  </w:pPr>
                  <w:r>
                    <w:rPr>
                      <w:rFonts w:hint="eastAsia"/>
                      <w:szCs w:val="21"/>
                    </w:rPr>
                    <w:t>7t</w:t>
                  </w:r>
                </w:p>
              </w:tc>
              <w:tc>
                <w:tcPr>
                  <w:tcW w:w="495" w:type="pct"/>
                  <w:tcBorders>
                    <w:top w:val="single" w:color="auto" w:sz="4" w:space="0"/>
                    <w:left w:val="single" w:color="auto" w:sz="4" w:space="0"/>
                    <w:bottom w:val="single" w:color="auto" w:sz="4" w:space="0"/>
                    <w:right w:val="single" w:color="auto" w:sz="4" w:space="0"/>
                  </w:tcBorders>
                  <w:vAlign w:val="center"/>
                </w:tcPr>
                <w:p w14:paraId="1E6EDDF2">
                  <w:pPr>
                    <w:adjustRightInd w:val="0"/>
                    <w:snapToGrid w:val="0"/>
                    <w:jc w:val="center"/>
                    <w:rPr>
                      <w:szCs w:val="21"/>
                    </w:rPr>
                  </w:pPr>
                  <w:r>
                    <w:rPr>
                      <w:rFonts w:hint="eastAsia"/>
                      <w:szCs w:val="21"/>
                    </w:rPr>
                    <w:t>台</w:t>
                  </w:r>
                </w:p>
              </w:tc>
              <w:tc>
                <w:tcPr>
                  <w:tcW w:w="494" w:type="pct"/>
                  <w:tcBorders>
                    <w:top w:val="single" w:color="auto" w:sz="4" w:space="0"/>
                    <w:left w:val="single" w:color="auto" w:sz="4" w:space="0"/>
                    <w:bottom w:val="single" w:color="auto" w:sz="4" w:space="0"/>
                    <w:right w:val="single" w:color="auto" w:sz="4" w:space="0"/>
                  </w:tcBorders>
                  <w:vAlign w:val="center"/>
                </w:tcPr>
                <w:p w14:paraId="6ADBBAEA">
                  <w:pPr>
                    <w:adjustRightInd w:val="0"/>
                    <w:snapToGrid w:val="0"/>
                    <w:jc w:val="center"/>
                    <w:rPr>
                      <w:szCs w:val="21"/>
                    </w:rPr>
                  </w:pPr>
                  <w:r>
                    <w:rPr>
                      <w:rFonts w:hint="eastAsia"/>
                      <w:szCs w:val="21"/>
                    </w:rPr>
                    <w:t>10</w:t>
                  </w:r>
                </w:p>
              </w:tc>
              <w:tc>
                <w:tcPr>
                  <w:tcW w:w="1622" w:type="pct"/>
                  <w:tcBorders>
                    <w:top w:val="single" w:color="auto" w:sz="4" w:space="0"/>
                    <w:left w:val="single" w:color="auto" w:sz="4" w:space="0"/>
                    <w:bottom w:val="single" w:color="auto" w:sz="4" w:space="0"/>
                    <w:right w:val="single" w:color="auto" w:sz="4" w:space="0"/>
                  </w:tcBorders>
                  <w:vAlign w:val="center"/>
                </w:tcPr>
                <w:p w14:paraId="40BBCC5E">
                  <w:pPr>
                    <w:jc w:val="center"/>
                    <w:rPr>
                      <w:szCs w:val="21"/>
                    </w:rPr>
                  </w:pPr>
                  <w:r>
                    <w:rPr>
                      <w:szCs w:val="21"/>
                    </w:rPr>
                    <w:t>用于动物油脂熬制</w:t>
                  </w:r>
                </w:p>
              </w:tc>
            </w:tr>
            <w:tr w14:paraId="1CA4F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0" w:type="dxa"/>
                  <w:bottom w:w="40" w:type="dxa"/>
                  <w:right w:w="0" w:type="dxa"/>
                </w:tblCellMar>
              </w:tblPrEx>
              <w:trPr>
                <w:trHeight w:val="312" w:hRule="atLeast"/>
                <w:jc w:val="center"/>
              </w:trPr>
              <w:tc>
                <w:tcPr>
                  <w:tcW w:w="570" w:type="pct"/>
                  <w:tcBorders>
                    <w:top w:val="single" w:color="auto" w:sz="4" w:space="0"/>
                    <w:left w:val="single" w:color="auto" w:sz="4" w:space="0"/>
                    <w:bottom w:val="single" w:color="auto" w:sz="4" w:space="0"/>
                    <w:right w:val="single" w:color="auto" w:sz="4" w:space="0"/>
                  </w:tcBorders>
                  <w:vAlign w:val="center"/>
                </w:tcPr>
                <w:p w14:paraId="0941DA47">
                  <w:pPr>
                    <w:jc w:val="center"/>
                    <w:rPr>
                      <w:szCs w:val="21"/>
                    </w:rPr>
                  </w:pPr>
                  <w:r>
                    <w:rPr>
                      <w:rFonts w:hint="eastAsia"/>
                      <w:szCs w:val="21"/>
                    </w:rPr>
                    <w:t>5</w:t>
                  </w:r>
                </w:p>
              </w:tc>
              <w:tc>
                <w:tcPr>
                  <w:tcW w:w="912" w:type="pct"/>
                  <w:tcBorders>
                    <w:top w:val="single" w:color="auto" w:sz="4" w:space="0"/>
                    <w:left w:val="single" w:color="auto" w:sz="4" w:space="0"/>
                    <w:bottom w:val="single" w:color="auto" w:sz="4" w:space="0"/>
                    <w:right w:val="single" w:color="auto" w:sz="4" w:space="0"/>
                  </w:tcBorders>
                  <w:vAlign w:val="center"/>
                </w:tcPr>
                <w:p w14:paraId="3D3669C0">
                  <w:pPr>
                    <w:adjustRightInd w:val="0"/>
                    <w:snapToGrid w:val="0"/>
                    <w:jc w:val="center"/>
                    <w:rPr>
                      <w:szCs w:val="21"/>
                    </w:rPr>
                  </w:pPr>
                  <w:r>
                    <w:rPr>
                      <w:rFonts w:hint="eastAsia"/>
                      <w:szCs w:val="21"/>
                    </w:rPr>
                    <w:t>油渣分离机</w:t>
                  </w:r>
                </w:p>
              </w:tc>
              <w:tc>
                <w:tcPr>
                  <w:tcW w:w="906" w:type="pct"/>
                  <w:tcBorders>
                    <w:top w:val="single" w:color="auto" w:sz="4" w:space="0"/>
                    <w:left w:val="single" w:color="auto" w:sz="4" w:space="0"/>
                    <w:bottom w:val="single" w:color="auto" w:sz="4" w:space="0"/>
                    <w:right w:val="single" w:color="auto" w:sz="4" w:space="0"/>
                  </w:tcBorders>
                  <w:vAlign w:val="center"/>
                </w:tcPr>
                <w:p w14:paraId="565C6AE2">
                  <w:pPr>
                    <w:adjustRightInd w:val="0"/>
                    <w:snapToGrid w:val="0"/>
                    <w:jc w:val="center"/>
                    <w:rPr>
                      <w:szCs w:val="21"/>
                    </w:rPr>
                  </w:pPr>
                  <w:r>
                    <w:rPr>
                      <w:rFonts w:hint="eastAsia"/>
                      <w:szCs w:val="21"/>
                    </w:rPr>
                    <w:t>/</w:t>
                  </w:r>
                </w:p>
              </w:tc>
              <w:tc>
                <w:tcPr>
                  <w:tcW w:w="495" w:type="pct"/>
                  <w:tcBorders>
                    <w:top w:val="single" w:color="auto" w:sz="4" w:space="0"/>
                    <w:left w:val="single" w:color="auto" w:sz="4" w:space="0"/>
                    <w:bottom w:val="single" w:color="auto" w:sz="4" w:space="0"/>
                    <w:right w:val="single" w:color="auto" w:sz="4" w:space="0"/>
                  </w:tcBorders>
                  <w:vAlign w:val="center"/>
                </w:tcPr>
                <w:p w14:paraId="7FAF3639">
                  <w:pPr>
                    <w:jc w:val="center"/>
                    <w:rPr>
                      <w:szCs w:val="21"/>
                    </w:rPr>
                  </w:pPr>
                  <w:r>
                    <w:rPr>
                      <w:rFonts w:hint="eastAsia"/>
                      <w:szCs w:val="21"/>
                    </w:rPr>
                    <w:t>台</w:t>
                  </w:r>
                </w:p>
              </w:tc>
              <w:tc>
                <w:tcPr>
                  <w:tcW w:w="494" w:type="pct"/>
                  <w:tcBorders>
                    <w:top w:val="single" w:color="auto" w:sz="4" w:space="0"/>
                    <w:left w:val="single" w:color="auto" w:sz="4" w:space="0"/>
                    <w:bottom w:val="single" w:color="auto" w:sz="4" w:space="0"/>
                    <w:right w:val="single" w:color="auto" w:sz="4" w:space="0"/>
                  </w:tcBorders>
                  <w:vAlign w:val="center"/>
                </w:tcPr>
                <w:p w14:paraId="7CA743AB">
                  <w:pPr>
                    <w:adjustRightInd w:val="0"/>
                    <w:snapToGrid w:val="0"/>
                    <w:jc w:val="center"/>
                    <w:rPr>
                      <w:szCs w:val="21"/>
                    </w:rPr>
                  </w:pPr>
                  <w:r>
                    <w:rPr>
                      <w:rFonts w:hint="eastAsia"/>
                      <w:szCs w:val="21"/>
                    </w:rPr>
                    <w:t>4</w:t>
                  </w:r>
                </w:p>
              </w:tc>
              <w:tc>
                <w:tcPr>
                  <w:tcW w:w="1622" w:type="pct"/>
                  <w:tcBorders>
                    <w:top w:val="single" w:color="auto" w:sz="4" w:space="0"/>
                    <w:left w:val="single" w:color="auto" w:sz="4" w:space="0"/>
                    <w:bottom w:val="single" w:color="auto" w:sz="4" w:space="0"/>
                    <w:right w:val="single" w:color="auto" w:sz="4" w:space="0"/>
                  </w:tcBorders>
                  <w:vAlign w:val="center"/>
                </w:tcPr>
                <w:p w14:paraId="3CD0885E">
                  <w:pPr>
                    <w:jc w:val="center"/>
                    <w:rPr>
                      <w:szCs w:val="21"/>
                    </w:rPr>
                  </w:pPr>
                  <w:r>
                    <w:rPr>
                      <w:szCs w:val="21"/>
                    </w:rPr>
                    <w:t>用于</w:t>
                  </w:r>
                  <w:r>
                    <w:rPr>
                      <w:rFonts w:hint="eastAsia"/>
                      <w:szCs w:val="21"/>
                    </w:rPr>
                    <w:t>油渣</w:t>
                  </w:r>
                  <w:r>
                    <w:rPr>
                      <w:szCs w:val="21"/>
                    </w:rPr>
                    <w:t>分离</w:t>
                  </w:r>
                </w:p>
              </w:tc>
            </w:tr>
            <w:tr w14:paraId="63C92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0" w:type="dxa"/>
                  <w:bottom w:w="40" w:type="dxa"/>
                  <w:right w:w="0" w:type="dxa"/>
                </w:tblCellMar>
              </w:tblPrEx>
              <w:trPr>
                <w:trHeight w:val="312" w:hRule="atLeast"/>
                <w:jc w:val="center"/>
              </w:trPr>
              <w:tc>
                <w:tcPr>
                  <w:tcW w:w="570" w:type="pct"/>
                  <w:tcBorders>
                    <w:top w:val="single" w:color="auto" w:sz="4" w:space="0"/>
                    <w:left w:val="single" w:color="auto" w:sz="4" w:space="0"/>
                    <w:bottom w:val="single" w:color="auto" w:sz="4" w:space="0"/>
                    <w:right w:val="single" w:color="auto" w:sz="4" w:space="0"/>
                  </w:tcBorders>
                  <w:vAlign w:val="center"/>
                </w:tcPr>
                <w:p w14:paraId="5E011608">
                  <w:pPr>
                    <w:jc w:val="center"/>
                    <w:rPr>
                      <w:szCs w:val="21"/>
                    </w:rPr>
                  </w:pPr>
                  <w:r>
                    <w:rPr>
                      <w:rFonts w:hint="eastAsia"/>
                      <w:szCs w:val="21"/>
                    </w:rPr>
                    <w:t>6</w:t>
                  </w:r>
                </w:p>
              </w:tc>
              <w:tc>
                <w:tcPr>
                  <w:tcW w:w="912" w:type="pct"/>
                  <w:tcBorders>
                    <w:top w:val="single" w:color="auto" w:sz="4" w:space="0"/>
                    <w:left w:val="single" w:color="auto" w:sz="4" w:space="0"/>
                    <w:bottom w:val="single" w:color="auto" w:sz="4" w:space="0"/>
                    <w:right w:val="single" w:color="auto" w:sz="4" w:space="0"/>
                  </w:tcBorders>
                  <w:vAlign w:val="center"/>
                </w:tcPr>
                <w:p w14:paraId="431D5B61">
                  <w:pPr>
                    <w:adjustRightInd w:val="0"/>
                    <w:snapToGrid w:val="0"/>
                    <w:jc w:val="center"/>
                    <w:rPr>
                      <w:szCs w:val="21"/>
                    </w:rPr>
                  </w:pPr>
                  <w:r>
                    <w:rPr>
                      <w:rFonts w:hint="eastAsia"/>
                      <w:szCs w:val="21"/>
                    </w:rPr>
                    <w:t>加热锅</w:t>
                  </w:r>
                </w:p>
              </w:tc>
              <w:tc>
                <w:tcPr>
                  <w:tcW w:w="906" w:type="pct"/>
                  <w:tcBorders>
                    <w:top w:val="single" w:color="auto" w:sz="4" w:space="0"/>
                    <w:left w:val="single" w:color="auto" w:sz="4" w:space="0"/>
                    <w:bottom w:val="single" w:color="auto" w:sz="4" w:space="0"/>
                    <w:right w:val="single" w:color="auto" w:sz="4" w:space="0"/>
                  </w:tcBorders>
                  <w:vAlign w:val="center"/>
                </w:tcPr>
                <w:p w14:paraId="546E0F8B">
                  <w:pPr>
                    <w:adjustRightInd w:val="0"/>
                    <w:snapToGrid w:val="0"/>
                    <w:jc w:val="center"/>
                    <w:rPr>
                      <w:szCs w:val="21"/>
                    </w:rPr>
                  </w:pPr>
                  <w:r>
                    <w:rPr>
                      <w:rFonts w:hint="eastAsia"/>
                      <w:szCs w:val="21"/>
                    </w:rPr>
                    <w:t>3.5t</w:t>
                  </w:r>
                </w:p>
              </w:tc>
              <w:tc>
                <w:tcPr>
                  <w:tcW w:w="495" w:type="pct"/>
                  <w:tcBorders>
                    <w:top w:val="single" w:color="auto" w:sz="4" w:space="0"/>
                    <w:left w:val="single" w:color="auto" w:sz="4" w:space="0"/>
                    <w:bottom w:val="single" w:color="auto" w:sz="4" w:space="0"/>
                    <w:right w:val="single" w:color="auto" w:sz="4" w:space="0"/>
                  </w:tcBorders>
                  <w:vAlign w:val="center"/>
                </w:tcPr>
                <w:p w14:paraId="62E2C87C">
                  <w:pPr>
                    <w:jc w:val="center"/>
                    <w:rPr>
                      <w:szCs w:val="21"/>
                    </w:rPr>
                  </w:pPr>
                  <w:r>
                    <w:rPr>
                      <w:rFonts w:hint="eastAsia"/>
                      <w:szCs w:val="21"/>
                    </w:rPr>
                    <w:t>台</w:t>
                  </w:r>
                </w:p>
              </w:tc>
              <w:tc>
                <w:tcPr>
                  <w:tcW w:w="494" w:type="pct"/>
                  <w:tcBorders>
                    <w:top w:val="single" w:color="auto" w:sz="4" w:space="0"/>
                    <w:left w:val="single" w:color="auto" w:sz="4" w:space="0"/>
                    <w:bottom w:val="single" w:color="auto" w:sz="4" w:space="0"/>
                    <w:right w:val="single" w:color="auto" w:sz="4" w:space="0"/>
                  </w:tcBorders>
                  <w:vAlign w:val="center"/>
                </w:tcPr>
                <w:p w14:paraId="566776F7">
                  <w:pPr>
                    <w:adjustRightInd w:val="0"/>
                    <w:snapToGrid w:val="0"/>
                    <w:jc w:val="center"/>
                    <w:rPr>
                      <w:szCs w:val="21"/>
                    </w:rPr>
                  </w:pPr>
                  <w:r>
                    <w:rPr>
                      <w:rFonts w:hint="eastAsia"/>
                      <w:szCs w:val="21"/>
                    </w:rPr>
                    <w:t>2</w:t>
                  </w:r>
                </w:p>
              </w:tc>
              <w:tc>
                <w:tcPr>
                  <w:tcW w:w="1622" w:type="pct"/>
                  <w:tcBorders>
                    <w:top w:val="single" w:color="auto" w:sz="4" w:space="0"/>
                    <w:left w:val="single" w:color="auto" w:sz="4" w:space="0"/>
                    <w:bottom w:val="single" w:color="auto" w:sz="4" w:space="0"/>
                    <w:right w:val="single" w:color="auto" w:sz="4" w:space="0"/>
                  </w:tcBorders>
                  <w:vAlign w:val="center"/>
                </w:tcPr>
                <w:p w14:paraId="4048F387">
                  <w:pPr>
                    <w:jc w:val="center"/>
                    <w:rPr>
                      <w:szCs w:val="21"/>
                    </w:rPr>
                  </w:pPr>
                  <w:r>
                    <w:rPr>
                      <w:rFonts w:hint="eastAsia"/>
                      <w:szCs w:val="21"/>
                    </w:rPr>
                    <w:t>用于油渣保温</w:t>
                  </w:r>
                </w:p>
              </w:tc>
            </w:tr>
            <w:tr w14:paraId="20A1E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0" w:type="dxa"/>
                  <w:bottom w:w="40" w:type="dxa"/>
                  <w:right w:w="0" w:type="dxa"/>
                </w:tblCellMar>
              </w:tblPrEx>
              <w:trPr>
                <w:trHeight w:val="312" w:hRule="atLeast"/>
                <w:jc w:val="center"/>
              </w:trPr>
              <w:tc>
                <w:tcPr>
                  <w:tcW w:w="570" w:type="pct"/>
                  <w:tcBorders>
                    <w:top w:val="single" w:color="auto" w:sz="4" w:space="0"/>
                    <w:left w:val="single" w:color="auto" w:sz="4" w:space="0"/>
                    <w:bottom w:val="single" w:color="auto" w:sz="4" w:space="0"/>
                    <w:right w:val="single" w:color="auto" w:sz="4" w:space="0"/>
                  </w:tcBorders>
                  <w:vAlign w:val="center"/>
                </w:tcPr>
                <w:p w14:paraId="2F63883C">
                  <w:pPr>
                    <w:jc w:val="center"/>
                    <w:rPr>
                      <w:szCs w:val="21"/>
                    </w:rPr>
                  </w:pPr>
                  <w:r>
                    <w:rPr>
                      <w:rFonts w:hint="eastAsia"/>
                      <w:szCs w:val="21"/>
                    </w:rPr>
                    <w:t>7</w:t>
                  </w:r>
                </w:p>
              </w:tc>
              <w:tc>
                <w:tcPr>
                  <w:tcW w:w="912" w:type="pct"/>
                  <w:tcBorders>
                    <w:top w:val="single" w:color="auto" w:sz="4" w:space="0"/>
                    <w:left w:val="single" w:color="auto" w:sz="4" w:space="0"/>
                    <w:bottom w:val="single" w:color="auto" w:sz="4" w:space="0"/>
                    <w:right w:val="single" w:color="auto" w:sz="4" w:space="0"/>
                  </w:tcBorders>
                  <w:vAlign w:val="center"/>
                </w:tcPr>
                <w:p w14:paraId="42195FBE">
                  <w:pPr>
                    <w:adjustRightInd w:val="0"/>
                    <w:snapToGrid w:val="0"/>
                    <w:jc w:val="center"/>
                    <w:rPr>
                      <w:szCs w:val="21"/>
                    </w:rPr>
                  </w:pPr>
                  <w:r>
                    <w:rPr>
                      <w:rFonts w:hint="eastAsia"/>
                      <w:szCs w:val="21"/>
                    </w:rPr>
                    <w:t>放料绞龙</w:t>
                  </w:r>
                </w:p>
              </w:tc>
              <w:tc>
                <w:tcPr>
                  <w:tcW w:w="906" w:type="pct"/>
                  <w:tcBorders>
                    <w:top w:val="single" w:color="auto" w:sz="4" w:space="0"/>
                    <w:left w:val="single" w:color="auto" w:sz="4" w:space="0"/>
                    <w:bottom w:val="single" w:color="auto" w:sz="4" w:space="0"/>
                    <w:right w:val="single" w:color="auto" w:sz="4" w:space="0"/>
                  </w:tcBorders>
                  <w:vAlign w:val="center"/>
                </w:tcPr>
                <w:p w14:paraId="64B4B696">
                  <w:pPr>
                    <w:adjustRightInd w:val="0"/>
                    <w:snapToGrid w:val="0"/>
                    <w:jc w:val="center"/>
                    <w:rPr>
                      <w:szCs w:val="21"/>
                    </w:rPr>
                  </w:pPr>
                  <w:r>
                    <w:rPr>
                      <w:rFonts w:hint="eastAsia"/>
                      <w:szCs w:val="21"/>
                    </w:rPr>
                    <w:t>/</w:t>
                  </w:r>
                </w:p>
              </w:tc>
              <w:tc>
                <w:tcPr>
                  <w:tcW w:w="495" w:type="pct"/>
                  <w:tcBorders>
                    <w:top w:val="single" w:color="auto" w:sz="4" w:space="0"/>
                    <w:left w:val="single" w:color="auto" w:sz="4" w:space="0"/>
                    <w:bottom w:val="single" w:color="auto" w:sz="4" w:space="0"/>
                    <w:right w:val="single" w:color="auto" w:sz="4" w:space="0"/>
                  </w:tcBorders>
                  <w:vAlign w:val="center"/>
                </w:tcPr>
                <w:p w14:paraId="40097872">
                  <w:pPr>
                    <w:jc w:val="center"/>
                    <w:rPr>
                      <w:szCs w:val="21"/>
                    </w:rPr>
                  </w:pPr>
                  <w:r>
                    <w:rPr>
                      <w:rFonts w:hint="eastAsia"/>
                      <w:szCs w:val="21"/>
                    </w:rPr>
                    <w:t>条</w:t>
                  </w:r>
                </w:p>
              </w:tc>
              <w:tc>
                <w:tcPr>
                  <w:tcW w:w="494" w:type="pct"/>
                  <w:tcBorders>
                    <w:top w:val="single" w:color="auto" w:sz="4" w:space="0"/>
                    <w:left w:val="single" w:color="auto" w:sz="4" w:space="0"/>
                    <w:bottom w:val="single" w:color="auto" w:sz="4" w:space="0"/>
                    <w:right w:val="single" w:color="auto" w:sz="4" w:space="0"/>
                  </w:tcBorders>
                  <w:vAlign w:val="center"/>
                </w:tcPr>
                <w:p w14:paraId="5A9394AA">
                  <w:pPr>
                    <w:adjustRightInd w:val="0"/>
                    <w:snapToGrid w:val="0"/>
                    <w:jc w:val="center"/>
                    <w:rPr>
                      <w:szCs w:val="21"/>
                    </w:rPr>
                  </w:pPr>
                  <w:r>
                    <w:rPr>
                      <w:rFonts w:hint="eastAsia"/>
                      <w:szCs w:val="21"/>
                    </w:rPr>
                    <w:t>2</w:t>
                  </w:r>
                </w:p>
              </w:tc>
              <w:tc>
                <w:tcPr>
                  <w:tcW w:w="1622" w:type="pct"/>
                  <w:tcBorders>
                    <w:top w:val="single" w:color="auto" w:sz="4" w:space="0"/>
                    <w:left w:val="single" w:color="auto" w:sz="4" w:space="0"/>
                    <w:bottom w:val="single" w:color="auto" w:sz="4" w:space="0"/>
                    <w:right w:val="single" w:color="auto" w:sz="4" w:space="0"/>
                  </w:tcBorders>
                  <w:vAlign w:val="center"/>
                </w:tcPr>
                <w:p w14:paraId="72B618C8">
                  <w:pPr>
                    <w:jc w:val="center"/>
                    <w:rPr>
                      <w:szCs w:val="21"/>
                    </w:rPr>
                  </w:pPr>
                  <w:r>
                    <w:rPr>
                      <w:szCs w:val="21"/>
                    </w:rPr>
                    <w:t>用于</w:t>
                  </w:r>
                  <w:r>
                    <w:rPr>
                      <w:rFonts w:hint="eastAsia"/>
                      <w:szCs w:val="21"/>
                    </w:rPr>
                    <w:t>油渣</w:t>
                  </w:r>
                  <w:r>
                    <w:rPr>
                      <w:szCs w:val="21"/>
                    </w:rPr>
                    <w:t>分离后</w:t>
                  </w:r>
                  <w:r>
                    <w:rPr>
                      <w:rFonts w:hint="eastAsia"/>
                      <w:szCs w:val="21"/>
                    </w:rPr>
                    <w:t>油渣</w:t>
                  </w:r>
                  <w:r>
                    <w:rPr>
                      <w:szCs w:val="21"/>
                    </w:rPr>
                    <w:t>输送</w:t>
                  </w:r>
                </w:p>
              </w:tc>
            </w:tr>
            <w:tr w14:paraId="60EF4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0" w:type="dxa"/>
                  <w:bottom w:w="40" w:type="dxa"/>
                  <w:right w:w="0" w:type="dxa"/>
                </w:tblCellMar>
              </w:tblPrEx>
              <w:trPr>
                <w:trHeight w:val="312" w:hRule="atLeast"/>
                <w:jc w:val="center"/>
              </w:trPr>
              <w:tc>
                <w:tcPr>
                  <w:tcW w:w="570" w:type="pct"/>
                  <w:tcBorders>
                    <w:top w:val="single" w:color="auto" w:sz="4" w:space="0"/>
                    <w:left w:val="single" w:color="auto" w:sz="4" w:space="0"/>
                    <w:bottom w:val="single" w:color="auto" w:sz="4" w:space="0"/>
                    <w:right w:val="single" w:color="auto" w:sz="4" w:space="0"/>
                  </w:tcBorders>
                  <w:vAlign w:val="center"/>
                </w:tcPr>
                <w:p w14:paraId="52280494">
                  <w:pPr>
                    <w:jc w:val="center"/>
                    <w:rPr>
                      <w:szCs w:val="21"/>
                    </w:rPr>
                  </w:pPr>
                  <w:r>
                    <w:rPr>
                      <w:rFonts w:hint="eastAsia"/>
                      <w:szCs w:val="21"/>
                    </w:rPr>
                    <w:t>8</w:t>
                  </w:r>
                </w:p>
              </w:tc>
              <w:tc>
                <w:tcPr>
                  <w:tcW w:w="912" w:type="pct"/>
                  <w:tcBorders>
                    <w:top w:val="single" w:color="auto" w:sz="4" w:space="0"/>
                    <w:left w:val="single" w:color="auto" w:sz="4" w:space="0"/>
                    <w:bottom w:val="single" w:color="auto" w:sz="4" w:space="0"/>
                    <w:right w:val="single" w:color="auto" w:sz="4" w:space="0"/>
                  </w:tcBorders>
                  <w:vAlign w:val="center"/>
                </w:tcPr>
                <w:p w14:paraId="7722218D">
                  <w:pPr>
                    <w:adjustRightInd w:val="0"/>
                    <w:snapToGrid w:val="0"/>
                    <w:jc w:val="center"/>
                    <w:rPr>
                      <w:szCs w:val="21"/>
                    </w:rPr>
                  </w:pPr>
                  <w:r>
                    <w:rPr>
                      <w:rFonts w:hint="eastAsia"/>
                      <w:szCs w:val="21"/>
                    </w:rPr>
                    <w:t>压饼机</w:t>
                  </w:r>
                </w:p>
              </w:tc>
              <w:tc>
                <w:tcPr>
                  <w:tcW w:w="906" w:type="pct"/>
                  <w:tcBorders>
                    <w:top w:val="single" w:color="auto" w:sz="4" w:space="0"/>
                    <w:left w:val="single" w:color="auto" w:sz="4" w:space="0"/>
                    <w:bottom w:val="single" w:color="auto" w:sz="4" w:space="0"/>
                    <w:right w:val="single" w:color="auto" w:sz="4" w:space="0"/>
                  </w:tcBorders>
                  <w:vAlign w:val="center"/>
                </w:tcPr>
                <w:p w14:paraId="2D0E7491">
                  <w:pPr>
                    <w:adjustRightInd w:val="0"/>
                    <w:snapToGrid w:val="0"/>
                    <w:jc w:val="center"/>
                    <w:rPr>
                      <w:szCs w:val="21"/>
                    </w:rPr>
                  </w:pPr>
                  <w:r>
                    <w:rPr>
                      <w:rFonts w:hint="eastAsia"/>
                      <w:szCs w:val="21"/>
                    </w:rPr>
                    <w:t>/</w:t>
                  </w:r>
                </w:p>
              </w:tc>
              <w:tc>
                <w:tcPr>
                  <w:tcW w:w="495" w:type="pct"/>
                  <w:tcBorders>
                    <w:top w:val="single" w:color="auto" w:sz="4" w:space="0"/>
                    <w:left w:val="single" w:color="auto" w:sz="4" w:space="0"/>
                    <w:bottom w:val="single" w:color="auto" w:sz="4" w:space="0"/>
                    <w:right w:val="single" w:color="auto" w:sz="4" w:space="0"/>
                  </w:tcBorders>
                  <w:vAlign w:val="center"/>
                </w:tcPr>
                <w:p w14:paraId="5CDDC46B">
                  <w:pPr>
                    <w:jc w:val="center"/>
                    <w:rPr>
                      <w:szCs w:val="21"/>
                    </w:rPr>
                  </w:pPr>
                  <w:r>
                    <w:rPr>
                      <w:rFonts w:hint="eastAsia"/>
                      <w:szCs w:val="21"/>
                    </w:rPr>
                    <w:t>台</w:t>
                  </w:r>
                </w:p>
              </w:tc>
              <w:tc>
                <w:tcPr>
                  <w:tcW w:w="494" w:type="pct"/>
                  <w:tcBorders>
                    <w:top w:val="single" w:color="auto" w:sz="4" w:space="0"/>
                    <w:left w:val="single" w:color="auto" w:sz="4" w:space="0"/>
                    <w:bottom w:val="single" w:color="auto" w:sz="4" w:space="0"/>
                    <w:right w:val="single" w:color="auto" w:sz="4" w:space="0"/>
                  </w:tcBorders>
                  <w:vAlign w:val="center"/>
                </w:tcPr>
                <w:p w14:paraId="2A8D4907">
                  <w:pPr>
                    <w:jc w:val="center"/>
                    <w:rPr>
                      <w:szCs w:val="21"/>
                    </w:rPr>
                  </w:pPr>
                  <w:r>
                    <w:rPr>
                      <w:rFonts w:hint="eastAsia"/>
                      <w:szCs w:val="21"/>
                    </w:rPr>
                    <w:t>10</w:t>
                  </w:r>
                </w:p>
              </w:tc>
              <w:tc>
                <w:tcPr>
                  <w:tcW w:w="1622" w:type="pct"/>
                  <w:tcBorders>
                    <w:top w:val="single" w:color="auto" w:sz="4" w:space="0"/>
                    <w:left w:val="single" w:color="auto" w:sz="4" w:space="0"/>
                    <w:bottom w:val="single" w:color="auto" w:sz="4" w:space="0"/>
                    <w:right w:val="single" w:color="auto" w:sz="4" w:space="0"/>
                  </w:tcBorders>
                  <w:vAlign w:val="center"/>
                </w:tcPr>
                <w:p w14:paraId="7B29A186">
                  <w:pPr>
                    <w:jc w:val="center"/>
                    <w:rPr>
                      <w:szCs w:val="21"/>
                    </w:rPr>
                  </w:pPr>
                  <w:r>
                    <w:rPr>
                      <w:szCs w:val="21"/>
                    </w:rPr>
                    <w:t>用于油渣压饼</w:t>
                  </w:r>
                </w:p>
              </w:tc>
            </w:tr>
            <w:tr w14:paraId="56B00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0" w:type="dxa"/>
                  <w:bottom w:w="40" w:type="dxa"/>
                  <w:right w:w="0" w:type="dxa"/>
                </w:tblCellMar>
              </w:tblPrEx>
              <w:trPr>
                <w:trHeight w:val="312" w:hRule="atLeast"/>
                <w:jc w:val="center"/>
              </w:trPr>
              <w:tc>
                <w:tcPr>
                  <w:tcW w:w="570" w:type="pct"/>
                  <w:vMerge w:val="restart"/>
                  <w:tcBorders>
                    <w:top w:val="single" w:color="auto" w:sz="4" w:space="0"/>
                    <w:left w:val="single" w:color="auto" w:sz="4" w:space="0"/>
                    <w:right w:val="single" w:color="auto" w:sz="4" w:space="0"/>
                  </w:tcBorders>
                  <w:vAlign w:val="center"/>
                </w:tcPr>
                <w:p w14:paraId="6F5846E4">
                  <w:pPr>
                    <w:jc w:val="center"/>
                    <w:rPr>
                      <w:szCs w:val="21"/>
                    </w:rPr>
                  </w:pPr>
                  <w:r>
                    <w:rPr>
                      <w:rFonts w:hint="eastAsia"/>
                      <w:szCs w:val="21"/>
                    </w:rPr>
                    <w:t>9</w:t>
                  </w:r>
                </w:p>
              </w:tc>
              <w:tc>
                <w:tcPr>
                  <w:tcW w:w="912" w:type="pct"/>
                  <w:vMerge w:val="restart"/>
                  <w:tcBorders>
                    <w:top w:val="single" w:color="auto" w:sz="4" w:space="0"/>
                    <w:left w:val="single" w:color="auto" w:sz="4" w:space="0"/>
                    <w:right w:val="single" w:color="auto" w:sz="4" w:space="0"/>
                  </w:tcBorders>
                  <w:vAlign w:val="center"/>
                </w:tcPr>
                <w:p w14:paraId="4FA25E11">
                  <w:pPr>
                    <w:adjustRightInd w:val="0"/>
                    <w:snapToGrid w:val="0"/>
                    <w:jc w:val="center"/>
                    <w:rPr>
                      <w:szCs w:val="21"/>
                    </w:rPr>
                  </w:pPr>
                  <w:r>
                    <w:rPr>
                      <w:rFonts w:hint="eastAsia"/>
                      <w:szCs w:val="21"/>
                    </w:rPr>
                    <w:t>导热油锅炉</w:t>
                  </w:r>
                </w:p>
              </w:tc>
              <w:tc>
                <w:tcPr>
                  <w:tcW w:w="906" w:type="pct"/>
                  <w:tcBorders>
                    <w:top w:val="single" w:color="auto" w:sz="4" w:space="0"/>
                    <w:left w:val="single" w:color="auto" w:sz="4" w:space="0"/>
                    <w:bottom w:val="single" w:color="auto" w:sz="4" w:space="0"/>
                    <w:right w:val="single" w:color="auto" w:sz="4" w:space="0"/>
                  </w:tcBorders>
                  <w:vAlign w:val="center"/>
                </w:tcPr>
                <w:p w14:paraId="3F4F3CBB">
                  <w:pPr>
                    <w:adjustRightInd w:val="0"/>
                    <w:snapToGrid w:val="0"/>
                    <w:jc w:val="center"/>
                    <w:rPr>
                      <w:szCs w:val="21"/>
                    </w:rPr>
                  </w:pPr>
                  <w:r>
                    <w:rPr>
                      <w:rFonts w:hint="eastAsia"/>
                      <w:szCs w:val="21"/>
                    </w:rPr>
                    <w:t>2.1MW</w:t>
                  </w:r>
                </w:p>
              </w:tc>
              <w:tc>
                <w:tcPr>
                  <w:tcW w:w="495" w:type="pct"/>
                  <w:tcBorders>
                    <w:top w:val="single" w:color="auto" w:sz="4" w:space="0"/>
                    <w:left w:val="single" w:color="auto" w:sz="4" w:space="0"/>
                    <w:bottom w:val="single" w:color="auto" w:sz="4" w:space="0"/>
                    <w:right w:val="single" w:color="auto" w:sz="4" w:space="0"/>
                  </w:tcBorders>
                  <w:vAlign w:val="center"/>
                </w:tcPr>
                <w:p w14:paraId="38BA6B05">
                  <w:pPr>
                    <w:adjustRightInd w:val="0"/>
                    <w:snapToGrid w:val="0"/>
                    <w:jc w:val="center"/>
                    <w:rPr>
                      <w:szCs w:val="21"/>
                    </w:rPr>
                  </w:pPr>
                  <w:r>
                    <w:rPr>
                      <w:szCs w:val="21"/>
                    </w:rPr>
                    <w:t>台</w:t>
                  </w:r>
                </w:p>
              </w:tc>
              <w:tc>
                <w:tcPr>
                  <w:tcW w:w="494" w:type="pct"/>
                  <w:tcBorders>
                    <w:top w:val="single" w:color="auto" w:sz="4" w:space="0"/>
                    <w:left w:val="single" w:color="auto" w:sz="4" w:space="0"/>
                    <w:bottom w:val="single" w:color="auto" w:sz="4" w:space="0"/>
                    <w:right w:val="single" w:color="auto" w:sz="4" w:space="0"/>
                  </w:tcBorders>
                  <w:vAlign w:val="center"/>
                </w:tcPr>
                <w:p w14:paraId="5A7AFFB5">
                  <w:pPr>
                    <w:adjustRightInd w:val="0"/>
                    <w:snapToGrid w:val="0"/>
                    <w:jc w:val="center"/>
                    <w:rPr>
                      <w:szCs w:val="21"/>
                    </w:rPr>
                  </w:pPr>
                  <w:r>
                    <w:rPr>
                      <w:rFonts w:hint="eastAsia"/>
                      <w:szCs w:val="21"/>
                    </w:rPr>
                    <w:t>1</w:t>
                  </w:r>
                </w:p>
              </w:tc>
              <w:tc>
                <w:tcPr>
                  <w:tcW w:w="1622" w:type="pct"/>
                  <w:vMerge w:val="restart"/>
                  <w:tcBorders>
                    <w:top w:val="single" w:color="auto" w:sz="4" w:space="0"/>
                    <w:left w:val="single" w:color="auto" w:sz="4" w:space="0"/>
                    <w:right w:val="single" w:color="auto" w:sz="4" w:space="0"/>
                  </w:tcBorders>
                  <w:vAlign w:val="center"/>
                </w:tcPr>
                <w:p w14:paraId="7ADEB535">
                  <w:pPr>
                    <w:jc w:val="center"/>
                    <w:rPr>
                      <w:szCs w:val="21"/>
                    </w:rPr>
                  </w:pPr>
                  <w:r>
                    <w:rPr>
                      <w:szCs w:val="21"/>
                    </w:rPr>
                    <w:t>用于厂区熬制炉及加热</w:t>
                  </w:r>
                  <w:r>
                    <w:rPr>
                      <w:rFonts w:hint="eastAsia"/>
                      <w:szCs w:val="21"/>
                    </w:rPr>
                    <w:t>锅供热</w:t>
                  </w:r>
                </w:p>
              </w:tc>
            </w:tr>
            <w:tr w14:paraId="4A056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0" w:type="dxa"/>
                  <w:bottom w:w="40" w:type="dxa"/>
                  <w:right w:w="0" w:type="dxa"/>
                </w:tblCellMar>
              </w:tblPrEx>
              <w:trPr>
                <w:trHeight w:val="312" w:hRule="atLeast"/>
                <w:jc w:val="center"/>
              </w:trPr>
              <w:tc>
                <w:tcPr>
                  <w:tcW w:w="570" w:type="pct"/>
                  <w:vMerge w:val="continue"/>
                  <w:tcBorders>
                    <w:left w:val="single" w:color="auto" w:sz="4" w:space="0"/>
                    <w:bottom w:val="single" w:color="auto" w:sz="4" w:space="0"/>
                    <w:right w:val="single" w:color="auto" w:sz="4" w:space="0"/>
                  </w:tcBorders>
                  <w:vAlign w:val="center"/>
                </w:tcPr>
                <w:p w14:paraId="5BA25D0D">
                  <w:pPr>
                    <w:jc w:val="center"/>
                    <w:rPr>
                      <w:szCs w:val="21"/>
                    </w:rPr>
                  </w:pPr>
                </w:p>
              </w:tc>
              <w:tc>
                <w:tcPr>
                  <w:tcW w:w="912" w:type="pct"/>
                  <w:vMerge w:val="continue"/>
                  <w:tcBorders>
                    <w:left w:val="single" w:color="auto" w:sz="4" w:space="0"/>
                    <w:bottom w:val="single" w:color="auto" w:sz="4" w:space="0"/>
                    <w:right w:val="single" w:color="auto" w:sz="4" w:space="0"/>
                  </w:tcBorders>
                  <w:vAlign w:val="center"/>
                </w:tcPr>
                <w:p w14:paraId="5A0BA4F3">
                  <w:pPr>
                    <w:adjustRightInd w:val="0"/>
                    <w:snapToGrid w:val="0"/>
                    <w:jc w:val="center"/>
                    <w:rPr>
                      <w:szCs w:val="21"/>
                    </w:rPr>
                  </w:pPr>
                </w:p>
              </w:tc>
              <w:tc>
                <w:tcPr>
                  <w:tcW w:w="906" w:type="pct"/>
                  <w:tcBorders>
                    <w:top w:val="single" w:color="auto" w:sz="4" w:space="0"/>
                    <w:left w:val="single" w:color="auto" w:sz="4" w:space="0"/>
                    <w:bottom w:val="single" w:color="auto" w:sz="4" w:space="0"/>
                    <w:right w:val="single" w:color="auto" w:sz="4" w:space="0"/>
                  </w:tcBorders>
                  <w:vAlign w:val="center"/>
                </w:tcPr>
                <w:p w14:paraId="0EDEFF66">
                  <w:pPr>
                    <w:adjustRightInd w:val="0"/>
                    <w:snapToGrid w:val="0"/>
                    <w:jc w:val="center"/>
                    <w:rPr>
                      <w:szCs w:val="21"/>
                    </w:rPr>
                  </w:pPr>
                  <w:r>
                    <w:rPr>
                      <w:rFonts w:hint="eastAsia"/>
                      <w:szCs w:val="21"/>
                    </w:rPr>
                    <w:t>1.4MW</w:t>
                  </w:r>
                </w:p>
              </w:tc>
              <w:tc>
                <w:tcPr>
                  <w:tcW w:w="495" w:type="pct"/>
                  <w:tcBorders>
                    <w:top w:val="single" w:color="auto" w:sz="4" w:space="0"/>
                    <w:left w:val="single" w:color="auto" w:sz="4" w:space="0"/>
                    <w:bottom w:val="single" w:color="auto" w:sz="4" w:space="0"/>
                    <w:right w:val="single" w:color="auto" w:sz="4" w:space="0"/>
                  </w:tcBorders>
                  <w:vAlign w:val="center"/>
                </w:tcPr>
                <w:p w14:paraId="0FB6F405">
                  <w:pPr>
                    <w:adjustRightInd w:val="0"/>
                    <w:snapToGrid w:val="0"/>
                    <w:jc w:val="center"/>
                    <w:rPr>
                      <w:szCs w:val="21"/>
                    </w:rPr>
                  </w:pPr>
                  <w:r>
                    <w:rPr>
                      <w:szCs w:val="21"/>
                    </w:rPr>
                    <w:t>台</w:t>
                  </w:r>
                </w:p>
              </w:tc>
              <w:tc>
                <w:tcPr>
                  <w:tcW w:w="494" w:type="pct"/>
                  <w:tcBorders>
                    <w:top w:val="single" w:color="auto" w:sz="4" w:space="0"/>
                    <w:left w:val="single" w:color="auto" w:sz="4" w:space="0"/>
                    <w:bottom w:val="single" w:color="auto" w:sz="4" w:space="0"/>
                    <w:right w:val="single" w:color="auto" w:sz="4" w:space="0"/>
                  </w:tcBorders>
                  <w:vAlign w:val="center"/>
                </w:tcPr>
                <w:p w14:paraId="3FD890D5">
                  <w:pPr>
                    <w:adjustRightInd w:val="0"/>
                    <w:snapToGrid w:val="0"/>
                    <w:jc w:val="center"/>
                    <w:rPr>
                      <w:szCs w:val="21"/>
                    </w:rPr>
                  </w:pPr>
                  <w:r>
                    <w:rPr>
                      <w:rFonts w:hint="eastAsia"/>
                      <w:szCs w:val="21"/>
                    </w:rPr>
                    <w:t>1</w:t>
                  </w:r>
                </w:p>
              </w:tc>
              <w:tc>
                <w:tcPr>
                  <w:tcW w:w="1622" w:type="pct"/>
                  <w:vMerge w:val="continue"/>
                  <w:tcBorders>
                    <w:left w:val="single" w:color="auto" w:sz="4" w:space="0"/>
                    <w:bottom w:val="single" w:color="auto" w:sz="4" w:space="0"/>
                    <w:right w:val="single" w:color="auto" w:sz="4" w:space="0"/>
                  </w:tcBorders>
                  <w:vAlign w:val="center"/>
                </w:tcPr>
                <w:p w14:paraId="2EFBC7BD">
                  <w:pPr>
                    <w:jc w:val="center"/>
                    <w:rPr>
                      <w:szCs w:val="21"/>
                    </w:rPr>
                  </w:pPr>
                </w:p>
              </w:tc>
            </w:tr>
            <w:tr w14:paraId="617B5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0" w:type="dxa"/>
                  <w:bottom w:w="40" w:type="dxa"/>
                  <w:right w:w="0" w:type="dxa"/>
                </w:tblCellMar>
              </w:tblPrEx>
              <w:trPr>
                <w:trHeight w:val="312" w:hRule="atLeast"/>
                <w:jc w:val="center"/>
              </w:trPr>
              <w:tc>
                <w:tcPr>
                  <w:tcW w:w="570" w:type="pct"/>
                  <w:tcBorders>
                    <w:top w:val="single" w:color="auto" w:sz="4" w:space="0"/>
                    <w:left w:val="single" w:color="auto" w:sz="4" w:space="0"/>
                    <w:bottom w:val="single" w:color="auto" w:sz="4" w:space="0"/>
                    <w:right w:val="single" w:color="auto" w:sz="4" w:space="0"/>
                  </w:tcBorders>
                  <w:vAlign w:val="center"/>
                </w:tcPr>
                <w:p w14:paraId="2C511F46">
                  <w:pPr>
                    <w:jc w:val="center"/>
                    <w:rPr>
                      <w:szCs w:val="21"/>
                    </w:rPr>
                  </w:pPr>
                  <w:r>
                    <w:rPr>
                      <w:rFonts w:hint="eastAsia"/>
                      <w:szCs w:val="21"/>
                    </w:rPr>
                    <w:t>10</w:t>
                  </w:r>
                </w:p>
              </w:tc>
              <w:tc>
                <w:tcPr>
                  <w:tcW w:w="912" w:type="pct"/>
                  <w:tcBorders>
                    <w:top w:val="single" w:color="auto" w:sz="4" w:space="0"/>
                    <w:left w:val="single" w:color="auto" w:sz="4" w:space="0"/>
                    <w:bottom w:val="single" w:color="auto" w:sz="4" w:space="0"/>
                    <w:right w:val="single" w:color="auto" w:sz="4" w:space="0"/>
                  </w:tcBorders>
                  <w:vAlign w:val="center"/>
                </w:tcPr>
                <w:p w14:paraId="152DD447">
                  <w:pPr>
                    <w:adjustRightInd w:val="0"/>
                    <w:snapToGrid w:val="0"/>
                    <w:jc w:val="center"/>
                    <w:rPr>
                      <w:szCs w:val="21"/>
                    </w:rPr>
                  </w:pPr>
                  <w:r>
                    <w:rPr>
                      <w:rFonts w:hint="eastAsia"/>
                      <w:szCs w:val="21"/>
                    </w:rPr>
                    <w:t>油脂暂存池</w:t>
                  </w:r>
                </w:p>
              </w:tc>
              <w:tc>
                <w:tcPr>
                  <w:tcW w:w="906" w:type="pct"/>
                  <w:tcBorders>
                    <w:top w:val="single" w:color="auto" w:sz="4" w:space="0"/>
                    <w:left w:val="single" w:color="auto" w:sz="4" w:space="0"/>
                    <w:bottom w:val="single" w:color="auto" w:sz="4" w:space="0"/>
                    <w:right w:val="single" w:color="auto" w:sz="4" w:space="0"/>
                  </w:tcBorders>
                  <w:vAlign w:val="center"/>
                </w:tcPr>
                <w:p w14:paraId="4A4696D3">
                  <w:pPr>
                    <w:adjustRightInd w:val="0"/>
                    <w:snapToGrid w:val="0"/>
                    <w:jc w:val="center"/>
                    <w:rPr>
                      <w:szCs w:val="21"/>
                    </w:rPr>
                  </w:pPr>
                  <w:r>
                    <w:rPr>
                      <w:szCs w:val="21"/>
                    </w:rPr>
                    <w:t>3×6×1.5m</w:t>
                  </w:r>
                </w:p>
              </w:tc>
              <w:tc>
                <w:tcPr>
                  <w:tcW w:w="495" w:type="pct"/>
                  <w:tcBorders>
                    <w:top w:val="single" w:color="auto" w:sz="4" w:space="0"/>
                    <w:left w:val="single" w:color="auto" w:sz="4" w:space="0"/>
                    <w:bottom w:val="single" w:color="auto" w:sz="4" w:space="0"/>
                    <w:right w:val="single" w:color="auto" w:sz="4" w:space="0"/>
                  </w:tcBorders>
                  <w:vAlign w:val="center"/>
                </w:tcPr>
                <w:p w14:paraId="3DD3B0CA">
                  <w:pPr>
                    <w:adjustRightInd w:val="0"/>
                    <w:snapToGrid w:val="0"/>
                    <w:jc w:val="center"/>
                    <w:rPr>
                      <w:szCs w:val="21"/>
                    </w:rPr>
                  </w:pPr>
                  <w:r>
                    <w:rPr>
                      <w:szCs w:val="21"/>
                    </w:rPr>
                    <w:t>个</w:t>
                  </w:r>
                </w:p>
              </w:tc>
              <w:tc>
                <w:tcPr>
                  <w:tcW w:w="494" w:type="pct"/>
                  <w:tcBorders>
                    <w:top w:val="single" w:color="auto" w:sz="4" w:space="0"/>
                    <w:left w:val="single" w:color="auto" w:sz="4" w:space="0"/>
                    <w:bottom w:val="single" w:color="auto" w:sz="4" w:space="0"/>
                    <w:right w:val="single" w:color="auto" w:sz="4" w:space="0"/>
                  </w:tcBorders>
                  <w:vAlign w:val="center"/>
                </w:tcPr>
                <w:p w14:paraId="4C0D03A6">
                  <w:pPr>
                    <w:adjustRightInd w:val="0"/>
                    <w:snapToGrid w:val="0"/>
                    <w:jc w:val="center"/>
                    <w:rPr>
                      <w:szCs w:val="21"/>
                    </w:rPr>
                  </w:pPr>
                  <w:r>
                    <w:rPr>
                      <w:rFonts w:hint="eastAsia"/>
                      <w:szCs w:val="21"/>
                    </w:rPr>
                    <w:t>2</w:t>
                  </w:r>
                </w:p>
              </w:tc>
              <w:tc>
                <w:tcPr>
                  <w:tcW w:w="1622" w:type="pct"/>
                  <w:tcBorders>
                    <w:top w:val="single" w:color="auto" w:sz="4" w:space="0"/>
                    <w:left w:val="single" w:color="auto" w:sz="4" w:space="0"/>
                    <w:bottom w:val="single" w:color="auto" w:sz="4" w:space="0"/>
                    <w:right w:val="single" w:color="auto" w:sz="4" w:space="0"/>
                  </w:tcBorders>
                  <w:vAlign w:val="center"/>
                </w:tcPr>
                <w:p w14:paraId="5DCF4A76">
                  <w:pPr>
                    <w:jc w:val="center"/>
                    <w:rPr>
                      <w:szCs w:val="21"/>
                    </w:rPr>
                  </w:pPr>
                  <w:r>
                    <w:rPr>
                      <w:szCs w:val="21"/>
                    </w:rPr>
                    <w:t>用于成品油脂暂存</w:t>
                  </w:r>
                </w:p>
              </w:tc>
            </w:tr>
            <w:tr w14:paraId="76154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0" w:type="dxa"/>
                  <w:bottom w:w="40" w:type="dxa"/>
                  <w:right w:w="0" w:type="dxa"/>
                </w:tblCellMar>
              </w:tblPrEx>
              <w:trPr>
                <w:trHeight w:val="312" w:hRule="atLeast"/>
                <w:jc w:val="center"/>
              </w:trPr>
              <w:tc>
                <w:tcPr>
                  <w:tcW w:w="570" w:type="pct"/>
                  <w:tcBorders>
                    <w:top w:val="single" w:color="auto" w:sz="4" w:space="0"/>
                    <w:left w:val="single" w:color="auto" w:sz="4" w:space="0"/>
                    <w:bottom w:val="single" w:color="auto" w:sz="4" w:space="0"/>
                    <w:right w:val="single" w:color="auto" w:sz="4" w:space="0"/>
                  </w:tcBorders>
                  <w:vAlign w:val="center"/>
                </w:tcPr>
                <w:p w14:paraId="0955186E">
                  <w:pPr>
                    <w:jc w:val="center"/>
                    <w:rPr>
                      <w:szCs w:val="21"/>
                    </w:rPr>
                  </w:pPr>
                  <w:r>
                    <w:rPr>
                      <w:rFonts w:hint="eastAsia"/>
                      <w:szCs w:val="21"/>
                    </w:rPr>
                    <w:t>11</w:t>
                  </w:r>
                </w:p>
              </w:tc>
              <w:tc>
                <w:tcPr>
                  <w:tcW w:w="912" w:type="pct"/>
                  <w:tcBorders>
                    <w:top w:val="single" w:color="auto" w:sz="4" w:space="0"/>
                    <w:left w:val="single" w:color="auto" w:sz="4" w:space="0"/>
                    <w:bottom w:val="single" w:color="auto" w:sz="4" w:space="0"/>
                    <w:right w:val="single" w:color="auto" w:sz="4" w:space="0"/>
                  </w:tcBorders>
                  <w:vAlign w:val="center"/>
                </w:tcPr>
                <w:p w14:paraId="065474E8">
                  <w:pPr>
                    <w:adjustRightInd w:val="0"/>
                    <w:snapToGrid w:val="0"/>
                    <w:jc w:val="center"/>
                    <w:rPr>
                      <w:szCs w:val="21"/>
                    </w:rPr>
                  </w:pPr>
                  <w:r>
                    <w:rPr>
                      <w:rFonts w:hint="eastAsia"/>
                      <w:szCs w:val="21"/>
                    </w:rPr>
                    <w:t>储油罐</w:t>
                  </w:r>
                </w:p>
              </w:tc>
              <w:tc>
                <w:tcPr>
                  <w:tcW w:w="906" w:type="pct"/>
                  <w:tcBorders>
                    <w:top w:val="single" w:color="auto" w:sz="4" w:space="0"/>
                    <w:left w:val="single" w:color="auto" w:sz="4" w:space="0"/>
                    <w:bottom w:val="single" w:color="auto" w:sz="4" w:space="0"/>
                    <w:right w:val="single" w:color="auto" w:sz="4" w:space="0"/>
                  </w:tcBorders>
                  <w:vAlign w:val="center"/>
                </w:tcPr>
                <w:p w14:paraId="4EF128E0">
                  <w:pPr>
                    <w:adjustRightInd w:val="0"/>
                    <w:snapToGrid w:val="0"/>
                    <w:jc w:val="center"/>
                    <w:rPr>
                      <w:szCs w:val="21"/>
                    </w:rPr>
                  </w:pPr>
                  <w:r>
                    <w:rPr>
                      <w:szCs w:val="21"/>
                    </w:rPr>
                    <w:t>50m</w:t>
                  </w:r>
                  <w:r>
                    <w:rPr>
                      <w:vertAlign w:val="superscript"/>
                    </w:rPr>
                    <w:t>3</w:t>
                  </w:r>
                  <w:r>
                    <w:t>，Φ2.8m×9m</w:t>
                  </w:r>
                </w:p>
              </w:tc>
              <w:tc>
                <w:tcPr>
                  <w:tcW w:w="495" w:type="pct"/>
                  <w:tcBorders>
                    <w:top w:val="single" w:color="auto" w:sz="4" w:space="0"/>
                    <w:left w:val="single" w:color="auto" w:sz="4" w:space="0"/>
                    <w:bottom w:val="single" w:color="auto" w:sz="4" w:space="0"/>
                    <w:right w:val="single" w:color="auto" w:sz="4" w:space="0"/>
                  </w:tcBorders>
                  <w:vAlign w:val="center"/>
                </w:tcPr>
                <w:p w14:paraId="76728C40">
                  <w:pPr>
                    <w:adjustRightInd w:val="0"/>
                    <w:snapToGrid w:val="0"/>
                    <w:jc w:val="center"/>
                    <w:rPr>
                      <w:szCs w:val="21"/>
                    </w:rPr>
                  </w:pPr>
                  <w:r>
                    <w:rPr>
                      <w:szCs w:val="21"/>
                    </w:rPr>
                    <w:t>个</w:t>
                  </w:r>
                </w:p>
              </w:tc>
              <w:tc>
                <w:tcPr>
                  <w:tcW w:w="494" w:type="pct"/>
                  <w:tcBorders>
                    <w:top w:val="single" w:color="auto" w:sz="4" w:space="0"/>
                    <w:left w:val="single" w:color="auto" w:sz="4" w:space="0"/>
                    <w:bottom w:val="single" w:color="auto" w:sz="4" w:space="0"/>
                    <w:right w:val="single" w:color="auto" w:sz="4" w:space="0"/>
                  </w:tcBorders>
                  <w:vAlign w:val="center"/>
                </w:tcPr>
                <w:p w14:paraId="3D796CBD">
                  <w:pPr>
                    <w:adjustRightInd w:val="0"/>
                    <w:snapToGrid w:val="0"/>
                    <w:jc w:val="center"/>
                    <w:rPr>
                      <w:szCs w:val="21"/>
                    </w:rPr>
                  </w:pPr>
                  <w:r>
                    <w:rPr>
                      <w:rFonts w:hint="eastAsia"/>
                      <w:szCs w:val="21"/>
                    </w:rPr>
                    <w:t>4</w:t>
                  </w:r>
                </w:p>
              </w:tc>
              <w:tc>
                <w:tcPr>
                  <w:tcW w:w="1622" w:type="pct"/>
                  <w:tcBorders>
                    <w:top w:val="single" w:color="auto" w:sz="4" w:space="0"/>
                    <w:left w:val="single" w:color="auto" w:sz="4" w:space="0"/>
                    <w:bottom w:val="single" w:color="auto" w:sz="4" w:space="0"/>
                    <w:right w:val="single" w:color="auto" w:sz="4" w:space="0"/>
                  </w:tcBorders>
                  <w:vAlign w:val="center"/>
                </w:tcPr>
                <w:p w14:paraId="158C9E3D">
                  <w:pPr>
                    <w:jc w:val="center"/>
                    <w:rPr>
                      <w:szCs w:val="21"/>
                    </w:rPr>
                  </w:pPr>
                  <w:r>
                    <w:rPr>
                      <w:szCs w:val="21"/>
                    </w:rPr>
                    <w:t>用于成品油脂</w:t>
                  </w:r>
                  <w:r>
                    <w:rPr>
                      <w:rFonts w:hint="eastAsia"/>
                      <w:szCs w:val="21"/>
                    </w:rPr>
                    <w:t>存放</w:t>
                  </w:r>
                </w:p>
              </w:tc>
            </w:tr>
            <w:tr w14:paraId="10767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0" w:type="dxa"/>
                  <w:bottom w:w="40" w:type="dxa"/>
                  <w:right w:w="0" w:type="dxa"/>
                </w:tblCellMar>
              </w:tblPrEx>
              <w:trPr>
                <w:trHeight w:val="312" w:hRule="atLeast"/>
                <w:jc w:val="center"/>
              </w:trPr>
              <w:tc>
                <w:tcPr>
                  <w:tcW w:w="570" w:type="pct"/>
                  <w:tcBorders>
                    <w:top w:val="single" w:color="auto" w:sz="4" w:space="0"/>
                    <w:left w:val="single" w:color="auto" w:sz="4" w:space="0"/>
                    <w:bottom w:val="single" w:color="auto" w:sz="4" w:space="0"/>
                    <w:right w:val="single" w:color="auto" w:sz="4" w:space="0"/>
                  </w:tcBorders>
                  <w:vAlign w:val="center"/>
                </w:tcPr>
                <w:p w14:paraId="7EB7C69B">
                  <w:pPr>
                    <w:jc w:val="center"/>
                    <w:rPr>
                      <w:szCs w:val="21"/>
                    </w:rPr>
                  </w:pPr>
                  <w:r>
                    <w:rPr>
                      <w:rFonts w:hint="eastAsia"/>
                      <w:szCs w:val="21"/>
                    </w:rPr>
                    <w:t>12</w:t>
                  </w:r>
                </w:p>
              </w:tc>
              <w:tc>
                <w:tcPr>
                  <w:tcW w:w="912" w:type="pct"/>
                  <w:tcBorders>
                    <w:top w:val="single" w:color="auto" w:sz="4" w:space="0"/>
                    <w:left w:val="single" w:color="auto" w:sz="4" w:space="0"/>
                    <w:bottom w:val="single" w:color="auto" w:sz="4" w:space="0"/>
                    <w:right w:val="single" w:color="auto" w:sz="4" w:space="0"/>
                  </w:tcBorders>
                  <w:vAlign w:val="center"/>
                </w:tcPr>
                <w:p w14:paraId="13EC887A">
                  <w:pPr>
                    <w:adjustRightInd w:val="0"/>
                    <w:snapToGrid w:val="0"/>
                    <w:jc w:val="center"/>
                    <w:rPr>
                      <w:szCs w:val="21"/>
                    </w:rPr>
                  </w:pPr>
                  <w:r>
                    <w:rPr>
                      <w:rFonts w:hint="eastAsia"/>
                      <w:szCs w:val="21"/>
                    </w:rPr>
                    <w:t>LNG储罐</w:t>
                  </w:r>
                </w:p>
              </w:tc>
              <w:tc>
                <w:tcPr>
                  <w:tcW w:w="906" w:type="pct"/>
                  <w:tcBorders>
                    <w:top w:val="single" w:color="auto" w:sz="4" w:space="0"/>
                    <w:left w:val="single" w:color="auto" w:sz="4" w:space="0"/>
                    <w:bottom w:val="single" w:color="auto" w:sz="4" w:space="0"/>
                    <w:right w:val="single" w:color="auto" w:sz="4" w:space="0"/>
                  </w:tcBorders>
                  <w:vAlign w:val="center"/>
                </w:tcPr>
                <w:p w14:paraId="2ADBBF00">
                  <w:pPr>
                    <w:adjustRightInd w:val="0"/>
                    <w:snapToGrid w:val="0"/>
                    <w:jc w:val="center"/>
                    <w:rPr>
                      <w:szCs w:val="21"/>
                    </w:rPr>
                  </w:pPr>
                  <w:r>
                    <w:rPr>
                      <w:rFonts w:hint="eastAsia"/>
                      <w:szCs w:val="21"/>
                    </w:rPr>
                    <w:t>15m</w:t>
                  </w:r>
                  <w:r>
                    <w:rPr>
                      <w:rFonts w:hint="eastAsia"/>
                      <w:szCs w:val="21"/>
                      <w:vertAlign w:val="superscript"/>
                    </w:rPr>
                    <w:t>3</w:t>
                  </w:r>
                </w:p>
              </w:tc>
              <w:tc>
                <w:tcPr>
                  <w:tcW w:w="495" w:type="pct"/>
                  <w:tcBorders>
                    <w:top w:val="single" w:color="auto" w:sz="4" w:space="0"/>
                    <w:left w:val="single" w:color="auto" w:sz="4" w:space="0"/>
                    <w:bottom w:val="single" w:color="auto" w:sz="4" w:space="0"/>
                    <w:right w:val="single" w:color="auto" w:sz="4" w:space="0"/>
                  </w:tcBorders>
                  <w:vAlign w:val="center"/>
                </w:tcPr>
                <w:p w14:paraId="482B5760">
                  <w:pPr>
                    <w:adjustRightInd w:val="0"/>
                    <w:snapToGrid w:val="0"/>
                    <w:jc w:val="center"/>
                    <w:rPr>
                      <w:szCs w:val="21"/>
                    </w:rPr>
                  </w:pPr>
                  <w:r>
                    <w:rPr>
                      <w:szCs w:val="21"/>
                    </w:rPr>
                    <w:t>个</w:t>
                  </w:r>
                </w:p>
              </w:tc>
              <w:tc>
                <w:tcPr>
                  <w:tcW w:w="494" w:type="pct"/>
                  <w:tcBorders>
                    <w:top w:val="single" w:color="auto" w:sz="4" w:space="0"/>
                    <w:left w:val="single" w:color="auto" w:sz="4" w:space="0"/>
                    <w:bottom w:val="single" w:color="auto" w:sz="4" w:space="0"/>
                    <w:right w:val="single" w:color="auto" w:sz="4" w:space="0"/>
                  </w:tcBorders>
                  <w:vAlign w:val="center"/>
                </w:tcPr>
                <w:p w14:paraId="02B9CB60">
                  <w:pPr>
                    <w:adjustRightInd w:val="0"/>
                    <w:snapToGrid w:val="0"/>
                    <w:jc w:val="center"/>
                    <w:rPr>
                      <w:szCs w:val="21"/>
                    </w:rPr>
                  </w:pPr>
                  <w:r>
                    <w:rPr>
                      <w:rFonts w:hint="eastAsia"/>
                      <w:szCs w:val="21"/>
                    </w:rPr>
                    <w:t>1</w:t>
                  </w:r>
                </w:p>
              </w:tc>
              <w:tc>
                <w:tcPr>
                  <w:tcW w:w="1622" w:type="pct"/>
                  <w:tcBorders>
                    <w:top w:val="single" w:color="auto" w:sz="4" w:space="0"/>
                    <w:left w:val="single" w:color="auto" w:sz="4" w:space="0"/>
                    <w:bottom w:val="single" w:color="auto" w:sz="4" w:space="0"/>
                    <w:right w:val="single" w:color="auto" w:sz="4" w:space="0"/>
                  </w:tcBorders>
                  <w:vAlign w:val="center"/>
                </w:tcPr>
                <w:p w14:paraId="74CC5E77">
                  <w:pPr>
                    <w:jc w:val="center"/>
                    <w:rPr>
                      <w:szCs w:val="21"/>
                    </w:rPr>
                  </w:pPr>
                  <w:r>
                    <w:rPr>
                      <w:szCs w:val="21"/>
                    </w:rPr>
                    <w:t>位于厂区东南角，用于厂区锅炉运行</w:t>
                  </w:r>
                </w:p>
              </w:tc>
            </w:tr>
          </w:tbl>
          <w:p w14:paraId="3826679B">
            <w:pPr>
              <w:pStyle w:val="65"/>
              <w:spacing w:line="360" w:lineRule="auto"/>
              <w:ind w:firstLine="482" w:firstLineChars="200"/>
              <w:jc w:val="both"/>
              <w:rPr>
                <w:rFonts w:ascii="Times New Roman" w:cs="Times New Roman"/>
                <w:b/>
              </w:rPr>
            </w:pPr>
            <w:r>
              <w:rPr>
                <w:rFonts w:ascii="Times New Roman" w:cs="Times New Roman"/>
                <w:b/>
              </w:rPr>
              <w:t>（2）产能匹配性分析</w:t>
            </w:r>
          </w:p>
          <w:p w14:paraId="69E2FB56">
            <w:pPr>
              <w:pStyle w:val="65"/>
              <w:autoSpaceDE/>
              <w:autoSpaceDN/>
              <w:spacing w:line="360" w:lineRule="auto"/>
              <w:ind w:firstLine="480" w:firstLineChars="200"/>
              <w:jc w:val="both"/>
              <w:rPr>
                <w:b/>
              </w:rPr>
            </w:pPr>
            <w:r>
              <w:rPr>
                <w:rFonts w:ascii="Times New Roman" w:cs="Times New Roman" w:eastAsiaTheme="majorEastAsia"/>
                <w:iCs/>
              </w:rPr>
              <w:t>根据建设单位提供信息，项目设置</w:t>
            </w:r>
            <w:r>
              <w:rPr>
                <w:rFonts w:hint="eastAsia" w:ascii="Times New Roman" w:cs="Times New Roman" w:eastAsiaTheme="majorEastAsia"/>
                <w:iCs/>
              </w:rPr>
              <w:t>10</w:t>
            </w:r>
            <w:r>
              <w:rPr>
                <w:rFonts w:ascii="Times New Roman" w:cs="Times New Roman" w:eastAsiaTheme="majorEastAsia"/>
                <w:iCs/>
              </w:rPr>
              <w:t>台熬制炉分批次生产，填充量约为</w:t>
            </w:r>
            <w:r>
              <w:rPr>
                <w:rFonts w:hint="eastAsia" w:ascii="Times New Roman" w:cs="Times New Roman" w:eastAsiaTheme="majorEastAsia"/>
                <w:iCs/>
              </w:rPr>
              <w:t>7</w:t>
            </w:r>
            <w:r>
              <w:rPr>
                <w:rFonts w:ascii="Times New Roman" w:cs="Times New Roman" w:eastAsiaTheme="majorEastAsia"/>
                <w:iCs/>
              </w:rPr>
              <w:t>t/台，每批次生产大约用时4</w:t>
            </w:r>
            <w:r>
              <w:rPr>
                <w:rFonts w:hint="eastAsia" w:ascii="Times New Roman" w:cs="Times New Roman" w:eastAsiaTheme="majorEastAsia"/>
                <w:iCs/>
              </w:rPr>
              <w:t>h</w:t>
            </w:r>
            <w:r>
              <w:rPr>
                <w:rFonts w:ascii="Times New Roman" w:cs="Times New Roman" w:eastAsiaTheme="majorEastAsia"/>
                <w:iCs/>
              </w:rPr>
              <w:t>，项目生产</w:t>
            </w:r>
            <w:r>
              <w:rPr>
                <w:rFonts w:hint="eastAsia" w:ascii="Times New Roman" w:cs="Times New Roman" w:eastAsiaTheme="majorEastAsia"/>
                <w:iCs/>
              </w:rPr>
              <w:t>8</w:t>
            </w:r>
            <w:r>
              <w:rPr>
                <w:rFonts w:ascii="Times New Roman" w:cs="Times New Roman" w:eastAsiaTheme="majorEastAsia"/>
                <w:iCs/>
              </w:rPr>
              <w:t>h/d，即每天生产</w:t>
            </w:r>
            <w:r>
              <w:rPr>
                <w:rFonts w:hint="eastAsia" w:ascii="Times New Roman" w:cs="Times New Roman" w:eastAsiaTheme="majorEastAsia"/>
                <w:iCs/>
              </w:rPr>
              <w:t>2</w:t>
            </w:r>
            <w:r>
              <w:rPr>
                <w:rFonts w:ascii="Times New Roman" w:cs="Times New Roman" w:eastAsiaTheme="majorEastAsia"/>
                <w:iCs/>
              </w:rPr>
              <w:t>批次，年运行时间300天，则项目可处理动物板油</w:t>
            </w:r>
            <w:r>
              <w:rPr>
                <w:rFonts w:hint="eastAsia" w:ascii="Times New Roman" w:cs="Times New Roman" w:eastAsiaTheme="majorEastAsia"/>
                <w:iCs/>
              </w:rPr>
              <w:t>42</w:t>
            </w:r>
            <w:r>
              <w:rPr>
                <w:rFonts w:ascii="Times New Roman" w:cs="Times New Roman" w:eastAsiaTheme="majorEastAsia"/>
                <w:iCs/>
              </w:rPr>
              <w:t>000t/a，满足项目生</w:t>
            </w:r>
            <w:r>
              <w:rPr>
                <w:rFonts w:ascii="Times New Roman" w:cs="Times New Roman" w:hAnsiTheme="majorEastAsia" w:eastAsiaTheme="majorEastAsia"/>
                <w:iCs/>
              </w:rPr>
              <w:t>产产能（年处理动物板油</w:t>
            </w:r>
            <w:r>
              <w:rPr>
                <w:rFonts w:hint="eastAsia" w:ascii="Times New Roman" w:cs="Times New Roman" w:hAnsiTheme="majorEastAsia" w:eastAsiaTheme="majorEastAsia"/>
                <w:iCs/>
              </w:rPr>
              <w:t>40650</w:t>
            </w:r>
            <w:r>
              <w:rPr>
                <w:rFonts w:ascii="Times New Roman" w:cs="Times New Roman" w:eastAsiaTheme="majorEastAsia"/>
                <w:iCs/>
              </w:rPr>
              <w:t>t/a</w:t>
            </w:r>
            <w:r>
              <w:rPr>
                <w:rFonts w:ascii="Times New Roman" w:cs="Times New Roman" w:hAnsiTheme="majorEastAsia" w:eastAsiaTheme="majorEastAsia"/>
                <w:iCs/>
              </w:rPr>
              <w:t>）。</w:t>
            </w:r>
          </w:p>
          <w:p w14:paraId="60A34B08">
            <w:pPr>
              <w:spacing w:line="360" w:lineRule="auto"/>
              <w:ind w:firstLine="482" w:firstLineChars="200"/>
              <w:rPr>
                <w:rFonts w:eastAsia="黑体"/>
                <w:b/>
                <w:iCs/>
                <w:sz w:val="24"/>
              </w:rPr>
            </w:pPr>
            <w:r>
              <w:rPr>
                <w:rFonts w:hint="eastAsia" w:eastAsia="黑体"/>
                <w:b/>
                <w:iCs/>
                <w:sz w:val="24"/>
              </w:rPr>
              <w:t>5</w:t>
            </w:r>
            <w:r>
              <w:rPr>
                <w:rFonts w:eastAsia="黑体"/>
                <w:b/>
                <w:iCs/>
                <w:sz w:val="24"/>
              </w:rPr>
              <w:t>、原辅材料及能源使用情况</w:t>
            </w:r>
          </w:p>
          <w:p w14:paraId="4F0572D9">
            <w:pPr>
              <w:pStyle w:val="11"/>
              <w:spacing w:line="360" w:lineRule="auto"/>
              <w:ind w:firstLine="482"/>
              <w:rPr>
                <w:sz w:val="24"/>
              </w:rPr>
            </w:pPr>
            <w:r>
              <w:rPr>
                <w:rFonts w:hint="eastAsia"/>
                <w:b/>
                <w:sz w:val="24"/>
              </w:rPr>
              <w:t>（</w:t>
            </w:r>
            <w:r>
              <w:rPr>
                <w:b/>
                <w:sz w:val="24"/>
              </w:rPr>
              <w:t>1</w:t>
            </w:r>
            <w:r>
              <w:rPr>
                <w:rFonts w:hint="eastAsia"/>
                <w:b/>
                <w:sz w:val="24"/>
              </w:rPr>
              <w:t>）</w:t>
            </w:r>
            <w:r>
              <w:rPr>
                <w:rFonts w:hint="eastAsia"/>
                <w:b/>
                <w:iCs/>
                <w:sz w:val="24"/>
              </w:rPr>
              <w:t>原辅材料及能源使用情况</w:t>
            </w:r>
          </w:p>
          <w:p w14:paraId="5EEC0836">
            <w:pPr>
              <w:spacing w:line="360" w:lineRule="auto"/>
              <w:ind w:firstLine="480" w:firstLineChars="200"/>
              <w:jc w:val="left"/>
              <w:rPr>
                <w:sz w:val="24"/>
              </w:rPr>
            </w:pPr>
            <w:r>
              <w:rPr>
                <w:rFonts w:hint="eastAsia"/>
                <w:bCs/>
                <w:sz w:val="24"/>
              </w:rPr>
              <w:t>本</w:t>
            </w:r>
            <w:r>
              <w:rPr>
                <w:rFonts w:hint="eastAsia"/>
                <w:sz w:val="24"/>
              </w:rPr>
              <w:t>项目主要原辅材料及能源消耗情况见表10。</w:t>
            </w:r>
          </w:p>
          <w:p w14:paraId="494D6C82">
            <w:pPr>
              <w:jc w:val="center"/>
              <w:rPr>
                <w:rFonts w:hAnsi="黑体"/>
                <w:b/>
                <w:sz w:val="24"/>
              </w:rPr>
            </w:pPr>
            <w:r>
              <w:rPr>
                <w:rFonts w:hint="eastAsia" w:hAnsi="黑体"/>
                <w:b/>
                <w:sz w:val="24"/>
              </w:rPr>
              <w:t>表10    主要原辅材料及能源消耗情况一览表</w:t>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84"/>
              <w:gridCol w:w="2148"/>
              <w:gridCol w:w="1276"/>
              <w:gridCol w:w="1276"/>
              <w:gridCol w:w="3215"/>
            </w:tblGrid>
            <w:tr w14:paraId="3D4D6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98" w:type="pct"/>
                  <w:vAlign w:val="center"/>
                </w:tcPr>
                <w:p w14:paraId="2CC87C7A">
                  <w:pPr>
                    <w:pStyle w:val="11"/>
                    <w:adjustRightInd w:val="0"/>
                    <w:snapToGrid w:val="0"/>
                    <w:ind w:firstLine="0" w:firstLineChars="0"/>
                    <w:jc w:val="center"/>
                    <w:rPr>
                      <w:kern w:val="0"/>
                      <w:szCs w:val="21"/>
                    </w:rPr>
                  </w:pPr>
                  <w:r>
                    <w:rPr>
                      <w:kern w:val="0"/>
                      <w:szCs w:val="21"/>
                    </w:rPr>
                    <w:t>序号</w:t>
                  </w:r>
                </w:p>
              </w:tc>
              <w:tc>
                <w:tcPr>
                  <w:tcW w:w="1249" w:type="pct"/>
                  <w:vAlign w:val="center"/>
                </w:tcPr>
                <w:p w14:paraId="2B4DEFA9">
                  <w:pPr>
                    <w:pStyle w:val="11"/>
                    <w:adjustRightInd w:val="0"/>
                    <w:snapToGrid w:val="0"/>
                    <w:ind w:firstLine="0" w:firstLineChars="0"/>
                    <w:jc w:val="center"/>
                    <w:rPr>
                      <w:kern w:val="0"/>
                      <w:szCs w:val="21"/>
                    </w:rPr>
                  </w:pPr>
                  <w:r>
                    <w:rPr>
                      <w:kern w:val="0"/>
                      <w:szCs w:val="21"/>
                    </w:rPr>
                    <w:t>名称</w:t>
                  </w:r>
                </w:p>
              </w:tc>
              <w:tc>
                <w:tcPr>
                  <w:tcW w:w="742" w:type="pct"/>
                  <w:vAlign w:val="center"/>
                </w:tcPr>
                <w:p w14:paraId="056C109D">
                  <w:pPr>
                    <w:pStyle w:val="11"/>
                    <w:adjustRightInd w:val="0"/>
                    <w:snapToGrid w:val="0"/>
                    <w:ind w:firstLine="0" w:firstLineChars="0"/>
                    <w:jc w:val="center"/>
                    <w:rPr>
                      <w:kern w:val="0"/>
                      <w:szCs w:val="21"/>
                    </w:rPr>
                  </w:pPr>
                  <w:r>
                    <w:rPr>
                      <w:kern w:val="0"/>
                      <w:szCs w:val="21"/>
                    </w:rPr>
                    <w:t>单位</w:t>
                  </w:r>
                </w:p>
              </w:tc>
              <w:tc>
                <w:tcPr>
                  <w:tcW w:w="742" w:type="pct"/>
                  <w:vAlign w:val="center"/>
                </w:tcPr>
                <w:p w14:paraId="5499DDE2">
                  <w:pPr>
                    <w:pStyle w:val="11"/>
                    <w:adjustRightInd w:val="0"/>
                    <w:snapToGrid w:val="0"/>
                    <w:ind w:firstLine="0" w:firstLineChars="0"/>
                    <w:jc w:val="center"/>
                    <w:rPr>
                      <w:kern w:val="0"/>
                      <w:szCs w:val="21"/>
                    </w:rPr>
                  </w:pPr>
                  <w:r>
                    <w:rPr>
                      <w:kern w:val="0"/>
                      <w:szCs w:val="21"/>
                    </w:rPr>
                    <w:t>年用量</w:t>
                  </w:r>
                </w:p>
              </w:tc>
              <w:tc>
                <w:tcPr>
                  <w:tcW w:w="1869" w:type="pct"/>
                  <w:vAlign w:val="center"/>
                </w:tcPr>
                <w:p w14:paraId="5D01B75F">
                  <w:pPr>
                    <w:pStyle w:val="11"/>
                    <w:adjustRightInd w:val="0"/>
                    <w:snapToGrid w:val="0"/>
                    <w:ind w:firstLine="0" w:firstLineChars="0"/>
                    <w:jc w:val="center"/>
                    <w:rPr>
                      <w:kern w:val="0"/>
                      <w:szCs w:val="21"/>
                    </w:rPr>
                  </w:pPr>
                  <w:r>
                    <w:rPr>
                      <w:kern w:val="0"/>
                      <w:szCs w:val="21"/>
                    </w:rPr>
                    <w:t>备注</w:t>
                  </w:r>
                </w:p>
              </w:tc>
            </w:tr>
            <w:tr w14:paraId="4CAA2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98" w:type="pct"/>
                  <w:vAlign w:val="center"/>
                </w:tcPr>
                <w:p w14:paraId="723836B0">
                  <w:pPr>
                    <w:adjustRightInd w:val="0"/>
                    <w:snapToGrid w:val="0"/>
                    <w:jc w:val="center"/>
                    <w:rPr>
                      <w:szCs w:val="21"/>
                    </w:rPr>
                  </w:pPr>
                  <w:r>
                    <w:rPr>
                      <w:szCs w:val="21"/>
                    </w:rPr>
                    <w:t>1</w:t>
                  </w:r>
                </w:p>
              </w:tc>
              <w:tc>
                <w:tcPr>
                  <w:tcW w:w="1249" w:type="pct"/>
                  <w:vAlign w:val="center"/>
                </w:tcPr>
                <w:p w14:paraId="7D71E8FD">
                  <w:pPr>
                    <w:adjustRightInd w:val="0"/>
                    <w:snapToGrid w:val="0"/>
                    <w:jc w:val="center"/>
                    <w:rPr>
                      <w:szCs w:val="21"/>
                      <w:highlight w:val="yellow"/>
                    </w:rPr>
                  </w:pPr>
                  <w:r>
                    <w:rPr>
                      <w:rFonts w:hint="eastAsia"/>
                      <w:szCs w:val="21"/>
                    </w:rPr>
                    <w:t>动物板油等屠宰副产品</w:t>
                  </w:r>
                </w:p>
              </w:tc>
              <w:tc>
                <w:tcPr>
                  <w:tcW w:w="742" w:type="pct"/>
                  <w:vAlign w:val="center"/>
                </w:tcPr>
                <w:p w14:paraId="4839100D">
                  <w:pPr>
                    <w:adjustRightInd w:val="0"/>
                    <w:snapToGrid w:val="0"/>
                    <w:jc w:val="center"/>
                    <w:rPr>
                      <w:szCs w:val="21"/>
                    </w:rPr>
                  </w:pPr>
                  <w:r>
                    <w:rPr>
                      <w:kern w:val="0"/>
                      <w:szCs w:val="21"/>
                    </w:rPr>
                    <w:t>t/a</w:t>
                  </w:r>
                </w:p>
              </w:tc>
              <w:tc>
                <w:tcPr>
                  <w:tcW w:w="742" w:type="pct"/>
                  <w:vAlign w:val="center"/>
                </w:tcPr>
                <w:p w14:paraId="579DF004">
                  <w:pPr>
                    <w:adjustRightInd w:val="0"/>
                    <w:snapToGrid w:val="0"/>
                    <w:jc w:val="center"/>
                    <w:rPr>
                      <w:szCs w:val="21"/>
                    </w:rPr>
                  </w:pPr>
                  <w:r>
                    <w:rPr>
                      <w:rFonts w:hint="eastAsia"/>
                      <w:szCs w:val="21"/>
                    </w:rPr>
                    <w:t>40650</w:t>
                  </w:r>
                </w:p>
              </w:tc>
              <w:tc>
                <w:tcPr>
                  <w:tcW w:w="1869" w:type="pct"/>
                  <w:vAlign w:val="center"/>
                </w:tcPr>
                <w:p w14:paraId="29F80DF0">
                  <w:pPr>
                    <w:autoSpaceDE w:val="0"/>
                    <w:autoSpaceDN w:val="0"/>
                    <w:adjustRightInd w:val="0"/>
                    <w:jc w:val="center"/>
                    <w:rPr>
                      <w:rFonts w:ascii="宋体" w:cs="宋体"/>
                      <w:kern w:val="0"/>
                      <w:szCs w:val="21"/>
                    </w:rPr>
                  </w:pPr>
                  <w:r>
                    <w:rPr>
                      <w:rFonts w:hint="eastAsia"/>
                      <w:szCs w:val="21"/>
                    </w:rPr>
                    <w:t>外购，来自民权屠宰场，</w:t>
                  </w:r>
                  <w:r>
                    <w:rPr>
                      <w:rFonts w:hint="eastAsia" w:ascii="宋体" w:cs="宋体"/>
                      <w:kern w:val="0"/>
                      <w:szCs w:val="21"/>
                    </w:rPr>
                    <w:t>每日收购即用于生产，未生产原料临时储存于项目车间冷库内</w:t>
                  </w:r>
                </w:p>
              </w:tc>
            </w:tr>
            <w:tr w14:paraId="1FBB7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98" w:type="pct"/>
                  <w:vAlign w:val="center"/>
                </w:tcPr>
                <w:p w14:paraId="6F2D3629">
                  <w:pPr>
                    <w:adjustRightInd w:val="0"/>
                    <w:snapToGrid w:val="0"/>
                    <w:jc w:val="center"/>
                    <w:rPr>
                      <w:szCs w:val="21"/>
                    </w:rPr>
                  </w:pPr>
                  <w:r>
                    <w:rPr>
                      <w:rFonts w:hint="eastAsia"/>
                      <w:szCs w:val="21"/>
                    </w:rPr>
                    <w:t>2</w:t>
                  </w:r>
                </w:p>
              </w:tc>
              <w:tc>
                <w:tcPr>
                  <w:tcW w:w="1249" w:type="pct"/>
                  <w:vAlign w:val="center"/>
                </w:tcPr>
                <w:p w14:paraId="4D78F056">
                  <w:pPr>
                    <w:adjustRightInd w:val="0"/>
                    <w:snapToGrid w:val="0"/>
                    <w:jc w:val="center"/>
                    <w:rPr>
                      <w:szCs w:val="21"/>
                    </w:rPr>
                  </w:pPr>
                  <w:r>
                    <w:rPr>
                      <w:rFonts w:hint="eastAsia"/>
                      <w:szCs w:val="21"/>
                    </w:rPr>
                    <w:t>天然气</w:t>
                  </w:r>
                </w:p>
              </w:tc>
              <w:tc>
                <w:tcPr>
                  <w:tcW w:w="742" w:type="pct"/>
                  <w:vAlign w:val="center"/>
                </w:tcPr>
                <w:p w14:paraId="73A5FC7A">
                  <w:pPr>
                    <w:adjustRightInd w:val="0"/>
                    <w:snapToGrid w:val="0"/>
                    <w:jc w:val="center"/>
                    <w:rPr>
                      <w:kern w:val="0"/>
                      <w:szCs w:val="21"/>
                    </w:rPr>
                  </w:pPr>
                  <w:r>
                    <w:rPr>
                      <w:rFonts w:hint="eastAsia"/>
                      <w:szCs w:val="21"/>
                    </w:rPr>
                    <w:t>t/a</w:t>
                  </w:r>
                </w:p>
              </w:tc>
              <w:tc>
                <w:tcPr>
                  <w:tcW w:w="742" w:type="pct"/>
                  <w:vAlign w:val="center"/>
                </w:tcPr>
                <w:p w14:paraId="54F92AE1">
                  <w:pPr>
                    <w:adjustRightInd w:val="0"/>
                    <w:snapToGrid w:val="0"/>
                    <w:jc w:val="center"/>
                    <w:rPr>
                      <w:szCs w:val="21"/>
                    </w:rPr>
                  </w:pPr>
                  <w:r>
                    <w:rPr>
                      <w:rFonts w:hint="eastAsia"/>
                      <w:szCs w:val="21"/>
                    </w:rPr>
                    <w:t>556.4</w:t>
                  </w:r>
                </w:p>
              </w:tc>
              <w:tc>
                <w:tcPr>
                  <w:tcW w:w="1869" w:type="pct"/>
                  <w:vAlign w:val="center"/>
                </w:tcPr>
                <w:p w14:paraId="5F7E3686">
                  <w:pPr>
                    <w:adjustRightInd w:val="0"/>
                    <w:snapToGrid w:val="0"/>
                    <w:jc w:val="center"/>
                    <w:rPr>
                      <w:szCs w:val="21"/>
                    </w:rPr>
                  </w:pPr>
                  <w:r>
                    <w:rPr>
                      <w:rFonts w:hint="eastAsia"/>
                      <w:szCs w:val="21"/>
                    </w:rPr>
                    <w:t>外购，在厂内15m</w:t>
                  </w:r>
                  <w:r>
                    <w:rPr>
                      <w:rFonts w:hint="eastAsia"/>
                      <w:szCs w:val="21"/>
                      <w:vertAlign w:val="superscript"/>
                    </w:rPr>
                    <w:t>3</w:t>
                  </w:r>
                  <w:r>
                    <w:rPr>
                      <w:rFonts w:hint="eastAsia"/>
                      <w:szCs w:val="21"/>
                    </w:rPr>
                    <w:t>LNG储罐储存</w:t>
                  </w:r>
                </w:p>
              </w:tc>
            </w:tr>
            <w:tr w14:paraId="16DC2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98" w:type="pct"/>
                  <w:vAlign w:val="center"/>
                </w:tcPr>
                <w:p w14:paraId="155D20AE">
                  <w:pPr>
                    <w:pStyle w:val="11"/>
                    <w:adjustRightInd w:val="0"/>
                    <w:snapToGrid w:val="0"/>
                    <w:ind w:firstLine="0" w:firstLineChars="0"/>
                    <w:jc w:val="center"/>
                    <w:rPr>
                      <w:bCs w:val="0"/>
                      <w:kern w:val="0"/>
                      <w:szCs w:val="21"/>
                    </w:rPr>
                  </w:pPr>
                  <w:r>
                    <w:rPr>
                      <w:rFonts w:hint="eastAsia"/>
                      <w:bCs w:val="0"/>
                      <w:kern w:val="0"/>
                      <w:szCs w:val="21"/>
                    </w:rPr>
                    <w:t>3</w:t>
                  </w:r>
                </w:p>
              </w:tc>
              <w:tc>
                <w:tcPr>
                  <w:tcW w:w="1249" w:type="pct"/>
                  <w:vAlign w:val="center"/>
                </w:tcPr>
                <w:p w14:paraId="3EA8335F">
                  <w:pPr>
                    <w:adjustRightInd w:val="0"/>
                    <w:snapToGrid w:val="0"/>
                    <w:jc w:val="center"/>
                    <w:rPr>
                      <w:szCs w:val="21"/>
                    </w:rPr>
                  </w:pPr>
                  <w:r>
                    <w:rPr>
                      <w:rFonts w:hint="eastAsia"/>
                      <w:szCs w:val="21"/>
                    </w:rPr>
                    <w:t>导热油</w:t>
                  </w:r>
                </w:p>
              </w:tc>
              <w:tc>
                <w:tcPr>
                  <w:tcW w:w="742" w:type="pct"/>
                  <w:vAlign w:val="center"/>
                </w:tcPr>
                <w:p w14:paraId="261961EC">
                  <w:pPr>
                    <w:adjustRightInd w:val="0"/>
                    <w:snapToGrid w:val="0"/>
                    <w:jc w:val="center"/>
                    <w:rPr>
                      <w:szCs w:val="21"/>
                    </w:rPr>
                  </w:pPr>
                  <w:r>
                    <w:rPr>
                      <w:rFonts w:hint="eastAsia"/>
                      <w:szCs w:val="21"/>
                    </w:rPr>
                    <w:t>t/a</w:t>
                  </w:r>
                </w:p>
              </w:tc>
              <w:tc>
                <w:tcPr>
                  <w:tcW w:w="742" w:type="pct"/>
                  <w:vAlign w:val="center"/>
                </w:tcPr>
                <w:p w14:paraId="0FB1AC0E">
                  <w:pPr>
                    <w:adjustRightInd w:val="0"/>
                    <w:snapToGrid w:val="0"/>
                    <w:jc w:val="center"/>
                    <w:rPr>
                      <w:szCs w:val="21"/>
                    </w:rPr>
                  </w:pPr>
                  <w:r>
                    <w:rPr>
                      <w:rFonts w:hint="eastAsia"/>
                      <w:szCs w:val="21"/>
                    </w:rPr>
                    <w:t>0.5</w:t>
                  </w:r>
                </w:p>
              </w:tc>
              <w:tc>
                <w:tcPr>
                  <w:tcW w:w="1869" w:type="pct"/>
                  <w:vAlign w:val="center"/>
                </w:tcPr>
                <w:p w14:paraId="16A776E8">
                  <w:pPr>
                    <w:adjustRightInd w:val="0"/>
                    <w:snapToGrid w:val="0"/>
                    <w:jc w:val="center"/>
                    <w:rPr>
                      <w:szCs w:val="21"/>
                    </w:rPr>
                  </w:pPr>
                  <w:r>
                    <w:rPr>
                      <w:rFonts w:hint="eastAsia"/>
                      <w:szCs w:val="21"/>
                    </w:rPr>
                    <w:t>外购，罐车运入厂内补充</w:t>
                  </w:r>
                </w:p>
              </w:tc>
            </w:tr>
            <w:tr w14:paraId="2B399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98" w:type="pct"/>
                  <w:vAlign w:val="center"/>
                </w:tcPr>
                <w:p w14:paraId="2E2F8055">
                  <w:pPr>
                    <w:pStyle w:val="11"/>
                    <w:adjustRightInd w:val="0"/>
                    <w:snapToGrid w:val="0"/>
                    <w:ind w:firstLine="0" w:firstLineChars="0"/>
                    <w:jc w:val="center"/>
                    <w:rPr>
                      <w:bCs w:val="0"/>
                      <w:kern w:val="0"/>
                      <w:szCs w:val="21"/>
                    </w:rPr>
                  </w:pPr>
                  <w:r>
                    <w:rPr>
                      <w:rFonts w:hint="eastAsia"/>
                      <w:bCs w:val="0"/>
                      <w:kern w:val="0"/>
                      <w:szCs w:val="21"/>
                    </w:rPr>
                    <w:t>4</w:t>
                  </w:r>
                </w:p>
              </w:tc>
              <w:tc>
                <w:tcPr>
                  <w:tcW w:w="1249" w:type="pct"/>
                  <w:vAlign w:val="center"/>
                </w:tcPr>
                <w:p w14:paraId="229A8614">
                  <w:pPr>
                    <w:adjustRightInd w:val="0"/>
                    <w:snapToGrid w:val="0"/>
                    <w:jc w:val="center"/>
                    <w:rPr>
                      <w:szCs w:val="21"/>
                    </w:rPr>
                  </w:pPr>
                  <w:r>
                    <w:rPr>
                      <w:rFonts w:hint="eastAsia"/>
                      <w:szCs w:val="21"/>
                    </w:rPr>
                    <w:t>制冷剂R404a</w:t>
                  </w:r>
                </w:p>
              </w:tc>
              <w:tc>
                <w:tcPr>
                  <w:tcW w:w="742" w:type="pct"/>
                  <w:vAlign w:val="center"/>
                </w:tcPr>
                <w:p w14:paraId="1405213F">
                  <w:pPr>
                    <w:jc w:val="center"/>
                    <w:rPr>
                      <w:szCs w:val="21"/>
                    </w:rPr>
                  </w:pPr>
                  <w:r>
                    <w:rPr>
                      <w:rFonts w:hint="eastAsia"/>
                      <w:szCs w:val="21"/>
                    </w:rPr>
                    <w:t>t/a</w:t>
                  </w:r>
                </w:p>
              </w:tc>
              <w:tc>
                <w:tcPr>
                  <w:tcW w:w="742" w:type="pct"/>
                  <w:vAlign w:val="center"/>
                </w:tcPr>
                <w:p w14:paraId="3AC1E205">
                  <w:pPr>
                    <w:jc w:val="center"/>
                    <w:rPr>
                      <w:szCs w:val="21"/>
                    </w:rPr>
                  </w:pPr>
                  <w:r>
                    <w:rPr>
                      <w:rFonts w:hint="eastAsia"/>
                      <w:szCs w:val="21"/>
                    </w:rPr>
                    <w:t>0.04</w:t>
                  </w:r>
                </w:p>
              </w:tc>
              <w:tc>
                <w:tcPr>
                  <w:tcW w:w="1869" w:type="pct"/>
                  <w:vAlign w:val="center"/>
                </w:tcPr>
                <w:p w14:paraId="588D639B">
                  <w:pPr>
                    <w:jc w:val="center"/>
                    <w:rPr>
                      <w:szCs w:val="21"/>
                    </w:rPr>
                  </w:pPr>
                  <w:r>
                    <w:rPr>
                      <w:rFonts w:hint="eastAsia"/>
                      <w:szCs w:val="21"/>
                    </w:rPr>
                    <w:t>外购用于冷库制冷，即买即用</w:t>
                  </w:r>
                </w:p>
              </w:tc>
            </w:tr>
            <w:tr w14:paraId="6B8DF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98" w:type="pct"/>
                  <w:vAlign w:val="center"/>
                </w:tcPr>
                <w:p w14:paraId="2AF37E06">
                  <w:pPr>
                    <w:pStyle w:val="11"/>
                    <w:adjustRightInd w:val="0"/>
                    <w:snapToGrid w:val="0"/>
                    <w:ind w:firstLine="0" w:firstLineChars="0"/>
                    <w:jc w:val="center"/>
                    <w:rPr>
                      <w:bCs w:val="0"/>
                      <w:kern w:val="0"/>
                      <w:szCs w:val="21"/>
                    </w:rPr>
                  </w:pPr>
                  <w:r>
                    <w:rPr>
                      <w:rFonts w:hint="eastAsia"/>
                      <w:bCs w:val="0"/>
                      <w:kern w:val="0"/>
                      <w:szCs w:val="21"/>
                    </w:rPr>
                    <w:t>5</w:t>
                  </w:r>
                </w:p>
              </w:tc>
              <w:tc>
                <w:tcPr>
                  <w:tcW w:w="1249" w:type="pct"/>
                  <w:vAlign w:val="center"/>
                </w:tcPr>
                <w:p w14:paraId="184099E9">
                  <w:pPr>
                    <w:adjustRightInd w:val="0"/>
                    <w:snapToGrid w:val="0"/>
                    <w:jc w:val="center"/>
                    <w:rPr>
                      <w:szCs w:val="21"/>
                    </w:rPr>
                  </w:pPr>
                  <w:r>
                    <w:rPr>
                      <w:rFonts w:hint="eastAsia"/>
                      <w:szCs w:val="21"/>
                    </w:rPr>
                    <w:t>片碱</w:t>
                  </w:r>
                </w:p>
              </w:tc>
              <w:tc>
                <w:tcPr>
                  <w:tcW w:w="742" w:type="pct"/>
                  <w:vAlign w:val="center"/>
                </w:tcPr>
                <w:p w14:paraId="7BCE14F2">
                  <w:pPr>
                    <w:jc w:val="center"/>
                    <w:rPr>
                      <w:szCs w:val="21"/>
                    </w:rPr>
                  </w:pPr>
                  <w:r>
                    <w:rPr>
                      <w:rFonts w:hint="eastAsia"/>
                      <w:szCs w:val="21"/>
                    </w:rPr>
                    <w:t>t/a</w:t>
                  </w:r>
                </w:p>
              </w:tc>
              <w:tc>
                <w:tcPr>
                  <w:tcW w:w="742" w:type="pct"/>
                  <w:vAlign w:val="center"/>
                </w:tcPr>
                <w:p w14:paraId="556D7991">
                  <w:pPr>
                    <w:jc w:val="center"/>
                    <w:rPr>
                      <w:szCs w:val="21"/>
                    </w:rPr>
                  </w:pPr>
                  <w:r>
                    <w:rPr>
                      <w:rFonts w:hint="eastAsia"/>
                      <w:szCs w:val="21"/>
                    </w:rPr>
                    <w:t>4.32</w:t>
                  </w:r>
                </w:p>
              </w:tc>
              <w:tc>
                <w:tcPr>
                  <w:tcW w:w="1869" w:type="pct"/>
                  <w:vAlign w:val="center"/>
                </w:tcPr>
                <w:p w14:paraId="719DB88A">
                  <w:pPr>
                    <w:jc w:val="center"/>
                    <w:rPr>
                      <w:szCs w:val="21"/>
                    </w:rPr>
                  </w:pPr>
                  <w:r>
                    <w:rPr>
                      <w:rFonts w:hint="eastAsia"/>
                      <w:szCs w:val="21"/>
                    </w:rPr>
                    <w:t>外购，用于碱液喷淋塔使用</w:t>
                  </w:r>
                </w:p>
              </w:tc>
            </w:tr>
            <w:tr w14:paraId="7A471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98" w:type="pct"/>
                  <w:vAlign w:val="center"/>
                </w:tcPr>
                <w:p w14:paraId="4EF0238F">
                  <w:pPr>
                    <w:pStyle w:val="11"/>
                    <w:adjustRightInd w:val="0"/>
                    <w:snapToGrid w:val="0"/>
                    <w:ind w:firstLine="0" w:firstLineChars="0"/>
                    <w:jc w:val="center"/>
                    <w:rPr>
                      <w:bCs w:val="0"/>
                      <w:kern w:val="0"/>
                      <w:szCs w:val="21"/>
                    </w:rPr>
                  </w:pPr>
                  <w:r>
                    <w:rPr>
                      <w:rFonts w:hint="eastAsia"/>
                      <w:bCs w:val="0"/>
                      <w:kern w:val="0"/>
                      <w:szCs w:val="21"/>
                    </w:rPr>
                    <w:t>6</w:t>
                  </w:r>
                </w:p>
              </w:tc>
              <w:tc>
                <w:tcPr>
                  <w:tcW w:w="1249" w:type="pct"/>
                  <w:vAlign w:val="center"/>
                </w:tcPr>
                <w:p w14:paraId="02CC11B0">
                  <w:pPr>
                    <w:pStyle w:val="11"/>
                    <w:adjustRightInd w:val="0"/>
                    <w:snapToGrid w:val="0"/>
                    <w:ind w:firstLine="0" w:firstLineChars="0"/>
                    <w:jc w:val="center"/>
                    <w:rPr>
                      <w:bCs w:val="0"/>
                      <w:kern w:val="0"/>
                      <w:szCs w:val="21"/>
                    </w:rPr>
                  </w:pPr>
                  <w:r>
                    <w:rPr>
                      <w:szCs w:val="21"/>
                    </w:rPr>
                    <w:t>水</w:t>
                  </w:r>
                </w:p>
              </w:tc>
              <w:tc>
                <w:tcPr>
                  <w:tcW w:w="742" w:type="pct"/>
                  <w:vAlign w:val="center"/>
                </w:tcPr>
                <w:p w14:paraId="03BC3ACF">
                  <w:pPr>
                    <w:pStyle w:val="11"/>
                    <w:adjustRightInd w:val="0"/>
                    <w:snapToGrid w:val="0"/>
                    <w:ind w:firstLine="0" w:firstLineChars="0"/>
                    <w:jc w:val="center"/>
                    <w:rPr>
                      <w:bCs w:val="0"/>
                      <w:kern w:val="0"/>
                      <w:szCs w:val="21"/>
                    </w:rPr>
                  </w:pPr>
                  <w:r>
                    <w:rPr>
                      <w:kern w:val="0"/>
                      <w:szCs w:val="21"/>
                    </w:rPr>
                    <w:t>m</w:t>
                  </w:r>
                  <w:r>
                    <w:rPr>
                      <w:kern w:val="0"/>
                      <w:szCs w:val="21"/>
                      <w:vertAlign w:val="superscript"/>
                    </w:rPr>
                    <w:t>3</w:t>
                  </w:r>
                  <w:r>
                    <w:rPr>
                      <w:kern w:val="0"/>
                      <w:szCs w:val="21"/>
                    </w:rPr>
                    <w:t>/a</w:t>
                  </w:r>
                </w:p>
              </w:tc>
              <w:tc>
                <w:tcPr>
                  <w:tcW w:w="742" w:type="pct"/>
                  <w:vAlign w:val="center"/>
                </w:tcPr>
                <w:p w14:paraId="4180B697">
                  <w:pPr>
                    <w:pStyle w:val="11"/>
                    <w:adjustRightInd w:val="0"/>
                    <w:snapToGrid w:val="0"/>
                    <w:ind w:firstLine="0" w:firstLineChars="0"/>
                    <w:jc w:val="center"/>
                    <w:rPr>
                      <w:bCs w:val="0"/>
                      <w:kern w:val="0"/>
                      <w:szCs w:val="21"/>
                    </w:rPr>
                  </w:pPr>
                  <w:r>
                    <w:rPr>
                      <w:rFonts w:hint="eastAsia"/>
                      <w:kern w:val="0"/>
                      <w:szCs w:val="21"/>
                    </w:rPr>
                    <w:t>1698</w:t>
                  </w:r>
                </w:p>
              </w:tc>
              <w:tc>
                <w:tcPr>
                  <w:tcW w:w="1869" w:type="pct"/>
                  <w:vAlign w:val="center"/>
                </w:tcPr>
                <w:p w14:paraId="42AF95DD">
                  <w:pPr>
                    <w:widowControl/>
                    <w:adjustRightInd w:val="0"/>
                    <w:snapToGrid w:val="0"/>
                    <w:jc w:val="center"/>
                    <w:rPr>
                      <w:kern w:val="0"/>
                      <w:szCs w:val="21"/>
                    </w:rPr>
                  </w:pPr>
                  <w:r>
                    <w:rPr>
                      <w:rFonts w:hint="eastAsia"/>
                      <w:kern w:val="0"/>
                      <w:szCs w:val="21"/>
                    </w:rPr>
                    <w:t>由民权县北关镇供水管网供给</w:t>
                  </w:r>
                </w:p>
              </w:tc>
            </w:tr>
            <w:tr w14:paraId="6BCE0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98" w:type="pct"/>
                  <w:vAlign w:val="center"/>
                </w:tcPr>
                <w:p w14:paraId="34F1EA37">
                  <w:pPr>
                    <w:pStyle w:val="11"/>
                    <w:adjustRightInd w:val="0"/>
                    <w:snapToGrid w:val="0"/>
                    <w:ind w:firstLine="0" w:firstLineChars="0"/>
                    <w:jc w:val="center"/>
                    <w:rPr>
                      <w:bCs w:val="0"/>
                      <w:kern w:val="0"/>
                      <w:szCs w:val="21"/>
                    </w:rPr>
                  </w:pPr>
                  <w:r>
                    <w:rPr>
                      <w:rFonts w:hint="eastAsia"/>
                      <w:bCs w:val="0"/>
                      <w:kern w:val="0"/>
                      <w:szCs w:val="21"/>
                    </w:rPr>
                    <w:t>7</w:t>
                  </w:r>
                </w:p>
              </w:tc>
              <w:tc>
                <w:tcPr>
                  <w:tcW w:w="1249" w:type="pct"/>
                  <w:vAlign w:val="center"/>
                </w:tcPr>
                <w:p w14:paraId="2B2839A1">
                  <w:pPr>
                    <w:pStyle w:val="11"/>
                    <w:adjustRightInd w:val="0"/>
                    <w:snapToGrid w:val="0"/>
                    <w:ind w:firstLine="0" w:firstLineChars="0"/>
                    <w:jc w:val="center"/>
                    <w:rPr>
                      <w:bCs w:val="0"/>
                      <w:kern w:val="0"/>
                      <w:szCs w:val="21"/>
                    </w:rPr>
                  </w:pPr>
                  <w:r>
                    <w:rPr>
                      <w:szCs w:val="21"/>
                    </w:rPr>
                    <w:t>电</w:t>
                  </w:r>
                </w:p>
              </w:tc>
              <w:tc>
                <w:tcPr>
                  <w:tcW w:w="742" w:type="pct"/>
                  <w:vAlign w:val="center"/>
                </w:tcPr>
                <w:p w14:paraId="7EC75491">
                  <w:pPr>
                    <w:pStyle w:val="11"/>
                    <w:adjustRightInd w:val="0"/>
                    <w:snapToGrid w:val="0"/>
                    <w:ind w:firstLine="0" w:firstLineChars="0"/>
                    <w:jc w:val="center"/>
                    <w:rPr>
                      <w:bCs w:val="0"/>
                      <w:kern w:val="0"/>
                      <w:szCs w:val="21"/>
                    </w:rPr>
                  </w:pPr>
                  <w:r>
                    <w:rPr>
                      <w:rFonts w:hint="eastAsia"/>
                      <w:kern w:val="0"/>
                      <w:szCs w:val="21"/>
                    </w:rPr>
                    <w:t>万</w:t>
                  </w:r>
                  <w:r>
                    <w:rPr>
                      <w:kern w:val="0"/>
                      <w:szCs w:val="21"/>
                    </w:rPr>
                    <w:t>kwh/a</w:t>
                  </w:r>
                </w:p>
              </w:tc>
              <w:tc>
                <w:tcPr>
                  <w:tcW w:w="742" w:type="pct"/>
                  <w:vAlign w:val="center"/>
                </w:tcPr>
                <w:p w14:paraId="00C3CF66">
                  <w:pPr>
                    <w:pStyle w:val="11"/>
                    <w:adjustRightInd w:val="0"/>
                    <w:snapToGrid w:val="0"/>
                    <w:ind w:firstLine="0" w:firstLineChars="0"/>
                    <w:jc w:val="center"/>
                    <w:rPr>
                      <w:bCs w:val="0"/>
                      <w:kern w:val="0"/>
                      <w:szCs w:val="21"/>
                      <w:highlight w:val="yellow"/>
                    </w:rPr>
                  </w:pPr>
                  <w:r>
                    <w:rPr>
                      <w:rFonts w:hint="eastAsia"/>
                      <w:kern w:val="0"/>
                      <w:szCs w:val="21"/>
                    </w:rPr>
                    <w:t>24</w:t>
                  </w:r>
                </w:p>
              </w:tc>
              <w:tc>
                <w:tcPr>
                  <w:tcW w:w="1869" w:type="pct"/>
                  <w:vAlign w:val="center"/>
                </w:tcPr>
                <w:p w14:paraId="3748A477">
                  <w:pPr>
                    <w:pStyle w:val="11"/>
                    <w:adjustRightInd w:val="0"/>
                    <w:snapToGrid w:val="0"/>
                    <w:ind w:firstLine="0" w:firstLineChars="0"/>
                    <w:jc w:val="center"/>
                    <w:rPr>
                      <w:bCs w:val="0"/>
                      <w:kern w:val="0"/>
                      <w:szCs w:val="21"/>
                    </w:rPr>
                  </w:pPr>
                  <w:r>
                    <w:rPr>
                      <w:kern w:val="0"/>
                      <w:szCs w:val="21"/>
                    </w:rPr>
                    <w:t>由民权县</w:t>
                  </w:r>
                  <w:r>
                    <w:rPr>
                      <w:rFonts w:hint="eastAsia"/>
                      <w:szCs w:val="21"/>
                    </w:rPr>
                    <w:t>北关镇</w:t>
                  </w:r>
                  <w:r>
                    <w:rPr>
                      <w:kern w:val="0"/>
                      <w:szCs w:val="21"/>
                    </w:rPr>
                    <w:t>供给供电</w:t>
                  </w:r>
                </w:p>
              </w:tc>
            </w:tr>
          </w:tbl>
          <w:p w14:paraId="31BC0B17">
            <w:pPr>
              <w:pStyle w:val="11"/>
              <w:spacing w:line="360" w:lineRule="auto"/>
              <w:ind w:firstLine="482"/>
              <w:rPr>
                <w:sz w:val="24"/>
              </w:rPr>
            </w:pPr>
            <w:r>
              <w:rPr>
                <w:rFonts w:hint="eastAsia"/>
                <w:b/>
                <w:sz w:val="24"/>
              </w:rPr>
              <w:t>（2）</w:t>
            </w:r>
            <w:r>
              <w:rPr>
                <w:rFonts w:hint="eastAsia"/>
                <w:b/>
                <w:iCs/>
                <w:sz w:val="24"/>
              </w:rPr>
              <w:t>原</w:t>
            </w:r>
            <w:r>
              <w:rPr>
                <w:b/>
                <w:iCs/>
                <w:sz w:val="24"/>
              </w:rPr>
              <w:t>辅材料理化性质</w:t>
            </w:r>
          </w:p>
          <w:p w14:paraId="2E462FC1">
            <w:pPr>
              <w:spacing w:line="360" w:lineRule="auto"/>
              <w:ind w:firstLine="482" w:firstLineChars="200"/>
              <w:jc w:val="left"/>
              <w:rPr>
                <w:b/>
                <w:iCs/>
                <w:sz w:val="24"/>
              </w:rPr>
            </w:pPr>
            <w:r>
              <w:rPr>
                <w:rFonts w:hint="eastAsia"/>
                <w:b/>
                <w:iCs/>
                <w:sz w:val="24"/>
              </w:rPr>
              <w:t>①动物板油等屠宰副产品：</w:t>
            </w:r>
            <w:r>
              <w:rPr>
                <w:rFonts w:hint="eastAsia"/>
                <w:iCs/>
                <w:sz w:val="24"/>
              </w:rPr>
              <w:t>主要包括动物板油及屠宰动物边角料，它们含有丰富的营养成分和脂肪酸，具有很高的利用价值。</w:t>
            </w:r>
          </w:p>
          <w:p w14:paraId="203B1BAA">
            <w:pPr>
              <w:spacing w:line="360" w:lineRule="auto"/>
              <w:ind w:firstLine="482" w:firstLineChars="200"/>
              <w:jc w:val="left"/>
              <w:rPr>
                <w:bCs/>
                <w:iCs/>
                <w:sz w:val="24"/>
              </w:rPr>
            </w:pPr>
            <w:r>
              <w:rPr>
                <w:rFonts w:hint="eastAsia"/>
                <w:b/>
                <w:iCs/>
                <w:sz w:val="24"/>
              </w:rPr>
              <w:t>②</w:t>
            </w:r>
            <w:r>
              <w:rPr>
                <w:rFonts w:hint="eastAsia"/>
                <w:b/>
                <w:bCs/>
                <w:iCs/>
                <w:sz w:val="24"/>
              </w:rPr>
              <w:t>天然气：</w:t>
            </w:r>
            <w:r>
              <w:rPr>
                <w:rFonts w:hint="eastAsia"/>
                <w:iCs/>
                <w:sz w:val="24"/>
              </w:rPr>
              <w:t>天然气主要由甲烷CH</w:t>
            </w:r>
            <w:r>
              <w:rPr>
                <w:rFonts w:hint="eastAsia"/>
                <w:iCs/>
                <w:sz w:val="24"/>
                <w:vertAlign w:val="subscript"/>
              </w:rPr>
              <w:t>4</w:t>
            </w:r>
            <w:r>
              <w:rPr>
                <w:rFonts w:hint="eastAsia"/>
                <w:iCs/>
                <w:sz w:val="24"/>
              </w:rPr>
              <w:t>（82%~98%）和不多的乙烷C</w:t>
            </w:r>
            <w:r>
              <w:rPr>
                <w:rFonts w:hint="eastAsia"/>
                <w:iCs/>
                <w:sz w:val="24"/>
                <w:vertAlign w:val="subscript"/>
              </w:rPr>
              <w:t>2</w:t>
            </w:r>
            <w:r>
              <w:rPr>
                <w:rFonts w:hint="eastAsia"/>
                <w:iCs/>
                <w:sz w:val="24"/>
              </w:rPr>
              <w:t>H</w:t>
            </w:r>
            <w:r>
              <w:rPr>
                <w:rFonts w:hint="eastAsia"/>
                <w:iCs/>
                <w:sz w:val="24"/>
                <w:vertAlign w:val="subscript"/>
              </w:rPr>
              <w:t>6</w:t>
            </w:r>
            <w:r>
              <w:rPr>
                <w:rFonts w:hint="eastAsia"/>
                <w:iCs/>
                <w:sz w:val="24"/>
              </w:rPr>
              <w:t>（6%）、丙烷C</w:t>
            </w:r>
            <w:r>
              <w:rPr>
                <w:rFonts w:hint="eastAsia"/>
                <w:iCs/>
                <w:sz w:val="24"/>
                <w:vertAlign w:val="subscript"/>
              </w:rPr>
              <w:t>3</w:t>
            </w:r>
            <w:r>
              <w:rPr>
                <w:rFonts w:hint="eastAsia"/>
                <w:iCs/>
                <w:sz w:val="24"/>
              </w:rPr>
              <w:t>H</w:t>
            </w:r>
            <w:r>
              <w:rPr>
                <w:rFonts w:hint="eastAsia"/>
                <w:iCs/>
                <w:sz w:val="24"/>
                <w:vertAlign w:val="subscript"/>
              </w:rPr>
              <w:t>8</w:t>
            </w:r>
            <w:r>
              <w:rPr>
                <w:rFonts w:hint="eastAsia"/>
                <w:iCs/>
                <w:sz w:val="24"/>
              </w:rPr>
              <w:t>（1.5%）和丁烷C</w:t>
            </w:r>
            <w:r>
              <w:rPr>
                <w:rFonts w:hint="eastAsia"/>
                <w:iCs/>
                <w:sz w:val="24"/>
                <w:vertAlign w:val="subscript"/>
              </w:rPr>
              <w:t>4</w:t>
            </w:r>
            <w:r>
              <w:rPr>
                <w:rFonts w:hint="eastAsia"/>
                <w:iCs/>
                <w:sz w:val="24"/>
              </w:rPr>
              <w:t>H</w:t>
            </w:r>
            <w:r>
              <w:rPr>
                <w:rFonts w:hint="eastAsia"/>
                <w:iCs/>
                <w:sz w:val="24"/>
                <w:vertAlign w:val="subscript"/>
              </w:rPr>
              <w:t>10</w:t>
            </w:r>
            <w:r>
              <w:rPr>
                <w:rFonts w:hint="eastAsia"/>
                <w:iCs/>
                <w:sz w:val="24"/>
              </w:rPr>
              <w:t>（约1%）组成。液化天然气</w:t>
            </w:r>
            <w:r>
              <w:rPr>
                <w:rFonts w:hint="eastAsia"/>
                <w:bCs/>
                <w:iCs/>
                <w:sz w:val="24"/>
              </w:rPr>
              <w:t>相对密度0.45g/cm</w:t>
            </w:r>
            <w:r>
              <w:rPr>
                <w:rFonts w:hint="eastAsia"/>
                <w:bCs/>
                <w:iCs/>
                <w:sz w:val="24"/>
                <w:vertAlign w:val="superscript"/>
              </w:rPr>
              <w:t>3</w:t>
            </w:r>
            <w:r>
              <w:rPr>
                <w:rFonts w:hint="eastAsia"/>
                <w:bCs/>
                <w:iCs/>
                <w:sz w:val="24"/>
              </w:rPr>
              <w:t>，沸点-160~-164℃，为无色无臭液体。</w:t>
            </w:r>
            <w:r>
              <w:rPr>
                <w:rFonts w:hint="eastAsia"/>
                <w:iCs/>
                <w:sz w:val="24"/>
              </w:rPr>
              <w:t>本项目使用天然气被压缩成液体在厂内</w:t>
            </w:r>
            <w:r>
              <w:rPr>
                <w:rFonts w:hint="eastAsia"/>
                <w:bCs/>
                <w:iCs/>
                <w:sz w:val="24"/>
              </w:rPr>
              <w:t>LNG储罐储存，并</w:t>
            </w:r>
            <w:r>
              <w:rPr>
                <w:rFonts w:hint="eastAsia"/>
                <w:iCs/>
                <w:sz w:val="24"/>
              </w:rPr>
              <w:t>由燃气供应公司定期采用LNG罐车补充</w:t>
            </w:r>
            <w:r>
              <w:rPr>
                <w:rFonts w:hint="eastAsia"/>
                <w:bCs/>
                <w:iCs/>
                <w:sz w:val="24"/>
              </w:rPr>
              <w:t>。</w:t>
            </w:r>
          </w:p>
          <w:p w14:paraId="5A3318D9">
            <w:pPr>
              <w:spacing w:line="360" w:lineRule="auto"/>
              <w:ind w:firstLine="482" w:firstLineChars="200"/>
              <w:jc w:val="left"/>
              <w:rPr>
                <w:b/>
                <w:iCs/>
                <w:sz w:val="24"/>
              </w:rPr>
            </w:pPr>
            <w:r>
              <w:rPr>
                <w:rFonts w:hint="eastAsia"/>
                <w:b/>
                <w:iCs/>
                <w:sz w:val="24"/>
              </w:rPr>
              <w:t>③导热油：</w:t>
            </w:r>
            <w:r>
              <w:rPr>
                <w:rFonts w:hint="eastAsia"/>
                <w:iCs/>
                <w:sz w:val="24"/>
              </w:rPr>
              <w:t>导热油又称传热油，正规名称为热载体油，英文名称为</w:t>
            </w:r>
            <w:r>
              <w:rPr>
                <w:iCs/>
                <w:sz w:val="24"/>
              </w:rPr>
              <w:t>Heat transfer oil</w:t>
            </w:r>
            <w:r>
              <w:rPr>
                <w:rFonts w:hint="eastAsia"/>
                <w:iCs/>
                <w:sz w:val="24"/>
              </w:rPr>
              <w:t>，所以也称导热油，热媒油等。以精制矿物油为基础油，加导热油添加剂配制而成，导热油添加剂由多种耐高温抗氧剂、阻焦剂、清净分散剂、防锈剂等多功能添加剂调配而成。根据《石油化工行业标准（热传导液）》（</w:t>
            </w:r>
            <w:r>
              <w:rPr>
                <w:iCs/>
                <w:sz w:val="24"/>
              </w:rPr>
              <w:t>SH/T0677-1999</w:t>
            </w:r>
            <w:r>
              <w:rPr>
                <w:rFonts w:hint="eastAsia"/>
                <w:iCs/>
                <w:sz w:val="24"/>
              </w:rPr>
              <w:t>），导热油含硫量</w:t>
            </w:r>
            <w:r>
              <w:rPr>
                <w:iCs/>
                <w:sz w:val="24"/>
              </w:rPr>
              <w:t>≤0.2%</w:t>
            </w:r>
            <w:r>
              <w:rPr>
                <w:rFonts w:hint="eastAsia"/>
                <w:iCs/>
                <w:sz w:val="24"/>
              </w:rPr>
              <w:t>，氯含量</w:t>
            </w:r>
            <w:r>
              <w:rPr>
                <w:iCs/>
                <w:sz w:val="24"/>
              </w:rPr>
              <w:t>≤0.01%</w:t>
            </w:r>
            <w:r>
              <w:rPr>
                <w:rFonts w:hint="eastAsia"/>
                <w:iCs/>
                <w:sz w:val="24"/>
              </w:rPr>
              <w:t>；闪点为</w:t>
            </w:r>
            <w:r>
              <w:rPr>
                <w:iCs/>
                <w:sz w:val="24"/>
              </w:rPr>
              <w:t>216</w:t>
            </w:r>
            <w:r>
              <w:rPr>
                <w:rFonts w:hint="eastAsia" w:ascii="宋体" w:hAnsi="宋体" w:cs="宋体"/>
                <w:iCs/>
                <w:sz w:val="24"/>
              </w:rPr>
              <w:t>℃</w:t>
            </w:r>
            <w:r>
              <w:rPr>
                <w:rFonts w:hint="eastAsia"/>
                <w:iCs/>
                <w:sz w:val="24"/>
              </w:rPr>
              <w:t>，无毒。</w:t>
            </w:r>
          </w:p>
          <w:p w14:paraId="5D3209DA">
            <w:pPr>
              <w:pStyle w:val="11"/>
              <w:spacing w:line="360" w:lineRule="auto"/>
              <w:ind w:firstLine="482"/>
              <w:rPr>
                <w:iCs/>
                <w:sz w:val="24"/>
              </w:rPr>
            </w:pPr>
            <w:r>
              <w:rPr>
                <w:rFonts w:hint="eastAsia"/>
                <w:b/>
                <w:iCs/>
                <w:sz w:val="24"/>
              </w:rPr>
              <w:t>④制冷剂R404a：</w:t>
            </w:r>
            <w:r>
              <w:rPr>
                <w:rFonts w:hint="eastAsia"/>
                <w:iCs/>
                <w:sz w:val="24"/>
              </w:rPr>
              <w:t>制冷剂R404a属于HFC型非共沸环保制冷剂（完全不含破坏臭氧层的CFC、HCFC），沸点（101.3KPa，℃）：-46.1，临界温度72.4℃，液体密度1.045g/cm</w:t>
            </w:r>
            <w:r>
              <w:rPr>
                <w:rFonts w:hint="eastAsia"/>
                <w:iCs/>
                <w:sz w:val="24"/>
                <w:vertAlign w:val="superscript"/>
              </w:rPr>
              <w:t>3</w:t>
            </w:r>
            <w:r>
              <w:rPr>
                <w:rFonts w:hint="eastAsia"/>
                <w:iCs/>
                <w:sz w:val="24"/>
              </w:rPr>
              <w:t>，破坏臭氧潜能值为0ODP，全球变暖系数值3850GWP。R404a制冷剂必须贮存在阴凉、干燥机通风的地方，避免日</w:t>
            </w:r>
            <w:r>
              <w:rPr>
                <w:rFonts w:hint="eastAsia" w:ascii="宋体" w:hAnsi="宋体"/>
                <w:iCs/>
                <w:sz w:val="24"/>
              </w:rPr>
              <w:t>晒</w:t>
            </w:r>
            <w:r>
              <w:rPr>
                <w:rFonts w:hint="eastAsia"/>
                <w:iCs/>
                <w:sz w:val="24"/>
              </w:rPr>
              <w:t>雨淋，该制冷剂常用于冷库、食品冷冻设备等制冷设备。本项目制冷剂R404a不在厂内储存，即买即用。</w:t>
            </w:r>
          </w:p>
          <w:p w14:paraId="024A74F5">
            <w:pPr>
              <w:spacing w:line="360" w:lineRule="auto"/>
              <w:ind w:firstLine="482" w:firstLineChars="200"/>
              <w:jc w:val="left"/>
              <w:rPr>
                <w:rFonts w:hAnsi="宋体"/>
                <w:sz w:val="24"/>
              </w:rPr>
            </w:pPr>
            <w:r>
              <w:rPr>
                <w:rFonts w:hint="eastAsia"/>
                <w:b/>
                <w:iCs/>
                <w:sz w:val="24"/>
              </w:rPr>
              <w:t>6、公用工程</w:t>
            </w:r>
          </w:p>
          <w:p w14:paraId="038664BE">
            <w:pPr>
              <w:adjustRightInd w:val="0"/>
              <w:snapToGrid w:val="0"/>
              <w:spacing w:line="360" w:lineRule="auto"/>
              <w:ind w:firstLine="480" w:firstLineChars="200"/>
              <w:jc w:val="left"/>
              <w:rPr>
                <w:sz w:val="24"/>
              </w:rPr>
            </w:pPr>
            <w:r>
              <w:rPr>
                <w:rFonts w:hint="eastAsia"/>
                <w:sz w:val="24"/>
              </w:rPr>
              <w:t>（</w:t>
            </w:r>
            <w:r>
              <w:rPr>
                <w:sz w:val="24"/>
              </w:rPr>
              <w:t>1</w:t>
            </w:r>
            <w:r>
              <w:rPr>
                <w:rFonts w:hint="eastAsia"/>
                <w:sz w:val="24"/>
              </w:rPr>
              <w:t>）</w:t>
            </w:r>
            <w:r>
              <w:rPr>
                <w:rFonts w:hint="eastAsia"/>
                <w:bCs/>
                <w:sz w:val="24"/>
              </w:rPr>
              <w:t>给排水</w:t>
            </w:r>
          </w:p>
          <w:p w14:paraId="2B2542A3">
            <w:pPr>
              <w:spacing w:line="360" w:lineRule="auto"/>
              <w:ind w:firstLine="480" w:firstLineChars="200"/>
              <w:rPr>
                <w:b/>
                <w:sz w:val="24"/>
                <w:lang w:val="en-GB"/>
              </w:rPr>
            </w:pPr>
            <w:r>
              <w:rPr>
                <w:rFonts w:hint="eastAsia"/>
                <w:bCs/>
                <w:sz w:val="24"/>
              </w:rPr>
              <w:t>项目</w:t>
            </w:r>
            <w:r>
              <w:rPr>
                <w:rFonts w:hint="eastAsia"/>
                <w:sz w:val="24"/>
              </w:rPr>
              <w:t>用水由北关镇供水管网供给</w:t>
            </w:r>
            <w:r>
              <w:rPr>
                <w:rFonts w:hint="eastAsia"/>
                <w:b/>
                <w:sz w:val="24"/>
              </w:rPr>
              <w:t>，</w:t>
            </w:r>
            <w:r>
              <w:rPr>
                <w:rFonts w:hint="eastAsia"/>
                <w:sz w:val="24"/>
              </w:rPr>
              <w:t>总用水量为5.66</w:t>
            </w:r>
            <w:r>
              <w:rPr>
                <w:bCs/>
                <w:sz w:val="24"/>
              </w:rPr>
              <w:t>m</w:t>
            </w:r>
            <w:r>
              <w:rPr>
                <w:bCs/>
                <w:sz w:val="24"/>
                <w:vertAlign w:val="superscript"/>
              </w:rPr>
              <w:t>3</w:t>
            </w:r>
            <w:r>
              <w:rPr>
                <w:bCs/>
                <w:sz w:val="24"/>
              </w:rPr>
              <w:t>/</w:t>
            </w:r>
            <w:r>
              <w:rPr>
                <w:rFonts w:hint="eastAsia"/>
                <w:bCs/>
                <w:sz w:val="24"/>
              </w:rPr>
              <w:t>d、1698</w:t>
            </w:r>
            <w:r>
              <w:rPr>
                <w:bCs/>
                <w:sz w:val="24"/>
              </w:rPr>
              <w:t>m</w:t>
            </w:r>
            <w:r>
              <w:rPr>
                <w:bCs/>
                <w:sz w:val="24"/>
                <w:vertAlign w:val="superscript"/>
              </w:rPr>
              <w:t>3</w:t>
            </w:r>
            <w:r>
              <w:rPr>
                <w:bCs/>
                <w:sz w:val="24"/>
              </w:rPr>
              <w:t>/</w:t>
            </w:r>
            <w:r>
              <w:rPr>
                <w:rFonts w:hint="eastAsia"/>
                <w:bCs/>
                <w:sz w:val="24"/>
              </w:rPr>
              <w:t>a，</w:t>
            </w:r>
            <w:r>
              <w:rPr>
                <w:rFonts w:hint="eastAsia"/>
                <w:sz w:val="24"/>
                <w:lang w:val="en-GB"/>
              </w:rPr>
              <w:t>主要用水为</w:t>
            </w:r>
            <w:r>
              <w:rPr>
                <w:color w:val="000000"/>
                <w:sz w:val="24"/>
              </w:rPr>
              <w:t>设备清洗</w:t>
            </w:r>
            <w:r>
              <w:rPr>
                <w:rFonts w:hint="eastAsia"/>
                <w:sz w:val="24"/>
              </w:rPr>
              <w:t>用</w:t>
            </w:r>
            <w:r>
              <w:rPr>
                <w:color w:val="000000"/>
                <w:sz w:val="24"/>
              </w:rPr>
              <w:t>水、</w:t>
            </w:r>
            <w:r>
              <w:rPr>
                <w:rFonts w:hint="eastAsia"/>
                <w:color w:val="000000"/>
                <w:sz w:val="24"/>
              </w:rPr>
              <w:t>废气</w:t>
            </w:r>
            <w:r>
              <w:rPr>
                <w:color w:val="000000"/>
                <w:sz w:val="24"/>
              </w:rPr>
              <w:t>喷淋系统</w:t>
            </w:r>
            <w:r>
              <w:rPr>
                <w:rFonts w:hint="eastAsia"/>
                <w:sz w:val="24"/>
              </w:rPr>
              <w:t>用</w:t>
            </w:r>
            <w:r>
              <w:rPr>
                <w:color w:val="000000"/>
                <w:sz w:val="24"/>
              </w:rPr>
              <w:t>水、地面</w:t>
            </w:r>
            <w:r>
              <w:rPr>
                <w:rFonts w:hint="eastAsia"/>
                <w:sz w:val="24"/>
              </w:rPr>
              <w:t>清洗用水、</w:t>
            </w:r>
            <w:r>
              <w:rPr>
                <w:color w:val="000000"/>
                <w:sz w:val="24"/>
              </w:rPr>
              <w:t>循环冷却水</w:t>
            </w:r>
            <w:r>
              <w:rPr>
                <w:rFonts w:hint="eastAsia"/>
                <w:sz w:val="24"/>
              </w:rPr>
              <w:t>及职工生活用水；主要废水为熬制冷凝废水、</w:t>
            </w:r>
            <w:r>
              <w:rPr>
                <w:color w:val="000000"/>
                <w:sz w:val="24"/>
              </w:rPr>
              <w:t>设备清洗</w:t>
            </w:r>
            <w:r>
              <w:rPr>
                <w:rFonts w:hint="eastAsia"/>
                <w:sz w:val="24"/>
              </w:rPr>
              <w:t>废</w:t>
            </w:r>
            <w:r>
              <w:rPr>
                <w:color w:val="000000"/>
                <w:sz w:val="24"/>
              </w:rPr>
              <w:t>水、</w:t>
            </w:r>
            <w:r>
              <w:rPr>
                <w:rFonts w:hint="eastAsia"/>
                <w:color w:val="000000"/>
                <w:sz w:val="24"/>
              </w:rPr>
              <w:t>废气</w:t>
            </w:r>
            <w:r>
              <w:rPr>
                <w:color w:val="000000"/>
                <w:sz w:val="24"/>
              </w:rPr>
              <w:t>喷淋系统废水、地面</w:t>
            </w:r>
            <w:r>
              <w:rPr>
                <w:rFonts w:hint="eastAsia"/>
                <w:sz w:val="24"/>
              </w:rPr>
              <w:t>清洗废水、</w:t>
            </w:r>
            <w:r>
              <w:rPr>
                <w:color w:val="000000"/>
                <w:sz w:val="24"/>
              </w:rPr>
              <w:t>循环冷却水</w:t>
            </w:r>
            <w:r>
              <w:rPr>
                <w:rFonts w:hint="eastAsia"/>
                <w:color w:val="000000"/>
                <w:sz w:val="24"/>
              </w:rPr>
              <w:t>系统排水</w:t>
            </w:r>
            <w:r>
              <w:rPr>
                <w:rFonts w:hint="eastAsia"/>
                <w:sz w:val="24"/>
              </w:rPr>
              <w:t>及职工生活污水。</w:t>
            </w:r>
          </w:p>
          <w:p w14:paraId="6388D6BC">
            <w:pPr>
              <w:adjustRightInd w:val="0"/>
              <w:snapToGrid w:val="0"/>
              <w:spacing w:line="360" w:lineRule="auto"/>
              <w:ind w:firstLine="482" w:firstLineChars="200"/>
              <w:rPr>
                <w:b/>
                <w:color w:val="000000"/>
                <w:sz w:val="24"/>
                <w:u w:val="single"/>
              </w:rPr>
            </w:pPr>
            <w:r>
              <w:rPr>
                <w:rFonts w:hint="eastAsia" w:ascii="宋体" w:hAnsi="宋体" w:cs="宋体"/>
                <w:b/>
                <w:color w:val="000000"/>
                <w:sz w:val="24"/>
                <w:u w:val="single"/>
              </w:rPr>
              <w:t>①</w:t>
            </w:r>
            <w:r>
              <w:rPr>
                <w:rFonts w:hint="eastAsia"/>
                <w:b/>
                <w:sz w:val="24"/>
                <w:u w:val="single"/>
              </w:rPr>
              <w:t>熬制冷凝废水</w:t>
            </w:r>
          </w:p>
          <w:p w14:paraId="5103859C">
            <w:pPr>
              <w:pStyle w:val="17"/>
              <w:adjustRightInd w:val="0"/>
              <w:snapToGrid w:val="0"/>
              <w:spacing w:line="360" w:lineRule="auto"/>
              <w:ind w:left="0" w:right="0" w:firstLine="482" w:firstLineChars="200"/>
              <w:jc w:val="both"/>
              <w:rPr>
                <w:b/>
                <w:sz w:val="24"/>
                <w:u w:val="single"/>
              </w:rPr>
            </w:pPr>
            <w:r>
              <w:rPr>
                <w:rFonts w:hint="eastAsia"/>
                <w:b/>
                <w:sz w:val="24"/>
                <w:u w:val="single"/>
              </w:rPr>
              <w:t>油脂熬制</w:t>
            </w:r>
            <w:r>
              <w:rPr>
                <w:rFonts w:hint="eastAsia"/>
                <w:b/>
                <w:color w:val="000000"/>
                <w:sz w:val="24"/>
                <w:u w:val="single"/>
              </w:rPr>
              <w:t>过程中，脂肪内水分部分以水蒸气的形式与油烟一同进入冷凝系统，冷凝过程水蒸气冷凝成污冷凝水</w:t>
            </w:r>
            <w:r>
              <w:rPr>
                <w:b/>
                <w:color w:val="000000"/>
                <w:sz w:val="24"/>
                <w:u w:val="single"/>
              </w:rPr>
              <w:t>。</w:t>
            </w:r>
            <w:r>
              <w:rPr>
                <w:rFonts w:hint="eastAsia"/>
                <w:b/>
                <w:color w:val="000000"/>
                <w:sz w:val="24"/>
                <w:u w:val="single"/>
              </w:rPr>
              <w:t>根据</w:t>
            </w:r>
            <w:r>
              <w:rPr>
                <w:rFonts w:hint="eastAsia"/>
                <w:b/>
                <w:bCs/>
                <w:sz w:val="24"/>
                <w:u w:val="single"/>
              </w:rPr>
              <w:t>《生态环境部关于发布＜排放源统计调查产排污核算方法和系数手册＞的公告》（公告</w:t>
            </w:r>
            <w:r>
              <w:rPr>
                <w:b/>
                <w:bCs/>
                <w:sz w:val="24"/>
                <w:u w:val="single"/>
              </w:rPr>
              <w:t>2021</w:t>
            </w:r>
            <w:r>
              <w:rPr>
                <w:rFonts w:hint="eastAsia"/>
                <w:b/>
                <w:bCs/>
                <w:sz w:val="24"/>
                <w:u w:val="single"/>
              </w:rPr>
              <w:t>年第</w:t>
            </w:r>
            <w:r>
              <w:rPr>
                <w:b/>
                <w:bCs/>
                <w:sz w:val="24"/>
                <w:u w:val="single"/>
              </w:rPr>
              <w:t>24</w:t>
            </w:r>
            <w:r>
              <w:rPr>
                <w:rFonts w:hint="eastAsia"/>
                <w:b/>
                <w:bCs/>
                <w:sz w:val="24"/>
                <w:u w:val="single"/>
              </w:rPr>
              <w:t>号）135屠宰及肉类加工行业系数手册，动物油熬制工序工业废水量为0.347吨/吨产品，本项目产品产能为</w:t>
            </w:r>
            <w:r>
              <w:rPr>
                <w:b/>
                <w:bCs/>
                <w:sz w:val="24"/>
                <w:u w:val="single"/>
              </w:rPr>
              <w:t>25000</w:t>
            </w:r>
            <w:r>
              <w:rPr>
                <w:rFonts w:hint="eastAsia" w:hAnsi="宋体"/>
                <w:b/>
                <w:color w:val="000000"/>
                <w:sz w:val="24"/>
                <w:u w:val="single"/>
              </w:rPr>
              <w:t>t/a，则项目熬制冷凝废水产生量为8675t/a（28.92t/d），</w:t>
            </w:r>
            <w:r>
              <w:rPr>
                <w:rFonts w:hint="eastAsia"/>
                <w:b/>
                <w:sz w:val="24"/>
                <w:u w:val="single"/>
              </w:rPr>
              <w:t>冷凝设计效率按90%计，不凝气产生量约为963.9m</w:t>
            </w:r>
            <w:r>
              <w:rPr>
                <w:rFonts w:hint="eastAsia"/>
                <w:b/>
                <w:sz w:val="24"/>
                <w:u w:val="single"/>
                <w:vertAlign w:val="superscript"/>
              </w:rPr>
              <w:t>3</w:t>
            </w:r>
            <w:r>
              <w:rPr>
                <w:b/>
                <w:sz w:val="24"/>
                <w:u w:val="single"/>
              </w:rPr>
              <w:t>/a</w:t>
            </w:r>
            <w:r>
              <w:rPr>
                <w:rFonts w:hint="eastAsia"/>
                <w:b/>
                <w:sz w:val="24"/>
                <w:u w:val="single"/>
              </w:rPr>
              <w:t>（3.2m</w:t>
            </w:r>
            <w:r>
              <w:rPr>
                <w:rFonts w:hint="eastAsia"/>
                <w:b/>
                <w:sz w:val="24"/>
                <w:u w:val="single"/>
                <w:vertAlign w:val="superscript"/>
              </w:rPr>
              <w:t>3</w:t>
            </w:r>
            <w:r>
              <w:rPr>
                <w:rFonts w:hint="eastAsia"/>
                <w:b/>
                <w:sz w:val="24"/>
                <w:u w:val="single"/>
              </w:rPr>
              <w:t>/d），则项目熬制工序总蒸发水量为9638.9m</w:t>
            </w:r>
            <w:r>
              <w:rPr>
                <w:rFonts w:hint="eastAsia"/>
                <w:b/>
                <w:sz w:val="24"/>
                <w:u w:val="single"/>
                <w:vertAlign w:val="superscript"/>
              </w:rPr>
              <w:t>3</w:t>
            </w:r>
            <w:r>
              <w:rPr>
                <w:b/>
                <w:sz w:val="24"/>
                <w:u w:val="single"/>
              </w:rPr>
              <w:t>/a（</w:t>
            </w:r>
            <w:r>
              <w:rPr>
                <w:rFonts w:hint="eastAsia"/>
                <w:b/>
                <w:sz w:val="24"/>
                <w:u w:val="single"/>
              </w:rPr>
              <w:t>32.12m</w:t>
            </w:r>
            <w:r>
              <w:rPr>
                <w:rFonts w:hint="eastAsia"/>
                <w:b/>
                <w:sz w:val="24"/>
                <w:u w:val="single"/>
                <w:vertAlign w:val="superscript"/>
              </w:rPr>
              <w:t>3</w:t>
            </w:r>
            <w:r>
              <w:rPr>
                <w:rFonts w:hint="eastAsia"/>
                <w:b/>
                <w:sz w:val="24"/>
                <w:u w:val="single"/>
              </w:rPr>
              <w:t>/d</w:t>
            </w:r>
            <w:r>
              <w:rPr>
                <w:b/>
                <w:sz w:val="24"/>
                <w:u w:val="single"/>
              </w:rPr>
              <w:t>）</w:t>
            </w:r>
            <w:r>
              <w:rPr>
                <w:rFonts w:hint="eastAsia"/>
                <w:b/>
                <w:sz w:val="24"/>
                <w:u w:val="single"/>
              </w:rPr>
              <w:t>。</w:t>
            </w:r>
            <w:r>
              <w:rPr>
                <w:rFonts w:hint="eastAsia" w:hAnsi="宋体"/>
                <w:b/>
                <w:color w:val="000000"/>
                <w:sz w:val="24"/>
                <w:u w:val="single"/>
              </w:rPr>
              <w:t>熬制冷凝废水</w:t>
            </w:r>
            <w:r>
              <w:rPr>
                <w:rFonts w:hint="eastAsia" w:ascii="宋体" w:cs="宋体"/>
                <w:b/>
                <w:kern w:val="0"/>
                <w:sz w:val="24"/>
                <w:u w:val="single"/>
              </w:rPr>
              <w:t>进入厂区污水处理站处理后由罐车运入</w:t>
            </w:r>
            <w:r>
              <w:rPr>
                <w:rFonts w:hint="eastAsia"/>
                <w:b/>
                <w:color w:val="000000"/>
                <w:sz w:val="24"/>
                <w:u w:val="single"/>
              </w:rPr>
              <w:t>民权县北关镇污水处理厂。</w:t>
            </w:r>
          </w:p>
          <w:p w14:paraId="7489B664">
            <w:pPr>
              <w:adjustRightInd w:val="0"/>
              <w:snapToGrid w:val="0"/>
              <w:spacing w:line="360" w:lineRule="auto"/>
              <w:ind w:left="420"/>
              <w:rPr>
                <w:color w:val="000000"/>
                <w:sz w:val="24"/>
              </w:rPr>
            </w:pPr>
            <w:r>
              <w:rPr>
                <w:rFonts w:hint="eastAsia" w:ascii="宋体" w:hAnsi="宋体" w:cs="宋体"/>
                <w:color w:val="000000"/>
                <w:sz w:val="24"/>
              </w:rPr>
              <w:t>②</w:t>
            </w:r>
            <w:r>
              <w:rPr>
                <w:color w:val="000000"/>
                <w:sz w:val="24"/>
              </w:rPr>
              <w:t>设备清洗</w:t>
            </w:r>
            <w:r>
              <w:rPr>
                <w:rFonts w:hint="eastAsia"/>
                <w:color w:val="000000"/>
                <w:sz w:val="24"/>
              </w:rPr>
              <w:t>用</w:t>
            </w:r>
            <w:r>
              <w:rPr>
                <w:color w:val="000000"/>
                <w:sz w:val="24"/>
              </w:rPr>
              <w:t>排水</w:t>
            </w:r>
          </w:p>
          <w:p w14:paraId="6D1BDB47">
            <w:pPr>
              <w:adjustRightInd w:val="0"/>
              <w:snapToGrid w:val="0"/>
              <w:spacing w:line="360" w:lineRule="auto"/>
              <w:ind w:firstLine="480" w:firstLineChars="200"/>
              <w:rPr>
                <w:color w:val="000000"/>
                <w:sz w:val="24"/>
              </w:rPr>
            </w:pPr>
            <w:r>
              <w:rPr>
                <w:rFonts w:hint="eastAsia"/>
                <w:color w:val="000000"/>
                <w:sz w:val="24"/>
              </w:rPr>
              <w:t>项目油脂熬制炉、加热锅等设备在工作中会附着一定量的油脂等物质，在项目检修期间，需要对设备进行清洗，根据企业提供资料，项目设备约每月检修1次，每次清洗水量约6m</w:t>
            </w:r>
            <w:r>
              <w:rPr>
                <w:rFonts w:hint="eastAsia"/>
                <w:color w:val="000000"/>
                <w:sz w:val="24"/>
                <w:vertAlign w:val="superscript"/>
              </w:rPr>
              <w:t>3</w:t>
            </w:r>
            <w:r>
              <w:rPr>
                <w:rFonts w:hint="eastAsia"/>
                <w:color w:val="000000"/>
                <w:sz w:val="24"/>
              </w:rPr>
              <w:t>，项目</w:t>
            </w:r>
            <w:r>
              <w:rPr>
                <w:color w:val="000000"/>
                <w:sz w:val="24"/>
              </w:rPr>
              <w:t>设备清洗</w:t>
            </w:r>
            <w:r>
              <w:rPr>
                <w:rFonts w:hint="eastAsia"/>
                <w:color w:val="000000"/>
                <w:sz w:val="24"/>
              </w:rPr>
              <w:t>用</w:t>
            </w:r>
            <w:r>
              <w:rPr>
                <w:color w:val="000000"/>
                <w:sz w:val="24"/>
              </w:rPr>
              <w:t>水采用循环冷却水排水，</w:t>
            </w:r>
            <w:r>
              <w:rPr>
                <w:rFonts w:hint="eastAsia"/>
                <w:color w:val="000000"/>
                <w:sz w:val="24"/>
              </w:rPr>
              <w:t>清洗用水量为72m</w:t>
            </w:r>
            <w:r>
              <w:rPr>
                <w:rFonts w:hint="eastAsia"/>
                <w:color w:val="000000"/>
                <w:sz w:val="24"/>
                <w:vertAlign w:val="superscript"/>
              </w:rPr>
              <w:t>3</w:t>
            </w:r>
            <w:r>
              <w:rPr>
                <w:rFonts w:hint="eastAsia"/>
                <w:color w:val="000000"/>
                <w:sz w:val="24"/>
              </w:rPr>
              <w:t>/a（0.24m</w:t>
            </w:r>
            <w:r>
              <w:rPr>
                <w:rFonts w:hint="eastAsia"/>
                <w:color w:val="000000"/>
                <w:sz w:val="24"/>
                <w:vertAlign w:val="superscript"/>
              </w:rPr>
              <w:t>3</w:t>
            </w:r>
            <w:r>
              <w:rPr>
                <w:rFonts w:hint="eastAsia"/>
                <w:color w:val="000000"/>
                <w:sz w:val="24"/>
              </w:rPr>
              <w:t>/d），</w:t>
            </w:r>
            <w:r>
              <w:rPr>
                <w:color w:val="000000"/>
                <w:sz w:val="24"/>
              </w:rPr>
              <w:t>排放系数按0.</w:t>
            </w:r>
            <w:r>
              <w:rPr>
                <w:rFonts w:hint="eastAsia"/>
                <w:color w:val="000000"/>
                <w:sz w:val="24"/>
              </w:rPr>
              <w:t>9</w:t>
            </w:r>
            <w:r>
              <w:rPr>
                <w:color w:val="000000"/>
                <w:sz w:val="24"/>
              </w:rPr>
              <w:t>计</w:t>
            </w:r>
            <w:r>
              <w:rPr>
                <w:rFonts w:hint="eastAsia"/>
                <w:color w:val="000000"/>
                <w:sz w:val="24"/>
              </w:rPr>
              <w:t>，则清洗废水产生量</w:t>
            </w:r>
            <w:r>
              <w:rPr>
                <w:rFonts w:hint="eastAsia"/>
                <w:sz w:val="24"/>
              </w:rPr>
              <w:t>为64.8m</w:t>
            </w:r>
            <w:r>
              <w:rPr>
                <w:rFonts w:hint="eastAsia"/>
                <w:sz w:val="24"/>
                <w:vertAlign w:val="superscript"/>
              </w:rPr>
              <w:t>3</w:t>
            </w:r>
            <w:r>
              <w:rPr>
                <w:rFonts w:hint="eastAsia"/>
                <w:sz w:val="24"/>
              </w:rPr>
              <w:t>/a（0.216m</w:t>
            </w:r>
            <w:r>
              <w:rPr>
                <w:rFonts w:hint="eastAsia"/>
                <w:sz w:val="24"/>
                <w:vertAlign w:val="superscript"/>
              </w:rPr>
              <w:t>3</w:t>
            </w:r>
            <w:r>
              <w:rPr>
                <w:rFonts w:hint="eastAsia"/>
                <w:sz w:val="24"/>
              </w:rPr>
              <w:t>/d），</w:t>
            </w:r>
            <w:r>
              <w:rPr>
                <w:rFonts w:hint="eastAsia"/>
                <w:color w:val="000000"/>
                <w:sz w:val="24"/>
              </w:rPr>
              <w:t>经收集后进入厂区污水处理站处理</w:t>
            </w:r>
            <w:r>
              <w:rPr>
                <w:rFonts w:hint="eastAsia" w:ascii="宋体" w:cs="宋体"/>
                <w:kern w:val="0"/>
                <w:sz w:val="24"/>
              </w:rPr>
              <w:t>后由罐车运入</w:t>
            </w:r>
            <w:r>
              <w:rPr>
                <w:rFonts w:hint="eastAsia"/>
                <w:color w:val="000000"/>
                <w:sz w:val="24"/>
              </w:rPr>
              <w:t>民权县北关镇污水处理厂。</w:t>
            </w:r>
          </w:p>
          <w:p w14:paraId="14174334">
            <w:pPr>
              <w:pStyle w:val="17"/>
              <w:adjustRightInd w:val="0"/>
              <w:snapToGrid w:val="0"/>
              <w:spacing w:line="360" w:lineRule="auto"/>
              <w:ind w:left="420" w:leftChars="200" w:right="0" w:firstLine="0"/>
              <w:rPr>
                <w:color w:val="000000"/>
                <w:sz w:val="24"/>
              </w:rPr>
            </w:pPr>
            <w:r>
              <w:rPr>
                <w:rFonts w:hint="eastAsia" w:ascii="宋体" w:hAnsi="宋体" w:cs="宋体"/>
                <w:color w:val="000000"/>
                <w:sz w:val="24"/>
              </w:rPr>
              <w:t>③</w:t>
            </w:r>
            <w:r>
              <w:rPr>
                <w:rFonts w:hint="eastAsia"/>
                <w:color w:val="000000"/>
                <w:sz w:val="24"/>
              </w:rPr>
              <w:t>废气</w:t>
            </w:r>
            <w:r>
              <w:rPr>
                <w:color w:val="000000"/>
                <w:sz w:val="24"/>
              </w:rPr>
              <w:t>喷淋系统</w:t>
            </w:r>
            <w:r>
              <w:rPr>
                <w:rFonts w:hint="eastAsia"/>
                <w:color w:val="000000"/>
                <w:sz w:val="24"/>
              </w:rPr>
              <w:t>用</w:t>
            </w:r>
            <w:r>
              <w:rPr>
                <w:color w:val="000000"/>
                <w:sz w:val="24"/>
              </w:rPr>
              <w:t>排水</w:t>
            </w:r>
          </w:p>
          <w:p w14:paraId="4C183C82">
            <w:pPr>
              <w:adjustRightInd w:val="0"/>
              <w:snapToGrid w:val="0"/>
              <w:spacing w:line="360" w:lineRule="auto"/>
              <w:ind w:firstLine="480" w:firstLineChars="200"/>
              <w:rPr>
                <w:color w:val="000000"/>
                <w:sz w:val="24"/>
              </w:rPr>
            </w:pPr>
            <w:r>
              <w:rPr>
                <w:rFonts w:hint="eastAsia"/>
                <w:color w:val="000000"/>
                <w:sz w:val="24"/>
              </w:rPr>
              <w:t>项目废气喷淋设施采用碱液喷淋工艺，这部分用水循环利用，定期更换，循环水箱有效容积为1.8m</w:t>
            </w:r>
            <w:r>
              <w:rPr>
                <w:rFonts w:hint="eastAsia"/>
                <w:color w:val="000000"/>
                <w:sz w:val="24"/>
                <w:vertAlign w:val="superscript"/>
              </w:rPr>
              <w:t>3</w:t>
            </w:r>
            <w:r>
              <w:rPr>
                <w:rFonts w:hint="eastAsia"/>
                <w:color w:val="000000"/>
                <w:sz w:val="24"/>
              </w:rPr>
              <w:t>，共两套。循环期间及时投加氢氧化钠并补充水量，确保碱液喷淋塔内氢氧化钠溶液保持在2-4%左右，</w:t>
            </w:r>
            <w:r>
              <w:rPr>
                <w:rFonts w:hint="eastAsia"/>
                <w:bCs/>
                <w:color w:val="000000"/>
                <w:sz w:val="24"/>
              </w:rPr>
              <w:t>损耗量以循环用水量的0.1%计，则喷淋塔</w:t>
            </w:r>
            <w:r>
              <w:rPr>
                <w:rFonts w:hint="eastAsia"/>
                <w:color w:val="000000"/>
                <w:sz w:val="24"/>
              </w:rPr>
              <w:t>补充新鲜水量为0.24m</w:t>
            </w:r>
            <w:r>
              <w:rPr>
                <w:rFonts w:hint="eastAsia"/>
                <w:color w:val="000000"/>
                <w:sz w:val="24"/>
                <w:vertAlign w:val="superscript"/>
              </w:rPr>
              <w:t>3</w:t>
            </w:r>
            <w:r>
              <w:rPr>
                <w:rFonts w:hint="eastAsia"/>
                <w:color w:val="000000"/>
                <w:sz w:val="24"/>
              </w:rPr>
              <w:t>/d；同时喷淋水每月更换一次，即碱液</w:t>
            </w:r>
            <w:r>
              <w:rPr>
                <w:color w:val="000000"/>
                <w:sz w:val="24"/>
              </w:rPr>
              <w:t>喷淋系统废水产生量为</w:t>
            </w:r>
            <w:r>
              <w:rPr>
                <w:rFonts w:hint="eastAsia"/>
                <w:color w:val="000000"/>
                <w:sz w:val="24"/>
              </w:rPr>
              <w:t>36m</w:t>
            </w:r>
            <w:r>
              <w:rPr>
                <w:rFonts w:hint="eastAsia"/>
                <w:color w:val="000000"/>
                <w:sz w:val="24"/>
                <w:vertAlign w:val="superscript"/>
              </w:rPr>
              <w:t>3</w:t>
            </w:r>
            <w:r>
              <w:rPr>
                <w:rFonts w:hint="eastAsia"/>
                <w:color w:val="000000"/>
                <w:sz w:val="24"/>
              </w:rPr>
              <w:t>/a（0.12m</w:t>
            </w:r>
            <w:r>
              <w:rPr>
                <w:rFonts w:hint="eastAsia"/>
                <w:color w:val="000000"/>
                <w:sz w:val="24"/>
                <w:vertAlign w:val="superscript"/>
              </w:rPr>
              <w:t>3</w:t>
            </w:r>
            <w:r>
              <w:rPr>
                <w:rFonts w:hint="eastAsia"/>
                <w:color w:val="000000"/>
                <w:sz w:val="24"/>
              </w:rPr>
              <w:t>/d）。因此项目碱液</w:t>
            </w:r>
            <w:r>
              <w:rPr>
                <w:color w:val="000000"/>
                <w:sz w:val="24"/>
              </w:rPr>
              <w:t>喷淋系统总</w:t>
            </w:r>
            <w:r>
              <w:rPr>
                <w:rFonts w:hint="eastAsia"/>
                <w:color w:val="000000"/>
                <w:sz w:val="24"/>
              </w:rPr>
              <w:t>用</w:t>
            </w:r>
            <w:r>
              <w:rPr>
                <w:color w:val="000000"/>
                <w:sz w:val="24"/>
              </w:rPr>
              <w:t>水量为</w:t>
            </w:r>
            <w:r>
              <w:rPr>
                <w:rFonts w:hint="eastAsia"/>
                <w:color w:val="000000"/>
                <w:sz w:val="24"/>
              </w:rPr>
              <w:t>108m</w:t>
            </w:r>
            <w:r>
              <w:rPr>
                <w:rFonts w:hint="eastAsia"/>
                <w:color w:val="000000"/>
                <w:sz w:val="24"/>
                <w:vertAlign w:val="superscript"/>
              </w:rPr>
              <w:t>3</w:t>
            </w:r>
            <w:r>
              <w:rPr>
                <w:rFonts w:hint="eastAsia"/>
                <w:color w:val="000000"/>
                <w:sz w:val="24"/>
              </w:rPr>
              <w:t>/a（0.36m</w:t>
            </w:r>
            <w:r>
              <w:rPr>
                <w:rFonts w:hint="eastAsia"/>
                <w:color w:val="000000"/>
                <w:sz w:val="24"/>
                <w:vertAlign w:val="superscript"/>
              </w:rPr>
              <w:t>3</w:t>
            </w:r>
            <w:r>
              <w:rPr>
                <w:rFonts w:hint="eastAsia"/>
                <w:color w:val="000000"/>
                <w:sz w:val="24"/>
              </w:rPr>
              <w:t>/d），更换废水经收集后进入厂区污水处理站处理</w:t>
            </w:r>
            <w:r>
              <w:rPr>
                <w:rFonts w:hint="eastAsia" w:ascii="宋体" w:cs="宋体"/>
                <w:kern w:val="0"/>
                <w:sz w:val="24"/>
              </w:rPr>
              <w:t>后由罐车运入</w:t>
            </w:r>
            <w:r>
              <w:rPr>
                <w:rFonts w:hint="eastAsia"/>
                <w:color w:val="000000"/>
                <w:sz w:val="24"/>
              </w:rPr>
              <w:t>民权县北关镇污水处理厂。</w:t>
            </w:r>
          </w:p>
          <w:p w14:paraId="04C55B75">
            <w:pPr>
              <w:adjustRightInd w:val="0"/>
              <w:snapToGrid w:val="0"/>
              <w:spacing w:line="360" w:lineRule="auto"/>
              <w:ind w:firstLine="480" w:firstLineChars="200"/>
              <w:rPr>
                <w:color w:val="000000"/>
                <w:sz w:val="24"/>
              </w:rPr>
            </w:pPr>
            <w:r>
              <w:rPr>
                <w:rFonts w:hint="eastAsia" w:ascii="宋体" w:hAnsi="宋体" w:cs="宋体"/>
                <w:color w:val="000000"/>
                <w:sz w:val="24"/>
              </w:rPr>
              <w:t>④</w:t>
            </w:r>
            <w:r>
              <w:rPr>
                <w:color w:val="000000"/>
                <w:sz w:val="24"/>
              </w:rPr>
              <w:t>地面</w:t>
            </w:r>
            <w:r>
              <w:rPr>
                <w:rFonts w:hint="eastAsia"/>
                <w:sz w:val="24"/>
              </w:rPr>
              <w:t>清洗</w:t>
            </w:r>
            <w:r>
              <w:rPr>
                <w:rFonts w:hint="eastAsia"/>
                <w:color w:val="000000"/>
                <w:sz w:val="24"/>
              </w:rPr>
              <w:t>用</w:t>
            </w:r>
            <w:r>
              <w:rPr>
                <w:color w:val="000000"/>
                <w:sz w:val="24"/>
              </w:rPr>
              <w:t>排水</w:t>
            </w:r>
          </w:p>
          <w:p w14:paraId="3DC5B073">
            <w:pPr>
              <w:autoSpaceDE w:val="0"/>
              <w:autoSpaceDN w:val="0"/>
              <w:adjustRightInd w:val="0"/>
              <w:snapToGrid w:val="0"/>
              <w:spacing w:line="360" w:lineRule="auto"/>
              <w:ind w:firstLine="480" w:firstLineChars="200"/>
              <w:rPr>
                <w:kern w:val="0"/>
                <w:sz w:val="24"/>
              </w:rPr>
            </w:pPr>
            <w:r>
              <w:rPr>
                <w:kern w:val="0"/>
                <w:sz w:val="24"/>
              </w:rPr>
              <w:t>该项目生产</w:t>
            </w:r>
            <w:r>
              <w:rPr>
                <w:rFonts w:hint="eastAsia"/>
                <w:kern w:val="0"/>
                <w:sz w:val="24"/>
              </w:rPr>
              <w:t>区域</w:t>
            </w:r>
            <w:r>
              <w:rPr>
                <w:kern w:val="0"/>
                <w:sz w:val="24"/>
              </w:rPr>
              <w:t>地面需进行清洗，</w:t>
            </w:r>
            <w:r>
              <w:rPr>
                <w:rFonts w:hint="eastAsia"/>
                <w:sz w:val="24"/>
              </w:rPr>
              <w:t>拖洗</w:t>
            </w:r>
            <w:r>
              <w:rPr>
                <w:kern w:val="0"/>
                <w:sz w:val="24"/>
              </w:rPr>
              <w:t>时在清水中增加无磷洗涤剂便于去除油污，清洗频率为每</w:t>
            </w:r>
            <w:r>
              <w:rPr>
                <w:rFonts w:hint="eastAsia"/>
                <w:kern w:val="0"/>
                <w:sz w:val="24"/>
              </w:rPr>
              <w:t>8天</w:t>
            </w:r>
            <w:r>
              <w:rPr>
                <w:kern w:val="0"/>
                <w:sz w:val="24"/>
              </w:rPr>
              <w:t>清洗一次，参考《建筑给排水设计手册》拖洗用水量为</w:t>
            </w:r>
            <w:r>
              <w:rPr>
                <w:rFonts w:eastAsia="TimesNewRomanPSMT"/>
                <w:kern w:val="0"/>
                <w:sz w:val="24"/>
              </w:rPr>
              <w:t>1L/m</w:t>
            </w:r>
            <w:r>
              <w:rPr>
                <w:rFonts w:eastAsia="TimesNewRomanPSMT"/>
                <w:kern w:val="0"/>
                <w:sz w:val="24"/>
                <w:vertAlign w:val="superscript"/>
              </w:rPr>
              <w:t>2</w:t>
            </w:r>
            <w:r>
              <w:rPr>
                <w:rFonts w:eastAsia="TimesNewRomanPSMT"/>
                <w:kern w:val="0"/>
                <w:sz w:val="24"/>
              </w:rPr>
              <w:t>·</w:t>
            </w:r>
            <w:r>
              <w:rPr>
                <w:kern w:val="0"/>
                <w:sz w:val="24"/>
              </w:rPr>
              <w:t>次，项目生产车间冲洗区域总面积为</w:t>
            </w:r>
            <w:r>
              <w:rPr>
                <w:rFonts w:hint="eastAsia" w:eastAsia="TimesNewRomanPSMT"/>
                <w:kern w:val="0"/>
                <w:sz w:val="24"/>
              </w:rPr>
              <w:t>1600</w:t>
            </w:r>
            <w:r>
              <w:rPr>
                <w:rFonts w:eastAsia="TimesNewRomanPSMT"/>
                <w:kern w:val="0"/>
                <w:sz w:val="24"/>
              </w:rPr>
              <w:t>m</w:t>
            </w:r>
            <w:r>
              <w:rPr>
                <w:rFonts w:eastAsia="TimesNewRomanPSMT"/>
                <w:kern w:val="0"/>
                <w:sz w:val="24"/>
                <w:vertAlign w:val="superscript"/>
              </w:rPr>
              <w:t>2</w:t>
            </w:r>
            <w:r>
              <w:rPr>
                <w:kern w:val="0"/>
                <w:sz w:val="24"/>
              </w:rPr>
              <w:t>，则项目地面清洗用水量约为</w:t>
            </w:r>
            <w:r>
              <w:rPr>
                <w:rFonts w:hint="eastAsia" w:eastAsia="TimesNewRomanPSMT"/>
                <w:kern w:val="0"/>
                <w:sz w:val="24"/>
              </w:rPr>
              <w:t>1.6</w:t>
            </w:r>
            <w:r>
              <w:rPr>
                <w:rFonts w:eastAsia="TimesNewRomanPSMT"/>
                <w:kern w:val="0"/>
                <w:sz w:val="24"/>
              </w:rPr>
              <w:t>m</w:t>
            </w:r>
            <w:r>
              <w:rPr>
                <w:rFonts w:eastAsia="TimesNewRomanPSMT"/>
                <w:kern w:val="0"/>
                <w:sz w:val="24"/>
                <w:vertAlign w:val="superscript"/>
              </w:rPr>
              <w:t>3</w:t>
            </w:r>
            <w:r>
              <w:rPr>
                <w:rFonts w:eastAsia="TimesNewRomanPSMT"/>
                <w:kern w:val="0"/>
                <w:sz w:val="24"/>
              </w:rPr>
              <w:t>/</w:t>
            </w:r>
            <w:r>
              <w:rPr>
                <w:kern w:val="0"/>
                <w:sz w:val="24"/>
              </w:rPr>
              <w:t>次，即</w:t>
            </w:r>
            <w:r>
              <w:rPr>
                <w:rFonts w:hint="eastAsia" w:eastAsia="TimesNewRomanPSMT"/>
                <w:kern w:val="0"/>
                <w:sz w:val="24"/>
              </w:rPr>
              <w:t>60</w:t>
            </w:r>
            <w:r>
              <w:rPr>
                <w:rFonts w:eastAsia="TimesNewRomanPSMT"/>
                <w:kern w:val="0"/>
                <w:sz w:val="24"/>
              </w:rPr>
              <w:t>m</w:t>
            </w:r>
            <w:r>
              <w:rPr>
                <w:rFonts w:eastAsia="TimesNewRomanPSMT"/>
                <w:kern w:val="0"/>
                <w:sz w:val="24"/>
                <w:vertAlign w:val="superscript"/>
              </w:rPr>
              <w:t>3</w:t>
            </w:r>
            <w:r>
              <w:rPr>
                <w:rFonts w:eastAsia="TimesNewRomanPSMT"/>
                <w:kern w:val="0"/>
                <w:sz w:val="24"/>
              </w:rPr>
              <w:t>/a</w:t>
            </w:r>
            <w:r>
              <w:rPr>
                <w:kern w:val="0"/>
                <w:sz w:val="24"/>
              </w:rPr>
              <w:t>（</w:t>
            </w:r>
            <w:r>
              <w:rPr>
                <w:rFonts w:eastAsia="TimesNewRomanPSMT"/>
                <w:kern w:val="0"/>
                <w:sz w:val="24"/>
              </w:rPr>
              <w:t>0.</w:t>
            </w:r>
            <w:r>
              <w:rPr>
                <w:rFonts w:hint="eastAsia" w:eastAsia="TimesNewRomanPSMT"/>
                <w:kern w:val="0"/>
                <w:sz w:val="24"/>
              </w:rPr>
              <w:t>2</w:t>
            </w:r>
            <w:r>
              <w:rPr>
                <w:rFonts w:eastAsia="TimesNewRomanPSMT"/>
                <w:kern w:val="0"/>
                <w:sz w:val="24"/>
              </w:rPr>
              <w:t>m</w:t>
            </w:r>
            <w:r>
              <w:rPr>
                <w:rFonts w:eastAsia="TimesNewRomanPSMT"/>
                <w:kern w:val="0"/>
                <w:sz w:val="24"/>
                <w:vertAlign w:val="superscript"/>
              </w:rPr>
              <w:t>3</w:t>
            </w:r>
            <w:r>
              <w:rPr>
                <w:rFonts w:eastAsia="TimesNewRomanPSMT"/>
                <w:kern w:val="0"/>
                <w:sz w:val="24"/>
              </w:rPr>
              <w:t>/d</w:t>
            </w:r>
            <w:r>
              <w:rPr>
                <w:kern w:val="0"/>
                <w:sz w:val="24"/>
              </w:rPr>
              <w:t>），</w:t>
            </w:r>
            <w:r>
              <w:rPr>
                <w:color w:val="000000"/>
                <w:sz w:val="24"/>
              </w:rPr>
              <w:t>采用循环冷却水排水作为地面脱洗用水，</w:t>
            </w:r>
            <w:r>
              <w:rPr>
                <w:kern w:val="0"/>
                <w:sz w:val="24"/>
              </w:rPr>
              <w:t>废水产生量按</w:t>
            </w:r>
            <w:r>
              <w:rPr>
                <w:rFonts w:hint="eastAsia" w:eastAsia="TimesNewRomanPSMT"/>
                <w:kern w:val="0"/>
                <w:sz w:val="24"/>
              </w:rPr>
              <w:t>8</w:t>
            </w:r>
            <w:r>
              <w:rPr>
                <w:rFonts w:eastAsia="TimesNewRomanPSMT"/>
                <w:kern w:val="0"/>
                <w:sz w:val="24"/>
              </w:rPr>
              <w:t>0%</w:t>
            </w:r>
            <w:r>
              <w:rPr>
                <w:kern w:val="0"/>
                <w:sz w:val="24"/>
              </w:rPr>
              <w:t>计，</w:t>
            </w:r>
            <w:r>
              <w:rPr>
                <w:rFonts w:hint="eastAsia"/>
                <w:sz w:val="24"/>
              </w:rPr>
              <w:t>则地面清洗废水产生量共计</w:t>
            </w:r>
            <w:r>
              <w:rPr>
                <w:rFonts w:hint="eastAsia" w:eastAsia="TimesNewRomanPSMT"/>
                <w:kern w:val="0"/>
                <w:sz w:val="24"/>
              </w:rPr>
              <w:t>48</w:t>
            </w:r>
            <w:r>
              <w:rPr>
                <w:rFonts w:eastAsia="TimesNewRomanPSMT"/>
                <w:kern w:val="0"/>
                <w:sz w:val="24"/>
              </w:rPr>
              <w:t>m</w:t>
            </w:r>
            <w:r>
              <w:rPr>
                <w:rFonts w:eastAsia="TimesNewRomanPSMT"/>
                <w:kern w:val="0"/>
                <w:sz w:val="24"/>
                <w:vertAlign w:val="superscript"/>
              </w:rPr>
              <w:t>3</w:t>
            </w:r>
            <w:r>
              <w:rPr>
                <w:rFonts w:eastAsia="TimesNewRomanPSMT"/>
                <w:kern w:val="0"/>
                <w:sz w:val="24"/>
              </w:rPr>
              <w:t>/a</w:t>
            </w:r>
            <w:r>
              <w:rPr>
                <w:rFonts w:hint="eastAsia"/>
                <w:sz w:val="24"/>
              </w:rPr>
              <w:t>（0.16</w:t>
            </w:r>
            <w:r>
              <w:rPr>
                <w:sz w:val="24"/>
              </w:rPr>
              <w:t>m</w:t>
            </w:r>
            <w:r>
              <w:rPr>
                <w:sz w:val="24"/>
                <w:vertAlign w:val="superscript"/>
              </w:rPr>
              <w:t>3</w:t>
            </w:r>
            <w:r>
              <w:rPr>
                <w:sz w:val="24"/>
              </w:rPr>
              <w:t>/d</w:t>
            </w:r>
            <w:r>
              <w:rPr>
                <w:rFonts w:hint="eastAsia"/>
                <w:sz w:val="24"/>
              </w:rPr>
              <w:t>）</w:t>
            </w:r>
            <w:r>
              <w:rPr>
                <w:sz w:val="24"/>
              </w:rPr>
              <w:t>，</w:t>
            </w:r>
            <w:r>
              <w:rPr>
                <w:kern w:val="0"/>
                <w:sz w:val="24"/>
              </w:rPr>
              <w:t>项目车间设置沟槽</w:t>
            </w:r>
            <w:r>
              <w:rPr>
                <w:rFonts w:hint="eastAsia"/>
                <w:kern w:val="0"/>
                <w:sz w:val="24"/>
              </w:rPr>
              <w:t>将</w:t>
            </w:r>
            <w:r>
              <w:rPr>
                <w:color w:val="000000"/>
                <w:sz w:val="24"/>
              </w:rPr>
              <w:t>地面清洗</w:t>
            </w:r>
            <w:r>
              <w:rPr>
                <w:rFonts w:hint="eastAsia"/>
                <w:sz w:val="24"/>
              </w:rPr>
              <w:t>废水</w:t>
            </w:r>
            <w:r>
              <w:rPr>
                <w:kern w:val="0"/>
                <w:sz w:val="24"/>
              </w:rPr>
              <w:t>引流收集至污水处理站进行处理</w:t>
            </w:r>
            <w:r>
              <w:rPr>
                <w:rFonts w:hint="eastAsia" w:ascii="宋体" w:cs="宋体"/>
                <w:kern w:val="0"/>
                <w:sz w:val="24"/>
              </w:rPr>
              <w:t>后由罐车运入</w:t>
            </w:r>
            <w:r>
              <w:rPr>
                <w:rFonts w:hint="eastAsia"/>
                <w:color w:val="000000"/>
                <w:sz w:val="24"/>
              </w:rPr>
              <w:t>民权县北关镇污水处理厂。</w:t>
            </w:r>
          </w:p>
          <w:p w14:paraId="2762C388">
            <w:pPr>
              <w:spacing w:line="360" w:lineRule="auto"/>
              <w:ind w:firstLine="480" w:firstLineChars="200"/>
              <w:jc w:val="left"/>
              <w:rPr>
                <w:bCs/>
                <w:sz w:val="24"/>
              </w:rPr>
            </w:pPr>
            <w:r>
              <w:rPr>
                <w:rFonts w:hint="eastAsia"/>
                <w:bCs/>
                <w:sz w:val="24"/>
              </w:rPr>
              <w:t>⑤循环冷却水系统用排水</w:t>
            </w:r>
          </w:p>
          <w:p w14:paraId="4EE90F36">
            <w:pPr>
              <w:spacing w:line="360" w:lineRule="auto"/>
              <w:ind w:firstLine="480" w:firstLineChars="200"/>
              <w:rPr>
                <w:color w:val="000000"/>
                <w:sz w:val="24"/>
              </w:rPr>
            </w:pPr>
            <w:r>
              <w:rPr>
                <w:color w:val="000000"/>
                <w:sz w:val="24"/>
              </w:rPr>
              <w:t>本项目</w:t>
            </w:r>
            <w:r>
              <w:rPr>
                <w:sz w:val="24"/>
              </w:rPr>
              <w:t>油脂熬制工序废气冷凝系统</w:t>
            </w:r>
            <w:r>
              <w:rPr>
                <w:color w:val="000000"/>
                <w:sz w:val="24"/>
              </w:rPr>
              <w:t>采用循环水进行间接冷却降温，</w:t>
            </w:r>
            <w:r>
              <w:rPr>
                <w:rFonts w:hint="eastAsia"/>
                <w:color w:val="000000"/>
                <w:sz w:val="24"/>
              </w:rPr>
              <w:t>循环冷却水在间接冷却的过程中会有一定量的蒸发，不断的蒸发会使冷却水中钙、镁离子的浓度升高，容易导致冷却水管道内壁结垢，因此定期的补水和排水是十分必要的。根据建设单位提供资料，项目</w:t>
            </w:r>
            <w:r>
              <w:rPr>
                <w:color w:val="000000"/>
                <w:sz w:val="24"/>
              </w:rPr>
              <w:t>循环冷却水</w:t>
            </w:r>
            <w:r>
              <w:rPr>
                <w:rFonts w:hint="eastAsia"/>
                <w:color w:val="000000"/>
                <w:sz w:val="24"/>
              </w:rPr>
              <w:t>系统</w:t>
            </w:r>
            <w:r>
              <w:rPr>
                <w:color w:val="000000"/>
                <w:sz w:val="24"/>
              </w:rPr>
              <w:t>循环水量为</w:t>
            </w:r>
            <w:r>
              <w:rPr>
                <w:rFonts w:hint="eastAsia"/>
                <w:color w:val="000000"/>
                <w:sz w:val="24"/>
              </w:rPr>
              <w:t>50</w:t>
            </w:r>
            <w:r>
              <w:rPr>
                <w:color w:val="000000"/>
                <w:sz w:val="24"/>
              </w:rPr>
              <w:t>m</w:t>
            </w:r>
            <w:r>
              <w:rPr>
                <w:color w:val="000000"/>
                <w:sz w:val="24"/>
                <w:vertAlign w:val="superscript"/>
              </w:rPr>
              <w:t>3</w:t>
            </w:r>
            <w:r>
              <w:rPr>
                <w:color w:val="000000"/>
                <w:sz w:val="24"/>
              </w:rPr>
              <w:t>/</w:t>
            </w:r>
            <w:r>
              <w:rPr>
                <w:rFonts w:hint="eastAsia"/>
                <w:color w:val="000000"/>
                <w:sz w:val="24"/>
              </w:rPr>
              <w:t>h。经类比同类企业，循环冷却装置散失量和排水量一般约为循环量的0.3%，则冷却水系统</w:t>
            </w:r>
            <w:r>
              <w:rPr>
                <w:color w:val="000000"/>
                <w:sz w:val="24"/>
              </w:rPr>
              <w:t>排水量及散失量均为</w:t>
            </w:r>
            <w:r>
              <w:rPr>
                <w:rFonts w:hint="eastAsia"/>
                <w:color w:val="000000"/>
                <w:sz w:val="24"/>
              </w:rPr>
              <w:t>0.15</w:t>
            </w:r>
            <w:r>
              <w:rPr>
                <w:color w:val="000000"/>
                <w:sz w:val="24"/>
              </w:rPr>
              <w:t>m</w:t>
            </w:r>
            <w:r>
              <w:rPr>
                <w:color w:val="000000"/>
                <w:sz w:val="24"/>
                <w:vertAlign w:val="superscript"/>
              </w:rPr>
              <w:t>3</w:t>
            </w:r>
            <w:r>
              <w:rPr>
                <w:color w:val="000000"/>
                <w:sz w:val="24"/>
              </w:rPr>
              <w:t>/</w:t>
            </w:r>
            <w:r>
              <w:rPr>
                <w:rFonts w:hint="eastAsia"/>
                <w:color w:val="000000"/>
                <w:sz w:val="24"/>
              </w:rPr>
              <w:t>h（2.4</w:t>
            </w:r>
            <w:r>
              <w:rPr>
                <w:color w:val="000000"/>
                <w:sz w:val="24"/>
              </w:rPr>
              <w:t>m</w:t>
            </w:r>
            <w:r>
              <w:rPr>
                <w:color w:val="000000"/>
                <w:sz w:val="24"/>
                <w:vertAlign w:val="superscript"/>
              </w:rPr>
              <w:t>3</w:t>
            </w:r>
            <w:r>
              <w:rPr>
                <w:color w:val="000000"/>
                <w:sz w:val="24"/>
              </w:rPr>
              <w:t>/d</w:t>
            </w:r>
            <w:r>
              <w:rPr>
                <w:rFonts w:hint="eastAsia"/>
                <w:color w:val="000000"/>
                <w:sz w:val="24"/>
              </w:rPr>
              <w:t>），项目循环冷却水用水量为4.8</w:t>
            </w:r>
            <w:r>
              <w:rPr>
                <w:color w:val="000000"/>
                <w:sz w:val="24"/>
              </w:rPr>
              <w:t>m</w:t>
            </w:r>
            <w:r>
              <w:rPr>
                <w:color w:val="000000"/>
                <w:sz w:val="24"/>
                <w:vertAlign w:val="superscript"/>
              </w:rPr>
              <w:t>3</w:t>
            </w:r>
            <w:r>
              <w:rPr>
                <w:color w:val="000000"/>
                <w:sz w:val="24"/>
              </w:rPr>
              <w:t>/d、</w:t>
            </w:r>
            <w:r>
              <w:rPr>
                <w:rFonts w:hint="eastAsia"/>
                <w:color w:val="000000"/>
                <w:sz w:val="24"/>
              </w:rPr>
              <w:t>1440</w:t>
            </w:r>
            <w:r>
              <w:rPr>
                <w:color w:val="000000"/>
                <w:sz w:val="24"/>
              </w:rPr>
              <w:t>m</w:t>
            </w:r>
            <w:r>
              <w:rPr>
                <w:color w:val="000000"/>
                <w:sz w:val="24"/>
                <w:vertAlign w:val="superscript"/>
              </w:rPr>
              <w:t>3</w:t>
            </w:r>
            <w:r>
              <w:rPr>
                <w:color w:val="000000"/>
                <w:sz w:val="24"/>
              </w:rPr>
              <w:t>/</w:t>
            </w:r>
            <w:r>
              <w:rPr>
                <w:rFonts w:hint="eastAsia"/>
                <w:color w:val="000000"/>
                <w:sz w:val="24"/>
              </w:rPr>
              <w:t>a</w:t>
            </w:r>
            <w:r>
              <w:rPr>
                <w:color w:val="000000"/>
                <w:sz w:val="24"/>
              </w:rPr>
              <w:t>。</w:t>
            </w:r>
            <w:r>
              <w:rPr>
                <w:sz w:val="24"/>
              </w:rPr>
              <w:t>这部分水属于清下水，部分</w:t>
            </w:r>
            <w:r>
              <w:rPr>
                <w:rFonts w:hint="eastAsia"/>
                <w:sz w:val="24"/>
              </w:rPr>
              <w:t>可</w:t>
            </w:r>
            <w:r>
              <w:rPr>
                <w:sz w:val="24"/>
              </w:rPr>
              <w:t>作为</w:t>
            </w:r>
            <w:r>
              <w:rPr>
                <w:color w:val="000000"/>
                <w:sz w:val="24"/>
              </w:rPr>
              <w:t>地面清洗</w:t>
            </w:r>
            <w:r>
              <w:rPr>
                <w:rFonts w:hint="eastAsia"/>
                <w:sz w:val="24"/>
              </w:rPr>
              <w:t>水及设备清洗水回用，部分用于厂区及厂区前道路洒水抑尘</w:t>
            </w:r>
            <w:r>
              <w:rPr>
                <w:rFonts w:hint="eastAsia"/>
                <w:color w:val="000000"/>
                <w:sz w:val="24"/>
              </w:rPr>
              <w:t>。</w:t>
            </w:r>
          </w:p>
          <w:p w14:paraId="637451EE">
            <w:pPr>
              <w:spacing w:line="360" w:lineRule="auto"/>
              <w:ind w:firstLine="480" w:firstLineChars="200"/>
              <w:jc w:val="left"/>
              <w:rPr>
                <w:bCs/>
                <w:sz w:val="24"/>
              </w:rPr>
            </w:pPr>
            <w:r>
              <w:rPr>
                <w:rFonts w:hint="eastAsia"/>
                <w:bCs/>
                <w:sz w:val="24"/>
              </w:rPr>
              <w:t>⑥</w:t>
            </w:r>
            <w:r>
              <w:rPr>
                <w:rFonts w:hint="eastAsia"/>
                <w:sz w:val="24"/>
              </w:rPr>
              <w:t>生活污水产排情况</w:t>
            </w:r>
          </w:p>
          <w:p w14:paraId="61D967FA">
            <w:pPr>
              <w:spacing w:line="348" w:lineRule="auto"/>
              <w:ind w:firstLine="480" w:firstLineChars="200"/>
              <w:rPr>
                <w:bCs/>
                <w:sz w:val="24"/>
              </w:rPr>
            </w:pPr>
            <w:r>
              <w:rPr>
                <w:rFonts w:hint="eastAsia"/>
                <w:sz w:val="24"/>
              </w:rPr>
              <w:t>项目厂区设置水冲厕，厂内不提供食宿，根据《</w:t>
            </w:r>
            <w:r>
              <w:rPr>
                <w:rFonts w:hint="eastAsia"/>
                <w:bCs/>
                <w:sz w:val="24"/>
              </w:rPr>
              <w:t>工业与城镇生活用水定额</w:t>
            </w:r>
            <w:r>
              <w:rPr>
                <w:rFonts w:hint="eastAsia"/>
                <w:sz w:val="24"/>
              </w:rPr>
              <w:t>》（</w:t>
            </w:r>
            <w:r>
              <w:rPr>
                <w:sz w:val="24"/>
              </w:rPr>
              <w:t>DB41/T385-20</w:t>
            </w:r>
            <w:r>
              <w:rPr>
                <w:rFonts w:hint="eastAsia"/>
                <w:sz w:val="24"/>
              </w:rPr>
              <w:t>20）标准，</w:t>
            </w:r>
            <w:r>
              <w:rPr>
                <w:rFonts w:hint="eastAsia"/>
                <w:bCs/>
                <w:sz w:val="24"/>
              </w:rPr>
              <w:t>生活用水</w:t>
            </w:r>
            <w:r>
              <w:rPr>
                <w:rFonts w:hint="eastAsia"/>
                <w:sz w:val="24"/>
              </w:rPr>
              <w:t>量按50</w:t>
            </w:r>
            <w:r>
              <w:rPr>
                <w:sz w:val="24"/>
              </w:rPr>
              <w:t>L/</w:t>
            </w:r>
            <w:r>
              <w:rPr>
                <w:rFonts w:hint="eastAsia"/>
                <w:sz w:val="24"/>
              </w:rPr>
              <w:t>人</w:t>
            </w:r>
            <w:r>
              <w:rPr>
                <w:sz w:val="24"/>
              </w:rPr>
              <w:t>•d</w:t>
            </w:r>
            <w:r>
              <w:rPr>
                <w:rFonts w:hint="eastAsia"/>
                <w:sz w:val="24"/>
              </w:rPr>
              <w:t>计，项目劳动定员10人，则</w:t>
            </w:r>
            <w:r>
              <w:rPr>
                <w:rFonts w:hint="eastAsia"/>
                <w:bCs/>
                <w:sz w:val="24"/>
                <w:lang w:val="en-GB"/>
              </w:rPr>
              <w:t>生活</w:t>
            </w:r>
            <w:r>
              <w:rPr>
                <w:rFonts w:hint="eastAsia"/>
                <w:sz w:val="24"/>
              </w:rPr>
              <w:t>用水量为0.5</w:t>
            </w:r>
            <w:r>
              <w:rPr>
                <w:bCs/>
                <w:sz w:val="24"/>
                <w:lang w:val="en-GB"/>
              </w:rPr>
              <w:t>m</w:t>
            </w:r>
            <w:r>
              <w:rPr>
                <w:bCs/>
                <w:sz w:val="24"/>
                <w:vertAlign w:val="superscript"/>
                <w:lang w:val="en-GB"/>
              </w:rPr>
              <w:t>3</w:t>
            </w:r>
            <w:r>
              <w:rPr>
                <w:bCs/>
                <w:sz w:val="24"/>
                <w:lang w:val="en-GB"/>
              </w:rPr>
              <w:t>/d</w:t>
            </w:r>
            <w:r>
              <w:rPr>
                <w:rFonts w:hint="eastAsia"/>
                <w:bCs/>
                <w:sz w:val="24"/>
              </w:rPr>
              <w:t>，150</w:t>
            </w:r>
            <w:r>
              <w:rPr>
                <w:bCs/>
                <w:sz w:val="24"/>
              </w:rPr>
              <w:t>m</w:t>
            </w:r>
            <w:r>
              <w:rPr>
                <w:bCs/>
                <w:sz w:val="24"/>
                <w:vertAlign w:val="superscript"/>
              </w:rPr>
              <w:t>3</w:t>
            </w:r>
            <w:r>
              <w:rPr>
                <w:bCs/>
                <w:sz w:val="24"/>
              </w:rPr>
              <w:t>/a</w:t>
            </w:r>
            <w:r>
              <w:rPr>
                <w:rFonts w:hint="eastAsia"/>
                <w:bCs/>
                <w:sz w:val="24"/>
              </w:rPr>
              <w:t>，排放系数按</w:t>
            </w:r>
            <w:r>
              <w:rPr>
                <w:bCs/>
                <w:sz w:val="24"/>
              </w:rPr>
              <w:t>0.8</w:t>
            </w:r>
            <w:r>
              <w:rPr>
                <w:rFonts w:hint="eastAsia"/>
                <w:bCs/>
                <w:sz w:val="24"/>
              </w:rPr>
              <w:t>计，则生活废水产生量为0.4</w:t>
            </w:r>
            <w:r>
              <w:rPr>
                <w:bCs/>
                <w:sz w:val="24"/>
                <w:lang w:val="en-GB"/>
              </w:rPr>
              <w:t>m</w:t>
            </w:r>
            <w:r>
              <w:rPr>
                <w:bCs/>
                <w:sz w:val="24"/>
                <w:vertAlign w:val="superscript"/>
                <w:lang w:val="en-GB"/>
              </w:rPr>
              <w:t>3</w:t>
            </w:r>
            <w:r>
              <w:rPr>
                <w:bCs/>
                <w:sz w:val="24"/>
                <w:lang w:val="en-GB"/>
              </w:rPr>
              <w:t>/d</w:t>
            </w:r>
            <w:r>
              <w:rPr>
                <w:rFonts w:hint="eastAsia"/>
                <w:bCs/>
                <w:sz w:val="24"/>
              </w:rPr>
              <w:t>，120</w:t>
            </w:r>
            <w:r>
              <w:rPr>
                <w:bCs/>
                <w:sz w:val="24"/>
              </w:rPr>
              <w:t>m</w:t>
            </w:r>
            <w:r>
              <w:rPr>
                <w:bCs/>
                <w:sz w:val="24"/>
                <w:vertAlign w:val="superscript"/>
              </w:rPr>
              <w:t>3</w:t>
            </w:r>
            <w:r>
              <w:rPr>
                <w:bCs/>
                <w:sz w:val="24"/>
              </w:rPr>
              <w:t>/a</w:t>
            </w:r>
            <w:r>
              <w:rPr>
                <w:rFonts w:hint="eastAsia"/>
                <w:bCs/>
                <w:sz w:val="24"/>
              </w:rPr>
              <w:t>。职工生活废水经厂区化粪池（20</w:t>
            </w:r>
            <w:r>
              <w:rPr>
                <w:bCs/>
                <w:sz w:val="24"/>
                <w:lang w:val="en-GB"/>
              </w:rPr>
              <w:t>m</w:t>
            </w:r>
            <w:r>
              <w:rPr>
                <w:bCs/>
                <w:sz w:val="24"/>
                <w:vertAlign w:val="superscript"/>
                <w:lang w:val="en-GB"/>
              </w:rPr>
              <w:t>3</w:t>
            </w:r>
            <w:r>
              <w:rPr>
                <w:rFonts w:hint="eastAsia"/>
                <w:bCs/>
                <w:sz w:val="24"/>
              </w:rPr>
              <w:t>）暂存后交由周边居民外运肥田</w:t>
            </w:r>
            <w:r>
              <w:rPr>
                <w:rFonts w:hint="eastAsia"/>
                <w:sz w:val="24"/>
              </w:rPr>
              <w:t>。</w:t>
            </w:r>
          </w:p>
          <w:p w14:paraId="033FD661">
            <w:pPr>
              <w:spacing w:line="360" w:lineRule="auto"/>
              <w:ind w:firstLine="480" w:firstLineChars="200"/>
              <w:jc w:val="left"/>
              <w:rPr>
                <w:bCs/>
                <w:sz w:val="24"/>
              </w:rPr>
            </w:pPr>
            <w:r>
              <w:rPr>
                <w:bCs/>
                <w:sz w:val="24"/>
              </w:rPr>
              <mc:AlternateContent>
                <mc:Choice Requires="wps">
                  <w:drawing>
                    <wp:anchor distT="0" distB="0" distL="114300" distR="114300" simplePos="0" relativeHeight="251659264" behindDoc="0" locked="0" layoutInCell="1" allowOverlap="1">
                      <wp:simplePos x="0" y="0"/>
                      <wp:positionH relativeFrom="column">
                        <wp:posOffset>-211455</wp:posOffset>
                      </wp:positionH>
                      <wp:positionV relativeFrom="paragraph">
                        <wp:posOffset>-1015759335</wp:posOffset>
                      </wp:positionV>
                      <wp:extent cx="520065" cy="286385"/>
                      <wp:effectExtent l="0" t="0" r="0" b="0"/>
                      <wp:wrapNone/>
                      <wp:docPr id="42" name="文本框 15"/>
                      <wp:cNvGraphicFramePr/>
                      <a:graphic xmlns:a="http://schemas.openxmlformats.org/drawingml/2006/main">
                        <a:graphicData uri="http://schemas.microsoft.com/office/word/2010/wordprocessingShape">
                          <wps:wsp>
                            <wps:cNvSpPr txBox="1">
                              <a:spLocks noChangeArrowheads="1"/>
                            </wps:cNvSpPr>
                            <wps:spPr bwMode="auto">
                              <a:xfrm>
                                <a:off x="0" y="0"/>
                                <a:ext cx="520065" cy="286385"/>
                              </a:xfrm>
                              <a:prstGeom prst="rect">
                                <a:avLst/>
                              </a:prstGeom>
                              <a:solidFill>
                                <a:srgbClr val="FFFFFF">
                                  <a:alpha val="0"/>
                                </a:srgbClr>
                              </a:solidFill>
                              <a:ln>
                                <a:noFill/>
                              </a:ln>
                              <a:effectLst/>
                            </wps:spPr>
                            <wps:txbx>
                              <w:txbxContent>
                                <w:p w14:paraId="3C96AD35">
                                  <w:pPr>
                                    <w:rPr>
                                      <w:b/>
                                    </w:rPr>
                                  </w:pPr>
                                  <w:r>
                                    <w:rPr>
                                      <w:b/>
                                    </w:rPr>
                                    <w:t>83.28</w:t>
                                  </w:r>
                                </w:p>
                              </w:txbxContent>
                            </wps:txbx>
                            <wps:bodyPr rot="0" vert="horz" wrap="square" lIns="91440" tIns="45720" rIns="91440" bIns="45720" anchor="t" anchorCtr="0" upright="1">
                              <a:noAutofit/>
                            </wps:bodyPr>
                          </wps:wsp>
                        </a:graphicData>
                      </a:graphic>
                    </wp:anchor>
                  </w:drawing>
                </mc:Choice>
                <mc:Fallback>
                  <w:pict>
                    <v:shape id="文本框 15" o:spid="_x0000_s1026" o:spt="202" type="#_x0000_t202" style="position:absolute;left:0pt;margin-left:-16.65pt;margin-top:-79981.05pt;height:22.55pt;width:40.95pt;z-index:251659264;mso-width-relative:page;mso-height-relative:page;" fillcolor="#FFFFFF" filled="t" stroked="f" coordsize="21600,21600" o:gfxdata="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XtHcN4AAAASAQAADwAAAAAAAAABACAAAAAi&#10;AAAAZHJzL2Rvd25yZXYueG1sUEsBAhQAFAAAAAgAh07iQDumwSs9AgAAagQAAA4AAAAAAAAAAQAg&#10;AAAALQEAAGRycy9lMm9Eb2MueG1sUEsFBgAAAAAGAAYAWQEAANwFAAAAAA==&#10;">
                      <v:fill on="t" opacity="0f" focussize="0,0"/>
                      <v:stroke on="f"/>
                      <v:imagedata o:title=""/>
                      <o:lock v:ext="edit" aspectratio="f"/>
                      <v:textbox>
                        <w:txbxContent>
                          <w:p w14:paraId="3C96AD35">
                            <w:pPr>
                              <w:rPr>
                                <w:b/>
                              </w:rPr>
                            </w:pPr>
                            <w:r>
                              <w:rPr>
                                <w:b/>
                              </w:rPr>
                              <w:t>83.28</w:t>
                            </w:r>
                          </w:p>
                        </w:txbxContent>
                      </v:textbox>
                    </v:shape>
                  </w:pict>
                </mc:Fallback>
              </mc:AlternateContent>
            </w:r>
            <w:r>
              <w:rPr>
                <w:rFonts w:hint="eastAsia"/>
                <w:bCs/>
                <w:sz w:val="24"/>
              </w:rPr>
              <w:t>项目水平衡图见下图。</w:t>
            </w:r>
          </w:p>
          <w:p w14:paraId="079679A3">
            <w:pPr>
              <w:jc w:val="center"/>
              <w:rPr>
                <w:bCs/>
                <w:sz w:val="24"/>
              </w:rPr>
            </w:pPr>
            <w:r>
              <w:object>
                <v:shape id="_x0000_i1025" o:spt="75" type="#_x0000_t75" style="height:298.85pt;width:393.95pt;" o:ole="t" filled="f" o:preferrelative="t" stroked="f" coordsize="21600,21600">
                  <v:path/>
                  <v:fill on="f" focussize="0,0"/>
                  <v:stroke on="f" joinstyle="miter"/>
                  <v:imagedata r:id="rId6" o:title=""/>
                  <o:lock v:ext="edit" aspectratio="t"/>
                  <w10:wrap type="none"/>
                  <w10:anchorlock/>
                </v:shape>
                <o:OLEObject Type="Embed" ProgID="Visio.Drawing.11" ShapeID="_x0000_i1025" DrawAspect="Content" ObjectID="_1468075725" r:id="rId5">
                  <o:LockedField>false</o:LockedField>
                </o:OLEObject>
              </w:object>
            </w:r>
          </w:p>
          <w:p w14:paraId="3C433970">
            <w:pPr>
              <w:ind w:firstLine="480" w:firstLineChars="200"/>
              <w:jc w:val="left"/>
              <w:rPr>
                <w:bCs/>
                <w:sz w:val="24"/>
              </w:rPr>
            </w:pPr>
            <w:r>
              <w:rPr>
                <w:bCs/>
                <w:sz w:val="24"/>
              </w:rPr>
              <mc:AlternateContent>
                <mc:Choice Requires="wps">
                  <w:drawing>
                    <wp:anchor distT="0" distB="0" distL="114300" distR="114300" simplePos="0" relativeHeight="251665408" behindDoc="0" locked="0" layoutInCell="1" allowOverlap="1">
                      <wp:simplePos x="0" y="0"/>
                      <wp:positionH relativeFrom="column">
                        <wp:posOffset>711835</wp:posOffset>
                      </wp:positionH>
                      <wp:positionV relativeFrom="paragraph">
                        <wp:posOffset>19050</wp:posOffset>
                      </wp:positionV>
                      <wp:extent cx="3686810" cy="288925"/>
                      <wp:effectExtent l="0" t="0" r="0" b="0"/>
                      <wp:wrapNone/>
                      <wp:docPr id="41" name="文本框 875"/>
                      <wp:cNvGraphicFramePr/>
                      <a:graphic xmlns:a="http://schemas.openxmlformats.org/drawingml/2006/main">
                        <a:graphicData uri="http://schemas.microsoft.com/office/word/2010/wordprocessingShape">
                          <wps:wsp>
                            <wps:cNvSpPr txBox="1">
                              <a:spLocks noChangeArrowheads="1"/>
                            </wps:cNvSpPr>
                            <wps:spPr bwMode="auto">
                              <a:xfrm>
                                <a:off x="0" y="0"/>
                                <a:ext cx="3686810" cy="264160"/>
                              </a:xfrm>
                              <a:prstGeom prst="rect">
                                <a:avLst/>
                              </a:prstGeom>
                              <a:noFill/>
                              <a:ln>
                                <a:noFill/>
                              </a:ln>
                              <a:effectLst/>
                            </wps:spPr>
                            <wps:txbx>
                              <w:txbxContent>
                                <w:p w14:paraId="2FF994E2">
                                  <w:pPr>
                                    <w:jc w:val="center"/>
                                    <w:rPr>
                                      <w:b/>
                                      <w:sz w:val="24"/>
                                      <w:u w:val="single"/>
                                    </w:rPr>
                                  </w:pPr>
                                  <w:r>
                                    <w:rPr>
                                      <w:rFonts w:hint="eastAsia"/>
                                      <w:b/>
                                      <w:sz w:val="24"/>
                                      <w:u w:val="single"/>
                                    </w:rPr>
                                    <w:t>图1    项目用水平衡图     单位：</w:t>
                                  </w:r>
                                  <w:r>
                                    <w:rPr>
                                      <w:b/>
                                      <w:sz w:val="24"/>
                                      <w:u w:val="single"/>
                                    </w:rPr>
                                    <w:t>m</w:t>
                                  </w:r>
                                  <w:r>
                                    <w:rPr>
                                      <w:b/>
                                      <w:sz w:val="24"/>
                                      <w:u w:val="single"/>
                                      <w:vertAlign w:val="superscript"/>
                                    </w:rPr>
                                    <w:t>3</w:t>
                                  </w:r>
                                  <w:r>
                                    <w:rPr>
                                      <w:b/>
                                      <w:sz w:val="24"/>
                                      <w:u w:val="single"/>
                                    </w:rPr>
                                    <w:t>/d</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文本框 875" o:spid="_x0000_s1026" o:spt="202" type="#_x0000_t202" style="position:absolute;left:0pt;margin-left:56.05pt;margin-top:1.5pt;height:22.75pt;width:290.3pt;z-index:251665408;mso-width-relative:margin;mso-height-relative:margin;mso-height-percent:200;" filled="f" stroked="f" coordsize="21600,21600" o:gfxdata="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zLNUbtYAAAAI&#10;AQAADwAAAAAAAAABACAAAAAiAAAAZHJzL2Rvd25yZXYueG1sUEsBAhQAFAAAAAgAh07iQPPwi04e&#10;AgAAJgQAAA4AAAAAAAAAAQAgAAAAJQEAAGRycy9lMm9Eb2MueG1sUEsFBgAAAAAGAAYAWQEAALUF&#10;AAAAAA==&#10;">
                      <v:fill on="f" focussize="0,0"/>
                      <v:stroke on="f"/>
                      <v:imagedata o:title=""/>
                      <o:lock v:ext="edit" aspectratio="f"/>
                      <v:textbox style="mso-fit-shape-to-text:t;">
                        <w:txbxContent>
                          <w:p w14:paraId="2FF994E2">
                            <w:pPr>
                              <w:jc w:val="center"/>
                              <w:rPr>
                                <w:b/>
                                <w:sz w:val="24"/>
                                <w:u w:val="single"/>
                              </w:rPr>
                            </w:pPr>
                            <w:r>
                              <w:rPr>
                                <w:rFonts w:hint="eastAsia"/>
                                <w:b/>
                                <w:sz w:val="24"/>
                                <w:u w:val="single"/>
                              </w:rPr>
                              <w:t>图1    项目用水平衡图     单位：</w:t>
                            </w:r>
                            <w:r>
                              <w:rPr>
                                <w:b/>
                                <w:sz w:val="24"/>
                                <w:u w:val="single"/>
                              </w:rPr>
                              <w:t>m</w:t>
                            </w:r>
                            <w:r>
                              <w:rPr>
                                <w:b/>
                                <w:sz w:val="24"/>
                                <w:u w:val="single"/>
                                <w:vertAlign w:val="superscript"/>
                              </w:rPr>
                              <w:t>3</w:t>
                            </w:r>
                            <w:r>
                              <w:rPr>
                                <w:b/>
                                <w:sz w:val="24"/>
                                <w:u w:val="single"/>
                              </w:rPr>
                              <w:t>/d</w:t>
                            </w:r>
                          </w:p>
                        </w:txbxContent>
                      </v:textbox>
                    </v:shape>
                  </w:pict>
                </mc:Fallback>
              </mc:AlternateContent>
            </w:r>
          </w:p>
          <w:p w14:paraId="51BA29E3">
            <w:pPr>
              <w:ind w:firstLine="480" w:firstLineChars="200"/>
              <w:jc w:val="left"/>
              <w:rPr>
                <w:bCs/>
                <w:sz w:val="24"/>
              </w:rPr>
            </w:pPr>
          </w:p>
          <w:p w14:paraId="6F59B4E7">
            <w:pPr>
              <w:spacing w:line="360" w:lineRule="auto"/>
              <w:ind w:firstLine="480" w:firstLineChars="200"/>
              <w:jc w:val="left"/>
              <w:rPr>
                <w:bCs/>
                <w:sz w:val="24"/>
              </w:rPr>
            </w:pPr>
            <w:r>
              <w:rPr>
                <w:rFonts w:hint="eastAsia"/>
                <w:sz w:val="24"/>
              </w:rPr>
              <w:t>（</w:t>
            </w:r>
            <w:r>
              <w:rPr>
                <w:sz w:val="24"/>
              </w:rPr>
              <w:t>2</w:t>
            </w:r>
            <w:r>
              <w:rPr>
                <w:rFonts w:hint="eastAsia"/>
                <w:sz w:val="24"/>
              </w:rPr>
              <w:t>）供电</w:t>
            </w:r>
          </w:p>
          <w:p w14:paraId="423E9DE5">
            <w:pPr>
              <w:spacing w:line="360" w:lineRule="auto"/>
              <w:ind w:firstLine="464" w:firstLineChars="200"/>
              <w:jc w:val="left"/>
              <w:rPr>
                <w:bCs/>
                <w:sz w:val="24"/>
              </w:rPr>
            </w:pPr>
            <w:r>
              <w:rPr>
                <w:rFonts w:hint="eastAsia"/>
                <w:bCs/>
                <w:spacing w:val="-4"/>
                <w:sz w:val="24"/>
              </w:rPr>
              <w:t>本项目用电量约为24万</w:t>
            </w:r>
            <w:r>
              <w:rPr>
                <w:bCs/>
                <w:spacing w:val="-4"/>
                <w:sz w:val="24"/>
              </w:rPr>
              <w:t>kw·h/a</w:t>
            </w:r>
            <w:r>
              <w:rPr>
                <w:rFonts w:hint="eastAsia"/>
                <w:bCs/>
                <w:spacing w:val="-4"/>
                <w:sz w:val="24"/>
              </w:rPr>
              <w:t>，</w:t>
            </w:r>
            <w:r>
              <w:rPr>
                <w:rFonts w:hint="eastAsia"/>
                <w:bCs/>
                <w:sz w:val="24"/>
              </w:rPr>
              <w:t>由民权县北关镇电网供给，可以满足要求。</w:t>
            </w:r>
          </w:p>
          <w:p w14:paraId="4CEDB0B3">
            <w:pPr>
              <w:spacing w:line="360" w:lineRule="auto"/>
              <w:ind w:firstLine="480" w:firstLineChars="200"/>
              <w:jc w:val="left"/>
              <w:rPr>
                <w:iCs/>
                <w:sz w:val="24"/>
              </w:rPr>
            </w:pPr>
            <w:r>
              <w:rPr>
                <w:rFonts w:hint="eastAsia"/>
                <w:iCs/>
                <w:sz w:val="24"/>
              </w:rPr>
              <w:t>（3）供气</w:t>
            </w:r>
          </w:p>
          <w:p w14:paraId="7E57878C">
            <w:pPr>
              <w:adjustRightInd w:val="0"/>
              <w:snapToGrid w:val="0"/>
              <w:spacing w:line="360" w:lineRule="auto"/>
              <w:ind w:firstLine="456" w:firstLineChars="200"/>
              <w:jc w:val="left"/>
              <w:rPr>
                <w:spacing w:val="-6"/>
                <w:sz w:val="24"/>
              </w:rPr>
            </w:pPr>
            <w:r>
              <w:rPr>
                <w:rFonts w:hint="eastAsia"/>
                <w:spacing w:val="-6"/>
                <w:sz w:val="24"/>
              </w:rPr>
              <w:t>项目导热油锅炉采用天然气作为燃料，根据调查，项目所在区域未实现集中供气，因此本项目厂区建设15m</w:t>
            </w:r>
            <w:r>
              <w:rPr>
                <w:rFonts w:hint="eastAsia"/>
                <w:spacing w:val="-6"/>
                <w:sz w:val="24"/>
                <w:vertAlign w:val="superscript"/>
              </w:rPr>
              <w:t>3</w:t>
            </w:r>
            <w:r>
              <w:rPr>
                <w:rFonts w:hint="eastAsia"/>
                <w:spacing w:val="-6"/>
                <w:sz w:val="24"/>
              </w:rPr>
              <w:t>的LNG储罐用于供气，</w:t>
            </w:r>
            <w:r>
              <w:rPr>
                <w:rFonts w:hint="eastAsia"/>
                <w:iCs/>
                <w:spacing w:val="-6"/>
                <w:sz w:val="24"/>
              </w:rPr>
              <w:t>天然气消耗量计算如下：</w:t>
            </w:r>
          </w:p>
          <w:p w14:paraId="3C4A58E5">
            <w:pPr>
              <w:adjustRightInd w:val="0"/>
              <w:snapToGrid w:val="0"/>
              <w:spacing w:line="360" w:lineRule="auto"/>
              <w:ind w:firstLine="482" w:firstLineChars="200"/>
              <w:jc w:val="left"/>
              <w:rPr>
                <w:iCs/>
                <w:sz w:val="24"/>
              </w:rPr>
            </w:pPr>
            <w:r>
              <w:rPr>
                <w:b/>
                <w:sz w:val="24"/>
              </w:rPr>
              <w:t>燃气锅炉耗气量=燃气锅炉功率×时间÷燃料热值÷燃气锅炉热值利用率</w:t>
            </w:r>
          </w:p>
          <w:p w14:paraId="5CE84296">
            <w:pPr>
              <w:wordWrap w:val="0"/>
              <w:spacing w:line="360" w:lineRule="auto"/>
              <w:ind w:firstLine="480" w:firstLineChars="200"/>
              <w:jc w:val="left"/>
              <w:rPr>
                <w:bCs/>
                <w:sz w:val="24"/>
              </w:rPr>
            </w:pPr>
            <w:r>
              <w:rPr>
                <w:sz w:val="24"/>
              </w:rPr>
              <w:t>本项目</w:t>
            </w:r>
            <w:r>
              <w:rPr>
                <w:rFonts w:hint="eastAsia"/>
                <w:sz w:val="24"/>
              </w:rPr>
              <w:t>建设1台</w:t>
            </w:r>
            <w:r>
              <w:rPr>
                <w:rFonts w:hint="eastAsia"/>
                <w:bCs/>
                <w:sz w:val="24"/>
              </w:rPr>
              <w:t>2.1</w:t>
            </w:r>
            <w:r>
              <w:rPr>
                <w:bCs/>
                <w:sz w:val="24"/>
              </w:rPr>
              <w:t>MW和</w:t>
            </w:r>
            <w:r>
              <w:rPr>
                <w:rFonts w:hint="eastAsia"/>
                <w:sz w:val="24"/>
              </w:rPr>
              <w:t>1台</w:t>
            </w:r>
            <w:r>
              <w:rPr>
                <w:rFonts w:hint="eastAsia"/>
                <w:bCs/>
                <w:sz w:val="24"/>
              </w:rPr>
              <w:t>1.4</w:t>
            </w:r>
            <w:r>
              <w:rPr>
                <w:bCs/>
                <w:sz w:val="24"/>
              </w:rPr>
              <w:t>MW</w:t>
            </w:r>
            <w:r>
              <w:rPr>
                <w:rFonts w:hint="eastAsia"/>
                <w:bCs/>
                <w:sz w:val="24"/>
              </w:rPr>
              <w:t>燃气导热油锅炉</w:t>
            </w:r>
            <w:r>
              <w:rPr>
                <w:bCs/>
                <w:sz w:val="24"/>
              </w:rPr>
              <w:t>，</w:t>
            </w:r>
            <w:r>
              <w:rPr>
                <w:rFonts w:hint="eastAsia"/>
                <w:bCs/>
                <w:sz w:val="24"/>
              </w:rPr>
              <w:t>热效率以92%计，</w:t>
            </w:r>
            <w:r>
              <w:rPr>
                <w:rFonts w:hint="eastAsia"/>
                <w:iCs/>
                <w:sz w:val="24"/>
              </w:rPr>
              <w:t>天然气发</w:t>
            </w:r>
            <w:r>
              <w:rPr>
                <w:iCs/>
                <w:sz w:val="24"/>
              </w:rPr>
              <w:t>热值以</w:t>
            </w:r>
            <w:r>
              <w:rPr>
                <w:bCs/>
                <w:sz w:val="24"/>
              </w:rPr>
              <w:t>34MJ/m</w:t>
            </w:r>
            <w:r>
              <w:rPr>
                <w:bCs/>
                <w:sz w:val="24"/>
                <w:vertAlign w:val="superscript"/>
              </w:rPr>
              <w:t>3</w:t>
            </w:r>
            <w:r>
              <w:rPr>
                <w:bCs/>
                <w:sz w:val="24"/>
              </w:rPr>
              <w:t>计，则本项目锅炉房耗气量=（</w:t>
            </w:r>
            <w:r>
              <w:rPr>
                <w:rFonts w:hint="eastAsia"/>
                <w:bCs/>
                <w:sz w:val="24"/>
              </w:rPr>
              <w:t>2.1+1.4</w:t>
            </w:r>
            <w:r>
              <w:rPr>
                <w:bCs/>
                <w:sz w:val="24"/>
              </w:rPr>
              <w:t>）MW×3600s×</w:t>
            </w:r>
            <w:r>
              <w:rPr>
                <w:rFonts w:hint="eastAsia"/>
                <w:bCs/>
                <w:sz w:val="24"/>
              </w:rPr>
              <w:t>8</w:t>
            </w:r>
            <w:r>
              <w:rPr>
                <w:bCs/>
                <w:sz w:val="24"/>
              </w:rPr>
              <w:t>h×300d</w:t>
            </w:r>
            <w:r>
              <w:rPr>
                <w:b/>
                <w:sz w:val="24"/>
              </w:rPr>
              <w:t>÷</w:t>
            </w:r>
            <w:r>
              <w:rPr>
                <w:bCs/>
                <w:sz w:val="24"/>
              </w:rPr>
              <w:t>34MJ</w:t>
            </w:r>
            <w:r>
              <w:rPr>
                <w:b/>
                <w:sz w:val="24"/>
              </w:rPr>
              <w:t>/</w:t>
            </w:r>
            <w:r>
              <w:rPr>
                <w:bCs/>
                <w:sz w:val="24"/>
              </w:rPr>
              <w:t>m</w:t>
            </w:r>
            <w:r>
              <w:rPr>
                <w:bCs/>
                <w:sz w:val="24"/>
                <w:vertAlign w:val="superscript"/>
              </w:rPr>
              <w:t>3</w:t>
            </w:r>
            <w:r>
              <w:rPr>
                <w:b/>
                <w:sz w:val="24"/>
              </w:rPr>
              <w:t>÷</w:t>
            </w:r>
            <w:r>
              <w:rPr>
                <w:bCs/>
                <w:sz w:val="24"/>
              </w:rPr>
              <w:t>92%=</w:t>
            </w:r>
            <w:r>
              <w:rPr>
                <w:rFonts w:hint="eastAsia"/>
                <w:bCs/>
                <w:sz w:val="24"/>
              </w:rPr>
              <w:t>96.675</w:t>
            </w:r>
            <w:r>
              <w:rPr>
                <w:bCs/>
                <w:sz w:val="24"/>
              </w:rPr>
              <w:t>万m</w:t>
            </w:r>
            <w:r>
              <w:rPr>
                <w:bCs/>
                <w:sz w:val="24"/>
                <w:vertAlign w:val="superscript"/>
              </w:rPr>
              <w:t>3</w:t>
            </w:r>
            <w:r>
              <w:rPr>
                <w:bCs/>
                <w:sz w:val="24"/>
              </w:rPr>
              <w:t>/a。</w:t>
            </w:r>
            <w:r>
              <w:rPr>
                <w:color w:val="333333"/>
                <w:sz w:val="24"/>
                <w:shd w:val="clear" w:color="auto" w:fill="FFFFFF"/>
              </w:rPr>
              <w:t>1</w:t>
            </w:r>
            <w:r>
              <w:rPr>
                <w:rFonts w:hint="eastAsia"/>
                <w:color w:val="333333"/>
                <w:sz w:val="24"/>
                <w:shd w:val="clear" w:color="auto" w:fill="FFFFFF"/>
              </w:rPr>
              <w:t>t</w:t>
            </w:r>
            <w:r>
              <w:rPr>
                <w:rFonts w:hAnsi="Arial"/>
                <w:color w:val="333333"/>
                <w:sz w:val="24"/>
                <w:shd w:val="clear" w:color="auto" w:fill="FFFFFF"/>
              </w:rPr>
              <w:t>液化天然气（</w:t>
            </w:r>
            <w:r>
              <w:rPr>
                <w:color w:val="333333"/>
                <w:sz w:val="24"/>
                <w:shd w:val="clear" w:color="auto" w:fill="FFFFFF"/>
              </w:rPr>
              <w:t>LNG</w:t>
            </w:r>
            <w:r>
              <w:rPr>
                <w:rFonts w:hAnsi="Arial"/>
                <w:color w:val="333333"/>
                <w:sz w:val="24"/>
                <w:shd w:val="clear" w:color="auto" w:fill="FFFFFF"/>
              </w:rPr>
              <w:t>）可气化为</w:t>
            </w:r>
            <w:r>
              <w:rPr>
                <w:rFonts w:hint="eastAsia"/>
                <w:color w:val="333333"/>
                <w:sz w:val="24"/>
                <w:shd w:val="clear" w:color="auto" w:fill="FFFFFF"/>
              </w:rPr>
              <w:t>1390</w:t>
            </w:r>
            <w:r>
              <w:rPr>
                <w:color w:val="333333"/>
                <w:sz w:val="24"/>
                <w:shd w:val="clear" w:color="auto" w:fill="FFFFFF"/>
              </w:rPr>
              <w:t>m³</w:t>
            </w:r>
            <w:r>
              <w:rPr>
                <w:rFonts w:hint="eastAsia" w:hAnsi="Arial"/>
                <w:color w:val="333333"/>
                <w:sz w:val="24"/>
                <w:shd w:val="clear" w:color="auto" w:fill="FFFFFF"/>
              </w:rPr>
              <w:t>气态</w:t>
            </w:r>
            <w:r>
              <w:rPr>
                <w:rFonts w:hAnsi="Arial"/>
                <w:color w:val="333333"/>
                <w:sz w:val="24"/>
                <w:shd w:val="clear" w:color="auto" w:fill="FFFFFF"/>
              </w:rPr>
              <w:t>天然气</w:t>
            </w:r>
            <w:r>
              <w:rPr>
                <w:rFonts w:hint="eastAsia" w:hAnsi="Arial"/>
                <w:color w:val="333333"/>
                <w:sz w:val="24"/>
                <w:shd w:val="clear" w:color="auto" w:fill="FFFFFF"/>
              </w:rPr>
              <w:t>，则本项目液化天然气用量约695.5t</w:t>
            </w:r>
            <w:r>
              <w:rPr>
                <w:bCs/>
                <w:sz w:val="24"/>
              </w:rPr>
              <w:t>/a。</w:t>
            </w:r>
          </w:p>
          <w:p w14:paraId="42C2304F">
            <w:pPr>
              <w:wordWrap w:val="0"/>
              <w:spacing w:line="360" w:lineRule="auto"/>
              <w:ind w:firstLine="480" w:firstLineChars="200"/>
              <w:jc w:val="left"/>
              <w:rPr>
                <w:sz w:val="24"/>
              </w:rPr>
            </w:pPr>
            <w:r>
              <w:rPr>
                <w:rFonts w:hint="eastAsia"/>
                <w:bCs/>
                <w:sz w:val="24"/>
              </w:rPr>
              <w:t>本项目所在厂区建设</w:t>
            </w:r>
            <w:r>
              <w:rPr>
                <w:rFonts w:hint="eastAsia"/>
                <w:sz w:val="24"/>
              </w:rPr>
              <w:t>15m</w:t>
            </w:r>
            <w:r>
              <w:rPr>
                <w:rFonts w:hint="eastAsia"/>
                <w:sz w:val="24"/>
                <w:vertAlign w:val="superscript"/>
              </w:rPr>
              <w:t>3</w:t>
            </w:r>
            <w:r>
              <w:rPr>
                <w:rFonts w:hint="eastAsia"/>
                <w:sz w:val="24"/>
              </w:rPr>
              <w:t>LNG储罐，可储存液化天然气约6.75t，即</w:t>
            </w:r>
            <w:r>
              <w:rPr>
                <w:rFonts w:hint="eastAsia"/>
                <w:iCs/>
                <w:sz w:val="24"/>
              </w:rPr>
              <w:t>燃气供应公司</w:t>
            </w:r>
            <w:r>
              <w:rPr>
                <w:rFonts w:hint="eastAsia"/>
                <w:sz w:val="24"/>
              </w:rPr>
              <w:t>每3天需</w:t>
            </w:r>
            <w:r>
              <w:rPr>
                <w:rFonts w:hint="eastAsia"/>
                <w:iCs/>
                <w:sz w:val="24"/>
              </w:rPr>
              <w:t>采用LNG罐车补充1次储罐内液化天然气。</w:t>
            </w:r>
          </w:p>
          <w:p w14:paraId="3952FCC9">
            <w:pPr>
              <w:spacing w:line="360" w:lineRule="auto"/>
              <w:ind w:firstLine="482" w:firstLineChars="200"/>
              <w:jc w:val="left"/>
              <w:rPr>
                <w:b/>
                <w:iCs/>
                <w:sz w:val="24"/>
              </w:rPr>
            </w:pPr>
            <w:r>
              <w:rPr>
                <w:rFonts w:hint="eastAsia"/>
                <w:b/>
                <w:iCs/>
                <w:sz w:val="24"/>
              </w:rPr>
              <w:t>7、劳动人员及工作制度</w:t>
            </w:r>
          </w:p>
          <w:p w14:paraId="0438AAE8">
            <w:pPr>
              <w:spacing w:line="360" w:lineRule="auto"/>
              <w:ind w:firstLine="480" w:firstLineChars="200"/>
              <w:jc w:val="left"/>
              <w:rPr>
                <w:bCs/>
                <w:sz w:val="24"/>
              </w:rPr>
            </w:pPr>
            <w:r>
              <w:rPr>
                <w:rFonts w:hint="eastAsia"/>
                <w:bCs/>
                <w:sz w:val="24"/>
              </w:rPr>
              <w:t>本项目劳动定员为10人，厂内不提供食宿，实行单班制，每班工作时间为8h，年工作日300d。</w:t>
            </w:r>
          </w:p>
          <w:p w14:paraId="0DF94F8B">
            <w:pPr>
              <w:adjustRightInd w:val="0"/>
              <w:snapToGrid w:val="0"/>
              <w:spacing w:line="360" w:lineRule="auto"/>
              <w:ind w:firstLine="482" w:firstLineChars="200"/>
              <w:rPr>
                <w:b/>
                <w:sz w:val="24"/>
              </w:rPr>
            </w:pPr>
            <w:r>
              <w:rPr>
                <w:rFonts w:hint="eastAsia"/>
                <w:b/>
                <w:sz w:val="24"/>
              </w:rPr>
              <w:t>8、</w:t>
            </w:r>
            <w:r>
              <w:rPr>
                <w:b/>
                <w:iCs/>
                <w:sz w:val="24"/>
              </w:rPr>
              <w:t>平面布置</w:t>
            </w:r>
          </w:p>
          <w:p w14:paraId="4BABF235">
            <w:pPr>
              <w:adjustRightInd w:val="0"/>
              <w:snapToGrid w:val="0"/>
              <w:spacing w:line="360" w:lineRule="auto"/>
              <w:ind w:firstLine="480" w:firstLineChars="200"/>
              <w:rPr>
                <w:iCs/>
                <w:sz w:val="24"/>
              </w:rPr>
            </w:pPr>
            <w:r>
              <w:rPr>
                <w:rFonts w:hint="eastAsia"/>
                <w:sz w:val="24"/>
              </w:rPr>
              <w:t>项目位于河南省商丘市民权县北关镇民荷路北段9号</w:t>
            </w:r>
            <w:r>
              <w:rPr>
                <w:rFonts w:hint="eastAsia"/>
                <w:bCs/>
                <w:kern w:val="0"/>
                <w:sz w:val="24"/>
              </w:rPr>
              <w:t>，</w:t>
            </w:r>
            <w:r>
              <w:rPr>
                <w:rFonts w:hint="eastAsia"/>
                <w:sz w:val="24"/>
              </w:rPr>
              <w:t>租赁闲置厂区建设生产</w:t>
            </w:r>
            <w:r>
              <w:rPr>
                <w:rFonts w:hint="eastAsia"/>
                <w:bCs/>
                <w:sz w:val="24"/>
              </w:rPr>
              <w:t>。</w:t>
            </w:r>
            <w:r>
              <w:rPr>
                <w:rFonts w:hint="eastAsia"/>
                <w:iCs/>
                <w:sz w:val="24"/>
              </w:rPr>
              <w:t>本项目根据“分区合理、工艺流畅、物流短捷”的原则，结合场地的用地条件和服务流程需要，厂房建设严格按规范进行，并满足工艺流程需要，平面布置力求功能分区合理。</w:t>
            </w:r>
          </w:p>
          <w:p w14:paraId="64631EB2">
            <w:pPr>
              <w:adjustRightInd w:val="0"/>
              <w:snapToGrid w:val="0"/>
              <w:spacing w:line="360" w:lineRule="auto"/>
              <w:ind w:firstLine="472" w:firstLineChars="197"/>
              <w:jc w:val="left"/>
              <w:rPr>
                <w:iCs/>
                <w:sz w:val="24"/>
              </w:rPr>
            </w:pPr>
            <w:r>
              <w:rPr>
                <w:rFonts w:hint="eastAsia"/>
                <w:iCs/>
                <w:sz w:val="24"/>
              </w:rPr>
              <w:t>项目设置1个出入口，位于厂区西北侧，职工办公区位于厂区东北侧，1#生产车间位于厂区中侧，2#生产车间位于厂区南侧，锅炉房位于1#生产车间南侧，LNG储罐位于厂区东南角，污水处理站、一般固废间及危废间均设置在厂区中部东侧，成品储油罐均位于生产车间南侧，</w:t>
            </w:r>
            <w:r>
              <w:rPr>
                <w:rFonts w:hint="eastAsia"/>
                <w:sz w:val="24"/>
                <w:szCs w:val="20"/>
              </w:rPr>
              <w:t>生产车间内部布局按工艺流程顺序进行布设，厂区布置具有功能分区明确，工艺衔接紧凑、物流顺畅的特点，平面布置相对合理</w:t>
            </w:r>
            <w:r>
              <w:rPr>
                <w:rFonts w:hint="eastAsia"/>
                <w:bCs/>
                <w:sz w:val="24"/>
              </w:rPr>
              <w:t>。厂区平面布置见附图四。</w:t>
            </w:r>
          </w:p>
          <w:p w14:paraId="1D2BD1B0">
            <w:pPr>
              <w:spacing w:line="360" w:lineRule="auto"/>
              <w:ind w:firstLine="482" w:firstLineChars="200"/>
              <w:rPr>
                <w:b/>
                <w:iCs/>
                <w:sz w:val="24"/>
              </w:rPr>
            </w:pPr>
            <w:r>
              <w:rPr>
                <w:rFonts w:hint="eastAsia"/>
                <w:b/>
                <w:iCs/>
                <w:sz w:val="24"/>
              </w:rPr>
              <w:t>9</w:t>
            </w:r>
            <w:r>
              <w:rPr>
                <w:rFonts w:hAnsi="宋体"/>
                <w:b/>
                <w:iCs/>
                <w:sz w:val="24"/>
              </w:rPr>
              <w:t>、与备案相符性分析</w:t>
            </w:r>
          </w:p>
          <w:p w14:paraId="79323D6C">
            <w:pPr>
              <w:spacing w:line="360" w:lineRule="auto"/>
              <w:ind w:firstLine="442"/>
              <w:jc w:val="left"/>
              <w:rPr>
                <w:sz w:val="24"/>
              </w:rPr>
            </w:pPr>
            <w:r>
              <w:rPr>
                <w:rFonts w:hint="eastAsia"/>
                <w:bCs/>
                <w:sz w:val="24"/>
              </w:rPr>
              <w:t>本项目建设内容与发改委备案相符性分析见表11。</w:t>
            </w:r>
          </w:p>
          <w:p w14:paraId="0893AC12">
            <w:pPr>
              <w:jc w:val="center"/>
              <w:rPr>
                <w:rFonts w:hAnsi="黑体"/>
                <w:b/>
                <w:sz w:val="24"/>
              </w:rPr>
            </w:pPr>
          </w:p>
          <w:p w14:paraId="6E028E8D">
            <w:pPr>
              <w:jc w:val="center"/>
              <w:rPr>
                <w:rFonts w:hAnsi="黑体"/>
                <w:b/>
                <w:sz w:val="24"/>
              </w:rPr>
            </w:pPr>
          </w:p>
          <w:p w14:paraId="3A2AE9C7">
            <w:pPr>
              <w:jc w:val="center"/>
              <w:rPr>
                <w:rFonts w:hAnsi="黑体"/>
                <w:b/>
                <w:sz w:val="24"/>
              </w:rPr>
            </w:pPr>
          </w:p>
          <w:p w14:paraId="05A90523">
            <w:pPr>
              <w:jc w:val="center"/>
              <w:rPr>
                <w:rFonts w:hAnsi="黑体" w:eastAsia="黑体"/>
                <w:b/>
                <w:bCs/>
                <w:sz w:val="24"/>
              </w:rPr>
            </w:pPr>
            <w:r>
              <w:rPr>
                <w:rFonts w:hint="eastAsia" w:hAnsi="黑体"/>
                <w:b/>
                <w:sz w:val="24"/>
              </w:rPr>
              <w:t>表11   项目建设内容与发改委备案相符性分析一览表</w:t>
            </w:r>
          </w:p>
          <w:tbl>
            <w:tblPr>
              <w:tblStyle w:val="29"/>
              <w:tblW w:w="85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949"/>
              <w:gridCol w:w="2592"/>
              <w:gridCol w:w="2693"/>
              <w:gridCol w:w="2365"/>
            </w:tblGrid>
            <w:tr w14:paraId="7FECC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552" w:type="pct"/>
                  <w:tcBorders>
                    <w:top w:val="single" w:color="auto" w:sz="4" w:space="0"/>
                    <w:left w:val="single" w:color="auto" w:sz="4" w:space="0"/>
                    <w:bottom w:val="single" w:color="auto" w:sz="4" w:space="0"/>
                    <w:right w:val="single" w:color="auto" w:sz="4" w:space="0"/>
                  </w:tcBorders>
                  <w:vAlign w:val="center"/>
                </w:tcPr>
                <w:p w14:paraId="5C1597FB">
                  <w:pPr>
                    <w:snapToGrid w:val="0"/>
                    <w:jc w:val="center"/>
                    <w:rPr>
                      <w:b/>
                      <w:bCs/>
                      <w:color w:val="000000"/>
                      <w:szCs w:val="21"/>
                      <w:u w:val="single"/>
                    </w:rPr>
                  </w:pPr>
                  <w:r>
                    <w:rPr>
                      <w:rFonts w:hint="eastAsia" w:hAnsi="宋体"/>
                      <w:b/>
                      <w:color w:val="000000"/>
                      <w:szCs w:val="21"/>
                      <w:u w:val="single"/>
                    </w:rPr>
                    <w:t>名称</w:t>
                  </w:r>
                </w:p>
              </w:tc>
              <w:tc>
                <w:tcPr>
                  <w:tcW w:w="1507" w:type="pct"/>
                  <w:tcBorders>
                    <w:top w:val="single" w:color="auto" w:sz="4" w:space="0"/>
                    <w:left w:val="single" w:color="auto" w:sz="4" w:space="0"/>
                    <w:bottom w:val="single" w:color="auto" w:sz="4" w:space="0"/>
                    <w:right w:val="single" w:color="auto" w:sz="4" w:space="0"/>
                  </w:tcBorders>
                  <w:vAlign w:val="center"/>
                </w:tcPr>
                <w:p w14:paraId="03457097">
                  <w:pPr>
                    <w:snapToGrid w:val="0"/>
                    <w:jc w:val="center"/>
                    <w:rPr>
                      <w:b/>
                      <w:bCs/>
                      <w:color w:val="000000"/>
                      <w:szCs w:val="21"/>
                      <w:u w:val="single"/>
                    </w:rPr>
                  </w:pPr>
                  <w:r>
                    <w:rPr>
                      <w:rFonts w:hint="eastAsia" w:hAnsi="宋体"/>
                      <w:b/>
                      <w:color w:val="000000"/>
                      <w:szCs w:val="21"/>
                      <w:u w:val="single"/>
                    </w:rPr>
                    <w:t>备案内容</w:t>
                  </w:r>
                </w:p>
              </w:tc>
              <w:tc>
                <w:tcPr>
                  <w:tcW w:w="1566" w:type="pct"/>
                  <w:tcBorders>
                    <w:top w:val="single" w:color="auto" w:sz="4" w:space="0"/>
                    <w:left w:val="single" w:color="auto" w:sz="4" w:space="0"/>
                    <w:bottom w:val="single" w:color="auto" w:sz="4" w:space="0"/>
                    <w:right w:val="single" w:color="auto" w:sz="4" w:space="0"/>
                  </w:tcBorders>
                  <w:vAlign w:val="center"/>
                </w:tcPr>
                <w:p w14:paraId="3F7B98A8">
                  <w:pPr>
                    <w:snapToGrid w:val="0"/>
                    <w:jc w:val="center"/>
                    <w:rPr>
                      <w:b/>
                      <w:bCs/>
                      <w:color w:val="000000"/>
                      <w:szCs w:val="21"/>
                      <w:u w:val="single"/>
                    </w:rPr>
                  </w:pPr>
                  <w:r>
                    <w:rPr>
                      <w:rFonts w:hint="eastAsia" w:hAnsi="宋体"/>
                      <w:b/>
                      <w:color w:val="000000"/>
                      <w:szCs w:val="21"/>
                      <w:u w:val="single"/>
                    </w:rPr>
                    <w:t>项目建设内容</w:t>
                  </w:r>
                </w:p>
              </w:tc>
              <w:tc>
                <w:tcPr>
                  <w:tcW w:w="1375" w:type="pct"/>
                  <w:tcBorders>
                    <w:top w:val="single" w:color="auto" w:sz="4" w:space="0"/>
                    <w:left w:val="single" w:color="auto" w:sz="4" w:space="0"/>
                    <w:bottom w:val="single" w:color="auto" w:sz="4" w:space="0"/>
                    <w:right w:val="single" w:color="auto" w:sz="4" w:space="0"/>
                  </w:tcBorders>
                  <w:vAlign w:val="center"/>
                </w:tcPr>
                <w:p w14:paraId="75468B09">
                  <w:pPr>
                    <w:snapToGrid w:val="0"/>
                    <w:jc w:val="center"/>
                    <w:rPr>
                      <w:b/>
                      <w:bCs/>
                      <w:color w:val="000000"/>
                      <w:szCs w:val="21"/>
                      <w:u w:val="single"/>
                    </w:rPr>
                  </w:pPr>
                  <w:r>
                    <w:rPr>
                      <w:rFonts w:hint="eastAsia" w:hAnsi="宋体"/>
                      <w:b/>
                      <w:color w:val="000000"/>
                      <w:szCs w:val="21"/>
                      <w:u w:val="single"/>
                    </w:rPr>
                    <w:t>相符性</w:t>
                  </w:r>
                </w:p>
              </w:tc>
            </w:tr>
            <w:tr w14:paraId="2DE4F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552" w:type="pct"/>
                  <w:tcBorders>
                    <w:top w:val="single" w:color="auto" w:sz="4" w:space="0"/>
                    <w:left w:val="single" w:color="auto" w:sz="4" w:space="0"/>
                    <w:bottom w:val="single" w:color="auto" w:sz="4" w:space="0"/>
                    <w:right w:val="single" w:color="auto" w:sz="4" w:space="0"/>
                  </w:tcBorders>
                  <w:vAlign w:val="center"/>
                </w:tcPr>
                <w:p w14:paraId="069A96A6">
                  <w:pPr>
                    <w:snapToGrid w:val="0"/>
                    <w:jc w:val="center"/>
                    <w:rPr>
                      <w:b/>
                      <w:bCs/>
                      <w:color w:val="000000"/>
                      <w:szCs w:val="21"/>
                      <w:u w:val="single"/>
                    </w:rPr>
                  </w:pPr>
                  <w:r>
                    <w:rPr>
                      <w:rFonts w:hint="eastAsia"/>
                      <w:b/>
                      <w:color w:val="000000"/>
                      <w:szCs w:val="21"/>
                      <w:u w:val="single"/>
                    </w:rPr>
                    <w:t>项目名称</w:t>
                  </w:r>
                </w:p>
              </w:tc>
              <w:tc>
                <w:tcPr>
                  <w:tcW w:w="1507" w:type="pct"/>
                  <w:tcBorders>
                    <w:top w:val="single" w:color="auto" w:sz="4" w:space="0"/>
                    <w:left w:val="single" w:color="auto" w:sz="4" w:space="0"/>
                    <w:bottom w:val="single" w:color="auto" w:sz="4" w:space="0"/>
                    <w:right w:val="single" w:color="auto" w:sz="4" w:space="0"/>
                  </w:tcBorders>
                  <w:vAlign w:val="center"/>
                </w:tcPr>
                <w:p w14:paraId="75DC7196">
                  <w:pPr>
                    <w:wordWrap w:val="0"/>
                    <w:autoSpaceDE w:val="0"/>
                    <w:autoSpaceDN w:val="0"/>
                    <w:snapToGrid w:val="0"/>
                    <w:jc w:val="center"/>
                    <w:rPr>
                      <w:b/>
                      <w:bCs/>
                      <w:color w:val="000000"/>
                      <w:szCs w:val="21"/>
                      <w:u w:val="single"/>
                    </w:rPr>
                  </w:pPr>
                  <w:r>
                    <w:rPr>
                      <w:rFonts w:hint="eastAsia"/>
                      <w:b/>
                      <w:bCs/>
                      <w:color w:val="000000"/>
                      <w:szCs w:val="21"/>
                      <w:u w:val="single"/>
                    </w:rPr>
                    <w:t>民权县顺哲生物科技有限公司年产2.5万吨动物油脂项目</w:t>
                  </w:r>
                </w:p>
              </w:tc>
              <w:tc>
                <w:tcPr>
                  <w:tcW w:w="1566" w:type="pct"/>
                  <w:tcBorders>
                    <w:top w:val="single" w:color="auto" w:sz="4" w:space="0"/>
                    <w:left w:val="single" w:color="auto" w:sz="4" w:space="0"/>
                    <w:bottom w:val="single" w:color="auto" w:sz="4" w:space="0"/>
                    <w:right w:val="single" w:color="auto" w:sz="4" w:space="0"/>
                  </w:tcBorders>
                  <w:vAlign w:val="center"/>
                </w:tcPr>
                <w:p w14:paraId="63E0D880">
                  <w:pPr>
                    <w:snapToGrid w:val="0"/>
                    <w:jc w:val="center"/>
                    <w:rPr>
                      <w:b/>
                      <w:bCs/>
                      <w:color w:val="000000"/>
                      <w:szCs w:val="21"/>
                      <w:u w:val="single"/>
                    </w:rPr>
                  </w:pPr>
                  <w:r>
                    <w:rPr>
                      <w:rFonts w:hint="eastAsia"/>
                      <w:b/>
                      <w:bCs/>
                      <w:color w:val="000000"/>
                      <w:szCs w:val="21"/>
                      <w:u w:val="single"/>
                    </w:rPr>
                    <w:t>民权县顺哲生物科技有限公司年产2.5万吨动物油脂项目</w:t>
                  </w:r>
                </w:p>
              </w:tc>
              <w:tc>
                <w:tcPr>
                  <w:tcW w:w="1375" w:type="pct"/>
                  <w:tcBorders>
                    <w:top w:val="single" w:color="auto" w:sz="4" w:space="0"/>
                    <w:left w:val="single" w:color="auto" w:sz="4" w:space="0"/>
                    <w:bottom w:val="single" w:color="auto" w:sz="4" w:space="0"/>
                    <w:right w:val="single" w:color="auto" w:sz="4" w:space="0"/>
                  </w:tcBorders>
                  <w:vAlign w:val="center"/>
                </w:tcPr>
                <w:p w14:paraId="2EEB79B6">
                  <w:pPr>
                    <w:snapToGrid w:val="0"/>
                    <w:jc w:val="center"/>
                    <w:rPr>
                      <w:b/>
                      <w:bCs/>
                      <w:color w:val="000000"/>
                      <w:szCs w:val="21"/>
                      <w:u w:val="single"/>
                    </w:rPr>
                  </w:pPr>
                  <w:r>
                    <w:rPr>
                      <w:rFonts w:hint="eastAsia"/>
                      <w:b/>
                      <w:color w:val="000000"/>
                      <w:szCs w:val="21"/>
                      <w:u w:val="single"/>
                    </w:rPr>
                    <w:t>相符</w:t>
                  </w:r>
                </w:p>
              </w:tc>
            </w:tr>
            <w:tr w14:paraId="2603E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552" w:type="pct"/>
                  <w:tcBorders>
                    <w:top w:val="single" w:color="auto" w:sz="4" w:space="0"/>
                    <w:left w:val="single" w:color="auto" w:sz="4" w:space="0"/>
                    <w:bottom w:val="single" w:color="auto" w:sz="4" w:space="0"/>
                    <w:right w:val="single" w:color="auto" w:sz="4" w:space="0"/>
                  </w:tcBorders>
                  <w:vAlign w:val="center"/>
                </w:tcPr>
                <w:p w14:paraId="3EA9688D">
                  <w:pPr>
                    <w:snapToGrid w:val="0"/>
                    <w:jc w:val="center"/>
                    <w:rPr>
                      <w:b/>
                      <w:bCs/>
                      <w:color w:val="000000"/>
                      <w:szCs w:val="21"/>
                      <w:u w:val="single"/>
                    </w:rPr>
                  </w:pPr>
                  <w:r>
                    <w:rPr>
                      <w:rFonts w:hint="eastAsia"/>
                      <w:b/>
                      <w:color w:val="000000"/>
                      <w:szCs w:val="21"/>
                      <w:u w:val="single"/>
                    </w:rPr>
                    <w:t>建设单位</w:t>
                  </w:r>
                </w:p>
              </w:tc>
              <w:tc>
                <w:tcPr>
                  <w:tcW w:w="1507" w:type="pct"/>
                  <w:tcBorders>
                    <w:top w:val="single" w:color="auto" w:sz="4" w:space="0"/>
                    <w:left w:val="single" w:color="auto" w:sz="4" w:space="0"/>
                    <w:bottom w:val="single" w:color="auto" w:sz="4" w:space="0"/>
                    <w:right w:val="single" w:color="auto" w:sz="4" w:space="0"/>
                  </w:tcBorders>
                  <w:vAlign w:val="center"/>
                </w:tcPr>
                <w:p w14:paraId="65CCBC4C">
                  <w:pPr>
                    <w:snapToGrid w:val="0"/>
                    <w:jc w:val="center"/>
                    <w:rPr>
                      <w:b/>
                      <w:bCs/>
                      <w:color w:val="000000"/>
                      <w:szCs w:val="21"/>
                      <w:u w:val="single"/>
                    </w:rPr>
                  </w:pPr>
                  <w:r>
                    <w:rPr>
                      <w:rFonts w:hint="eastAsia"/>
                      <w:b/>
                      <w:bCs/>
                      <w:color w:val="000000"/>
                      <w:szCs w:val="21"/>
                      <w:u w:val="single"/>
                    </w:rPr>
                    <w:t>民权县顺哲生物科技有限公司</w:t>
                  </w:r>
                </w:p>
              </w:tc>
              <w:tc>
                <w:tcPr>
                  <w:tcW w:w="1566" w:type="pct"/>
                  <w:tcBorders>
                    <w:top w:val="single" w:color="auto" w:sz="4" w:space="0"/>
                    <w:left w:val="single" w:color="auto" w:sz="4" w:space="0"/>
                    <w:bottom w:val="single" w:color="auto" w:sz="4" w:space="0"/>
                    <w:right w:val="single" w:color="auto" w:sz="4" w:space="0"/>
                  </w:tcBorders>
                  <w:vAlign w:val="center"/>
                </w:tcPr>
                <w:p w14:paraId="738614F8">
                  <w:pPr>
                    <w:snapToGrid w:val="0"/>
                    <w:jc w:val="center"/>
                    <w:rPr>
                      <w:b/>
                      <w:bCs/>
                      <w:color w:val="000000"/>
                      <w:szCs w:val="21"/>
                      <w:u w:val="single"/>
                    </w:rPr>
                  </w:pPr>
                  <w:r>
                    <w:rPr>
                      <w:rFonts w:hint="eastAsia"/>
                      <w:b/>
                      <w:bCs/>
                      <w:color w:val="000000"/>
                      <w:szCs w:val="21"/>
                      <w:u w:val="single"/>
                    </w:rPr>
                    <w:t>民权县顺哲生物科技有限公司</w:t>
                  </w:r>
                </w:p>
              </w:tc>
              <w:tc>
                <w:tcPr>
                  <w:tcW w:w="1375" w:type="pct"/>
                  <w:tcBorders>
                    <w:top w:val="single" w:color="auto" w:sz="4" w:space="0"/>
                    <w:left w:val="single" w:color="auto" w:sz="4" w:space="0"/>
                    <w:bottom w:val="single" w:color="auto" w:sz="4" w:space="0"/>
                    <w:right w:val="single" w:color="auto" w:sz="4" w:space="0"/>
                  </w:tcBorders>
                  <w:vAlign w:val="center"/>
                </w:tcPr>
                <w:p w14:paraId="76909A5E">
                  <w:pPr>
                    <w:snapToGrid w:val="0"/>
                    <w:jc w:val="center"/>
                    <w:rPr>
                      <w:b/>
                      <w:bCs/>
                      <w:color w:val="000000"/>
                      <w:szCs w:val="21"/>
                      <w:u w:val="single"/>
                    </w:rPr>
                  </w:pPr>
                  <w:r>
                    <w:rPr>
                      <w:rFonts w:hint="eastAsia"/>
                      <w:b/>
                      <w:color w:val="000000"/>
                      <w:szCs w:val="21"/>
                      <w:u w:val="single"/>
                    </w:rPr>
                    <w:t>相符</w:t>
                  </w:r>
                </w:p>
              </w:tc>
            </w:tr>
            <w:tr w14:paraId="1EB79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552" w:type="pct"/>
                  <w:tcBorders>
                    <w:top w:val="single" w:color="auto" w:sz="4" w:space="0"/>
                    <w:left w:val="single" w:color="auto" w:sz="4" w:space="0"/>
                    <w:bottom w:val="single" w:color="auto" w:sz="4" w:space="0"/>
                    <w:right w:val="single" w:color="auto" w:sz="4" w:space="0"/>
                  </w:tcBorders>
                  <w:vAlign w:val="center"/>
                </w:tcPr>
                <w:p w14:paraId="5EF3EF2B">
                  <w:pPr>
                    <w:snapToGrid w:val="0"/>
                    <w:jc w:val="center"/>
                    <w:rPr>
                      <w:b/>
                      <w:bCs/>
                      <w:color w:val="000000"/>
                      <w:szCs w:val="21"/>
                      <w:u w:val="single"/>
                    </w:rPr>
                  </w:pPr>
                  <w:r>
                    <w:rPr>
                      <w:rFonts w:hint="eastAsia"/>
                      <w:b/>
                      <w:color w:val="000000"/>
                      <w:szCs w:val="21"/>
                      <w:u w:val="single"/>
                    </w:rPr>
                    <w:t>建设地点</w:t>
                  </w:r>
                </w:p>
              </w:tc>
              <w:tc>
                <w:tcPr>
                  <w:tcW w:w="1507" w:type="pct"/>
                  <w:tcBorders>
                    <w:top w:val="single" w:color="auto" w:sz="4" w:space="0"/>
                    <w:left w:val="single" w:color="auto" w:sz="4" w:space="0"/>
                    <w:bottom w:val="single" w:color="auto" w:sz="4" w:space="0"/>
                    <w:right w:val="single" w:color="auto" w:sz="4" w:space="0"/>
                  </w:tcBorders>
                  <w:vAlign w:val="center"/>
                </w:tcPr>
                <w:p w14:paraId="5F328D0F">
                  <w:pPr>
                    <w:snapToGrid w:val="0"/>
                    <w:jc w:val="center"/>
                    <w:rPr>
                      <w:b/>
                      <w:bCs/>
                      <w:color w:val="000000"/>
                      <w:szCs w:val="21"/>
                      <w:u w:val="single"/>
                    </w:rPr>
                  </w:pPr>
                  <w:r>
                    <w:rPr>
                      <w:rFonts w:hint="eastAsia"/>
                      <w:b/>
                      <w:szCs w:val="21"/>
                      <w:u w:val="single"/>
                    </w:rPr>
                    <w:t>河南省商丘市民权县北关镇民荷路北段9号</w:t>
                  </w:r>
                </w:p>
              </w:tc>
              <w:tc>
                <w:tcPr>
                  <w:tcW w:w="1566" w:type="pct"/>
                  <w:tcBorders>
                    <w:top w:val="single" w:color="auto" w:sz="4" w:space="0"/>
                    <w:left w:val="single" w:color="auto" w:sz="4" w:space="0"/>
                    <w:bottom w:val="single" w:color="auto" w:sz="4" w:space="0"/>
                    <w:right w:val="single" w:color="auto" w:sz="4" w:space="0"/>
                  </w:tcBorders>
                  <w:vAlign w:val="center"/>
                </w:tcPr>
                <w:p w14:paraId="6657AEE2">
                  <w:pPr>
                    <w:snapToGrid w:val="0"/>
                    <w:jc w:val="center"/>
                    <w:rPr>
                      <w:b/>
                      <w:bCs/>
                      <w:color w:val="000000"/>
                      <w:szCs w:val="21"/>
                      <w:u w:val="single"/>
                    </w:rPr>
                  </w:pPr>
                  <w:r>
                    <w:rPr>
                      <w:rFonts w:hint="eastAsia"/>
                      <w:b/>
                      <w:szCs w:val="21"/>
                      <w:u w:val="single"/>
                    </w:rPr>
                    <w:t>河南省商丘市民权县北关镇民荷路北段9号</w:t>
                  </w:r>
                </w:p>
              </w:tc>
              <w:tc>
                <w:tcPr>
                  <w:tcW w:w="1375" w:type="pct"/>
                  <w:tcBorders>
                    <w:top w:val="single" w:color="auto" w:sz="4" w:space="0"/>
                    <w:left w:val="single" w:color="auto" w:sz="4" w:space="0"/>
                    <w:bottom w:val="single" w:color="auto" w:sz="4" w:space="0"/>
                    <w:right w:val="single" w:color="auto" w:sz="4" w:space="0"/>
                  </w:tcBorders>
                  <w:vAlign w:val="center"/>
                </w:tcPr>
                <w:p w14:paraId="6721606C">
                  <w:pPr>
                    <w:snapToGrid w:val="0"/>
                    <w:jc w:val="center"/>
                    <w:rPr>
                      <w:b/>
                      <w:bCs/>
                      <w:color w:val="000000"/>
                      <w:szCs w:val="21"/>
                      <w:u w:val="single"/>
                    </w:rPr>
                  </w:pPr>
                  <w:r>
                    <w:rPr>
                      <w:rFonts w:hint="eastAsia"/>
                      <w:b/>
                      <w:color w:val="000000"/>
                      <w:szCs w:val="21"/>
                      <w:u w:val="single"/>
                    </w:rPr>
                    <w:t>相符</w:t>
                  </w:r>
                </w:p>
              </w:tc>
            </w:tr>
            <w:tr w14:paraId="4ABBD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552" w:type="pct"/>
                  <w:tcBorders>
                    <w:top w:val="single" w:color="auto" w:sz="4" w:space="0"/>
                    <w:left w:val="single" w:color="auto" w:sz="4" w:space="0"/>
                    <w:bottom w:val="single" w:color="auto" w:sz="4" w:space="0"/>
                    <w:right w:val="single" w:color="auto" w:sz="4" w:space="0"/>
                  </w:tcBorders>
                  <w:vAlign w:val="center"/>
                </w:tcPr>
                <w:p w14:paraId="2021487E">
                  <w:pPr>
                    <w:snapToGrid w:val="0"/>
                    <w:jc w:val="center"/>
                    <w:rPr>
                      <w:b/>
                      <w:color w:val="000000"/>
                      <w:szCs w:val="21"/>
                      <w:u w:val="single"/>
                    </w:rPr>
                  </w:pPr>
                  <w:r>
                    <w:rPr>
                      <w:rFonts w:hint="eastAsia"/>
                      <w:b/>
                      <w:color w:val="000000"/>
                      <w:szCs w:val="21"/>
                      <w:u w:val="single"/>
                    </w:rPr>
                    <w:t>建设性质</w:t>
                  </w:r>
                </w:p>
              </w:tc>
              <w:tc>
                <w:tcPr>
                  <w:tcW w:w="1507" w:type="pct"/>
                  <w:tcBorders>
                    <w:top w:val="single" w:color="auto" w:sz="4" w:space="0"/>
                    <w:left w:val="single" w:color="auto" w:sz="4" w:space="0"/>
                    <w:bottom w:val="single" w:color="auto" w:sz="4" w:space="0"/>
                    <w:right w:val="single" w:color="auto" w:sz="4" w:space="0"/>
                  </w:tcBorders>
                  <w:vAlign w:val="center"/>
                </w:tcPr>
                <w:p w14:paraId="3F94BC3A">
                  <w:pPr>
                    <w:snapToGrid w:val="0"/>
                    <w:jc w:val="center"/>
                    <w:rPr>
                      <w:b/>
                      <w:u w:val="single"/>
                    </w:rPr>
                  </w:pPr>
                  <w:r>
                    <w:rPr>
                      <w:rFonts w:hint="eastAsia"/>
                      <w:b/>
                      <w:u w:val="single"/>
                    </w:rPr>
                    <w:t>新建</w:t>
                  </w:r>
                </w:p>
              </w:tc>
              <w:tc>
                <w:tcPr>
                  <w:tcW w:w="1566" w:type="pct"/>
                  <w:tcBorders>
                    <w:top w:val="single" w:color="auto" w:sz="4" w:space="0"/>
                    <w:left w:val="single" w:color="auto" w:sz="4" w:space="0"/>
                    <w:bottom w:val="single" w:color="auto" w:sz="4" w:space="0"/>
                    <w:right w:val="single" w:color="auto" w:sz="4" w:space="0"/>
                  </w:tcBorders>
                  <w:vAlign w:val="center"/>
                </w:tcPr>
                <w:p w14:paraId="3CFE7622">
                  <w:pPr>
                    <w:snapToGrid w:val="0"/>
                    <w:jc w:val="center"/>
                    <w:rPr>
                      <w:b/>
                      <w:u w:val="single"/>
                    </w:rPr>
                  </w:pPr>
                  <w:r>
                    <w:rPr>
                      <w:rFonts w:hint="eastAsia"/>
                      <w:b/>
                      <w:u w:val="single"/>
                    </w:rPr>
                    <w:t>新建</w:t>
                  </w:r>
                </w:p>
              </w:tc>
              <w:tc>
                <w:tcPr>
                  <w:tcW w:w="1375" w:type="pct"/>
                  <w:tcBorders>
                    <w:top w:val="single" w:color="auto" w:sz="4" w:space="0"/>
                    <w:left w:val="single" w:color="auto" w:sz="4" w:space="0"/>
                    <w:bottom w:val="single" w:color="auto" w:sz="4" w:space="0"/>
                    <w:right w:val="single" w:color="auto" w:sz="4" w:space="0"/>
                  </w:tcBorders>
                  <w:vAlign w:val="center"/>
                </w:tcPr>
                <w:p w14:paraId="428DB140">
                  <w:pPr>
                    <w:snapToGrid w:val="0"/>
                    <w:jc w:val="center"/>
                    <w:rPr>
                      <w:rStyle w:val="34"/>
                      <w:b/>
                      <w:u w:val="single"/>
                    </w:rPr>
                  </w:pPr>
                  <w:r>
                    <w:rPr>
                      <w:rFonts w:hint="eastAsia"/>
                      <w:b/>
                      <w:color w:val="000000"/>
                      <w:szCs w:val="21"/>
                      <w:u w:val="single"/>
                    </w:rPr>
                    <w:t>相符</w:t>
                  </w:r>
                </w:p>
              </w:tc>
            </w:tr>
            <w:tr w14:paraId="262B5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552" w:type="pct"/>
                  <w:tcBorders>
                    <w:top w:val="single" w:color="auto" w:sz="4" w:space="0"/>
                    <w:left w:val="single" w:color="auto" w:sz="4" w:space="0"/>
                    <w:bottom w:val="single" w:color="auto" w:sz="4" w:space="0"/>
                    <w:right w:val="single" w:color="auto" w:sz="4" w:space="0"/>
                  </w:tcBorders>
                  <w:vAlign w:val="center"/>
                </w:tcPr>
                <w:p w14:paraId="5280992C">
                  <w:pPr>
                    <w:snapToGrid w:val="0"/>
                    <w:jc w:val="center"/>
                    <w:rPr>
                      <w:b/>
                      <w:bCs/>
                      <w:color w:val="000000"/>
                      <w:szCs w:val="21"/>
                      <w:u w:val="single"/>
                    </w:rPr>
                  </w:pPr>
                  <w:r>
                    <w:rPr>
                      <w:rFonts w:hint="eastAsia"/>
                      <w:b/>
                      <w:color w:val="000000"/>
                      <w:szCs w:val="21"/>
                      <w:u w:val="single"/>
                    </w:rPr>
                    <w:t>主要建设内容</w:t>
                  </w:r>
                </w:p>
              </w:tc>
              <w:tc>
                <w:tcPr>
                  <w:tcW w:w="1507" w:type="pct"/>
                  <w:tcBorders>
                    <w:top w:val="single" w:color="auto" w:sz="4" w:space="0"/>
                    <w:left w:val="single" w:color="auto" w:sz="4" w:space="0"/>
                    <w:bottom w:val="single" w:color="auto" w:sz="4" w:space="0"/>
                    <w:right w:val="single" w:color="auto" w:sz="4" w:space="0"/>
                  </w:tcBorders>
                  <w:vAlign w:val="center"/>
                </w:tcPr>
                <w:p w14:paraId="59C598FC">
                  <w:pPr>
                    <w:snapToGrid w:val="0"/>
                    <w:jc w:val="center"/>
                    <w:rPr>
                      <w:b/>
                      <w:szCs w:val="21"/>
                      <w:u w:val="single"/>
                    </w:rPr>
                  </w:pPr>
                  <w:r>
                    <w:rPr>
                      <w:rFonts w:hint="eastAsia"/>
                      <w:b/>
                      <w:szCs w:val="21"/>
                      <w:u w:val="single"/>
                    </w:rPr>
                    <w:t>年产2.5万吨动物油脂，占地1万平方米，建筑面积4000平方米</w:t>
                  </w:r>
                </w:p>
              </w:tc>
              <w:tc>
                <w:tcPr>
                  <w:tcW w:w="1566" w:type="pct"/>
                  <w:tcBorders>
                    <w:top w:val="single" w:color="auto" w:sz="4" w:space="0"/>
                    <w:left w:val="single" w:color="auto" w:sz="4" w:space="0"/>
                    <w:bottom w:val="single" w:color="auto" w:sz="4" w:space="0"/>
                    <w:right w:val="single" w:color="auto" w:sz="4" w:space="0"/>
                  </w:tcBorders>
                  <w:vAlign w:val="center"/>
                </w:tcPr>
                <w:p w14:paraId="359753E2">
                  <w:pPr>
                    <w:snapToGrid w:val="0"/>
                    <w:jc w:val="center"/>
                    <w:rPr>
                      <w:b/>
                      <w:szCs w:val="21"/>
                      <w:highlight w:val="yellow"/>
                      <w:u w:val="single"/>
                    </w:rPr>
                  </w:pPr>
                  <w:r>
                    <w:rPr>
                      <w:rFonts w:hint="eastAsia"/>
                      <w:b/>
                      <w:szCs w:val="21"/>
                      <w:u w:val="single"/>
                    </w:rPr>
                    <w:t>年产2.5万吨动物油脂，厂区占地面积为10000m</w:t>
                  </w:r>
                  <w:r>
                    <w:rPr>
                      <w:rFonts w:hint="eastAsia"/>
                      <w:b/>
                      <w:szCs w:val="21"/>
                      <w:u w:val="single"/>
                      <w:vertAlign w:val="superscript"/>
                    </w:rPr>
                    <w:t>2</w:t>
                  </w:r>
                  <w:r>
                    <w:rPr>
                      <w:rFonts w:hint="eastAsia"/>
                      <w:b/>
                      <w:szCs w:val="21"/>
                      <w:u w:val="single"/>
                    </w:rPr>
                    <w:t>，总建筑面积4000m</w:t>
                  </w:r>
                  <w:r>
                    <w:rPr>
                      <w:rFonts w:hint="eastAsia"/>
                      <w:b/>
                      <w:szCs w:val="21"/>
                      <w:u w:val="single"/>
                      <w:vertAlign w:val="superscript"/>
                    </w:rPr>
                    <w:t>2</w:t>
                  </w:r>
                  <w:r>
                    <w:rPr>
                      <w:rFonts w:hint="eastAsia"/>
                      <w:b/>
                      <w:szCs w:val="21"/>
                      <w:u w:val="single"/>
                    </w:rPr>
                    <w:t>，本项目使用其中的2434m</w:t>
                  </w:r>
                  <w:r>
                    <w:rPr>
                      <w:rFonts w:hint="eastAsia"/>
                      <w:b/>
                      <w:szCs w:val="21"/>
                      <w:u w:val="single"/>
                      <w:vertAlign w:val="superscript"/>
                    </w:rPr>
                    <w:t>2</w:t>
                  </w:r>
                </w:p>
              </w:tc>
              <w:tc>
                <w:tcPr>
                  <w:tcW w:w="1375" w:type="pct"/>
                  <w:tcBorders>
                    <w:top w:val="single" w:color="auto" w:sz="4" w:space="0"/>
                    <w:left w:val="single" w:color="auto" w:sz="4" w:space="0"/>
                    <w:bottom w:val="single" w:color="auto" w:sz="4" w:space="0"/>
                    <w:right w:val="single" w:color="auto" w:sz="4" w:space="0"/>
                  </w:tcBorders>
                  <w:vAlign w:val="center"/>
                </w:tcPr>
                <w:p w14:paraId="27E105DB">
                  <w:pPr>
                    <w:snapToGrid w:val="0"/>
                    <w:jc w:val="center"/>
                    <w:rPr>
                      <w:b/>
                      <w:highlight w:val="yellow"/>
                      <w:u w:val="single"/>
                    </w:rPr>
                  </w:pPr>
                  <w:r>
                    <w:rPr>
                      <w:rStyle w:val="34"/>
                      <w:rFonts w:hint="eastAsia"/>
                      <w:b/>
                      <w:u w:val="single"/>
                    </w:rPr>
                    <w:t>相符</w:t>
                  </w:r>
                </w:p>
              </w:tc>
            </w:tr>
            <w:tr w14:paraId="498D6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552" w:type="pct"/>
                  <w:tcBorders>
                    <w:top w:val="single" w:color="auto" w:sz="4" w:space="0"/>
                    <w:left w:val="single" w:color="auto" w:sz="4" w:space="0"/>
                    <w:right w:val="single" w:color="auto" w:sz="4" w:space="0"/>
                  </w:tcBorders>
                  <w:vAlign w:val="center"/>
                </w:tcPr>
                <w:p w14:paraId="505789DC">
                  <w:pPr>
                    <w:snapToGrid w:val="0"/>
                    <w:jc w:val="center"/>
                    <w:rPr>
                      <w:b/>
                      <w:bCs/>
                      <w:color w:val="000000"/>
                      <w:szCs w:val="21"/>
                      <w:u w:val="single"/>
                    </w:rPr>
                  </w:pPr>
                  <w:r>
                    <w:rPr>
                      <w:rFonts w:hint="eastAsia"/>
                      <w:b/>
                      <w:color w:val="000000"/>
                      <w:szCs w:val="21"/>
                      <w:u w:val="single"/>
                    </w:rPr>
                    <w:t>主要生产工艺</w:t>
                  </w:r>
                </w:p>
              </w:tc>
              <w:tc>
                <w:tcPr>
                  <w:tcW w:w="1507" w:type="pct"/>
                  <w:tcBorders>
                    <w:top w:val="single" w:color="auto" w:sz="4" w:space="0"/>
                    <w:left w:val="single" w:color="auto" w:sz="4" w:space="0"/>
                    <w:right w:val="single" w:color="auto" w:sz="4" w:space="0"/>
                  </w:tcBorders>
                  <w:vAlign w:val="center"/>
                </w:tcPr>
                <w:p w14:paraId="6F8C5D0D">
                  <w:pPr>
                    <w:snapToGrid w:val="0"/>
                    <w:jc w:val="center"/>
                    <w:rPr>
                      <w:b/>
                      <w:color w:val="000000"/>
                      <w:szCs w:val="21"/>
                      <w:u w:val="single"/>
                    </w:rPr>
                  </w:pPr>
                  <w:r>
                    <w:rPr>
                      <w:rFonts w:hint="eastAsia"/>
                      <w:b/>
                      <w:szCs w:val="21"/>
                      <w:u w:val="single"/>
                    </w:rPr>
                    <w:t>外购原材料（板油等)-解冻-破碎-熬制-分离-成品-外售</w:t>
                  </w:r>
                </w:p>
              </w:tc>
              <w:tc>
                <w:tcPr>
                  <w:tcW w:w="1566" w:type="pct"/>
                  <w:tcBorders>
                    <w:top w:val="single" w:color="auto" w:sz="4" w:space="0"/>
                    <w:left w:val="single" w:color="auto" w:sz="4" w:space="0"/>
                    <w:right w:val="single" w:color="auto" w:sz="4" w:space="0"/>
                  </w:tcBorders>
                  <w:vAlign w:val="center"/>
                </w:tcPr>
                <w:p w14:paraId="028DBCBC">
                  <w:pPr>
                    <w:snapToGrid w:val="0"/>
                    <w:jc w:val="center"/>
                    <w:rPr>
                      <w:b/>
                      <w:bCs/>
                      <w:color w:val="000000"/>
                      <w:szCs w:val="21"/>
                      <w:u w:val="single"/>
                    </w:rPr>
                  </w:pPr>
                  <w:r>
                    <w:rPr>
                      <w:rFonts w:hint="eastAsia"/>
                      <w:b/>
                      <w:szCs w:val="21"/>
                      <w:u w:val="single"/>
                    </w:rPr>
                    <w:t>外购原材料（板油等)-破碎-熬制-分离-成品-外售</w:t>
                  </w:r>
                </w:p>
              </w:tc>
              <w:tc>
                <w:tcPr>
                  <w:tcW w:w="1375" w:type="pct"/>
                  <w:tcBorders>
                    <w:top w:val="single" w:color="auto" w:sz="4" w:space="0"/>
                    <w:left w:val="single" w:color="auto" w:sz="4" w:space="0"/>
                    <w:right w:val="single" w:color="auto" w:sz="4" w:space="0"/>
                  </w:tcBorders>
                  <w:vAlign w:val="center"/>
                </w:tcPr>
                <w:p w14:paraId="029196FD">
                  <w:pPr>
                    <w:snapToGrid w:val="0"/>
                    <w:jc w:val="center"/>
                    <w:rPr>
                      <w:b/>
                      <w:szCs w:val="21"/>
                      <w:u w:val="single"/>
                    </w:rPr>
                  </w:pPr>
                  <w:r>
                    <w:rPr>
                      <w:rFonts w:hint="eastAsia"/>
                      <w:b/>
                      <w:szCs w:val="21"/>
                      <w:u w:val="single"/>
                    </w:rPr>
                    <w:t>根据企业提供资料，实际生产中原料出冷库后直接进入粉碎机，不需解冻，因此本项目生产工艺与备案基本相符</w:t>
                  </w:r>
                </w:p>
              </w:tc>
            </w:tr>
            <w:tr w14:paraId="0D599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552" w:type="pct"/>
                  <w:tcBorders>
                    <w:top w:val="single" w:color="auto" w:sz="4" w:space="0"/>
                    <w:left w:val="single" w:color="auto" w:sz="4" w:space="0"/>
                    <w:bottom w:val="single" w:color="auto" w:sz="4" w:space="0"/>
                    <w:right w:val="single" w:color="auto" w:sz="4" w:space="0"/>
                  </w:tcBorders>
                  <w:vAlign w:val="center"/>
                </w:tcPr>
                <w:p w14:paraId="714AE188">
                  <w:pPr>
                    <w:snapToGrid w:val="0"/>
                    <w:jc w:val="center"/>
                    <w:rPr>
                      <w:b/>
                      <w:bCs/>
                      <w:color w:val="000000"/>
                      <w:szCs w:val="21"/>
                      <w:u w:val="single"/>
                    </w:rPr>
                  </w:pPr>
                  <w:r>
                    <w:rPr>
                      <w:rFonts w:hint="eastAsia"/>
                      <w:b/>
                      <w:color w:val="000000"/>
                      <w:szCs w:val="21"/>
                      <w:u w:val="single"/>
                    </w:rPr>
                    <w:t>主要生产设备</w:t>
                  </w:r>
                </w:p>
              </w:tc>
              <w:tc>
                <w:tcPr>
                  <w:tcW w:w="1507" w:type="pct"/>
                  <w:tcBorders>
                    <w:top w:val="single" w:color="auto" w:sz="4" w:space="0"/>
                    <w:left w:val="single" w:color="auto" w:sz="4" w:space="0"/>
                    <w:bottom w:val="single" w:color="auto" w:sz="4" w:space="0"/>
                    <w:right w:val="single" w:color="auto" w:sz="4" w:space="0"/>
                  </w:tcBorders>
                  <w:vAlign w:val="center"/>
                </w:tcPr>
                <w:p w14:paraId="475609CB">
                  <w:pPr>
                    <w:snapToGrid w:val="0"/>
                    <w:jc w:val="center"/>
                    <w:rPr>
                      <w:b/>
                      <w:color w:val="000000"/>
                      <w:szCs w:val="21"/>
                      <w:u w:val="single"/>
                    </w:rPr>
                  </w:pPr>
                  <w:r>
                    <w:rPr>
                      <w:rFonts w:hint="eastAsia"/>
                      <w:b/>
                      <w:szCs w:val="21"/>
                      <w:u w:val="single"/>
                    </w:rPr>
                    <w:t>粉碎机、输送带、导热油炉、油水分离机、储油罐、环保设备等</w:t>
                  </w:r>
                </w:p>
              </w:tc>
              <w:tc>
                <w:tcPr>
                  <w:tcW w:w="1566" w:type="pct"/>
                  <w:tcBorders>
                    <w:top w:val="single" w:color="auto" w:sz="4" w:space="0"/>
                    <w:left w:val="single" w:color="auto" w:sz="4" w:space="0"/>
                    <w:bottom w:val="single" w:color="auto" w:sz="4" w:space="0"/>
                    <w:right w:val="single" w:color="auto" w:sz="4" w:space="0"/>
                  </w:tcBorders>
                  <w:vAlign w:val="center"/>
                </w:tcPr>
                <w:p w14:paraId="571E312B">
                  <w:pPr>
                    <w:snapToGrid w:val="0"/>
                    <w:jc w:val="center"/>
                    <w:rPr>
                      <w:b/>
                      <w:color w:val="000000"/>
                      <w:szCs w:val="21"/>
                      <w:u w:val="single"/>
                    </w:rPr>
                  </w:pPr>
                  <w:r>
                    <w:rPr>
                      <w:rFonts w:hint="eastAsia"/>
                      <w:b/>
                      <w:szCs w:val="21"/>
                      <w:u w:val="single"/>
                    </w:rPr>
                    <w:t>粉碎机、熬制炉、加热锅、压饼机、输送带、导热油炉、储油罐、环保设备等</w:t>
                  </w:r>
                </w:p>
              </w:tc>
              <w:tc>
                <w:tcPr>
                  <w:tcW w:w="1375" w:type="pct"/>
                  <w:tcBorders>
                    <w:top w:val="single" w:color="auto" w:sz="4" w:space="0"/>
                    <w:left w:val="single" w:color="auto" w:sz="4" w:space="0"/>
                    <w:bottom w:val="single" w:color="auto" w:sz="4" w:space="0"/>
                    <w:right w:val="single" w:color="auto" w:sz="4" w:space="0"/>
                  </w:tcBorders>
                  <w:vAlign w:val="center"/>
                </w:tcPr>
                <w:p w14:paraId="3DE57DB4">
                  <w:pPr>
                    <w:snapToGrid w:val="0"/>
                    <w:jc w:val="center"/>
                    <w:rPr>
                      <w:b/>
                      <w:szCs w:val="21"/>
                      <w:u w:val="single"/>
                    </w:rPr>
                  </w:pPr>
                  <w:r>
                    <w:rPr>
                      <w:rFonts w:hint="eastAsia"/>
                      <w:b/>
                      <w:szCs w:val="21"/>
                      <w:u w:val="single"/>
                    </w:rPr>
                    <w:t>油水分离机主要用于液体状态下油水分离，本项目实际生产中温度较高，油脂中水分在熬制过程中均以水蒸气形式蒸发，即实际生产中不需要进行油水分离，厂内不建设油水分离机，其他主要设备与备案相符</w:t>
                  </w:r>
                </w:p>
              </w:tc>
            </w:tr>
          </w:tbl>
          <w:p w14:paraId="4269FE51">
            <w:pPr>
              <w:adjustRightInd w:val="0"/>
              <w:snapToGrid w:val="0"/>
              <w:spacing w:line="360" w:lineRule="auto"/>
              <w:ind w:firstLine="482" w:firstLineChars="200"/>
              <w:rPr>
                <w:b/>
                <w:bCs/>
                <w:sz w:val="24"/>
                <w:u w:val="single"/>
              </w:rPr>
            </w:pPr>
            <w:r>
              <w:rPr>
                <w:rFonts w:hint="eastAsia"/>
                <w:b/>
                <w:bCs/>
                <w:sz w:val="24"/>
                <w:u w:val="single"/>
              </w:rPr>
              <w:t>综上所述，本项目名称、建设单位、建设地点、主要建设内容、主要生产工艺及主要生产设备均与备案内容基本相符。</w:t>
            </w:r>
          </w:p>
          <w:p w14:paraId="4CADD7BE">
            <w:pPr>
              <w:adjustRightInd w:val="0"/>
              <w:snapToGrid w:val="0"/>
              <w:spacing w:line="360" w:lineRule="auto"/>
              <w:ind w:firstLine="480" w:firstLineChars="200"/>
              <w:rPr>
                <w:bCs/>
                <w:sz w:val="24"/>
              </w:rPr>
            </w:pPr>
          </w:p>
          <w:p w14:paraId="080A1C9E">
            <w:pPr>
              <w:adjustRightInd w:val="0"/>
              <w:snapToGrid w:val="0"/>
              <w:spacing w:line="360" w:lineRule="auto"/>
              <w:ind w:firstLine="480" w:firstLineChars="200"/>
              <w:rPr>
                <w:bCs/>
                <w:sz w:val="24"/>
              </w:rPr>
            </w:pPr>
          </w:p>
          <w:p w14:paraId="5649383E">
            <w:pPr>
              <w:adjustRightInd w:val="0"/>
              <w:snapToGrid w:val="0"/>
              <w:spacing w:line="360" w:lineRule="auto"/>
              <w:ind w:firstLine="480" w:firstLineChars="200"/>
              <w:rPr>
                <w:bCs/>
                <w:sz w:val="24"/>
              </w:rPr>
            </w:pPr>
          </w:p>
          <w:p w14:paraId="587268C0">
            <w:pPr>
              <w:adjustRightInd w:val="0"/>
              <w:snapToGrid w:val="0"/>
              <w:spacing w:line="360" w:lineRule="auto"/>
              <w:ind w:firstLine="480" w:firstLineChars="200"/>
              <w:rPr>
                <w:bCs/>
                <w:sz w:val="24"/>
              </w:rPr>
            </w:pPr>
          </w:p>
          <w:p w14:paraId="7892BBEC">
            <w:pPr>
              <w:adjustRightInd w:val="0"/>
              <w:snapToGrid w:val="0"/>
              <w:spacing w:line="360" w:lineRule="auto"/>
              <w:ind w:firstLine="480" w:firstLineChars="200"/>
              <w:rPr>
                <w:bCs/>
                <w:sz w:val="24"/>
              </w:rPr>
            </w:pPr>
          </w:p>
          <w:p w14:paraId="214F09EA">
            <w:pPr>
              <w:adjustRightInd w:val="0"/>
              <w:snapToGrid w:val="0"/>
              <w:spacing w:line="360" w:lineRule="auto"/>
              <w:ind w:firstLine="480" w:firstLineChars="200"/>
              <w:rPr>
                <w:bCs/>
                <w:sz w:val="24"/>
              </w:rPr>
            </w:pPr>
          </w:p>
          <w:p w14:paraId="20AE6CDF">
            <w:pPr>
              <w:adjustRightInd w:val="0"/>
              <w:snapToGrid w:val="0"/>
              <w:spacing w:line="360" w:lineRule="auto"/>
              <w:ind w:firstLine="480" w:firstLineChars="200"/>
              <w:rPr>
                <w:bCs/>
                <w:sz w:val="24"/>
              </w:rPr>
            </w:pPr>
          </w:p>
          <w:p w14:paraId="125DE339">
            <w:pPr>
              <w:adjustRightInd w:val="0"/>
              <w:snapToGrid w:val="0"/>
              <w:spacing w:line="360" w:lineRule="auto"/>
              <w:ind w:firstLine="480" w:firstLineChars="200"/>
              <w:rPr>
                <w:bCs/>
                <w:sz w:val="24"/>
              </w:rPr>
            </w:pPr>
          </w:p>
          <w:p w14:paraId="53272F0E">
            <w:pPr>
              <w:adjustRightInd w:val="0"/>
              <w:snapToGrid w:val="0"/>
              <w:spacing w:line="360" w:lineRule="auto"/>
              <w:ind w:firstLine="480" w:firstLineChars="200"/>
              <w:rPr>
                <w:bCs/>
                <w:sz w:val="24"/>
              </w:rPr>
            </w:pPr>
          </w:p>
          <w:p w14:paraId="686B3783">
            <w:pPr>
              <w:adjustRightInd w:val="0"/>
              <w:snapToGrid w:val="0"/>
              <w:spacing w:line="360" w:lineRule="auto"/>
              <w:rPr>
                <w:bCs/>
                <w:sz w:val="24"/>
              </w:rPr>
            </w:pPr>
          </w:p>
          <w:p w14:paraId="2F1ED727">
            <w:pPr>
              <w:adjustRightInd w:val="0"/>
              <w:snapToGrid w:val="0"/>
              <w:spacing w:line="360" w:lineRule="auto"/>
              <w:rPr>
                <w:bCs/>
                <w:sz w:val="24"/>
              </w:rPr>
            </w:pPr>
          </w:p>
        </w:tc>
      </w:tr>
      <w:tr w14:paraId="3E605F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2596" w:hRule="atLeast"/>
          <w:jc w:val="center"/>
        </w:trPr>
        <w:tc>
          <w:tcPr>
            <w:tcW w:w="721" w:type="dxa"/>
            <w:vAlign w:val="center"/>
          </w:tcPr>
          <w:p w14:paraId="1AC58268">
            <w:pPr>
              <w:pStyle w:val="25"/>
              <w:adjustRightInd w:val="0"/>
              <w:snapToGrid w:val="0"/>
              <w:spacing w:before="0" w:beforeAutospacing="0" w:after="0" w:afterAutospacing="0"/>
              <w:jc w:val="center"/>
              <w:rPr>
                <w:rFonts w:ascii="Times New Roman" w:hAnsi="Times New Roman"/>
                <w:szCs w:val="24"/>
              </w:rPr>
            </w:pPr>
            <w:r>
              <w:rPr>
                <w:rFonts w:ascii="Times New Roman" w:hAnsi="Times New Roman"/>
                <w:szCs w:val="24"/>
              </w:rPr>
              <w:t>工艺流程和产排污环节</w:t>
            </w:r>
          </w:p>
        </w:tc>
        <w:tc>
          <w:tcPr>
            <w:tcW w:w="8713" w:type="dxa"/>
          </w:tcPr>
          <w:p w14:paraId="1C198681">
            <w:pPr>
              <w:spacing w:line="360" w:lineRule="auto"/>
              <w:ind w:firstLine="482" w:firstLineChars="200"/>
              <w:jc w:val="left"/>
              <w:rPr>
                <w:b/>
                <w:snapToGrid w:val="0"/>
                <w:kern w:val="0"/>
                <w:sz w:val="24"/>
              </w:rPr>
            </w:pPr>
            <w:r>
              <w:rPr>
                <w:b/>
                <w:bCs/>
                <w:snapToGrid w:val="0"/>
                <w:kern w:val="0"/>
                <w:sz w:val="24"/>
              </w:rPr>
              <w:t>1</w:t>
            </w:r>
            <w:r>
              <w:rPr>
                <w:rFonts w:hint="eastAsia"/>
                <w:b/>
                <w:bCs/>
                <w:snapToGrid w:val="0"/>
                <w:kern w:val="0"/>
                <w:sz w:val="24"/>
              </w:rPr>
              <w:t>、</w:t>
            </w:r>
            <w:r>
              <w:rPr>
                <w:rFonts w:hint="eastAsia"/>
                <w:b/>
                <w:snapToGrid w:val="0"/>
                <w:kern w:val="0"/>
                <w:sz w:val="24"/>
              </w:rPr>
              <w:t>施工期工艺流程及产污环节</w:t>
            </w:r>
          </w:p>
          <w:p w14:paraId="1A06A211">
            <w:pPr>
              <w:spacing w:line="360" w:lineRule="auto"/>
              <w:ind w:firstLine="480" w:firstLineChars="200"/>
              <w:jc w:val="left"/>
              <w:rPr>
                <w:sz w:val="24"/>
              </w:rPr>
            </w:pPr>
            <w:r>
              <w:rPr>
                <w:rFonts w:hint="eastAsia" w:ascii="宋体" w:hAnsi="宋体" w:cs="宋体"/>
                <w:bCs/>
                <w:sz w:val="24"/>
              </w:rPr>
              <w:t>本项目租赁现有厂区</w:t>
            </w:r>
            <w:r>
              <w:rPr>
                <w:bCs/>
                <w:sz w:val="24"/>
              </w:rPr>
              <w:t>进行建设生产，</w:t>
            </w:r>
            <w:r>
              <w:rPr>
                <w:sz w:val="24"/>
              </w:rPr>
              <w:t>根据企业提供资料</w:t>
            </w:r>
            <w:r>
              <w:rPr>
                <w:rFonts w:hint="eastAsia"/>
                <w:sz w:val="24"/>
              </w:rPr>
              <w:t>，项目在所厂区原属于北关镇窑厂区域，窑厂已关闭，目前项目占地区域由赵香菊承包，本项目租用该厂区用于建设生产，总占地面积10000m</w:t>
            </w:r>
            <w:r>
              <w:rPr>
                <w:rFonts w:hint="eastAsia"/>
                <w:sz w:val="24"/>
                <w:vertAlign w:val="superscript"/>
              </w:rPr>
              <w:t>2</w:t>
            </w:r>
            <w:r>
              <w:rPr>
                <w:rFonts w:hint="eastAsia"/>
                <w:sz w:val="24"/>
              </w:rPr>
              <w:t>。</w:t>
            </w:r>
            <w:r>
              <w:rPr>
                <w:bCs/>
                <w:sz w:val="24"/>
              </w:rPr>
              <w:t>经现场勘查，</w:t>
            </w:r>
            <w:r>
              <w:rPr>
                <w:rFonts w:hint="eastAsia"/>
                <w:bCs/>
                <w:sz w:val="24"/>
              </w:rPr>
              <w:t>厂区</w:t>
            </w:r>
            <w:r>
              <w:rPr>
                <w:bCs/>
                <w:sz w:val="24"/>
              </w:rPr>
              <w:t>生产车间已建成，本项目</w:t>
            </w:r>
            <w:r>
              <w:rPr>
                <w:rFonts w:hint="eastAsia" w:ascii="宋体" w:hAnsi="宋体" w:cs="宋体"/>
                <w:bCs/>
                <w:sz w:val="24"/>
              </w:rPr>
              <w:t>施工期内容主要为地面硬化、锅炉房建设、生活区建设、</w:t>
            </w:r>
            <w:r>
              <w:rPr>
                <w:rFonts w:hint="eastAsia"/>
                <w:sz w:val="24"/>
              </w:rPr>
              <w:t>内部装修及设备安装等</w:t>
            </w:r>
            <w:r>
              <w:rPr>
                <w:sz w:val="24"/>
              </w:rPr>
              <w:t>，</w:t>
            </w:r>
            <w:r>
              <w:rPr>
                <w:rFonts w:hint="eastAsia"/>
                <w:sz w:val="24"/>
              </w:rPr>
              <w:t>施工过程中</w:t>
            </w:r>
            <w:r>
              <w:rPr>
                <w:sz w:val="24"/>
              </w:rPr>
              <w:t>将产生噪声、</w:t>
            </w:r>
            <w:r>
              <w:rPr>
                <w:rFonts w:hint="eastAsia"/>
                <w:sz w:val="24"/>
              </w:rPr>
              <w:t>废气、</w:t>
            </w:r>
            <w:r>
              <w:rPr>
                <w:sz w:val="24"/>
              </w:rPr>
              <w:t>固体废物、</w:t>
            </w:r>
            <w:r>
              <w:rPr>
                <w:rFonts w:hint="eastAsia"/>
                <w:sz w:val="24"/>
              </w:rPr>
              <w:t>废</w:t>
            </w:r>
            <w:r>
              <w:rPr>
                <w:sz w:val="24"/>
              </w:rPr>
              <w:t>水等污染物</w:t>
            </w:r>
            <w:r>
              <w:rPr>
                <w:rFonts w:hint="eastAsia"/>
                <w:sz w:val="24"/>
              </w:rPr>
              <w:t>。</w:t>
            </w:r>
          </w:p>
          <w:p w14:paraId="3395FC95">
            <w:pPr>
              <w:spacing w:line="360" w:lineRule="auto"/>
              <w:ind w:firstLine="482" w:firstLineChars="200"/>
              <w:rPr>
                <w:sz w:val="24"/>
              </w:rPr>
            </w:pPr>
            <w:r>
              <w:rPr>
                <w:b/>
                <w:bCs/>
                <w:kern w:val="0"/>
                <w:sz w:val="24"/>
              </w:rPr>
              <mc:AlternateContent>
                <mc:Choice Requires="wpc">
                  <w:drawing>
                    <wp:anchor distT="0" distB="0" distL="114300" distR="114300" simplePos="0" relativeHeight="251660288" behindDoc="0" locked="0" layoutInCell="1" allowOverlap="1">
                      <wp:simplePos x="0" y="0"/>
                      <wp:positionH relativeFrom="column">
                        <wp:posOffset>147955</wp:posOffset>
                      </wp:positionH>
                      <wp:positionV relativeFrom="paragraph">
                        <wp:posOffset>212725</wp:posOffset>
                      </wp:positionV>
                      <wp:extent cx="5093970" cy="1513840"/>
                      <wp:effectExtent l="0" t="0" r="11430" b="0"/>
                      <wp:wrapNone/>
                      <wp:docPr id="15" name="画布 160"/>
                      <wp:cNvGraphicFramePr/>
                      <a:graphic xmlns:a="http://schemas.openxmlformats.org/drawingml/2006/main">
                        <a:graphicData uri="http://schemas.microsoft.com/office/word/2010/wordprocessingCanvas">
                          <wpc:wpc>
                            <wpc:bg>
                              <a:noFill/>
                            </wpc:bg>
                            <wpc:whole>
                              <a:ln>
                                <a:noFill/>
                              </a:ln>
                            </wpc:whole>
                            <wps:wsp>
                              <wps:cNvPr id="1" name="自选图形 161"/>
                              <wps:cNvSpPr/>
                              <wps:spPr>
                                <a:xfrm>
                                  <a:off x="158750" y="673100"/>
                                  <a:ext cx="944245" cy="408940"/>
                                </a:xfrm>
                                <a:prstGeom prst="flowChartProcess">
                                  <a:avLst/>
                                </a:prstGeom>
                                <a:solidFill>
                                  <a:srgbClr val="FFFFFF">
                                    <a:alpha val="0"/>
                                  </a:srgbClr>
                                </a:solidFill>
                                <a:ln w="12700" cap="flat" cmpd="sng">
                                  <a:solidFill>
                                    <a:srgbClr val="000000"/>
                                  </a:solidFill>
                                  <a:prstDash val="solid"/>
                                  <a:miter/>
                                  <a:headEnd type="none" w="med" len="med"/>
                                  <a:tailEnd type="none" w="med" len="med"/>
                                </a:ln>
                              </wps:spPr>
                              <wps:txbx>
                                <w:txbxContent>
                                  <w:p w14:paraId="73B9A116">
                                    <w:pPr>
                                      <w:jc w:val="center"/>
                                      <w:rPr>
                                        <w:b/>
                                      </w:rPr>
                                    </w:pPr>
                                    <w:r>
                                      <w:rPr>
                                        <w:rFonts w:hint="eastAsia"/>
                                        <w:b/>
                                      </w:rPr>
                                      <w:t>厂区地面平整、硬化</w:t>
                                    </w:r>
                                  </w:p>
                                </w:txbxContent>
                              </wps:txbx>
                              <wps:bodyPr lIns="0" tIns="36000" rIns="0" bIns="36000" upright="1"/>
                            </wps:wsp>
                            <wps:wsp>
                              <wps:cNvPr id="2" name="直线 162"/>
                              <wps:cNvSpPr/>
                              <wps:spPr>
                                <a:xfrm flipV="1">
                                  <a:off x="1102995" y="889000"/>
                                  <a:ext cx="481965" cy="635"/>
                                </a:xfrm>
                                <a:prstGeom prst="line">
                                  <a:avLst/>
                                </a:prstGeom>
                                <a:ln w="12700" cap="flat" cmpd="sng">
                                  <a:solidFill>
                                    <a:srgbClr val="000000"/>
                                  </a:solidFill>
                                  <a:prstDash val="solid"/>
                                  <a:headEnd type="none" w="med" len="med"/>
                                  <a:tailEnd type="triangle" w="med" len="med"/>
                                </a:ln>
                              </wps:spPr>
                              <wps:bodyPr upright="1"/>
                            </wps:wsp>
                            <wps:wsp>
                              <wps:cNvPr id="4" name="自选图形 163"/>
                              <wps:cNvSpPr/>
                              <wps:spPr>
                                <a:xfrm>
                                  <a:off x="1576070" y="669925"/>
                                  <a:ext cx="1381760" cy="421005"/>
                                </a:xfrm>
                                <a:prstGeom prst="flowChartProcess">
                                  <a:avLst/>
                                </a:prstGeom>
                                <a:solidFill>
                                  <a:srgbClr val="FFFFFF">
                                    <a:alpha val="0"/>
                                  </a:srgbClr>
                                </a:solidFill>
                                <a:ln w="12700" cap="flat" cmpd="sng">
                                  <a:solidFill>
                                    <a:srgbClr val="000000"/>
                                  </a:solidFill>
                                  <a:prstDash val="solid"/>
                                  <a:miter/>
                                  <a:headEnd type="none" w="med" len="med"/>
                                  <a:tailEnd type="none" w="med" len="med"/>
                                </a:ln>
                              </wps:spPr>
                              <wps:txbx>
                                <w:txbxContent>
                                  <w:p w14:paraId="48D9E835">
                                    <w:pPr>
                                      <w:jc w:val="center"/>
                                      <w:rPr>
                                        <w:b/>
                                      </w:rPr>
                                    </w:pPr>
                                    <w:r>
                                      <w:rPr>
                                        <w:rFonts w:hint="eastAsia"/>
                                        <w:b/>
                                      </w:rPr>
                                      <w:t>锅炉房建设、生活区建设及车间内部仓库搭建</w:t>
                                    </w:r>
                                  </w:p>
                                </w:txbxContent>
                              </wps:txbx>
                              <wps:bodyPr lIns="0" rIns="0" upright="1"/>
                            </wps:wsp>
                            <wps:wsp>
                              <wps:cNvPr id="5" name="自选图形 167"/>
                              <wps:cNvSpPr/>
                              <wps:spPr>
                                <a:xfrm>
                                  <a:off x="3388360" y="751205"/>
                                  <a:ext cx="694055" cy="266700"/>
                                </a:xfrm>
                                <a:prstGeom prst="flowChartProcess">
                                  <a:avLst/>
                                </a:prstGeom>
                                <a:solidFill>
                                  <a:srgbClr val="FFFFFF">
                                    <a:alpha val="0"/>
                                  </a:srgbClr>
                                </a:solidFill>
                                <a:ln w="12700" cap="flat" cmpd="sng">
                                  <a:solidFill>
                                    <a:srgbClr val="000000"/>
                                  </a:solidFill>
                                  <a:prstDash val="solid"/>
                                  <a:miter/>
                                  <a:headEnd type="none" w="med" len="med"/>
                                  <a:tailEnd type="none" w="med" len="med"/>
                                </a:ln>
                              </wps:spPr>
                              <wps:txbx>
                                <w:txbxContent>
                                  <w:p w14:paraId="21EC53AE">
                                    <w:pPr>
                                      <w:jc w:val="center"/>
                                      <w:rPr>
                                        <w:b/>
                                      </w:rPr>
                                    </w:pPr>
                                    <w:r>
                                      <w:rPr>
                                        <w:rFonts w:hint="eastAsia"/>
                                        <w:b/>
                                      </w:rPr>
                                      <w:t>设备安装</w:t>
                                    </w:r>
                                  </w:p>
                                </w:txbxContent>
                              </wps:txbx>
                              <wps:bodyPr lIns="0" rIns="0" upright="1"/>
                            </wps:wsp>
                            <wps:wsp>
                              <wps:cNvPr id="6" name="直线 168"/>
                              <wps:cNvSpPr/>
                              <wps:spPr>
                                <a:xfrm flipV="1">
                                  <a:off x="650240" y="394970"/>
                                  <a:ext cx="635" cy="274955"/>
                                </a:xfrm>
                                <a:prstGeom prst="line">
                                  <a:avLst/>
                                </a:prstGeom>
                                <a:ln w="12700" cap="flat" cmpd="sng">
                                  <a:solidFill>
                                    <a:srgbClr val="000000"/>
                                  </a:solidFill>
                                  <a:prstDash val="dash"/>
                                  <a:headEnd type="none" w="med" len="med"/>
                                  <a:tailEnd type="triangle" w="med" len="med"/>
                                </a:ln>
                              </wps:spPr>
                              <wps:bodyPr upright="1"/>
                            </wps:wsp>
                            <wps:wsp>
                              <wps:cNvPr id="7" name="直线 169"/>
                              <wps:cNvSpPr/>
                              <wps:spPr>
                                <a:xfrm flipV="1">
                                  <a:off x="2329180" y="391160"/>
                                  <a:ext cx="635" cy="278765"/>
                                </a:xfrm>
                                <a:prstGeom prst="line">
                                  <a:avLst/>
                                </a:prstGeom>
                                <a:ln w="12700" cap="flat" cmpd="sng">
                                  <a:solidFill>
                                    <a:srgbClr val="000000"/>
                                  </a:solidFill>
                                  <a:prstDash val="dash"/>
                                  <a:headEnd type="none" w="med" len="med"/>
                                  <a:tailEnd type="triangle" w="med" len="med"/>
                                </a:ln>
                              </wps:spPr>
                              <wps:bodyPr upright="1"/>
                            </wps:wsp>
                            <wps:wsp>
                              <wps:cNvPr id="9" name="自选图形 171"/>
                              <wps:cNvSpPr/>
                              <wps:spPr>
                                <a:xfrm>
                                  <a:off x="505460" y="114935"/>
                                  <a:ext cx="3453130" cy="276225"/>
                                </a:xfrm>
                                <a:prstGeom prst="flowChartProcess">
                                  <a:avLst/>
                                </a:prstGeom>
                                <a:solidFill>
                                  <a:srgbClr val="FFFFFF">
                                    <a:alpha val="0"/>
                                  </a:srgbClr>
                                </a:solidFill>
                                <a:ln w="9525" cap="flat" cmpd="sng">
                                  <a:solidFill>
                                    <a:srgbClr val="000000"/>
                                  </a:solidFill>
                                  <a:prstDash val="lgDash"/>
                                  <a:miter/>
                                  <a:headEnd type="none" w="med" len="med"/>
                                  <a:tailEnd type="none" w="med" len="med"/>
                                </a:ln>
                              </wps:spPr>
                              <wps:txbx>
                                <w:txbxContent>
                                  <w:p w14:paraId="69EAA6D6">
                                    <w:pPr>
                                      <w:jc w:val="center"/>
                                      <w:rPr>
                                        <w:b/>
                                      </w:rPr>
                                    </w:pPr>
                                    <w:r>
                                      <w:rPr>
                                        <w:rFonts w:hint="eastAsia"/>
                                        <w:b/>
                                      </w:rPr>
                                      <w:t>废气、噪声、废水、固废</w:t>
                                    </w:r>
                                  </w:p>
                                </w:txbxContent>
                              </wps:txbx>
                              <wps:bodyPr upright="1"/>
                            </wps:wsp>
                            <wps:wsp>
                              <wps:cNvPr id="10" name="直线 172"/>
                              <wps:cNvSpPr/>
                              <wps:spPr>
                                <a:xfrm flipV="1">
                                  <a:off x="2963545" y="875665"/>
                                  <a:ext cx="424815" cy="635"/>
                                </a:xfrm>
                                <a:prstGeom prst="line">
                                  <a:avLst/>
                                </a:prstGeom>
                                <a:ln w="12700" cap="flat" cmpd="sng">
                                  <a:solidFill>
                                    <a:srgbClr val="000000"/>
                                  </a:solidFill>
                                  <a:prstDash val="solid"/>
                                  <a:headEnd type="none" w="med" len="med"/>
                                  <a:tailEnd type="triangle" w="med" len="med"/>
                                </a:ln>
                              </wps:spPr>
                              <wps:bodyPr upright="1"/>
                            </wps:wsp>
                            <wps:wsp>
                              <wps:cNvPr id="11" name="直线 172"/>
                              <wps:cNvSpPr/>
                              <wps:spPr>
                                <a:xfrm>
                                  <a:off x="4082415" y="875665"/>
                                  <a:ext cx="355600" cy="635"/>
                                </a:xfrm>
                                <a:prstGeom prst="line">
                                  <a:avLst/>
                                </a:prstGeom>
                                <a:ln w="12700" cap="flat" cmpd="sng">
                                  <a:solidFill>
                                    <a:srgbClr val="000000"/>
                                  </a:solidFill>
                                  <a:prstDash val="solid"/>
                                  <a:headEnd type="none" w="med" len="med"/>
                                  <a:tailEnd type="triangle" w="med" len="med"/>
                                </a:ln>
                              </wps:spPr>
                              <wps:bodyPr upright="1"/>
                            </wps:wsp>
                            <wps:wsp>
                              <wps:cNvPr id="12" name="自选图形 167"/>
                              <wps:cNvSpPr/>
                              <wps:spPr>
                                <a:xfrm>
                                  <a:off x="4438015" y="749300"/>
                                  <a:ext cx="616585" cy="266700"/>
                                </a:xfrm>
                                <a:prstGeom prst="flowChartProcess">
                                  <a:avLst/>
                                </a:prstGeom>
                                <a:solidFill>
                                  <a:srgbClr val="FFFFFF">
                                    <a:alpha val="0"/>
                                  </a:srgbClr>
                                </a:solidFill>
                                <a:ln w="12700" cap="flat" cmpd="sng">
                                  <a:solidFill>
                                    <a:srgbClr val="000000"/>
                                  </a:solidFill>
                                  <a:prstDash val="solid"/>
                                  <a:miter/>
                                  <a:headEnd type="none" w="med" len="med"/>
                                  <a:tailEnd type="none" w="med" len="med"/>
                                </a:ln>
                              </wps:spPr>
                              <wps:txbx>
                                <w:txbxContent>
                                  <w:p w14:paraId="6BA84C6B">
                                    <w:pPr>
                                      <w:jc w:val="center"/>
                                      <w:rPr>
                                        <w:b/>
                                      </w:rPr>
                                    </w:pPr>
                                    <w:r>
                                      <w:rPr>
                                        <w:rFonts w:hint="eastAsia"/>
                                        <w:b/>
                                      </w:rPr>
                                      <w:t>工程验收</w:t>
                                    </w:r>
                                  </w:p>
                                </w:txbxContent>
                              </wps:txbx>
                              <wps:bodyPr lIns="0" rIns="0" upright="1"/>
                            </wps:wsp>
                            <wps:wsp>
                              <wps:cNvPr id="13" name="直线 169"/>
                              <wps:cNvSpPr/>
                              <wps:spPr>
                                <a:xfrm flipV="1">
                                  <a:off x="3733800" y="394970"/>
                                  <a:ext cx="635" cy="355600"/>
                                </a:xfrm>
                                <a:prstGeom prst="line">
                                  <a:avLst/>
                                </a:prstGeom>
                                <a:ln w="12700" cap="flat" cmpd="sng">
                                  <a:solidFill>
                                    <a:srgbClr val="000000"/>
                                  </a:solidFill>
                                  <a:prstDash val="dash"/>
                                  <a:headEnd type="none" w="med" len="med"/>
                                  <a:tailEnd type="triangle" w="med" len="med"/>
                                </a:ln>
                              </wps:spPr>
                              <wps:bodyPr upright="1"/>
                            </wps:wsp>
                            <wps:wsp>
                              <wps:cNvPr id="14" name="文本框 238"/>
                              <wps:cNvSpPr txBox="1"/>
                              <wps:spPr>
                                <a:xfrm>
                                  <a:off x="906780" y="1257300"/>
                                  <a:ext cx="3362960" cy="248285"/>
                                </a:xfrm>
                                <a:prstGeom prst="rect">
                                  <a:avLst/>
                                </a:prstGeom>
                                <a:solidFill>
                                  <a:srgbClr val="FFFFFF">
                                    <a:alpha val="0"/>
                                  </a:srgbClr>
                                </a:solidFill>
                                <a:ln>
                                  <a:noFill/>
                                </a:ln>
                              </wps:spPr>
                              <wps:txbx>
                                <w:txbxContent>
                                  <w:p w14:paraId="330F71E2">
                                    <w:pPr>
                                      <w:jc w:val="center"/>
                                      <w:rPr>
                                        <w:rFonts w:ascii="宋体" w:hAnsi="宋体"/>
                                        <w:b/>
                                        <w:sz w:val="24"/>
                                      </w:rPr>
                                    </w:pPr>
                                    <w:r>
                                      <w:rPr>
                                        <w:rFonts w:ascii="宋体" w:hAnsi="宋体"/>
                                        <w:b/>
                                        <w:sz w:val="24"/>
                                      </w:rPr>
                                      <w:t>图</w:t>
                                    </w:r>
                                    <w:r>
                                      <w:rPr>
                                        <w:rFonts w:hint="eastAsia"/>
                                        <w:b/>
                                        <w:sz w:val="24"/>
                                      </w:rPr>
                                      <w:t>2</w:t>
                                    </w:r>
                                    <w:r>
                                      <w:rPr>
                                        <w:rFonts w:hint="eastAsia" w:ascii="宋体" w:hAnsi="宋体"/>
                                        <w:b/>
                                        <w:sz w:val="24"/>
                                      </w:rPr>
                                      <w:t xml:space="preserve">    施工期工艺流程及产污环节示意图</w:t>
                                    </w:r>
                                  </w:p>
                                </w:txbxContent>
                              </wps:txbx>
                              <wps:bodyPr tIns="0" bIns="0" upright="1"/>
                            </wps:wsp>
                          </wpc:wpc>
                        </a:graphicData>
                      </a:graphic>
                    </wp:anchor>
                  </w:drawing>
                </mc:Choice>
                <mc:Fallback>
                  <w:pict>
                    <v:group id="画布 160" o:spid="_x0000_s1026" o:spt="203" style="position:absolute;left:0pt;margin-left:11.65pt;margin-top:16.75pt;height:119.2pt;width:401.1pt;z-index:251660288;mso-width-relative:page;mso-height-relative:page;" coordsize="5093970,1513840" editas="canvas" o:gfxdata="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">
                      <o:lock v:ext="edit" aspectratio="f"/>
                      <v:rect id="画布 160" o:spid="_x0000_s1026" o:spt="1" style="position:absolute;left:0;top:0;height:1513840;width:5093970;" filled="f" stroked="f" coordsize="21600,21600" o:gfxdata="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">
                        <v:fill on="f" focussize="0,0"/>
                        <v:stroke on="f"/>
                        <v:imagedata o:title=""/>
                        <o:lock v:ext="edit" aspectratio="f"/>
                      </v:rect>
                      <v:shape id="自选图形 161" o:spid="_x0000_s1026" o:spt="109" type="#_x0000_t109" style="position:absolute;left:158750;top:673100;height:408940;width:944245;" fillcolor="#FFFFFF" filled="t" stroked="t" coordsize="21600,21600" o:gfxdata="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ubbpr2AAAAAkBAAAPAAAAAAAAAAEAIAAAACIA&#10;AABkcnMvZG93bnJldi54bWxQSwECFAAUAAAACACHTuJAZMkSLkICAACQBAAADgAAAAAAAAABACAA&#10;AAAnAQAAZHJzL2Uyb0RvYy54bWxQSwUGAAAAAAYABgBZAQAA2wUAAAAA&#10;">
                        <v:fill on="t" opacity="0f" focussize="0,0"/>
                        <v:stroke weight="1pt" color="#000000" joinstyle="miter"/>
                        <v:imagedata o:title=""/>
                        <o:lock v:ext="edit" aspectratio="f"/>
                        <v:textbox inset="0mm,1mm,0mm,1mm">
                          <w:txbxContent>
                            <w:p w14:paraId="73B9A116">
                              <w:pPr>
                                <w:jc w:val="center"/>
                                <w:rPr>
                                  <w:b/>
                                </w:rPr>
                              </w:pPr>
                              <w:r>
                                <w:rPr>
                                  <w:rFonts w:hint="eastAsia"/>
                                  <w:b/>
                                </w:rPr>
                                <w:t>厂区地面平整、硬化</w:t>
                              </w:r>
                            </w:p>
                          </w:txbxContent>
                        </v:textbox>
                      </v:shape>
                      <v:line id="直线 162" o:spid="_x0000_s1026" o:spt="20" style="position:absolute;left:1102995;top:889000;flip:y;height:635;width:481965;" filled="f" stroked="t" coordsize="21600,21600" o:gfxdata="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oZZrAtkAAAAJAQAADwAAAAAAAAABACAAAAAiAAAAZHJz&#10;L2Rvd25yZXYueG1sUEsBAhQAFAAAAAgAh07iQKiu+5kDAgAA+AMAAA4AAAAAAAAAAQAgAAAAKAEA&#10;AGRycy9lMm9Eb2MueG1sUEsFBgAAAAAGAAYAWQEAAJ0FAAAAAA==&#10;">
                        <v:fill on="f" focussize="0,0"/>
                        <v:stroke weight="1pt" color="#000000" joinstyle="round" endarrow="block"/>
                        <v:imagedata o:title=""/>
                        <o:lock v:ext="edit" aspectratio="f"/>
                      </v:line>
                      <v:shape id="自选图形 163" o:spid="_x0000_s1026" o:spt="109" type="#_x0000_t109" style="position:absolute;left:1576070;top:669925;height:421005;width:1381760;" fillcolor="#FFFFFF" filled="t" stroked="t" coordsize="21600,21600" o:gfxdata="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WRgZWNcAAAAJAQAADwAAAAAAAAABACAAAAAiAAAAZHJzL2Rv&#10;d25yZXYueG1sUEsBAhQAFAAAAAgAh07iQMiuT1I7AgAAeAQAAA4AAAAAAAAAAQAgAAAAJgEAAGRy&#10;cy9lMm9Eb2MueG1sUEsFBgAAAAAGAAYAWQEAANMFAAAAAA==&#10;">
                        <v:fill on="t" opacity="0f" focussize="0,0"/>
                        <v:stroke weight="1pt" color="#000000" joinstyle="miter"/>
                        <v:imagedata o:title=""/>
                        <o:lock v:ext="edit" aspectratio="f"/>
                        <v:textbox inset="0mm,1.27mm,0mm,1.27mm">
                          <w:txbxContent>
                            <w:p w14:paraId="48D9E835">
                              <w:pPr>
                                <w:jc w:val="center"/>
                                <w:rPr>
                                  <w:b/>
                                </w:rPr>
                              </w:pPr>
                              <w:r>
                                <w:rPr>
                                  <w:rFonts w:hint="eastAsia"/>
                                  <w:b/>
                                </w:rPr>
                                <w:t>锅炉房建设、生活区建设及车间内部仓库搭建</w:t>
                              </w:r>
                            </w:p>
                          </w:txbxContent>
                        </v:textbox>
                      </v:shape>
                      <v:shape id="自选图形 167" o:spid="_x0000_s1026" o:spt="109" type="#_x0000_t109" style="position:absolute;left:3388360;top:751205;height:266700;width:694055;" fillcolor="#FFFFFF" filled="t" stroked="t" coordsize="21600,21600" o:gfxdata="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WRgZWNcAAAAJAQAADwAAAAAAAAABACAAAAAiAAAAZHJzL2Rv&#10;d25yZXYueG1sUEsBAhQAFAAAAAgAh07iQPRk6gk7AgAAdwQAAA4AAAAAAAAAAQAgAAAAJgEAAGRy&#10;cy9lMm9Eb2MueG1sUEsFBgAAAAAGAAYAWQEAANMFAAAAAA==&#10;">
                        <v:fill on="t" opacity="0f" focussize="0,0"/>
                        <v:stroke weight="1pt" color="#000000" joinstyle="miter"/>
                        <v:imagedata o:title=""/>
                        <o:lock v:ext="edit" aspectratio="f"/>
                        <v:textbox inset="0mm,1.27mm,0mm,1.27mm">
                          <w:txbxContent>
                            <w:p w14:paraId="21EC53AE">
                              <w:pPr>
                                <w:jc w:val="center"/>
                                <w:rPr>
                                  <w:b/>
                                </w:rPr>
                              </w:pPr>
                              <w:r>
                                <w:rPr>
                                  <w:rFonts w:hint="eastAsia"/>
                                  <w:b/>
                                </w:rPr>
                                <w:t>设备安装</w:t>
                              </w:r>
                            </w:p>
                          </w:txbxContent>
                        </v:textbox>
                      </v:shape>
                      <v:line id="直线 168" o:spid="_x0000_s1026" o:spt="20" style="position:absolute;left:650240;top:394970;flip:y;height:274955;width:635;" filled="f" stroked="t" coordsize="21600,21600" o:gfxdata="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5NQYrNgAAAAJAQAADwAAAAAAAAABACAAAAAiAAAAZHJz&#10;L2Rvd25yZXYueG1sUEsBAhQAFAAAAAgAh07iQF6WZKUEAgAA9gMAAA4AAAAAAAAAAQAgAAAAJwEA&#10;AGRycy9lMm9Eb2MueG1sUEsFBgAAAAAGAAYAWQEAAJ0FAAAAAA==&#10;">
                        <v:fill on="f" focussize="0,0"/>
                        <v:stroke weight="1pt" color="#000000" joinstyle="round" dashstyle="dash" endarrow="block"/>
                        <v:imagedata o:title=""/>
                        <o:lock v:ext="edit" aspectratio="f"/>
                      </v:line>
                      <v:line id="直线 169" o:spid="_x0000_s1026" o:spt="20" style="position:absolute;left:2329180;top:391160;flip:y;height:278765;width:635;" filled="f" stroked="t" coordsize="21600,21600" o:gfxdata="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OTUGKzYAAAACQEAAA8AAAAAAAAAAQAgAAAAIgAAAGRy&#10;cy9kb3ducmV2LnhtbFBLAQIUABQAAAAIAIdO4kD3yR0fBQIAAPcDAAAOAAAAAAAAAAEAIAAAACcB&#10;AABkcnMvZTJvRG9jLnhtbFBLBQYAAAAABgAGAFkBAACeBQAAAAA=&#10;">
                        <v:fill on="f" focussize="0,0"/>
                        <v:stroke weight="1pt" color="#000000" joinstyle="round" dashstyle="dash" endarrow="block"/>
                        <v:imagedata o:title=""/>
                        <o:lock v:ext="edit" aspectratio="f"/>
                      </v:line>
                      <v:shape id="自选图形 171" o:spid="_x0000_s1026" o:spt="109" type="#_x0000_t109" style="position:absolute;left:505460;top:114934;height:276225;width:3453130;" fillcolor="#FFFFFF" filled="t" stroked="t" coordsize="21600,21600" o:gfxdata="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tgdNo2gAAAAkBAAAPAAAAAAAAAAEAIAAAACIAAABkcnMvZG93bnJldi54&#10;bWxQSwECFAAUAAAACACHTuJAOhBzRDECAABlBAAADgAAAAAAAAABACAAAAApAQAAZHJzL2Uyb0Rv&#10;Yy54bWxQSwUGAAAAAAYABgBZAQAAzAUAAAAA&#10;">
                        <v:fill on="t" opacity="0f" focussize="0,0"/>
                        <v:stroke color="#000000" joinstyle="miter" dashstyle="longDash"/>
                        <v:imagedata o:title=""/>
                        <o:lock v:ext="edit" aspectratio="f"/>
                        <v:textbox>
                          <w:txbxContent>
                            <w:p w14:paraId="69EAA6D6">
                              <w:pPr>
                                <w:jc w:val="center"/>
                                <w:rPr>
                                  <w:b/>
                                </w:rPr>
                              </w:pPr>
                              <w:r>
                                <w:rPr>
                                  <w:rFonts w:hint="eastAsia"/>
                                  <w:b/>
                                </w:rPr>
                                <w:t>废气、噪声、废水、固废</w:t>
                              </w:r>
                            </w:p>
                          </w:txbxContent>
                        </v:textbox>
                      </v:shape>
                      <v:line id="直线 172" o:spid="_x0000_s1026" o:spt="20" style="position:absolute;left:2963545;top:875665;flip:y;height:635;width:424815;" filled="f" stroked="t" coordsize="21600,21600" o:gfxdata="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KGWawLZAAAACQEAAA8AAAAAAAAAAQAgAAAAIgAAAGRy&#10;cy9kb3ducmV2LnhtbFBLAQIUABQAAAAIAIdO4kB7s7NZBAIAAPkDAAAOAAAAAAAAAAEAIAAAACgB&#10;AABkcnMvZTJvRG9jLnhtbFBLBQYAAAAABgAGAFkBAACeBQAAAAA=&#10;">
                        <v:fill on="f" focussize="0,0"/>
                        <v:stroke weight="1pt" color="#000000" joinstyle="round" endarrow="block"/>
                        <v:imagedata o:title=""/>
                        <o:lock v:ext="edit" aspectratio="f"/>
                      </v:line>
                      <v:line id="直线 172" o:spid="_x0000_s1026" o:spt="20" style="position:absolute;left:4082414;top:875665;height:635;width:355600;" filled="f" stroked="t" coordsize="21600,21600" o:gfxdata="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FWRozLYAAAACQEAAA8AAAAAAAAAAQAgAAAAIgAAAGRycy9kb3du&#10;cmV2LnhtbFBLAQIUABQAAAAIAIdO4kA/g9bL/wEAAO8DAAAOAAAAAAAAAAEAIAAAACcBAABkcnMv&#10;ZTJvRG9jLnhtbFBLBQYAAAAABgAGAFkBAACYBQAAAAA=&#10;">
                        <v:fill on="f" focussize="0,0"/>
                        <v:stroke weight="1pt" color="#000000" joinstyle="round" endarrow="block"/>
                        <v:imagedata o:title=""/>
                        <o:lock v:ext="edit" aspectratio="f"/>
                      </v:line>
                      <v:shape id="自选图形 167" o:spid="_x0000_s1026" o:spt="109" type="#_x0000_t109" style="position:absolute;left:4438015;top:749300;height:266700;width:616585;" fillcolor="#FFFFFF" filled="t" stroked="t" coordsize="21600,21600" o:gfxdata="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BZGBlY1wAAAAkBAAAPAAAAAAAAAAEAIAAAACIAAABkcnMvZG93&#10;bnJldi54bWxQSwECFAAUAAAACACHTuJA048K2DoCAAB4BAAADgAAAAAAAAABACAAAAAmAQAAZHJz&#10;L2Uyb0RvYy54bWxQSwUGAAAAAAYABgBZAQAA0gUAAAAA&#10;">
                        <v:fill on="t" opacity="0f" focussize="0,0"/>
                        <v:stroke weight="1pt" color="#000000" joinstyle="miter"/>
                        <v:imagedata o:title=""/>
                        <o:lock v:ext="edit" aspectratio="f"/>
                        <v:textbox inset="0mm,1.27mm,0mm,1.27mm">
                          <w:txbxContent>
                            <w:p w14:paraId="6BA84C6B">
                              <w:pPr>
                                <w:jc w:val="center"/>
                                <w:rPr>
                                  <w:b/>
                                </w:rPr>
                              </w:pPr>
                              <w:r>
                                <w:rPr>
                                  <w:rFonts w:hint="eastAsia"/>
                                  <w:b/>
                                </w:rPr>
                                <w:t>工程验收</w:t>
                              </w:r>
                            </w:p>
                          </w:txbxContent>
                        </v:textbox>
                      </v:shape>
                      <v:line id="直线 169" o:spid="_x0000_s1026" o:spt="20" style="position:absolute;left:3733800;top:394970;flip:y;height:355600;width:635;" filled="f" stroked="t" coordsize="21600,21600" o:gfxdata="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OTUGKzYAAAACQEAAA8AAAAAAAAAAQAgAAAAIgAAAGRycy9k&#10;b3ducmV2LnhtbFBLAQIUABQAAAAIAIdO4kC4FuYgAgIAAPgDAAAOAAAAAAAAAAEAIAAAACcBAABk&#10;cnMvZTJvRG9jLnhtbFBLBQYAAAAABgAGAFkBAACbBQAAAAA=&#10;">
                        <v:fill on="f" focussize="0,0"/>
                        <v:stroke weight="1pt" color="#000000" joinstyle="round" dashstyle="dash" endarrow="block"/>
                        <v:imagedata o:title=""/>
                        <o:lock v:ext="edit" aspectratio="f"/>
                      </v:line>
                      <v:shape id="文本框 238" o:spid="_x0000_s1026" o:spt="202" type="#_x0000_t202" style="position:absolute;left:906780;top:1257300;height:248285;width:3362960;" fillcolor="#FFFFFF" filled="t" stroked="f" coordsize="21600,21600" o:gfxdata="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F8ttArYAAAACQEA&#10;AA8AAAAAAAAAAQAgAAAAIgAAAGRycy9kb3ducmV2LnhtbFBLAQIUABQAAAAIAIdO4kBiqiNe4QEA&#10;ALQDAAAOAAAAAAAAAAEAIAAAACcBAABkcnMvZTJvRG9jLnhtbFBLBQYAAAAABgAGAFkBAAB6BQAA&#10;AAA=&#10;">
                        <v:fill on="t" opacity="0f" focussize="0,0"/>
                        <v:stroke on="f"/>
                        <v:imagedata o:title=""/>
                        <o:lock v:ext="edit" aspectratio="f"/>
                        <v:textbox inset="2.54mm,0mm,2.54mm,0mm">
                          <w:txbxContent>
                            <w:p w14:paraId="330F71E2">
                              <w:pPr>
                                <w:jc w:val="center"/>
                                <w:rPr>
                                  <w:rFonts w:ascii="宋体" w:hAnsi="宋体"/>
                                  <w:b/>
                                  <w:sz w:val="24"/>
                                </w:rPr>
                              </w:pPr>
                              <w:r>
                                <w:rPr>
                                  <w:rFonts w:ascii="宋体" w:hAnsi="宋体"/>
                                  <w:b/>
                                  <w:sz w:val="24"/>
                                </w:rPr>
                                <w:t>图</w:t>
                              </w:r>
                              <w:r>
                                <w:rPr>
                                  <w:rFonts w:hint="eastAsia"/>
                                  <w:b/>
                                  <w:sz w:val="24"/>
                                </w:rPr>
                                <w:t>2</w:t>
                              </w:r>
                              <w:r>
                                <w:rPr>
                                  <w:rFonts w:hint="eastAsia" w:ascii="宋体" w:hAnsi="宋体"/>
                                  <w:b/>
                                  <w:sz w:val="24"/>
                                </w:rPr>
                                <w:t xml:space="preserve">    施工期工艺流程及产污环节示意图</w:t>
                              </w:r>
                            </w:p>
                          </w:txbxContent>
                        </v:textbox>
                      </v:shape>
                    </v:group>
                  </w:pict>
                </mc:Fallback>
              </mc:AlternateContent>
            </w:r>
            <w:r>
              <w:rPr>
                <w:rFonts w:hint="eastAsia"/>
                <w:sz w:val="24"/>
              </w:rPr>
              <w:t>本项目施工期</w:t>
            </w:r>
            <w:r>
              <w:rPr>
                <w:sz w:val="24"/>
              </w:rPr>
              <w:t>工艺流程及产污环节示意图见图</w:t>
            </w:r>
            <w:r>
              <w:rPr>
                <w:rFonts w:hint="eastAsia"/>
                <w:sz w:val="24"/>
              </w:rPr>
              <w:t>2。</w:t>
            </w:r>
          </w:p>
          <w:p w14:paraId="71346631">
            <w:pPr>
              <w:spacing w:line="360" w:lineRule="auto"/>
              <w:ind w:firstLine="480" w:firstLineChars="200"/>
              <w:rPr>
                <w:sz w:val="24"/>
              </w:rPr>
            </w:pPr>
          </w:p>
          <w:p w14:paraId="79F42633">
            <w:pPr>
              <w:spacing w:line="360" w:lineRule="auto"/>
              <w:ind w:firstLine="480" w:firstLineChars="200"/>
              <w:rPr>
                <w:sz w:val="24"/>
              </w:rPr>
            </w:pPr>
          </w:p>
          <w:p w14:paraId="221ACE1F">
            <w:pPr>
              <w:spacing w:line="360" w:lineRule="auto"/>
              <w:ind w:firstLine="480" w:firstLineChars="200"/>
              <w:rPr>
                <w:sz w:val="24"/>
              </w:rPr>
            </w:pPr>
          </w:p>
          <w:p w14:paraId="43768837">
            <w:pPr>
              <w:spacing w:line="360" w:lineRule="auto"/>
              <w:ind w:firstLine="480" w:firstLineChars="200"/>
              <w:rPr>
                <w:sz w:val="24"/>
              </w:rPr>
            </w:pPr>
          </w:p>
          <w:p w14:paraId="79D91496">
            <w:pPr>
              <w:spacing w:line="360" w:lineRule="auto"/>
              <w:ind w:firstLine="480" w:firstLineChars="200"/>
              <w:rPr>
                <w:sz w:val="24"/>
              </w:rPr>
            </w:pPr>
          </w:p>
          <w:p w14:paraId="0040A441">
            <w:pPr>
              <w:adjustRightInd w:val="0"/>
              <w:snapToGrid w:val="0"/>
              <w:ind w:firstLine="482" w:firstLineChars="200"/>
              <w:jc w:val="left"/>
              <w:rPr>
                <w:b/>
                <w:bCs/>
                <w:snapToGrid w:val="0"/>
                <w:kern w:val="0"/>
                <w:sz w:val="24"/>
              </w:rPr>
            </w:pPr>
          </w:p>
          <w:p w14:paraId="1BC215DB">
            <w:pPr>
              <w:spacing w:line="360" w:lineRule="auto"/>
              <w:ind w:firstLine="482" w:firstLineChars="200"/>
              <w:jc w:val="left"/>
              <w:rPr>
                <w:b/>
                <w:snapToGrid w:val="0"/>
                <w:kern w:val="0"/>
                <w:sz w:val="24"/>
              </w:rPr>
            </w:pPr>
            <w:r>
              <w:rPr>
                <w:b/>
                <w:bCs/>
                <w:snapToGrid w:val="0"/>
                <w:kern w:val="0"/>
                <w:sz w:val="24"/>
              </w:rPr>
              <w:t>2</w:t>
            </w:r>
            <w:r>
              <w:rPr>
                <w:rFonts w:hint="eastAsia"/>
                <w:b/>
                <w:bCs/>
                <w:snapToGrid w:val="0"/>
                <w:kern w:val="0"/>
                <w:sz w:val="24"/>
              </w:rPr>
              <w:t>、</w:t>
            </w:r>
            <w:r>
              <w:rPr>
                <w:rFonts w:hint="eastAsia"/>
                <w:b/>
                <w:snapToGrid w:val="0"/>
                <w:kern w:val="0"/>
                <w:sz w:val="24"/>
              </w:rPr>
              <w:t>运营期工艺流程及产污环节</w:t>
            </w:r>
          </w:p>
          <w:p w14:paraId="67C1FC2A">
            <w:pPr>
              <w:adjustRightInd w:val="0"/>
              <w:snapToGrid w:val="0"/>
              <w:spacing w:line="360" w:lineRule="auto"/>
              <w:ind w:firstLine="480" w:firstLineChars="200"/>
              <w:rPr>
                <w:bCs/>
                <w:sz w:val="24"/>
              </w:rPr>
            </w:pPr>
            <w:r>
              <w:rPr>
                <w:rFonts w:hint="eastAsia"/>
                <w:bCs/>
                <w:sz w:val="24"/>
              </w:rPr>
              <w:t>本项目产品主要为工业级动物油脂，同时生产工程会产生副产品油渣，主要生产工艺流程为：原材料（动物板油）-破碎-熬制-油渣分离-油渣压饼-成品。具体工艺流程及产污环节见下图。</w:t>
            </w:r>
          </w:p>
          <w:p w14:paraId="4089FD87">
            <w:pPr>
              <w:adjustRightInd w:val="0"/>
              <w:snapToGrid w:val="0"/>
              <w:spacing w:line="360" w:lineRule="auto"/>
              <w:ind w:firstLine="482" w:firstLineChars="200"/>
              <w:rPr>
                <w:bCs/>
                <w:sz w:val="24"/>
              </w:rPr>
            </w:pPr>
            <w:r>
              <w:rPr>
                <w:b/>
                <w:bCs/>
                <w:kern w:val="0"/>
                <w:sz w:val="24"/>
              </w:rPr>
              <w:pict>
                <v:shape id="Object 84" o:spid="_x0000_s1287" o:spt="75" type="#_x0000_t75" style="position:absolute;left:0pt;margin-left:1.1pt;margin-top:3.35pt;height:230.9pt;width:430.45pt;z-index:251662336;mso-width-relative:page;mso-height-relative:page;" o:ole="t" filled="f" o:preferrelative="t" stroked="f" coordsize="21600,21600">
                  <v:path/>
                  <v:fill on="f" focussize="0,0"/>
                  <v:stroke on="f" joinstyle="miter"/>
                  <v:imagedata r:id="rId8" o:title=""/>
                  <o:lock v:ext="edit" aspectratio="t"/>
                </v:shape>
                <o:OLEObject Type="Embed" ProgID="Visio.Drawing.11" ShapeID="Object 84" DrawAspect="Content" ObjectID="_1468075726" r:id="rId7">
                  <o:LockedField>false</o:LockedField>
                </o:OLEObject>
              </w:pict>
            </w:r>
          </w:p>
          <w:p w14:paraId="61E5D45F">
            <w:pPr>
              <w:adjustRightInd w:val="0"/>
              <w:snapToGrid w:val="0"/>
              <w:spacing w:line="360" w:lineRule="auto"/>
              <w:ind w:firstLine="480" w:firstLineChars="200"/>
              <w:rPr>
                <w:bCs/>
                <w:sz w:val="24"/>
              </w:rPr>
            </w:pPr>
          </w:p>
          <w:p w14:paraId="2406FF4E">
            <w:pPr>
              <w:adjustRightInd w:val="0"/>
              <w:snapToGrid w:val="0"/>
              <w:spacing w:line="360" w:lineRule="auto"/>
              <w:ind w:firstLine="480" w:firstLineChars="200"/>
              <w:rPr>
                <w:bCs/>
                <w:sz w:val="24"/>
              </w:rPr>
            </w:pPr>
          </w:p>
          <w:p w14:paraId="059AC653">
            <w:pPr>
              <w:adjustRightInd w:val="0"/>
              <w:snapToGrid w:val="0"/>
              <w:spacing w:line="360" w:lineRule="auto"/>
              <w:ind w:firstLine="480" w:firstLineChars="200"/>
              <w:rPr>
                <w:bCs/>
                <w:sz w:val="24"/>
              </w:rPr>
            </w:pPr>
          </w:p>
          <w:p w14:paraId="657B18B4">
            <w:pPr>
              <w:adjustRightInd w:val="0"/>
              <w:snapToGrid w:val="0"/>
              <w:spacing w:line="360" w:lineRule="auto"/>
              <w:ind w:firstLine="480" w:firstLineChars="200"/>
              <w:rPr>
                <w:bCs/>
                <w:sz w:val="24"/>
              </w:rPr>
            </w:pPr>
          </w:p>
          <w:p w14:paraId="27BAD718">
            <w:pPr>
              <w:adjustRightInd w:val="0"/>
              <w:snapToGrid w:val="0"/>
              <w:spacing w:line="360" w:lineRule="auto"/>
              <w:ind w:firstLine="480" w:firstLineChars="200"/>
              <w:rPr>
                <w:bCs/>
                <w:sz w:val="24"/>
              </w:rPr>
            </w:pPr>
          </w:p>
          <w:p w14:paraId="04116B68">
            <w:pPr>
              <w:adjustRightInd w:val="0"/>
              <w:snapToGrid w:val="0"/>
              <w:spacing w:line="360" w:lineRule="auto"/>
              <w:ind w:firstLine="480" w:firstLineChars="200"/>
              <w:rPr>
                <w:bCs/>
                <w:sz w:val="24"/>
              </w:rPr>
            </w:pPr>
          </w:p>
          <w:p w14:paraId="7A86EBD3">
            <w:pPr>
              <w:adjustRightInd w:val="0"/>
              <w:snapToGrid w:val="0"/>
              <w:spacing w:line="360" w:lineRule="auto"/>
              <w:ind w:firstLine="480" w:firstLineChars="200"/>
              <w:rPr>
                <w:bCs/>
                <w:sz w:val="24"/>
              </w:rPr>
            </w:pPr>
          </w:p>
          <w:p w14:paraId="019D2D41">
            <w:pPr>
              <w:adjustRightInd w:val="0"/>
              <w:snapToGrid w:val="0"/>
              <w:spacing w:line="360" w:lineRule="auto"/>
              <w:ind w:firstLine="480" w:firstLineChars="200"/>
              <w:rPr>
                <w:bCs/>
                <w:sz w:val="24"/>
              </w:rPr>
            </w:pPr>
          </w:p>
          <w:p w14:paraId="76E71E3E">
            <w:pPr>
              <w:adjustRightInd w:val="0"/>
              <w:snapToGrid w:val="0"/>
              <w:spacing w:line="360" w:lineRule="auto"/>
              <w:ind w:firstLine="480" w:firstLineChars="200"/>
              <w:rPr>
                <w:bCs/>
                <w:sz w:val="24"/>
              </w:rPr>
            </w:pPr>
          </w:p>
          <w:p w14:paraId="25944AC0">
            <w:pPr>
              <w:adjustRightInd w:val="0"/>
              <w:snapToGrid w:val="0"/>
              <w:spacing w:line="360" w:lineRule="auto"/>
              <w:ind w:firstLine="480" w:firstLineChars="200"/>
              <w:rPr>
                <w:bCs/>
                <w:sz w:val="24"/>
              </w:rPr>
            </w:pPr>
          </w:p>
          <w:p w14:paraId="6B48A5D1">
            <w:pPr>
              <w:adjustRightInd w:val="0"/>
              <w:snapToGrid w:val="0"/>
              <w:spacing w:line="360" w:lineRule="auto"/>
              <w:ind w:firstLine="482" w:firstLineChars="200"/>
              <w:rPr>
                <w:bCs/>
                <w:sz w:val="24"/>
              </w:rPr>
            </w:pPr>
            <w:r>
              <w:rPr>
                <w:b/>
                <w:bCs/>
                <w:kern w:val="0"/>
                <w:sz w:val="24"/>
              </w:rPr>
              <mc:AlternateContent>
                <mc:Choice Requires="wps">
                  <w:drawing>
                    <wp:anchor distT="0" distB="0" distL="114300" distR="114300" simplePos="0" relativeHeight="251663360" behindDoc="0" locked="0" layoutInCell="1" allowOverlap="1">
                      <wp:simplePos x="0" y="0"/>
                      <wp:positionH relativeFrom="column">
                        <wp:posOffset>729615</wp:posOffset>
                      </wp:positionH>
                      <wp:positionV relativeFrom="paragraph">
                        <wp:posOffset>202565</wp:posOffset>
                      </wp:positionV>
                      <wp:extent cx="4126230" cy="299085"/>
                      <wp:effectExtent l="0" t="0" r="0" b="0"/>
                      <wp:wrapNone/>
                      <wp:docPr id="36" name="文本框 732"/>
                      <wp:cNvGraphicFramePr/>
                      <a:graphic xmlns:a="http://schemas.openxmlformats.org/drawingml/2006/main">
                        <a:graphicData uri="http://schemas.microsoft.com/office/word/2010/wordprocessingShape">
                          <wps:wsp>
                            <wps:cNvSpPr txBox="1"/>
                            <wps:spPr>
                              <a:xfrm>
                                <a:off x="0" y="0"/>
                                <a:ext cx="4126230" cy="299085"/>
                              </a:xfrm>
                              <a:prstGeom prst="rect">
                                <a:avLst/>
                              </a:prstGeom>
                              <a:noFill/>
                              <a:ln>
                                <a:noFill/>
                              </a:ln>
                            </wps:spPr>
                            <wps:txbx>
                              <w:txbxContent>
                                <w:p w14:paraId="472AA430">
                                  <w:pPr>
                                    <w:jc w:val="center"/>
                                    <w:rPr>
                                      <w:b/>
                                      <w:sz w:val="24"/>
                                      <w:szCs w:val="32"/>
                                      <w:u w:val="single"/>
                                    </w:rPr>
                                  </w:pPr>
                                  <w:r>
                                    <w:rPr>
                                      <w:b/>
                                      <w:sz w:val="24"/>
                                      <w:szCs w:val="32"/>
                                      <w:u w:val="single"/>
                                    </w:rPr>
                                    <w:t>图</w:t>
                                  </w:r>
                                  <w:r>
                                    <w:rPr>
                                      <w:rFonts w:hint="eastAsia"/>
                                      <w:b/>
                                      <w:sz w:val="24"/>
                                      <w:szCs w:val="32"/>
                                      <w:u w:val="single"/>
                                    </w:rPr>
                                    <w:t>3</w:t>
                                  </w:r>
                                  <w:r>
                                    <w:rPr>
                                      <w:b/>
                                      <w:sz w:val="24"/>
                                      <w:szCs w:val="32"/>
                                      <w:u w:val="single"/>
                                    </w:rPr>
                                    <w:t xml:space="preserve">  </w:t>
                                  </w:r>
                                  <w:r>
                                    <w:rPr>
                                      <w:rFonts w:hint="eastAsia"/>
                                      <w:b/>
                                      <w:sz w:val="24"/>
                                      <w:szCs w:val="32"/>
                                      <w:u w:val="single"/>
                                    </w:rPr>
                                    <w:t xml:space="preserve"> 项目</w:t>
                                  </w:r>
                                  <w:r>
                                    <w:rPr>
                                      <w:b/>
                                      <w:sz w:val="24"/>
                                      <w:szCs w:val="32"/>
                                      <w:u w:val="single"/>
                                    </w:rPr>
                                    <w:t>生产工艺流程及产污环节</w:t>
                                  </w:r>
                                  <w:r>
                                    <w:rPr>
                                      <w:rFonts w:hint="eastAsia"/>
                                      <w:b/>
                                      <w:sz w:val="24"/>
                                      <w:szCs w:val="32"/>
                                      <w:u w:val="single"/>
                                    </w:rPr>
                                    <w:t>示意</w:t>
                                  </w:r>
                                  <w:r>
                                    <w:rPr>
                                      <w:b/>
                                      <w:sz w:val="24"/>
                                      <w:szCs w:val="32"/>
                                      <w:u w:val="single"/>
                                    </w:rPr>
                                    <w:t>图</w:t>
                                  </w:r>
                                </w:p>
                              </w:txbxContent>
                            </wps:txbx>
                            <wps:bodyPr upright="1"/>
                          </wps:wsp>
                        </a:graphicData>
                      </a:graphic>
                    </wp:anchor>
                  </w:drawing>
                </mc:Choice>
                <mc:Fallback>
                  <w:pict>
                    <v:shape id="文本框 732" o:spid="_x0000_s1026" o:spt="202" type="#_x0000_t202" style="position:absolute;left:0pt;margin-left:57.45pt;margin-top:15.95pt;height:23.55pt;width:324.9pt;z-index:251663360;mso-width-relative:margin;mso-height-relative:margin;" filled="f" stroked="f" coordsize="21600,21600" o:gfxdata="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Byia68&#10;1wAAAAkBAAAPAAAAAAAAAAEAIAAAACIAAABkcnMvZG93bnJldi54bWxQSwECFAAUAAAACACHTuJA&#10;Rjs//rABAABRAwAADgAAAAAAAAABACAAAAAmAQAAZHJzL2Uyb0RvYy54bWxQSwUGAAAAAAYABgBZ&#10;AQAASAUAAAAA&#10;">
                      <v:fill on="f" focussize="0,0"/>
                      <v:stroke on="f"/>
                      <v:imagedata o:title=""/>
                      <o:lock v:ext="edit" aspectratio="f"/>
                      <v:textbox>
                        <w:txbxContent>
                          <w:p w14:paraId="472AA430">
                            <w:pPr>
                              <w:jc w:val="center"/>
                              <w:rPr>
                                <w:b/>
                                <w:sz w:val="24"/>
                                <w:szCs w:val="32"/>
                                <w:u w:val="single"/>
                              </w:rPr>
                            </w:pPr>
                            <w:r>
                              <w:rPr>
                                <w:b/>
                                <w:sz w:val="24"/>
                                <w:szCs w:val="32"/>
                                <w:u w:val="single"/>
                              </w:rPr>
                              <w:t>图</w:t>
                            </w:r>
                            <w:r>
                              <w:rPr>
                                <w:rFonts w:hint="eastAsia"/>
                                <w:b/>
                                <w:sz w:val="24"/>
                                <w:szCs w:val="32"/>
                                <w:u w:val="single"/>
                              </w:rPr>
                              <w:t>3</w:t>
                            </w:r>
                            <w:r>
                              <w:rPr>
                                <w:b/>
                                <w:sz w:val="24"/>
                                <w:szCs w:val="32"/>
                                <w:u w:val="single"/>
                              </w:rPr>
                              <w:t xml:space="preserve">  </w:t>
                            </w:r>
                            <w:r>
                              <w:rPr>
                                <w:rFonts w:hint="eastAsia"/>
                                <w:b/>
                                <w:sz w:val="24"/>
                                <w:szCs w:val="32"/>
                                <w:u w:val="single"/>
                              </w:rPr>
                              <w:t xml:space="preserve"> 项目</w:t>
                            </w:r>
                            <w:r>
                              <w:rPr>
                                <w:b/>
                                <w:sz w:val="24"/>
                                <w:szCs w:val="32"/>
                                <w:u w:val="single"/>
                              </w:rPr>
                              <w:t>生产工艺流程及产污环节</w:t>
                            </w:r>
                            <w:r>
                              <w:rPr>
                                <w:rFonts w:hint="eastAsia"/>
                                <w:b/>
                                <w:sz w:val="24"/>
                                <w:szCs w:val="32"/>
                                <w:u w:val="single"/>
                              </w:rPr>
                              <w:t>示意</w:t>
                            </w:r>
                            <w:r>
                              <w:rPr>
                                <w:b/>
                                <w:sz w:val="24"/>
                                <w:szCs w:val="32"/>
                                <w:u w:val="single"/>
                              </w:rPr>
                              <w:t>图</w:t>
                            </w:r>
                          </w:p>
                        </w:txbxContent>
                      </v:textbox>
                    </v:shape>
                  </w:pict>
                </mc:Fallback>
              </mc:AlternateContent>
            </w:r>
          </w:p>
          <w:p w14:paraId="34D65E22">
            <w:pPr>
              <w:adjustRightInd w:val="0"/>
              <w:snapToGrid w:val="0"/>
              <w:spacing w:line="360" w:lineRule="auto"/>
              <w:ind w:firstLine="480" w:firstLineChars="200"/>
              <w:rPr>
                <w:bCs/>
                <w:sz w:val="24"/>
              </w:rPr>
            </w:pPr>
          </w:p>
          <w:p w14:paraId="6BBA50EE">
            <w:pPr>
              <w:adjustRightInd w:val="0"/>
              <w:snapToGrid w:val="0"/>
              <w:spacing w:line="360" w:lineRule="auto"/>
              <w:ind w:firstLine="480" w:firstLineChars="200"/>
              <w:rPr>
                <w:bCs/>
                <w:sz w:val="24"/>
              </w:rPr>
            </w:pPr>
          </w:p>
          <w:p w14:paraId="3BC9F10B">
            <w:pPr>
              <w:adjustRightInd w:val="0"/>
              <w:snapToGrid w:val="0"/>
              <w:spacing w:line="360" w:lineRule="auto"/>
              <w:rPr>
                <w:b/>
                <w:sz w:val="24"/>
              </w:rPr>
            </w:pPr>
            <w:r>
              <w:rPr>
                <w:rFonts w:hint="eastAsia"/>
                <w:b/>
                <w:sz w:val="24"/>
              </w:rPr>
              <w:t>工艺流程简述如下：</w:t>
            </w:r>
          </w:p>
          <w:p w14:paraId="1FF4B8C6">
            <w:pPr>
              <w:numPr>
                <w:ilvl w:val="0"/>
                <w:numId w:val="1"/>
              </w:numPr>
              <w:adjustRightInd w:val="0"/>
              <w:snapToGrid w:val="0"/>
              <w:spacing w:line="360" w:lineRule="auto"/>
              <w:ind w:firstLine="480" w:firstLineChars="200"/>
              <w:rPr>
                <w:bCs/>
                <w:sz w:val="24"/>
              </w:rPr>
            </w:pPr>
            <w:r>
              <w:rPr>
                <w:rFonts w:hint="eastAsia"/>
                <w:bCs/>
                <w:sz w:val="24"/>
              </w:rPr>
              <w:t>原料储存、破碎：项目厂区设置冷库，外购的动物板油经冷链汽车密闭运输至厂区，经冷库（-5℃）储存。原料投加、暂存等工序产生恶臭气体较少，收集较为困难，本项目尽量按照生产计划取料、送料，实现随到随用，减少投料、暂存时间，减少恶臭产生。</w:t>
            </w:r>
          </w:p>
          <w:p w14:paraId="36885CFB">
            <w:pPr>
              <w:adjustRightInd w:val="0"/>
              <w:snapToGrid w:val="0"/>
              <w:spacing w:line="360" w:lineRule="auto"/>
              <w:ind w:firstLine="482" w:firstLineChars="200"/>
              <w:rPr>
                <w:b/>
                <w:bCs/>
                <w:sz w:val="24"/>
                <w:u w:val="single"/>
              </w:rPr>
            </w:pPr>
            <w:r>
              <w:rPr>
                <w:rFonts w:hint="eastAsia"/>
                <w:b/>
                <w:bCs/>
                <w:sz w:val="24"/>
                <w:u w:val="single"/>
              </w:rPr>
              <w:t>动物板油从冷库中取出后直接经铲车投入粉碎机破碎成块，不需解冻。原料湿度较大，且破碎成大块，因此破碎过程中无粉尘产生。在此过程中会产生少量恶臭废气及噪声等。</w:t>
            </w:r>
          </w:p>
          <w:p w14:paraId="5DEFE205">
            <w:pPr>
              <w:adjustRightInd w:val="0"/>
              <w:snapToGrid w:val="0"/>
              <w:spacing w:line="360" w:lineRule="auto"/>
              <w:ind w:firstLine="482" w:firstLineChars="200"/>
              <w:rPr>
                <w:b/>
                <w:bCs/>
                <w:sz w:val="24"/>
                <w:u w:val="single"/>
              </w:rPr>
            </w:pPr>
            <w:r>
              <w:rPr>
                <w:b/>
                <w:sz w:val="24"/>
                <w:u w:val="single"/>
              </w:rPr>
              <mc:AlternateContent>
                <mc:Choice Requires="wpg">
                  <w:drawing>
                    <wp:anchor distT="0" distB="0" distL="114300" distR="114300" simplePos="0" relativeHeight="251661312" behindDoc="0" locked="0" layoutInCell="1" allowOverlap="1">
                      <wp:simplePos x="0" y="0"/>
                      <wp:positionH relativeFrom="column">
                        <wp:posOffset>249555</wp:posOffset>
                      </wp:positionH>
                      <wp:positionV relativeFrom="paragraph">
                        <wp:posOffset>278765</wp:posOffset>
                      </wp:positionV>
                      <wp:extent cx="4889500" cy="1175385"/>
                      <wp:effectExtent l="0" t="0" r="0" b="0"/>
                      <wp:wrapNone/>
                      <wp:docPr id="35" name="组合 85"/>
                      <wp:cNvGraphicFramePr/>
                      <a:graphic xmlns:a="http://schemas.openxmlformats.org/drawingml/2006/main">
                        <a:graphicData uri="http://schemas.microsoft.com/office/word/2010/wordprocessingGroup">
                          <wpg:wgp>
                            <wpg:cNvGrpSpPr/>
                            <wpg:grpSpPr>
                              <a:xfrm>
                                <a:off x="0" y="0"/>
                                <a:ext cx="4889500" cy="1175385"/>
                                <a:chOff x="2721" y="354210"/>
                                <a:chExt cx="7700" cy="1851"/>
                              </a:xfrm>
                            </wpg:grpSpPr>
                            <wps:wsp>
                              <wps:cNvPr id="16" name="文本框 86"/>
                              <wps:cNvSpPr txBox="1"/>
                              <wps:spPr>
                                <a:xfrm>
                                  <a:off x="0" y="0"/>
                                  <a:ext cx="0" cy="0"/>
                                </a:xfrm>
                                <a:prstGeom prst="rect">
                                  <a:avLst/>
                                </a:prstGeom>
                                <a:solidFill>
                                  <a:srgbClr val="FFFFFF"/>
                                </a:solidFill>
                                <a:ln>
                                  <a:noFill/>
                                </a:ln>
                              </wps:spPr>
                              <wps:txbx>
                                <w:txbxContent>
                                  <w:p w14:paraId="6937094E">
                                    <w:r>
                                      <w:rPr>
                                        <w:rFonts w:hint="eastAsia"/>
                                      </w:rPr>
                                      <w:t>网版</w:t>
                                    </w:r>
                                  </w:p>
                                </w:txbxContent>
                              </wps:txbx>
                              <wps:bodyPr upright="1"/>
                            </wps:wsp>
                            <wps:wsp>
                              <wps:cNvPr id="17" name="文本框 87"/>
                              <wps:cNvSpPr txBox="1"/>
                              <wps:spPr>
                                <a:xfrm>
                                  <a:off x="0" y="0"/>
                                  <a:ext cx="0" cy="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7DC992D">
                                    <w:r>
                                      <w:rPr>
                                        <w:rFonts w:hint="eastAsia"/>
                                      </w:rPr>
                                      <w:t>绷网</w:t>
                                    </w:r>
                                  </w:p>
                                </w:txbxContent>
                              </wps:txbx>
                              <wps:bodyPr upright="1"/>
                            </wps:wsp>
                            <wps:wsp>
                              <wps:cNvPr id="18" name="文本框 88"/>
                              <wps:cNvSpPr txBox="1"/>
                              <wps:spPr>
                                <a:xfrm>
                                  <a:off x="0" y="0"/>
                                  <a:ext cx="0" cy="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5E664C0">
                                    <w:r>
                                      <w:rPr>
                                        <w:rFonts w:hint="eastAsia"/>
                                      </w:rPr>
                                      <w:t>设计、制作菲林（外协）</w:t>
                                    </w:r>
                                  </w:p>
                                </w:txbxContent>
                              </wps:txbx>
                              <wps:bodyPr lIns="0" rIns="0" upright="1"/>
                            </wps:wsp>
                            <wps:wsp>
                              <wps:cNvPr id="19" name="文本框 89"/>
                              <wps:cNvSpPr txBox="1"/>
                              <wps:spPr>
                                <a:xfrm>
                                  <a:off x="0" y="0"/>
                                  <a:ext cx="0" cy="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E32ECFC">
                                    <w:r>
                                      <w:rPr>
                                        <w:rFonts w:hint="eastAsia"/>
                                      </w:rPr>
                                      <w:t>丝网印花</w:t>
                                    </w:r>
                                  </w:p>
                                </w:txbxContent>
                              </wps:txbx>
                              <wps:bodyPr upright="1"/>
                            </wps:wsp>
                            <wps:wsp>
                              <wps:cNvPr id="20" name="文本框 90"/>
                              <wps:cNvSpPr txBox="1"/>
                              <wps:spPr>
                                <a:xfrm>
                                  <a:off x="0" y="0"/>
                                  <a:ext cx="0" cy="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3090BDA">
                                    <w:r>
                                      <w:rPr>
                                        <w:rFonts w:hint="eastAsia"/>
                                      </w:rPr>
                                      <w:t>自然晾干/烘干</w:t>
                                    </w:r>
                                  </w:p>
                                </w:txbxContent>
                              </wps:txbx>
                              <wps:bodyPr lIns="0" tIns="46800" rIns="0" bIns="46800" upright="1"/>
                            </wps:wsp>
                            <wps:wsp>
                              <wps:cNvPr id="21" name="文本框 91"/>
                              <wps:cNvSpPr txBox="1"/>
                              <wps:spPr>
                                <a:xfrm>
                                  <a:off x="0" y="0"/>
                                  <a:ext cx="0" cy="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2CB6344">
                                    <w:r>
                                      <w:rPr>
                                        <w:rFonts w:hint="eastAsia"/>
                                      </w:rPr>
                                      <w:t>质检</w:t>
                                    </w:r>
                                  </w:p>
                                </w:txbxContent>
                              </wps:txbx>
                              <wps:bodyPr upright="1"/>
                            </wps:wsp>
                            <wps:wsp>
                              <wps:cNvPr id="22" name="文本框 92"/>
                              <wps:cNvSpPr txBox="1"/>
                              <wps:spPr>
                                <a:xfrm>
                                  <a:off x="0" y="0"/>
                                  <a:ext cx="0" cy="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13A4FDF">
                                    <w:r>
                                      <w:rPr>
                                        <w:rFonts w:hint="eastAsia"/>
                                      </w:rPr>
                                      <w:t>成品</w:t>
                                    </w:r>
                                  </w:p>
                                </w:txbxContent>
                              </wps:txbx>
                              <wps:bodyPr upright="1"/>
                            </wps:wsp>
                            <wps:wsp>
                              <wps:cNvPr id="23" name="直线 93"/>
                              <wps:cNvSpPr/>
                              <wps:spPr>
                                <a:xfrm flipV="1">
                                  <a:off x="0" y="0"/>
                                  <a:ext cx="0" cy="0"/>
                                </a:xfrm>
                                <a:prstGeom prst="line">
                                  <a:avLst/>
                                </a:prstGeom>
                                <a:ln w="9525" cap="flat" cmpd="sng">
                                  <a:solidFill>
                                    <a:srgbClr val="000000"/>
                                  </a:solidFill>
                                  <a:prstDash val="solid"/>
                                  <a:headEnd type="none" w="med" len="med"/>
                                  <a:tailEnd type="triangle" w="med" len="med"/>
                                </a:ln>
                              </wps:spPr>
                              <wps:bodyPr upright="1"/>
                            </wps:wsp>
                            <wps:wsp>
                              <wps:cNvPr id="24" name="直线 94"/>
                              <wps:cNvSpPr/>
                              <wps:spPr>
                                <a:xfrm>
                                  <a:off x="0" y="0"/>
                                  <a:ext cx="0" cy="0"/>
                                </a:xfrm>
                                <a:prstGeom prst="line">
                                  <a:avLst/>
                                </a:prstGeom>
                                <a:ln w="9525" cap="flat" cmpd="sng">
                                  <a:solidFill>
                                    <a:srgbClr val="000000"/>
                                  </a:solidFill>
                                  <a:prstDash val="solid"/>
                                  <a:headEnd type="none" w="med" len="med"/>
                                  <a:tailEnd type="triangle" w="med" len="med"/>
                                </a:ln>
                              </wps:spPr>
                              <wps:bodyPr upright="1"/>
                            </wps:wsp>
                            <wps:wsp>
                              <wps:cNvPr id="25" name="直线 95"/>
                              <wps:cNvSpPr/>
                              <wps:spPr>
                                <a:xfrm flipV="1">
                                  <a:off x="0" y="0"/>
                                  <a:ext cx="0" cy="0"/>
                                </a:xfrm>
                                <a:prstGeom prst="line">
                                  <a:avLst/>
                                </a:prstGeom>
                                <a:ln w="9525" cap="flat" cmpd="sng">
                                  <a:solidFill>
                                    <a:srgbClr val="000000"/>
                                  </a:solidFill>
                                  <a:prstDash val="solid"/>
                                  <a:headEnd type="none" w="med" len="med"/>
                                  <a:tailEnd type="triangle" w="med" len="med"/>
                                </a:ln>
                              </wps:spPr>
                              <wps:bodyPr upright="1"/>
                            </wps:wsp>
                            <wps:wsp>
                              <wps:cNvPr id="26" name="直线 96"/>
                              <wps:cNvSpPr/>
                              <wps:spPr>
                                <a:xfrm>
                                  <a:off x="0" y="0"/>
                                  <a:ext cx="0" cy="0"/>
                                </a:xfrm>
                                <a:prstGeom prst="line">
                                  <a:avLst/>
                                </a:prstGeom>
                                <a:ln w="9525" cap="flat" cmpd="sng">
                                  <a:solidFill>
                                    <a:srgbClr val="000000"/>
                                  </a:solidFill>
                                  <a:prstDash val="solid"/>
                                  <a:headEnd type="none" w="med" len="med"/>
                                  <a:tailEnd type="triangle" w="med" len="med"/>
                                </a:ln>
                              </wps:spPr>
                              <wps:bodyPr upright="1"/>
                            </wps:wsp>
                            <wps:wsp>
                              <wps:cNvPr id="27" name="直线 97"/>
                              <wps:cNvSpPr/>
                              <wps:spPr>
                                <a:xfrm flipV="1">
                                  <a:off x="0" y="0"/>
                                  <a:ext cx="0" cy="0"/>
                                </a:xfrm>
                                <a:prstGeom prst="line">
                                  <a:avLst/>
                                </a:prstGeom>
                                <a:ln w="9525" cap="flat" cmpd="sng">
                                  <a:solidFill>
                                    <a:srgbClr val="000000"/>
                                  </a:solidFill>
                                  <a:prstDash val="solid"/>
                                  <a:headEnd type="triangle" w="med" len="med"/>
                                  <a:tailEnd type="none" w="med" len="med"/>
                                </a:ln>
                              </wps:spPr>
                              <wps:bodyPr upright="1"/>
                            </wps:wsp>
                            <wps:wsp>
                              <wps:cNvPr id="28" name="直线 98"/>
                              <wps:cNvSpPr/>
                              <wps:spPr>
                                <a:xfrm flipV="1">
                                  <a:off x="0" y="0"/>
                                  <a:ext cx="0" cy="0"/>
                                </a:xfrm>
                                <a:prstGeom prst="line">
                                  <a:avLst/>
                                </a:prstGeom>
                                <a:ln w="9525" cap="flat" cmpd="sng">
                                  <a:solidFill>
                                    <a:srgbClr val="000000"/>
                                  </a:solidFill>
                                  <a:prstDash val="solid"/>
                                  <a:headEnd type="triangle" w="med" len="med"/>
                                  <a:tailEnd type="none" w="med" len="med"/>
                                </a:ln>
                              </wps:spPr>
                              <wps:bodyPr upright="1"/>
                            </wps:wsp>
                            <wps:wsp>
                              <wps:cNvPr id="29" name="直线 99"/>
                              <wps:cNvSpPr/>
                              <wps:spPr>
                                <a:xfrm flipH="1">
                                  <a:off x="0" y="0"/>
                                  <a:ext cx="0" cy="0"/>
                                </a:xfrm>
                                <a:prstGeom prst="line">
                                  <a:avLst/>
                                </a:prstGeom>
                                <a:ln w="9525" cap="flat" cmpd="sng">
                                  <a:solidFill>
                                    <a:srgbClr val="000000"/>
                                  </a:solidFill>
                                  <a:prstDash val="dash"/>
                                  <a:headEnd type="triangle" w="med" len="med"/>
                                  <a:tailEnd type="none" w="med" len="med"/>
                                </a:ln>
                              </wps:spPr>
                              <wps:bodyPr upright="1"/>
                            </wps:wsp>
                            <wps:wsp>
                              <wps:cNvPr id="30" name="文本框 100"/>
                              <wps:cNvSpPr txBox="1"/>
                              <wps:spPr>
                                <a:xfrm>
                                  <a:off x="0" y="0"/>
                                  <a:ext cx="0" cy="0"/>
                                </a:xfrm>
                                <a:prstGeom prst="rect">
                                  <a:avLst/>
                                </a:prstGeom>
                                <a:noFill/>
                                <a:ln>
                                  <a:noFill/>
                                </a:ln>
                              </wps:spPr>
                              <wps:txbx>
                                <w:txbxContent>
                                  <w:p w14:paraId="536DD716">
                                    <w:pPr>
                                      <w:jc w:val="center"/>
                                    </w:pPr>
                                    <w:r>
                                      <w:rPr>
                                        <w:rFonts w:hint="eastAsia"/>
                                      </w:rPr>
                                      <w:t>废气、废水、固废</w:t>
                                    </w:r>
                                  </w:p>
                                </w:txbxContent>
                              </wps:txbx>
                              <wps:bodyPr lIns="0" tIns="0" rIns="0" bIns="0" upright="1"/>
                            </wps:wsp>
                            <wps:wsp>
                              <wps:cNvPr id="31" name="文本框 101"/>
                              <wps:cNvSpPr txBox="1"/>
                              <wps:spPr>
                                <a:xfrm>
                                  <a:off x="0" y="0"/>
                                  <a:ext cx="0" cy="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1F57A94">
                                    <w:r>
                                      <w:rPr>
                                        <w:rFonts w:hint="eastAsia"/>
                                      </w:rPr>
                                      <w:t>车缝</w:t>
                                    </w:r>
                                  </w:p>
                                </w:txbxContent>
                              </wps:txbx>
                              <wps:bodyPr upright="1"/>
                            </wps:wsp>
                            <wps:wsp>
                              <wps:cNvPr id="32" name="直线 102"/>
                              <wps:cNvSpPr/>
                              <wps:spPr>
                                <a:xfrm flipV="1">
                                  <a:off x="0" y="0"/>
                                  <a:ext cx="0" cy="0"/>
                                </a:xfrm>
                                <a:prstGeom prst="line">
                                  <a:avLst/>
                                </a:prstGeom>
                                <a:ln w="9525" cap="flat" cmpd="sng">
                                  <a:solidFill>
                                    <a:srgbClr val="000000"/>
                                  </a:solidFill>
                                  <a:prstDash val="solid"/>
                                  <a:headEnd type="triangle" w="med" len="med"/>
                                  <a:tailEnd type="none" w="med" len="med"/>
                                </a:ln>
                              </wps:spPr>
                              <wps:bodyPr upright="1"/>
                            </wps:wsp>
                            <wps:wsp>
                              <wps:cNvPr id="33" name="直线 103"/>
                              <wps:cNvSpPr/>
                              <wps:spPr>
                                <a:xfrm flipH="1">
                                  <a:off x="0" y="0"/>
                                  <a:ext cx="0" cy="0"/>
                                </a:xfrm>
                                <a:prstGeom prst="line">
                                  <a:avLst/>
                                </a:prstGeom>
                                <a:ln w="9525" cap="flat" cmpd="sng">
                                  <a:solidFill>
                                    <a:srgbClr val="000000"/>
                                  </a:solidFill>
                                  <a:prstDash val="dash"/>
                                  <a:headEnd type="triangle" w="med" len="med"/>
                                  <a:tailEnd type="none" w="med" len="med"/>
                                </a:ln>
                              </wps:spPr>
                              <wps:bodyPr upright="1"/>
                            </wps:wsp>
                            <wps:wsp>
                              <wps:cNvPr id="34" name="文本框 104"/>
                              <wps:cNvSpPr txBox="1"/>
                              <wps:spPr>
                                <a:xfrm>
                                  <a:off x="0" y="0"/>
                                  <a:ext cx="0" cy="0"/>
                                </a:xfrm>
                                <a:prstGeom prst="rect">
                                  <a:avLst/>
                                </a:prstGeom>
                                <a:noFill/>
                                <a:ln>
                                  <a:noFill/>
                                </a:ln>
                              </wps:spPr>
                              <wps:txbx>
                                <w:txbxContent>
                                  <w:p w14:paraId="222CED8A">
                                    <w:pPr>
                                      <w:jc w:val="center"/>
                                    </w:pPr>
                                    <w:r>
                                      <w:rPr>
                                        <w:rFonts w:hint="eastAsia"/>
                                      </w:rPr>
                                      <w:t>废气</w:t>
                                    </w:r>
                                  </w:p>
                                </w:txbxContent>
                              </wps:txbx>
                              <wps:bodyPr lIns="0" tIns="0" rIns="0" bIns="0" upright="1"/>
                            </wps:wsp>
                          </wpg:wgp>
                        </a:graphicData>
                      </a:graphic>
                    </wp:anchor>
                  </w:drawing>
                </mc:Choice>
                <mc:Fallback>
                  <w:pict>
                    <v:group id="组合 85" o:spid="_x0000_s1026" o:spt="203" style="position:absolute;left:0pt;margin-left:19.65pt;margin-top:21.95pt;height:92.55pt;width:385pt;z-index:251661312;mso-width-relative:page;mso-height-relative:page;" coordorigin="2721,354210" coordsize="7700,1851" o:gfxdata="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">
                      <o:lock v:ext="edit" aspectratio="f"/>
                      <v:shape id="文本框 86" o:spid="_x0000_s1026" o:spt="202" type="#_x0000_t202" style="position:absolute;left:0;top:0;height:0;width:0;" fillcolor="#FFFFFF" filled="t" stroked="f" coordsize="21600,21600" o:gfxdata="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HL3lZ22AAAA2wAAAA8A&#10;AAAAAAAAAQAgAAAAIgAAAGRycy9kb3ducmV2LnhtbFBLAQIUABQAAAAIAIdO4kAzLwWeOwAAADkA&#10;AAAQAAAAAAAAAAEAIAAAAAUBAABkcnMvc2hhcGV4bWwueG1sUEsFBgAAAAAGAAYAWwEAAK8DAAAA&#10;AA==&#10;">
                        <v:fill on="t" focussize="0,0"/>
                        <v:stroke on="f"/>
                        <v:imagedata o:title=""/>
                        <o:lock v:ext="edit" aspectratio="f"/>
                        <v:textbox>
                          <w:txbxContent>
                            <w:p w14:paraId="6937094E">
                              <w:r>
                                <w:rPr>
                                  <w:rFonts w:hint="eastAsia"/>
                                </w:rPr>
                                <w:t>网版</w:t>
                              </w:r>
                            </w:p>
                          </w:txbxContent>
                        </v:textbox>
                      </v:shape>
                      <v:shape id="文本框 87" o:spid="_x0000_s1026" o:spt="202" type="#_x0000_t202" style="position:absolute;left:0;top:0;height:0;width:0;" fillcolor="#FFFFFF" filled="t" stroked="t" coordsize="21600,21600" o:gfxdata="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atR628AAAA&#10;2w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27DC992D">
                              <w:r>
                                <w:rPr>
                                  <w:rFonts w:hint="eastAsia"/>
                                </w:rPr>
                                <w:t>绷网</w:t>
                              </w:r>
                            </w:p>
                          </w:txbxContent>
                        </v:textbox>
                      </v:shape>
                      <v:shape id="文本框 88" o:spid="_x0000_s1026" o:spt="202" type="#_x0000_t202" style="position:absolute;left:0;top:0;height:0;width:0;" fillcolor="#FFFFFF" filled="t" stroked="t" coordsize="21600,21600" o:gfxdata="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SBxBO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inset="0mm,1.27mm,0mm,1.27mm">
                          <w:txbxContent>
                            <w:p w14:paraId="45E664C0">
                              <w:r>
                                <w:rPr>
                                  <w:rFonts w:hint="eastAsia"/>
                                </w:rPr>
                                <w:t>设计、制作菲林（外协）</w:t>
                              </w:r>
                            </w:p>
                          </w:txbxContent>
                        </v:textbox>
                      </v:shape>
                      <v:shape id="文本框 89" o:spid="_x0000_s1026" o:spt="202" type="#_x0000_t202" style="position:absolute;left:0;top:0;height:0;width:0;" fillcolor="#FFFFFF" filled="t" stroked="t" coordsize="21600,21600" o:gfxdata="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h+dkS8AAAA&#10;2w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3E32ECFC">
                              <w:r>
                                <w:rPr>
                                  <w:rFonts w:hint="eastAsia"/>
                                </w:rPr>
                                <w:t>丝网印花</w:t>
                              </w:r>
                            </w:p>
                          </w:txbxContent>
                        </v:textbox>
                      </v:shape>
                      <v:shape id="文本框 90" o:spid="_x0000_s1026" o:spt="202" type="#_x0000_t202" style="position:absolute;left:0;top:0;height:0;width:0;" fillcolor="#FFFFFF" filled="t" stroked="t" coordsize="21600,21600" o:gfxdata="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sJ47nrgAAADbAAAA&#10;DwAAAAAAAAABACAAAAAiAAAAZHJzL2Rvd25yZXYueG1sUEsBAhQAFAAAAAgAh07iQDMvBZ47AAAA&#10;OQAAABAAAAAAAAAAAQAgAAAABwEAAGRycy9zaGFwZXhtbC54bWxQSwUGAAAAAAYABgBbAQAAsQMA&#10;AAAA&#10;">
                        <v:fill on="t" focussize="0,0"/>
                        <v:stroke color="#000000" joinstyle="miter"/>
                        <v:imagedata o:title=""/>
                        <o:lock v:ext="edit" aspectratio="f"/>
                        <v:textbox inset="0mm,1.3mm,0mm,1.3mm">
                          <w:txbxContent>
                            <w:p w14:paraId="73090BDA">
                              <w:r>
                                <w:rPr>
                                  <w:rFonts w:hint="eastAsia"/>
                                </w:rPr>
                                <w:t>自然晾干/烘干</w:t>
                              </w:r>
                            </w:p>
                          </w:txbxContent>
                        </v:textbox>
                      </v:shape>
                      <v:shape id="文本框 91" o:spid="_x0000_s1026" o:spt="202" type="#_x0000_t202" style="position:absolute;left:0;top:0;height:0;width:0;" fillcolor="#FFFFFF" filled="t" stroked="t" coordsize="21600,21600" o:gfxdata="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GSw/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52CB6344">
                              <w:r>
                                <w:rPr>
                                  <w:rFonts w:hint="eastAsia"/>
                                </w:rPr>
                                <w:t>质检</w:t>
                              </w:r>
                            </w:p>
                          </w:txbxContent>
                        </v:textbox>
                      </v:shape>
                      <v:shape id="文本框 92" o:spid="_x0000_s1026" o:spt="202" type="#_x0000_t202" style="position:absolute;left:0;top:0;height:0;width:0;" fillcolor="#FFFFFF" filled="t" stroked="t" coordsize="21600,21600" o:gfxdata="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LYuiL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613A4FDF">
                              <w:r>
                                <w:rPr>
                                  <w:rFonts w:hint="eastAsia"/>
                                </w:rPr>
                                <w:t>成品</w:t>
                              </w:r>
                            </w:p>
                          </w:txbxContent>
                        </v:textbox>
                      </v:shape>
                      <v:line id="直线 93" o:spid="_x0000_s1026" o:spt="20" style="position:absolute;left:0;top:0;flip:y;height:0;width:0;" filled="f" stroked="t" coordsize="21600,21600" o:gfxdata="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3Mjr2/&#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直线 94" o:spid="_x0000_s1026" o:spt="20" style="position:absolute;left:0;top:0;height:0;width:0;" filled="f" stroked="t" coordsize="21600,21600" o:gfxdata="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j+MBW/&#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直线 95" o:spid="_x0000_s1026" o:spt="20" style="position:absolute;left:0;top:0;flip:y;height:0;width:0;" filled="f" stroked="t" coordsize="21600,21600" o:gfxdata="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WmzUr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线 96" o:spid="_x0000_s1026" o:spt="20" style="position:absolute;left:0;top:0;height:0;width:0;" filled="f" stroked="t" coordsize="21600,21600" o:gfxdata="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2AL+b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线 97" o:spid="_x0000_s1026" o:spt="20" style="position:absolute;left:0;top:0;flip:y;height:0;width:0;" filled="f" stroked="t" coordsize="21600,21600" o:gfxdata="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EOEzL4A&#10;AADbAAAADwAAAAAAAAABACAAAAAiAAAAZHJzL2Rvd25yZXYueG1sUEsBAhQAFAAAAAgAh07iQDMv&#10;BZ47AAAAOQAAABAAAAAAAAAAAQAgAAAADQEAAGRycy9zaGFwZXhtbC54bWxQSwUGAAAAAAYABgBb&#10;AQAAtwMAAAAA&#10;">
                        <v:fill on="f" focussize="0,0"/>
                        <v:stroke color="#000000" joinstyle="round" startarrow="block"/>
                        <v:imagedata o:title=""/>
                        <o:lock v:ext="edit" aspectratio="f"/>
                      </v:line>
                      <v:line id="直线 98" o:spid="_x0000_s1026" o:spt="20" style="position:absolute;left:0;top:0;flip:y;height:0;width:0;" filled="f" stroked="t" coordsize="21600,21600" o:gfxdata="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HcEL65AAAA2wAA&#10;AA8AAAAAAAAAAQAgAAAAIgAAAGRycy9kb3ducmV2LnhtbFBLAQIUABQAAAAIAIdO4kAzLwWeOwAA&#10;ADkAAAAQAAAAAAAAAAEAIAAAAAgBAABkcnMvc2hhcGV4bWwueG1sUEsFBgAAAAAGAAYAWwEAALID&#10;AAAAAA==&#10;">
                        <v:fill on="f" focussize="0,0"/>
                        <v:stroke color="#000000" joinstyle="round" startarrow="block"/>
                        <v:imagedata o:title=""/>
                        <o:lock v:ext="edit" aspectratio="f"/>
                      </v:line>
                      <v:line id="直线 99" o:spid="_x0000_s1026" o:spt="20" style="position:absolute;left:0;top:0;flip:x;height:0;width:0;" filled="f" stroked="t" coordsize="21600,21600" o:gfxdata="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qT28b4A&#10;AADbAAAADwAAAAAAAAABACAAAAAiAAAAZHJzL2Rvd25yZXYueG1sUEsBAhQAFAAAAAgAh07iQDMv&#10;BZ47AAAAOQAAABAAAAAAAAAAAQAgAAAADQEAAGRycy9zaGFwZXhtbC54bWxQSwUGAAAAAAYABgBb&#10;AQAAtwMAAAAA&#10;">
                        <v:fill on="f" focussize="0,0"/>
                        <v:stroke color="#000000" joinstyle="round" dashstyle="dash" startarrow="block"/>
                        <v:imagedata o:title=""/>
                        <o:lock v:ext="edit" aspectratio="f"/>
                      </v:line>
                      <v:shape id="文本框 100" o:spid="_x0000_s1026" o:spt="202" type="#_x0000_t202" style="position:absolute;left:0;top:0;height:0;width:0;" filled="f" stroked="f" coordsize="21600,21600" o:gfxdata="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Bv63Y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w:txbxContent>
                            <w:p w14:paraId="536DD716">
                              <w:pPr>
                                <w:jc w:val="center"/>
                              </w:pPr>
                              <w:r>
                                <w:rPr>
                                  <w:rFonts w:hint="eastAsia"/>
                                </w:rPr>
                                <w:t>废气、废水、固废</w:t>
                              </w:r>
                            </w:p>
                          </w:txbxContent>
                        </v:textbox>
                      </v:shape>
                      <v:shape id="文本框 101" o:spid="_x0000_s1026" o:spt="202" type="#_x0000_t202" style="position:absolute;left:0;top:0;height:0;width:0;" fillcolor="#FFFFFF" filled="t" stroked="t" coordsize="21600,21600" o:gfxdata="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b0mI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31F57A94">
                              <w:r>
                                <w:rPr>
                                  <w:rFonts w:hint="eastAsia"/>
                                </w:rPr>
                                <w:t>车缝</w:t>
                              </w:r>
                            </w:p>
                          </w:txbxContent>
                        </v:textbox>
                      </v:shape>
                      <v:line id="直线 102" o:spid="_x0000_s1026" o:spt="20" style="position:absolute;left:0;top:0;flip:y;height:0;width:0;" filled="f" stroked="t" coordsize="21600,21600" o:gfxdata="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e2xibsAAADb&#10;AAAADwAAAAAAAAABACAAAAAiAAAAZHJzL2Rvd25yZXYueG1sUEsBAhQAFAAAAAgAh07iQDMvBZ47&#10;AAAAOQAAABAAAAAAAAAAAQAgAAAACgEAAGRycy9zaGFwZXhtbC54bWxQSwUGAAAAAAYABgBbAQAA&#10;tAMAAAAA&#10;">
                        <v:fill on="f" focussize="0,0"/>
                        <v:stroke color="#000000" joinstyle="round" startarrow="block"/>
                        <v:imagedata o:title=""/>
                        <o:lock v:ext="edit" aspectratio="f"/>
                      </v:line>
                      <v:line id="直线 103" o:spid="_x0000_s1026" o:spt="20" style="position:absolute;left:0;top:0;flip:x;height:0;width:0;" filled="f" stroked="t" coordsize="21600,21600" o:gfxdata="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pVXxr4A&#10;AADbAAAADwAAAAAAAAABACAAAAAiAAAAZHJzL2Rvd25yZXYueG1sUEsBAhQAFAAAAAgAh07iQDMv&#10;BZ47AAAAOQAAABAAAAAAAAAAAQAgAAAADQEAAGRycy9zaGFwZXhtbC54bWxQSwUGAAAAAAYABgBb&#10;AQAAtwMAAAAA&#10;">
                        <v:fill on="f" focussize="0,0"/>
                        <v:stroke color="#000000" joinstyle="round" dashstyle="dash" startarrow="block"/>
                        <v:imagedata o:title=""/>
                        <o:lock v:ext="edit" aspectratio="f"/>
                      </v:line>
                      <v:shape id="文本框 104" o:spid="_x0000_s1026" o:spt="202" type="#_x0000_t202" style="position:absolute;left:0;top:0;height:0;width:0;" filled="f" stroked="f" coordsize="21600,21600" o:gfxdata="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oSr27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222CED8A">
                              <w:pPr>
                                <w:jc w:val="center"/>
                              </w:pPr>
                              <w:r>
                                <w:rPr>
                                  <w:rFonts w:hint="eastAsia"/>
                                </w:rPr>
                                <w:t>废气</w:t>
                              </w:r>
                            </w:p>
                          </w:txbxContent>
                        </v:textbox>
                      </v:shape>
                    </v:group>
                  </w:pict>
                </mc:Fallback>
              </mc:AlternateContent>
            </w:r>
            <w:r>
              <w:rPr>
                <w:b/>
                <w:sz w:val="24"/>
                <w:u w:val="single"/>
              </w:rPr>
              <w:t>（2）</w:t>
            </w:r>
            <w:r>
              <w:rPr>
                <w:b/>
                <w:bCs/>
                <w:sz w:val="24"/>
                <w:u w:val="single"/>
              </w:rPr>
              <w:t>熬制：破碎后的物料</w:t>
            </w:r>
            <w:r>
              <w:rPr>
                <w:b/>
                <w:kern w:val="0"/>
                <w:sz w:val="24"/>
                <w:u w:val="single"/>
              </w:rPr>
              <w:t>从粉碎机出料口卸出后经螺旋输送机输送至熬制炉内，熬制炉常压密闭运行，</w:t>
            </w:r>
            <w:r>
              <w:rPr>
                <w:rFonts w:hint="eastAsia"/>
                <w:b/>
                <w:kern w:val="0"/>
                <w:sz w:val="24"/>
                <w:u w:val="single"/>
              </w:rPr>
              <w:t>炉</w:t>
            </w:r>
            <w:r>
              <w:rPr>
                <w:b/>
                <w:kern w:val="0"/>
                <w:sz w:val="24"/>
                <w:u w:val="single"/>
              </w:rPr>
              <w:t>内的物料在260℃的温度下熬制4h左右，实现油脂、水、油渣分离。通过视镜观察油脂泛起黄色泡沫即可打开下料口，观察油渣的干湿度、油脂起泡油渣成硬状后关闭加热阀门。热源由</w:t>
            </w:r>
            <w:r>
              <w:rPr>
                <w:rFonts w:hint="eastAsia"/>
                <w:b/>
                <w:kern w:val="0"/>
                <w:sz w:val="24"/>
                <w:u w:val="single"/>
              </w:rPr>
              <w:t>1台2.1</w:t>
            </w:r>
            <w:r>
              <w:rPr>
                <w:b/>
                <w:kern w:val="0"/>
                <w:sz w:val="24"/>
                <w:u w:val="single"/>
              </w:rPr>
              <w:t>MW和</w:t>
            </w:r>
            <w:r>
              <w:rPr>
                <w:rFonts w:hint="eastAsia"/>
                <w:b/>
                <w:kern w:val="0"/>
                <w:sz w:val="24"/>
                <w:u w:val="single"/>
              </w:rPr>
              <w:t>1台1.4</w:t>
            </w:r>
            <w:r>
              <w:rPr>
                <w:b/>
                <w:kern w:val="0"/>
                <w:sz w:val="24"/>
                <w:u w:val="single"/>
              </w:rPr>
              <w:t>MW</w:t>
            </w:r>
            <w:r>
              <w:rPr>
                <w:rFonts w:hint="eastAsia" w:ascii="宋体" w:cs="宋体"/>
                <w:b/>
                <w:kern w:val="0"/>
                <w:sz w:val="24"/>
                <w:u w:val="single"/>
              </w:rPr>
              <w:t>导热油锅炉燃烧天然气加热导热油来间接供热。</w:t>
            </w:r>
            <w:r>
              <w:rPr>
                <w:rFonts w:hint="eastAsia"/>
                <w:b/>
                <w:bCs/>
                <w:sz w:val="24"/>
                <w:u w:val="single"/>
              </w:rPr>
              <w:t>此过程中会产生废气、噪声及固废。</w:t>
            </w:r>
          </w:p>
          <w:p w14:paraId="1E426E4B">
            <w:pPr>
              <w:snapToGrid w:val="0"/>
              <w:spacing w:line="360" w:lineRule="auto"/>
              <w:ind w:firstLine="482" w:firstLineChars="200"/>
              <w:rPr>
                <w:b/>
                <w:bCs/>
                <w:sz w:val="24"/>
                <w:u w:val="single"/>
              </w:rPr>
            </w:pPr>
            <w:r>
              <w:rPr>
                <w:rFonts w:hint="eastAsia"/>
                <w:b/>
                <w:bCs/>
                <w:sz w:val="24"/>
                <w:u w:val="single"/>
              </w:rPr>
              <w:t>熬制废气含大量高温水蒸气，为了保证后续废气处理效率，熬制废气经循环冷却水间接冷却，冷凝出废气中大部分水分，冷却后尾气进废气处理装置。冷凝废水经管道排入厂区废水处理站进行进一步处理。</w:t>
            </w:r>
          </w:p>
          <w:p w14:paraId="26C3B04A">
            <w:pPr>
              <w:adjustRightInd w:val="0"/>
              <w:snapToGrid w:val="0"/>
              <w:spacing w:line="360" w:lineRule="auto"/>
              <w:ind w:firstLine="480" w:firstLineChars="200"/>
              <w:rPr>
                <w:bCs/>
                <w:sz w:val="24"/>
              </w:rPr>
            </w:pPr>
            <w:r>
              <w:rPr>
                <w:rFonts w:hint="eastAsia"/>
                <w:bCs/>
                <w:sz w:val="24"/>
              </w:rPr>
              <w:t>（3）油渣分离：当熬制达到预定效果后，打开油渣出口处的阀门，经油渣分离机将熬制后的油渣混合物进行油渣分离。本项目采用筛板油渣分离刮板，增加油渣分离淋干时间，有效的将油渣表皮油脂进行分离。经刮板分离后，分离出的油脂在重力作用下流入油脂暂存池；被刮板机截留下的固体部分进入加热锅内保温，便于下一步处理。此过程中会产生废气、噪声。</w:t>
            </w:r>
          </w:p>
          <w:p w14:paraId="77521C55">
            <w:pPr>
              <w:adjustRightInd w:val="0"/>
              <w:snapToGrid w:val="0"/>
              <w:spacing w:line="360" w:lineRule="auto"/>
              <w:ind w:firstLine="480" w:firstLineChars="200"/>
              <w:rPr>
                <w:bCs/>
                <w:sz w:val="24"/>
              </w:rPr>
            </w:pPr>
            <w:r>
              <w:rPr>
                <w:rFonts w:hint="eastAsia"/>
                <w:bCs/>
                <w:sz w:val="24"/>
              </w:rPr>
              <w:t>（4）压饼、油脂入罐：油渣分离后的固体部分在加热锅（保温温度约120</w:t>
            </w:r>
            <w:r>
              <w:rPr>
                <w:kern w:val="0"/>
                <w:sz w:val="24"/>
              </w:rPr>
              <w:t>℃</w:t>
            </w:r>
            <w:r>
              <w:rPr>
                <w:rFonts w:hint="eastAsia"/>
                <w:bCs/>
                <w:sz w:val="24"/>
              </w:rPr>
              <w:t>）内暂存后经螺旋输送机送入压饼机内进行二次油渣分离，压榨出来的液体油脂经管道送入油脂暂存池，再经管道泵入储油罐进行储存；压榨出的固体油渣饼在油渣暂存间内储存。此过程中会产生噪声及固废。</w:t>
            </w:r>
          </w:p>
          <w:p w14:paraId="44544FBE">
            <w:pPr>
              <w:spacing w:line="360" w:lineRule="auto"/>
              <w:ind w:firstLine="480" w:firstLineChars="200"/>
              <w:jc w:val="left"/>
              <w:rPr>
                <w:rFonts w:ascii="宋体" w:cs="宋体"/>
                <w:kern w:val="0"/>
                <w:sz w:val="24"/>
              </w:rPr>
            </w:pPr>
            <w:r>
              <w:rPr>
                <w:rFonts w:hint="eastAsia"/>
                <w:kern w:val="0"/>
                <w:sz w:val="24"/>
              </w:rPr>
              <w:t>项目厂区</w:t>
            </w:r>
            <w:r>
              <w:rPr>
                <w:kern w:val="0"/>
                <w:sz w:val="24"/>
              </w:rPr>
              <w:t>设置</w:t>
            </w:r>
            <w:r>
              <w:rPr>
                <w:rFonts w:hint="eastAsia"/>
                <w:kern w:val="0"/>
                <w:sz w:val="24"/>
              </w:rPr>
              <w:t>1台2.1</w:t>
            </w:r>
            <w:r>
              <w:rPr>
                <w:kern w:val="0"/>
                <w:sz w:val="24"/>
              </w:rPr>
              <w:t>MW和</w:t>
            </w:r>
            <w:r>
              <w:rPr>
                <w:rFonts w:hint="eastAsia"/>
                <w:kern w:val="0"/>
                <w:sz w:val="24"/>
              </w:rPr>
              <w:t>1台1.4</w:t>
            </w:r>
            <w:r>
              <w:rPr>
                <w:kern w:val="0"/>
                <w:sz w:val="24"/>
              </w:rPr>
              <w:t>MW</w:t>
            </w:r>
            <w:r>
              <w:rPr>
                <w:rFonts w:hint="eastAsia" w:ascii="宋体" w:cs="宋体"/>
                <w:kern w:val="0"/>
                <w:sz w:val="24"/>
              </w:rPr>
              <w:t>导热油锅炉燃烧天然气加热导热油来间接供热，加热锅及冬季储油罐均依托该热源保温。</w:t>
            </w:r>
          </w:p>
          <w:p w14:paraId="59CEDBDE">
            <w:pPr>
              <w:spacing w:line="360" w:lineRule="auto"/>
              <w:ind w:firstLine="480" w:firstLineChars="200"/>
              <w:jc w:val="left"/>
              <w:rPr>
                <w:rFonts w:ascii="宋体" w:cs="宋体"/>
                <w:kern w:val="0"/>
                <w:sz w:val="24"/>
              </w:rPr>
            </w:pPr>
          </w:p>
          <w:p w14:paraId="083CF115">
            <w:pPr>
              <w:spacing w:line="360" w:lineRule="auto"/>
              <w:ind w:firstLine="482" w:firstLineChars="200"/>
              <w:jc w:val="left"/>
              <w:rPr>
                <w:b/>
                <w:sz w:val="24"/>
              </w:rPr>
            </w:pPr>
            <w:r>
              <w:rPr>
                <w:rFonts w:hint="eastAsia"/>
                <w:b/>
                <w:sz w:val="24"/>
              </w:rPr>
              <w:t>3、主要污染工序</w:t>
            </w:r>
          </w:p>
          <w:p w14:paraId="513FE0B0">
            <w:pPr>
              <w:pStyle w:val="11"/>
              <w:spacing w:line="360" w:lineRule="auto"/>
              <w:ind w:firstLine="480"/>
              <w:rPr>
                <w:sz w:val="24"/>
              </w:rPr>
            </w:pPr>
            <w:r>
              <w:rPr>
                <w:rFonts w:hint="eastAsia"/>
                <w:sz w:val="24"/>
              </w:rPr>
              <w:t>项目运营期主要污染物类型及产污环节详见表12。</w:t>
            </w:r>
          </w:p>
          <w:p w14:paraId="7FEE4C83">
            <w:pPr>
              <w:snapToGrid w:val="0"/>
              <w:jc w:val="center"/>
              <w:rPr>
                <w:b/>
                <w:sz w:val="24"/>
              </w:rPr>
            </w:pPr>
            <w:r>
              <w:rPr>
                <w:rFonts w:hint="eastAsia"/>
                <w:b/>
                <w:sz w:val="24"/>
              </w:rPr>
              <w:t>表12   项目运营期主要污染物类型及产污环节一览表</w:t>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131"/>
              <w:gridCol w:w="3120"/>
              <w:gridCol w:w="4348"/>
            </w:tblGrid>
            <w:tr w14:paraId="042D0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58" w:type="pct"/>
                  <w:tcBorders>
                    <w:top w:val="single" w:color="auto" w:sz="4" w:space="0"/>
                    <w:left w:val="single" w:color="auto" w:sz="4" w:space="0"/>
                    <w:bottom w:val="single" w:color="auto" w:sz="4" w:space="0"/>
                    <w:right w:val="single" w:color="auto" w:sz="4" w:space="0"/>
                  </w:tcBorders>
                  <w:vAlign w:val="center"/>
                </w:tcPr>
                <w:p w14:paraId="6985C984">
                  <w:pPr>
                    <w:jc w:val="center"/>
                    <w:rPr>
                      <w:szCs w:val="21"/>
                    </w:rPr>
                  </w:pPr>
                  <w:r>
                    <w:rPr>
                      <w:rFonts w:hint="eastAsia"/>
                      <w:szCs w:val="21"/>
                    </w:rPr>
                    <w:t>类别</w:t>
                  </w:r>
                </w:p>
              </w:tc>
              <w:tc>
                <w:tcPr>
                  <w:tcW w:w="1814" w:type="pct"/>
                  <w:tcBorders>
                    <w:top w:val="single" w:color="auto" w:sz="4" w:space="0"/>
                    <w:left w:val="single" w:color="auto" w:sz="4" w:space="0"/>
                    <w:bottom w:val="single" w:color="auto" w:sz="4" w:space="0"/>
                    <w:right w:val="single" w:color="auto" w:sz="4" w:space="0"/>
                  </w:tcBorders>
                  <w:vAlign w:val="center"/>
                </w:tcPr>
                <w:p w14:paraId="23C8C01E">
                  <w:pPr>
                    <w:jc w:val="center"/>
                    <w:rPr>
                      <w:szCs w:val="21"/>
                    </w:rPr>
                  </w:pPr>
                  <w:r>
                    <w:rPr>
                      <w:rFonts w:hint="eastAsia"/>
                      <w:szCs w:val="21"/>
                    </w:rPr>
                    <w:t>污染源</w:t>
                  </w:r>
                </w:p>
              </w:tc>
              <w:tc>
                <w:tcPr>
                  <w:tcW w:w="2528" w:type="pct"/>
                  <w:tcBorders>
                    <w:top w:val="single" w:color="auto" w:sz="4" w:space="0"/>
                    <w:left w:val="single" w:color="auto" w:sz="4" w:space="0"/>
                    <w:bottom w:val="single" w:color="auto" w:sz="4" w:space="0"/>
                    <w:right w:val="single" w:color="auto" w:sz="4" w:space="0"/>
                  </w:tcBorders>
                  <w:vAlign w:val="center"/>
                </w:tcPr>
                <w:p w14:paraId="21439D3E">
                  <w:pPr>
                    <w:jc w:val="center"/>
                    <w:rPr>
                      <w:szCs w:val="21"/>
                    </w:rPr>
                  </w:pPr>
                  <w:r>
                    <w:rPr>
                      <w:rFonts w:hint="eastAsia"/>
                      <w:szCs w:val="21"/>
                    </w:rPr>
                    <w:t>污染因子</w:t>
                  </w:r>
                </w:p>
              </w:tc>
            </w:tr>
            <w:tr w14:paraId="6950B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58" w:type="pct"/>
                  <w:vMerge w:val="restart"/>
                  <w:tcBorders>
                    <w:top w:val="single" w:color="auto" w:sz="4" w:space="0"/>
                    <w:left w:val="single" w:color="auto" w:sz="4" w:space="0"/>
                    <w:right w:val="single" w:color="auto" w:sz="4" w:space="0"/>
                  </w:tcBorders>
                  <w:vAlign w:val="center"/>
                </w:tcPr>
                <w:p w14:paraId="03CC24DA">
                  <w:pPr>
                    <w:jc w:val="center"/>
                    <w:rPr>
                      <w:szCs w:val="21"/>
                    </w:rPr>
                  </w:pPr>
                  <w:r>
                    <w:rPr>
                      <w:rFonts w:hint="eastAsia"/>
                      <w:szCs w:val="21"/>
                    </w:rPr>
                    <w:t>废气</w:t>
                  </w:r>
                </w:p>
              </w:tc>
              <w:tc>
                <w:tcPr>
                  <w:tcW w:w="1814" w:type="pct"/>
                  <w:tcBorders>
                    <w:top w:val="single" w:color="auto" w:sz="4" w:space="0"/>
                    <w:left w:val="single" w:color="auto" w:sz="4" w:space="0"/>
                    <w:bottom w:val="single" w:color="auto" w:sz="4" w:space="0"/>
                    <w:right w:val="single" w:color="auto" w:sz="4" w:space="0"/>
                  </w:tcBorders>
                  <w:vAlign w:val="center"/>
                </w:tcPr>
                <w:p w14:paraId="55DFCBAF">
                  <w:pPr>
                    <w:jc w:val="center"/>
                    <w:rPr>
                      <w:b/>
                      <w:szCs w:val="21"/>
                      <w:u w:val="single"/>
                    </w:rPr>
                  </w:pPr>
                  <w:r>
                    <w:rPr>
                      <w:rFonts w:hint="eastAsia"/>
                      <w:b/>
                      <w:szCs w:val="21"/>
                      <w:u w:val="single"/>
                    </w:rPr>
                    <w:t>动物板油堆放、破碎等过程</w:t>
                  </w:r>
                </w:p>
              </w:tc>
              <w:tc>
                <w:tcPr>
                  <w:tcW w:w="2528" w:type="pct"/>
                  <w:tcBorders>
                    <w:top w:val="single" w:color="auto" w:sz="4" w:space="0"/>
                    <w:left w:val="single" w:color="auto" w:sz="4" w:space="0"/>
                    <w:bottom w:val="single" w:color="auto" w:sz="4" w:space="0"/>
                    <w:right w:val="single" w:color="auto" w:sz="4" w:space="0"/>
                  </w:tcBorders>
                  <w:vAlign w:val="center"/>
                </w:tcPr>
                <w:p w14:paraId="2D43B37F">
                  <w:pPr>
                    <w:jc w:val="center"/>
                    <w:rPr>
                      <w:b/>
                      <w:szCs w:val="21"/>
                      <w:u w:val="single"/>
                    </w:rPr>
                  </w:pPr>
                  <w:r>
                    <w:rPr>
                      <w:rFonts w:hint="eastAsia"/>
                      <w:b/>
                      <w:szCs w:val="21"/>
                      <w:u w:val="single"/>
                    </w:rPr>
                    <w:t>恶臭气体</w:t>
                  </w:r>
                </w:p>
              </w:tc>
            </w:tr>
            <w:tr w14:paraId="23BA5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58" w:type="pct"/>
                  <w:vMerge w:val="continue"/>
                  <w:tcBorders>
                    <w:left w:val="single" w:color="auto" w:sz="4" w:space="0"/>
                    <w:right w:val="single" w:color="auto" w:sz="4" w:space="0"/>
                  </w:tcBorders>
                  <w:vAlign w:val="center"/>
                </w:tcPr>
                <w:p w14:paraId="10469950">
                  <w:pPr>
                    <w:jc w:val="center"/>
                    <w:rPr>
                      <w:szCs w:val="21"/>
                    </w:rPr>
                  </w:pPr>
                </w:p>
              </w:tc>
              <w:tc>
                <w:tcPr>
                  <w:tcW w:w="1814" w:type="pct"/>
                  <w:tcBorders>
                    <w:top w:val="single" w:color="auto" w:sz="4" w:space="0"/>
                    <w:left w:val="single" w:color="auto" w:sz="4" w:space="0"/>
                    <w:bottom w:val="single" w:color="auto" w:sz="4" w:space="0"/>
                    <w:right w:val="single" w:color="auto" w:sz="4" w:space="0"/>
                  </w:tcBorders>
                  <w:vAlign w:val="center"/>
                </w:tcPr>
                <w:p w14:paraId="601EB3D6">
                  <w:pPr>
                    <w:jc w:val="center"/>
                    <w:rPr>
                      <w:b/>
                      <w:szCs w:val="21"/>
                      <w:u w:val="single"/>
                    </w:rPr>
                  </w:pPr>
                  <w:r>
                    <w:rPr>
                      <w:rFonts w:hint="eastAsia"/>
                      <w:b/>
                      <w:szCs w:val="21"/>
                      <w:u w:val="single"/>
                    </w:rPr>
                    <w:t>熬制、油渣分离及压饼过程</w:t>
                  </w:r>
                </w:p>
              </w:tc>
              <w:tc>
                <w:tcPr>
                  <w:tcW w:w="2528" w:type="pct"/>
                  <w:tcBorders>
                    <w:top w:val="single" w:color="auto" w:sz="4" w:space="0"/>
                    <w:left w:val="single" w:color="auto" w:sz="4" w:space="0"/>
                    <w:bottom w:val="single" w:color="auto" w:sz="4" w:space="0"/>
                    <w:right w:val="single" w:color="auto" w:sz="4" w:space="0"/>
                  </w:tcBorders>
                  <w:vAlign w:val="center"/>
                </w:tcPr>
                <w:p w14:paraId="4592B89A">
                  <w:pPr>
                    <w:jc w:val="center"/>
                    <w:rPr>
                      <w:b/>
                      <w:szCs w:val="21"/>
                      <w:u w:val="single"/>
                    </w:rPr>
                  </w:pPr>
                  <w:r>
                    <w:rPr>
                      <w:rFonts w:hint="eastAsia"/>
                      <w:b/>
                      <w:szCs w:val="21"/>
                      <w:u w:val="single"/>
                    </w:rPr>
                    <w:t>恶臭气体、油烟</w:t>
                  </w:r>
                </w:p>
              </w:tc>
            </w:tr>
            <w:tr w14:paraId="7B9AC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58" w:type="pct"/>
                  <w:vMerge w:val="continue"/>
                  <w:tcBorders>
                    <w:left w:val="single" w:color="auto" w:sz="4" w:space="0"/>
                    <w:bottom w:val="single" w:color="auto" w:sz="4" w:space="0"/>
                    <w:right w:val="single" w:color="auto" w:sz="4" w:space="0"/>
                  </w:tcBorders>
                  <w:vAlign w:val="center"/>
                </w:tcPr>
                <w:p w14:paraId="33000129">
                  <w:pPr>
                    <w:widowControl/>
                    <w:jc w:val="left"/>
                    <w:rPr>
                      <w:szCs w:val="21"/>
                    </w:rPr>
                  </w:pPr>
                </w:p>
              </w:tc>
              <w:tc>
                <w:tcPr>
                  <w:tcW w:w="1814" w:type="pct"/>
                  <w:tcBorders>
                    <w:top w:val="single" w:color="auto" w:sz="4" w:space="0"/>
                    <w:left w:val="single" w:color="auto" w:sz="4" w:space="0"/>
                    <w:bottom w:val="single" w:color="auto" w:sz="4" w:space="0"/>
                    <w:right w:val="single" w:color="auto" w:sz="4" w:space="0"/>
                  </w:tcBorders>
                  <w:vAlign w:val="center"/>
                </w:tcPr>
                <w:p w14:paraId="55A3E7A5">
                  <w:pPr>
                    <w:jc w:val="center"/>
                    <w:rPr>
                      <w:b/>
                      <w:szCs w:val="21"/>
                      <w:u w:val="single"/>
                    </w:rPr>
                  </w:pPr>
                  <w:r>
                    <w:rPr>
                      <w:rFonts w:hint="eastAsia"/>
                      <w:b/>
                      <w:szCs w:val="21"/>
                      <w:u w:val="single"/>
                    </w:rPr>
                    <w:t>导热油锅炉天然气燃烧烟气</w:t>
                  </w:r>
                </w:p>
              </w:tc>
              <w:tc>
                <w:tcPr>
                  <w:tcW w:w="2528" w:type="pct"/>
                  <w:tcBorders>
                    <w:top w:val="single" w:color="auto" w:sz="4" w:space="0"/>
                    <w:left w:val="single" w:color="auto" w:sz="4" w:space="0"/>
                    <w:bottom w:val="single" w:color="auto" w:sz="4" w:space="0"/>
                    <w:right w:val="single" w:color="auto" w:sz="4" w:space="0"/>
                  </w:tcBorders>
                  <w:vAlign w:val="center"/>
                </w:tcPr>
                <w:p w14:paraId="559D1579">
                  <w:pPr>
                    <w:jc w:val="center"/>
                    <w:rPr>
                      <w:b/>
                      <w:szCs w:val="21"/>
                      <w:u w:val="single"/>
                    </w:rPr>
                  </w:pPr>
                  <w:r>
                    <w:rPr>
                      <w:rFonts w:hint="eastAsia"/>
                      <w:b/>
                      <w:szCs w:val="21"/>
                      <w:u w:val="single"/>
                    </w:rPr>
                    <w:t>颗粒物、</w:t>
                  </w:r>
                  <w:r>
                    <w:rPr>
                      <w:b/>
                      <w:szCs w:val="21"/>
                      <w:u w:val="single"/>
                    </w:rPr>
                    <w:t>SO</w:t>
                  </w:r>
                  <w:r>
                    <w:rPr>
                      <w:b/>
                      <w:szCs w:val="21"/>
                      <w:u w:val="single"/>
                      <w:vertAlign w:val="subscript"/>
                    </w:rPr>
                    <w:t>2</w:t>
                  </w:r>
                  <w:r>
                    <w:rPr>
                      <w:rFonts w:hint="eastAsia"/>
                      <w:b/>
                      <w:szCs w:val="21"/>
                      <w:u w:val="single"/>
                    </w:rPr>
                    <w:t>、</w:t>
                  </w:r>
                  <w:r>
                    <w:rPr>
                      <w:b/>
                      <w:szCs w:val="21"/>
                      <w:u w:val="single"/>
                    </w:rPr>
                    <w:t>NO</w:t>
                  </w:r>
                  <w:r>
                    <w:rPr>
                      <w:b/>
                      <w:szCs w:val="21"/>
                      <w:u w:val="single"/>
                      <w:vertAlign w:val="subscript"/>
                    </w:rPr>
                    <w:t>X</w:t>
                  </w:r>
                  <w:r>
                    <w:rPr>
                      <w:b/>
                      <w:szCs w:val="21"/>
                      <w:u w:val="single"/>
                    </w:rPr>
                    <w:t>、烟气黑度</w:t>
                  </w:r>
                </w:p>
              </w:tc>
            </w:tr>
            <w:tr w14:paraId="75481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58" w:type="pct"/>
                  <w:vMerge w:val="restart"/>
                  <w:tcBorders>
                    <w:top w:val="single" w:color="auto" w:sz="4" w:space="0"/>
                    <w:left w:val="single" w:color="auto" w:sz="4" w:space="0"/>
                    <w:right w:val="single" w:color="auto" w:sz="4" w:space="0"/>
                  </w:tcBorders>
                  <w:vAlign w:val="center"/>
                </w:tcPr>
                <w:p w14:paraId="178A399E">
                  <w:pPr>
                    <w:jc w:val="center"/>
                    <w:rPr>
                      <w:szCs w:val="21"/>
                    </w:rPr>
                  </w:pPr>
                  <w:r>
                    <w:rPr>
                      <w:rFonts w:hint="eastAsia"/>
                      <w:szCs w:val="21"/>
                    </w:rPr>
                    <w:t>废水</w:t>
                  </w:r>
                </w:p>
              </w:tc>
              <w:tc>
                <w:tcPr>
                  <w:tcW w:w="1814" w:type="pct"/>
                  <w:tcBorders>
                    <w:top w:val="single" w:color="auto" w:sz="4" w:space="0"/>
                    <w:left w:val="single" w:color="auto" w:sz="4" w:space="0"/>
                    <w:bottom w:val="single" w:color="auto" w:sz="4" w:space="0"/>
                    <w:right w:val="single" w:color="auto" w:sz="4" w:space="0"/>
                  </w:tcBorders>
                  <w:vAlign w:val="center"/>
                </w:tcPr>
                <w:p w14:paraId="353CB48A">
                  <w:pPr>
                    <w:jc w:val="center"/>
                    <w:rPr>
                      <w:szCs w:val="21"/>
                    </w:rPr>
                  </w:pPr>
                  <w:r>
                    <w:rPr>
                      <w:rFonts w:hint="eastAsia"/>
                      <w:szCs w:val="21"/>
                    </w:rPr>
                    <w:t>熬制冷凝废水</w:t>
                  </w:r>
                </w:p>
              </w:tc>
              <w:tc>
                <w:tcPr>
                  <w:tcW w:w="2528" w:type="pct"/>
                  <w:tcBorders>
                    <w:top w:val="single" w:color="auto" w:sz="4" w:space="0"/>
                    <w:left w:val="single" w:color="auto" w:sz="4" w:space="0"/>
                    <w:bottom w:val="single" w:color="auto" w:sz="4" w:space="0"/>
                    <w:right w:val="single" w:color="auto" w:sz="4" w:space="0"/>
                  </w:tcBorders>
                  <w:vAlign w:val="center"/>
                </w:tcPr>
                <w:p w14:paraId="7CA1D125">
                  <w:pPr>
                    <w:jc w:val="center"/>
                    <w:rPr>
                      <w:szCs w:val="21"/>
                    </w:rPr>
                  </w:pPr>
                  <w:r>
                    <w:rPr>
                      <w:rFonts w:hint="eastAsia"/>
                      <w:szCs w:val="21"/>
                    </w:rPr>
                    <w:t>COD、氨氮、BOD</w:t>
                  </w:r>
                  <w:r>
                    <w:rPr>
                      <w:rFonts w:hint="eastAsia"/>
                      <w:szCs w:val="21"/>
                      <w:vertAlign w:val="subscript"/>
                    </w:rPr>
                    <w:t>5</w:t>
                  </w:r>
                  <w:r>
                    <w:rPr>
                      <w:rFonts w:hint="eastAsia"/>
                      <w:szCs w:val="21"/>
                    </w:rPr>
                    <w:t>、SS、动植物油类</w:t>
                  </w:r>
                </w:p>
              </w:tc>
            </w:tr>
            <w:tr w14:paraId="53C46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58" w:type="pct"/>
                  <w:vMerge w:val="continue"/>
                  <w:tcBorders>
                    <w:left w:val="single" w:color="auto" w:sz="4" w:space="0"/>
                    <w:right w:val="single" w:color="auto" w:sz="4" w:space="0"/>
                  </w:tcBorders>
                  <w:vAlign w:val="center"/>
                </w:tcPr>
                <w:p w14:paraId="07EE7DDB">
                  <w:pPr>
                    <w:jc w:val="center"/>
                    <w:rPr>
                      <w:szCs w:val="21"/>
                    </w:rPr>
                  </w:pPr>
                </w:p>
              </w:tc>
              <w:tc>
                <w:tcPr>
                  <w:tcW w:w="1814" w:type="pct"/>
                  <w:tcBorders>
                    <w:top w:val="single" w:color="auto" w:sz="4" w:space="0"/>
                    <w:left w:val="single" w:color="auto" w:sz="4" w:space="0"/>
                    <w:bottom w:val="single" w:color="auto" w:sz="4" w:space="0"/>
                    <w:right w:val="single" w:color="auto" w:sz="4" w:space="0"/>
                  </w:tcBorders>
                  <w:vAlign w:val="center"/>
                </w:tcPr>
                <w:p w14:paraId="6B97D634">
                  <w:pPr>
                    <w:jc w:val="center"/>
                    <w:rPr>
                      <w:szCs w:val="21"/>
                    </w:rPr>
                  </w:pPr>
                  <w:r>
                    <w:rPr>
                      <w:rFonts w:hint="eastAsia"/>
                      <w:szCs w:val="21"/>
                    </w:rPr>
                    <w:t>设备清洗废水</w:t>
                  </w:r>
                </w:p>
              </w:tc>
              <w:tc>
                <w:tcPr>
                  <w:tcW w:w="2528" w:type="pct"/>
                  <w:tcBorders>
                    <w:top w:val="single" w:color="auto" w:sz="4" w:space="0"/>
                    <w:left w:val="single" w:color="auto" w:sz="4" w:space="0"/>
                    <w:bottom w:val="single" w:color="auto" w:sz="4" w:space="0"/>
                    <w:right w:val="single" w:color="auto" w:sz="4" w:space="0"/>
                  </w:tcBorders>
                  <w:vAlign w:val="center"/>
                </w:tcPr>
                <w:p w14:paraId="32A79A42">
                  <w:pPr>
                    <w:jc w:val="center"/>
                    <w:rPr>
                      <w:szCs w:val="21"/>
                    </w:rPr>
                  </w:pPr>
                  <w:r>
                    <w:rPr>
                      <w:rFonts w:hint="eastAsia"/>
                      <w:szCs w:val="21"/>
                    </w:rPr>
                    <w:t>COD、氨氮、BOD</w:t>
                  </w:r>
                  <w:r>
                    <w:rPr>
                      <w:rFonts w:hint="eastAsia"/>
                      <w:szCs w:val="21"/>
                      <w:vertAlign w:val="subscript"/>
                    </w:rPr>
                    <w:t>5</w:t>
                  </w:r>
                  <w:r>
                    <w:rPr>
                      <w:rFonts w:hint="eastAsia"/>
                      <w:szCs w:val="21"/>
                    </w:rPr>
                    <w:t>、SS、动植物油类</w:t>
                  </w:r>
                </w:p>
              </w:tc>
            </w:tr>
            <w:tr w14:paraId="15ED7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58" w:type="pct"/>
                  <w:vMerge w:val="continue"/>
                  <w:tcBorders>
                    <w:left w:val="single" w:color="auto" w:sz="4" w:space="0"/>
                    <w:right w:val="single" w:color="auto" w:sz="4" w:space="0"/>
                  </w:tcBorders>
                  <w:vAlign w:val="center"/>
                </w:tcPr>
                <w:p w14:paraId="098D1623">
                  <w:pPr>
                    <w:jc w:val="center"/>
                    <w:rPr>
                      <w:szCs w:val="21"/>
                    </w:rPr>
                  </w:pPr>
                </w:p>
              </w:tc>
              <w:tc>
                <w:tcPr>
                  <w:tcW w:w="1814" w:type="pct"/>
                  <w:tcBorders>
                    <w:top w:val="single" w:color="auto" w:sz="4" w:space="0"/>
                    <w:left w:val="single" w:color="auto" w:sz="4" w:space="0"/>
                    <w:bottom w:val="single" w:color="auto" w:sz="4" w:space="0"/>
                    <w:right w:val="single" w:color="auto" w:sz="4" w:space="0"/>
                  </w:tcBorders>
                  <w:vAlign w:val="center"/>
                </w:tcPr>
                <w:p w14:paraId="2BA29825">
                  <w:pPr>
                    <w:jc w:val="center"/>
                    <w:rPr>
                      <w:szCs w:val="21"/>
                    </w:rPr>
                  </w:pPr>
                  <w:r>
                    <w:rPr>
                      <w:rFonts w:hint="eastAsia"/>
                      <w:szCs w:val="21"/>
                    </w:rPr>
                    <w:t>废气喷淋废水</w:t>
                  </w:r>
                </w:p>
              </w:tc>
              <w:tc>
                <w:tcPr>
                  <w:tcW w:w="2528" w:type="pct"/>
                  <w:tcBorders>
                    <w:top w:val="single" w:color="auto" w:sz="4" w:space="0"/>
                    <w:left w:val="single" w:color="auto" w:sz="4" w:space="0"/>
                    <w:bottom w:val="single" w:color="auto" w:sz="4" w:space="0"/>
                    <w:right w:val="single" w:color="auto" w:sz="4" w:space="0"/>
                  </w:tcBorders>
                  <w:vAlign w:val="center"/>
                </w:tcPr>
                <w:p w14:paraId="7C5CE168">
                  <w:pPr>
                    <w:jc w:val="center"/>
                    <w:rPr>
                      <w:szCs w:val="21"/>
                    </w:rPr>
                  </w:pPr>
                  <w:r>
                    <w:rPr>
                      <w:rFonts w:hint="eastAsia"/>
                      <w:szCs w:val="21"/>
                    </w:rPr>
                    <w:t>COD、氨氮、BOD</w:t>
                  </w:r>
                  <w:r>
                    <w:rPr>
                      <w:rFonts w:hint="eastAsia"/>
                      <w:szCs w:val="21"/>
                      <w:vertAlign w:val="subscript"/>
                    </w:rPr>
                    <w:t>5</w:t>
                  </w:r>
                  <w:r>
                    <w:rPr>
                      <w:rFonts w:hint="eastAsia"/>
                      <w:szCs w:val="21"/>
                    </w:rPr>
                    <w:t>、SS、动植物油类</w:t>
                  </w:r>
                </w:p>
              </w:tc>
            </w:tr>
            <w:tr w14:paraId="59CD0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58" w:type="pct"/>
                  <w:vMerge w:val="continue"/>
                  <w:tcBorders>
                    <w:left w:val="single" w:color="auto" w:sz="4" w:space="0"/>
                    <w:right w:val="single" w:color="auto" w:sz="4" w:space="0"/>
                  </w:tcBorders>
                  <w:vAlign w:val="center"/>
                </w:tcPr>
                <w:p w14:paraId="53D6DE98">
                  <w:pPr>
                    <w:jc w:val="center"/>
                    <w:rPr>
                      <w:szCs w:val="21"/>
                    </w:rPr>
                  </w:pPr>
                </w:p>
              </w:tc>
              <w:tc>
                <w:tcPr>
                  <w:tcW w:w="1814" w:type="pct"/>
                  <w:tcBorders>
                    <w:top w:val="single" w:color="auto" w:sz="4" w:space="0"/>
                    <w:left w:val="single" w:color="auto" w:sz="4" w:space="0"/>
                    <w:bottom w:val="single" w:color="auto" w:sz="4" w:space="0"/>
                    <w:right w:val="single" w:color="auto" w:sz="4" w:space="0"/>
                  </w:tcBorders>
                  <w:vAlign w:val="center"/>
                </w:tcPr>
                <w:p w14:paraId="2885A925">
                  <w:pPr>
                    <w:jc w:val="center"/>
                    <w:rPr>
                      <w:szCs w:val="21"/>
                    </w:rPr>
                  </w:pPr>
                  <w:r>
                    <w:rPr>
                      <w:rFonts w:hint="eastAsia"/>
                      <w:szCs w:val="21"/>
                    </w:rPr>
                    <w:t>地面清洗废水</w:t>
                  </w:r>
                </w:p>
              </w:tc>
              <w:tc>
                <w:tcPr>
                  <w:tcW w:w="2528" w:type="pct"/>
                  <w:tcBorders>
                    <w:top w:val="single" w:color="auto" w:sz="4" w:space="0"/>
                    <w:left w:val="single" w:color="auto" w:sz="4" w:space="0"/>
                    <w:bottom w:val="single" w:color="auto" w:sz="4" w:space="0"/>
                    <w:right w:val="single" w:color="auto" w:sz="4" w:space="0"/>
                  </w:tcBorders>
                  <w:vAlign w:val="center"/>
                </w:tcPr>
                <w:p w14:paraId="1DF20084">
                  <w:pPr>
                    <w:jc w:val="center"/>
                    <w:rPr>
                      <w:szCs w:val="21"/>
                    </w:rPr>
                  </w:pPr>
                  <w:r>
                    <w:rPr>
                      <w:rFonts w:hint="eastAsia"/>
                      <w:szCs w:val="21"/>
                    </w:rPr>
                    <w:t>COD、氨氮、BOD</w:t>
                  </w:r>
                  <w:r>
                    <w:rPr>
                      <w:rFonts w:hint="eastAsia"/>
                      <w:szCs w:val="21"/>
                      <w:vertAlign w:val="subscript"/>
                    </w:rPr>
                    <w:t>5</w:t>
                  </w:r>
                  <w:r>
                    <w:rPr>
                      <w:rFonts w:hint="eastAsia"/>
                      <w:szCs w:val="21"/>
                    </w:rPr>
                    <w:t>、SS、动植物油类</w:t>
                  </w:r>
                </w:p>
              </w:tc>
            </w:tr>
            <w:tr w14:paraId="68A89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58" w:type="pct"/>
                  <w:vMerge w:val="continue"/>
                  <w:tcBorders>
                    <w:left w:val="single" w:color="auto" w:sz="4" w:space="0"/>
                    <w:right w:val="single" w:color="auto" w:sz="4" w:space="0"/>
                  </w:tcBorders>
                  <w:vAlign w:val="center"/>
                </w:tcPr>
                <w:p w14:paraId="7A784F71">
                  <w:pPr>
                    <w:jc w:val="center"/>
                    <w:rPr>
                      <w:szCs w:val="21"/>
                    </w:rPr>
                  </w:pPr>
                </w:p>
              </w:tc>
              <w:tc>
                <w:tcPr>
                  <w:tcW w:w="1814" w:type="pct"/>
                  <w:tcBorders>
                    <w:top w:val="single" w:color="auto" w:sz="4" w:space="0"/>
                    <w:left w:val="single" w:color="auto" w:sz="4" w:space="0"/>
                    <w:bottom w:val="single" w:color="auto" w:sz="4" w:space="0"/>
                    <w:right w:val="single" w:color="auto" w:sz="4" w:space="0"/>
                  </w:tcBorders>
                  <w:vAlign w:val="center"/>
                </w:tcPr>
                <w:p w14:paraId="600323BD">
                  <w:pPr>
                    <w:jc w:val="center"/>
                    <w:rPr>
                      <w:szCs w:val="21"/>
                    </w:rPr>
                  </w:pPr>
                  <w:r>
                    <w:rPr>
                      <w:rFonts w:hint="eastAsia"/>
                      <w:szCs w:val="21"/>
                    </w:rPr>
                    <w:t>循环冷却水系统排水</w:t>
                  </w:r>
                </w:p>
              </w:tc>
              <w:tc>
                <w:tcPr>
                  <w:tcW w:w="2528" w:type="pct"/>
                  <w:tcBorders>
                    <w:top w:val="single" w:color="auto" w:sz="4" w:space="0"/>
                    <w:left w:val="single" w:color="auto" w:sz="4" w:space="0"/>
                    <w:bottom w:val="single" w:color="auto" w:sz="4" w:space="0"/>
                    <w:right w:val="single" w:color="auto" w:sz="4" w:space="0"/>
                  </w:tcBorders>
                  <w:vAlign w:val="center"/>
                </w:tcPr>
                <w:p w14:paraId="2133ED49">
                  <w:pPr>
                    <w:jc w:val="center"/>
                    <w:rPr>
                      <w:szCs w:val="21"/>
                    </w:rPr>
                  </w:pPr>
                  <w:r>
                    <w:rPr>
                      <w:szCs w:val="21"/>
                    </w:rPr>
                    <w:t>COD</w:t>
                  </w:r>
                  <w:r>
                    <w:rPr>
                      <w:rFonts w:hint="eastAsia"/>
                      <w:szCs w:val="21"/>
                    </w:rPr>
                    <w:t>、</w:t>
                  </w:r>
                  <w:r>
                    <w:rPr>
                      <w:szCs w:val="21"/>
                    </w:rPr>
                    <w:t>SS</w:t>
                  </w:r>
                </w:p>
              </w:tc>
            </w:tr>
            <w:tr w14:paraId="70A53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58" w:type="pct"/>
                  <w:vMerge w:val="continue"/>
                  <w:tcBorders>
                    <w:left w:val="single" w:color="auto" w:sz="4" w:space="0"/>
                    <w:bottom w:val="single" w:color="auto" w:sz="4" w:space="0"/>
                    <w:right w:val="single" w:color="auto" w:sz="4" w:space="0"/>
                  </w:tcBorders>
                  <w:vAlign w:val="center"/>
                </w:tcPr>
                <w:p w14:paraId="45DEE8AE">
                  <w:pPr>
                    <w:widowControl/>
                    <w:jc w:val="center"/>
                    <w:rPr>
                      <w:szCs w:val="21"/>
                    </w:rPr>
                  </w:pPr>
                </w:p>
              </w:tc>
              <w:tc>
                <w:tcPr>
                  <w:tcW w:w="1814" w:type="pct"/>
                  <w:tcBorders>
                    <w:top w:val="single" w:color="auto" w:sz="4" w:space="0"/>
                    <w:left w:val="single" w:color="auto" w:sz="4" w:space="0"/>
                    <w:bottom w:val="single" w:color="auto" w:sz="4" w:space="0"/>
                    <w:right w:val="single" w:color="auto" w:sz="4" w:space="0"/>
                  </w:tcBorders>
                  <w:vAlign w:val="center"/>
                </w:tcPr>
                <w:p w14:paraId="744413EC">
                  <w:pPr>
                    <w:jc w:val="center"/>
                    <w:rPr>
                      <w:szCs w:val="21"/>
                    </w:rPr>
                  </w:pPr>
                  <w:r>
                    <w:rPr>
                      <w:rFonts w:hint="eastAsia"/>
                      <w:szCs w:val="21"/>
                    </w:rPr>
                    <w:t>职工生活废水</w:t>
                  </w:r>
                </w:p>
              </w:tc>
              <w:tc>
                <w:tcPr>
                  <w:tcW w:w="2528" w:type="pct"/>
                  <w:tcBorders>
                    <w:top w:val="single" w:color="auto" w:sz="4" w:space="0"/>
                    <w:left w:val="single" w:color="auto" w:sz="4" w:space="0"/>
                    <w:bottom w:val="single" w:color="auto" w:sz="4" w:space="0"/>
                    <w:right w:val="single" w:color="auto" w:sz="4" w:space="0"/>
                  </w:tcBorders>
                  <w:vAlign w:val="center"/>
                </w:tcPr>
                <w:p w14:paraId="1069F47D">
                  <w:pPr>
                    <w:jc w:val="center"/>
                    <w:rPr>
                      <w:szCs w:val="21"/>
                    </w:rPr>
                  </w:pPr>
                  <w:r>
                    <w:rPr>
                      <w:szCs w:val="21"/>
                    </w:rPr>
                    <w:t>COD</w:t>
                  </w:r>
                  <w:r>
                    <w:rPr>
                      <w:rFonts w:hint="eastAsia"/>
                      <w:szCs w:val="21"/>
                    </w:rPr>
                    <w:t>、</w:t>
                  </w:r>
                  <w:r>
                    <w:rPr>
                      <w:rFonts w:hint="eastAsia"/>
                      <w:bCs/>
                      <w:szCs w:val="21"/>
                    </w:rPr>
                    <w:t>BOD</w:t>
                  </w:r>
                  <w:r>
                    <w:rPr>
                      <w:rFonts w:hint="eastAsia"/>
                      <w:bCs/>
                      <w:szCs w:val="21"/>
                      <w:vertAlign w:val="subscript"/>
                    </w:rPr>
                    <w:t>5</w:t>
                  </w:r>
                  <w:r>
                    <w:rPr>
                      <w:rFonts w:hint="eastAsia"/>
                      <w:bCs/>
                      <w:szCs w:val="21"/>
                    </w:rPr>
                    <w:t>、</w:t>
                  </w:r>
                  <w:r>
                    <w:rPr>
                      <w:szCs w:val="21"/>
                    </w:rPr>
                    <w:t>SS</w:t>
                  </w:r>
                  <w:r>
                    <w:rPr>
                      <w:rFonts w:hint="eastAsia"/>
                      <w:szCs w:val="21"/>
                    </w:rPr>
                    <w:t>、氨氮</w:t>
                  </w:r>
                </w:p>
              </w:tc>
            </w:tr>
            <w:tr w14:paraId="18049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58" w:type="pct"/>
                  <w:tcBorders>
                    <w:top w:val="single" w:color="auto" w:sz="4" w:space="0"/>
                    <w:left w:val="single" w:color="auto" w:sz="4" w:space="0"/>
                    <w:bottom w:val="single" w:color="auto" w:sz="4" w:space="0"/>
                    <w:right w:val="single" w:color="auto" w:sz="4" w:space="0"/>
                  </w:tcBorders>
                  <w:vAlign w:val="center"/>
                </w:tcPr>
                <w:p w14:paraId="16015044">
                  <w:pPr>
                    <w:jc w:val="center"/>
                    <w:rPr>
                      <w:szCs w:val="21"/>
                    </w:rPr>
                  </w:pPr>
                  <w:r>
                    <w:rPr>
                      <w:rFonts w:hint="eastAsia"/>
                      <w:szCs w:val="21"/>
                    </w:rPr>
                    <w:t>噪声</w:t>
                  </w:r>
                </w:p>
              </w:tc>
              <w:tc>
                <w:tcPr>
                  <w:tcW w:w="1814" w:type="pct"/>
                  <w:tcBorders>
                    <w:top w:val="single" w:color="auto" w:sz="4" w:space="0"/>
                    <w:left w:val="single" w:color="auto" w:sz="4" w:space="0"/>
                    <w:bottom w:val="single" w:color="auto" w:sz="4" w:space="0"/>
                    <w:right w:val="single" w:color="auto" w:sz="4" w:space="0"/>
                  </w:tcBorders>
                  <w:vAlign w:val="center"/>
                </w:tcPr>
                <w:p w14:paraId="0E721124">
                  <w:pPr>
                    <w:jc w:val="center"/>
                    <w:rPr>
                      <w:szCs w:val="21"/>
                    </w:rPr>
                  </w:pPr>
                  <w:r>
                    <w:rPr>
                      <w:rFonts w:hint="eastAsia"/>
                      <w:szCs w:val="21"/>
                    </w:rPr>
                    <w:t>设备运行噪声</w:t>
                  </w:r>
                </w:p>
              </w:tc>
              <w:tc>
                <w:tcPr>
                  <w:tcW w:w="2528" w:type="pct"/>
                  <w:tcBorders>
                    <w:top w:val="single" w:color="auto" w:sz="4" w:space="0"/>
                    <w:left w:val="single" w:color="auto" w:sz="4" w:space="0"/>
                    <w:bottom w:val="single" w:color="auto" w:sz="4" w:space="0"/>
                    <w:right w:val="single" w:color="auto" w:sz="4" w:space="0"/>
                  </w:tcBorders>
                  <w:vAlign w:val="center"/>
                </w:tcPr>
                <w:p w14:paraId="665D921B">
                  <w:pPr>
                    <w:jc w:val="center"/>
                    <w:rPr>
                      <w:szCs w:val="21"/>
                    </w:rPr>
                  </w:pPr>
                  <w:r>
                    <w:rPr>
                      <w:rFonts w:hint="eastAsia"/>
                      <w:szCs w:val="21"/>
                    </w:rPr>
                    <w:t>等效</w:t>
                  </w:r>
                  <w:r>
                    <w:rPr>
                      <w:szCs w:val="21"/>
                    </w:rPr>
                    <w:t>A</w:t>
                  </w:r>
                  <w:r>
                    <w:rPr>
                      <w:rFonts w:hint="eastAsia"/>
                      <w:szCs w:val="21"/>
                    </w:rPr>
                    <w:t>声级</w:t>
                  </w:r>
                </w:p>
              </w:tc>
            </w:tr>
            <w:tr w14:paraId="23994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58" w:type="pct"/>
                  <w:vMerge w:val="restart"/>
                  <w:tcBorders>
                    <w:top w:val="single" w:color="auto" w:sz="4" w:space="0"/>
                    <w:left w:val="single" w:color="auto" w:sz="4" w:space="0"/>
                    <w:bottom w:val="single" w:color="auto" w:sz="4" w:space="0"/>
                    <w:right w:val="single" w:color="auto" w:sz="4" w:space="0"/>
                  </w:tcBorders>
                  <w:vAlign w:val="center"/>
                </w:tcPr>
                <w:p w14:paraId="60F2800F">
                  <w:pPr>
                    <w:jc w:val="center"/>
                    <w:rPr>
                      <w:szCs w:val="21"/>
                    </w:rPr>
                  </w:pPr>
                  <w:r>
                    <w:rPr>
                      <w:rFonts w:hint="eastAsia"/>
                      <w:szCs w:val="21"/>
                    </w:rPr>
                    <w:t>固废</w:t>
                  </w:r>
                </w:p>
              </w:tc>
              <w:tc>
                <w:tcPr>
                  <w:tcW w:w="1814" w:type="pct"/>
                  <w:tcBorders>
                    <w:top w:val="single" w:color="auto" w:sz="4" w:space="0"/>
                    <w:left w:val="single" w:color="auto" w:sz="4" w:space="0"/>
                    <w:bottom w:val="single" w:color="auto" w:sz="4" w:space="0"/>
                    <w:right w:val="single" w:color="auto" w:sz="4" w:space="0"/>
                  </w:tcBorders>
                  <w:vAlign w:val="center"/>
                </w:tcPr>
                <w:p w14:paraId="6DD40027">
                  <w:pPr>
                    <w:jc w:val="center"/>
                    <w:rPr>
                      <w:szCs w:val="21"/>
                    </w:rPr>
                  </w:pPr>
                  <w:r>
                    <w:rPr>
                      <w:rFonts w:hint="eastAsia"/>
                      <w:szCs w:val="21"/>
                    </w:rPr>
                    <w:t>污水处理</w:t>
                  </w:r>
                </w:p>
              </w:tc>
              <w:tc>
                <w:tcPr>
                  <w:tcW w:w="2528" w:type="pct"/>
                  <w:tcBorders>
                    <w:top w:val="single" w:color="auto" w:sz="4" w:space="0"/>
                    <w:left w:val="single" w:color="auto" w:sz="4" w:space="0"/>
                    <w:bottom w:val="single" w:color="auto" w:sz="4" w:space="0"/>
                    <w:right w:val="single" w:color="auto" w:sz="4" w:space="0"/>
                  </w:tcBorders>
                  <w:vAlign w:val="center"/>
                </w:tcPr>
                <w:p w14:paraId="15130254">
                  <w:pPr>
                    <w:jc w:val="center"/>
                    <w:rPr>
                      <w:szCs w:val="21"/>
                    </w:rPr>
                  </w:pPr>
                  <w:r>
                    <w:rPr>
                      <w:rFonts w:hint="eastAsia"/>
                      <w:szCs w:val="21"/>
                    </w:rPr>
                    <w:t>污水处理站污泥</w:t>
                  </w:r>
                </w:p>
              </w:tc>
            </w:tr>
            <w:tr w14:paraId="7DF96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58" w:type="pct"/>
                  <w:vMerge w:val="continue"/>
                  <w:tcBorders>
                    <w:top w:val="single" w:color="auto" w:sz="4" w:space="0"/>
                    <w:left w:val="single" w:color="auto" w:sz="4" w:space="0"/>
                    <w:bottom w:val="single" w:color="auto" w:sz="4" w:space="0"/>
                    <w:right w:val="single" w:color="auto" w:sz="4" w:space="0"/>
                  </w:tcBorders>
                  <w:vAlign w:val="center"/>
                </w:tcPr>
                <w:p w14:paraId="04A203A8">
                  <w:pPr>
                    <w:widowControl/>
                    <w:jc w:val="left"/>
                    <w:rPr>
                      <w:szCs w:val="21"/>
                    </w:rPr>
                  </w:pPr>
                </w:p>
              </w:tc>
              <w:tc>
                <w:tcPr>
                  <w:tcW w:w="1814" w:type="pct"/>
                  <w:tcBorders>
                    <w:top w:val="single" w:color="auto" w:sz="4" w:space="0"/>
                    <w:left w:val="single" w:color="auto" w:sz="4" w:space="0"/>
                    <w:bottom w:val="single" w:color="auto" w:sz="4" w:space="0"/>
                    <w:right w:val="single" w:color="auto" w:sz="4" w:space="0"/>
                  </w:tcBorders>
                  <w:vAlign w:val="center"/>
                </w:tcPr>
                <w:p w14:paraId="56AEF99A">
                  <w:pPr>
                    <w:jc w:val="center"/>
                    <w:rPr>
                      <w:szCs w:val="21"/>
                    </w:rPr>
                  </w:pPr>
                  <w:r>
                    <w:rPr>
                      <w:rFonts w:hint="eastAsia"/>
                      <w:szCs w:val="21"/>
                    </w:rPr>
                    <w:t>油烟净化器收集</w:t>
                  </w:r>
                </w:p>
              </w:tc>
              <w:tc>
                <w:tcPr>
                  <w:tcW w:w="2528" w:type="pct"/>
                  <w:tcBorders>
                    <w:top w:val="single" w:color="auto" w:sz="4" w:space="0"/>
                    <w:left w:val="single" w:color="auto" w:sz="4" w:space="0"/>
                    <w:bottom w:val="single" w:color="auto" w:sz="4" w:space="0"/>
                    <w:right w:val="single" w:color="auto" w:sz="4" w:space="0"/>
                  </w:tcBorders>
                  <w:vAlign w:val="center"/>
                </w:tcPr>
                <w:p w14:paraId="59D4FF00">
                  <w:pPr>
                    <w:jc w:val="center"/>
                    <w:rPr>
                      <w:szCs w:val="21"/>
                    </w:rPr>
                  </w:pPr>
                  <w:r>
                    <w:rPr>
                      <w:rFonts w:hint="eastAsia"/>
                      <w:szCs w:val="21"/>
                    </w:rPr>
                    <w:t>油烟净化器收集的废油</w:t>
                  </w:r>
                </w:p>
              </w:tc>
            </w:tr>
            <w:tr w14:paraId="6627C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58" w:type="pct"/>
                  <w:vMerge w:val="continue"/>
                  <w:tcBorders>
                    <w:top w:val="single" w:color="auto" w:sz="4" w:space="0"/>
                    <w:left w:val="single" w:color="auto" w:sz="4" w:space="0"/>
                    <w:bottom w:val="single" w:color="auto" w:sz="4" w:space="0"/>
                    <w:right w:val="single" w:color="auto" w:sz="4" w:space="0"/>
                  </w:tcBorders>
                  <w:vAlign w:val="center"/>
                </w:tcPr>
                <w:p w14:paraId="0752DBEE">
                  <w:pPr>
                    <w:widowControl/>
                    <w:jc w:val="left"/>
                    <w:rPr>
                      <w:szCs w:val="21"/>
                    </w:rPr>
                  </w:pPr>
                </w:p>
              </w:tc>
              <w:tc>
                <w:tcPr>
                  <w:tcW w:w="1814" w:type="pct"/>
                  <w:tcBorders>
                    <w:top w:val="single" w:color="auto" w:sz="4" w:space="0"/>
                    <w:left w:val="single" w:color="auto" w:sz="4" w:space="0"/>
                    <w:bottom w:val="single" w:color="auto" w:sz="4" w:space="0"/>
                    <w:right w:val="single" w:color="auto" w:sz="4" w:space="0"/>
                  </w:tcBorders>
                  <w:vAlign w:val="center"/>
                </w:tcPr>
                <w:p w14:paraId="5103DB10">
                  <w:pPr>
                    <w:jc w:val="center"/>
                    <w:rPr>
                      <w:szCs w:val="21"/>
                    </w:rPr>
                  </w:pPr>
                  <w:r>
                    <w:rPr>
                      <w:szCs w:val="21"/>
                    </w:rPr>
                    <w:t>废气处理</w:t>
                  </w:r>
                </w:p>
              </w:tc>
              <w:tc>
                <w:tcPr>
                  <w:tcW w:w="2528" w:type="pct"/>
                  <w:tcBorders>
                    <w:top w:val="single" w:color="auto" w:sz="4" w:space="0"/>
                    <w:left w:val="single" w:color="auto" w:sz="4" w:space="0"/>
                    <w:bottom w:val="single" w:color="auto" w:sz="4" w:space="0"/>
                    <w:right w:val="single" w:color="auto" w:sz="4" w:space="0"/>
                  </w:tcBorders>
                  <w:vAlign w:val="center"/>
                </w:tcPr>
                <w:p w14:paraId="154F8B9C">
                  <w:pPr>
                    <w:jc w:val="center"/>
                    <w:rPr>
                      <w:szCs w:val="21"/>
                    </w:rPr>
                  </w:pPr>
                  <w:r>
                    <w:rPr>
                      <w:rFonts w:hint="eastAsia"/>
                      <w:szCs w:val="21"/>
                    </w:rPr>
                    <w:t>废活性炭</w:t>
                  </w:r>
                </w:p>
              </w:tc>
            </w:tr>
            <w:tr w14:paraId="1BCF2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58" w:type="pct"/>
                  <w:vMerge w:val="continue"/>
                  <w:tcBorders>
                    <w:top w:val="single" w:color="auto" w:sz="4" w:space="0"/>
                    <w:left w:val="single" w:color="auto" w:sz="4" w:space="0"/>
                    <w:bottom w:val="single" w:color="auto" w:sz="4" w:space="0"/>
                    <w:right w:val="single" w:color="auto" w:sz="4" w:space="0"/>
                  </w:tcBorders>
                  <w:vAlign w:val="center"/>
                </w:tcPr>
                <w:p w14:paraId="54C46DEB">
                  <w:pPr>
                    <w:widowControl/>
                    <w:jc w:val="left"/>
                    <w:rPr>
                      <w:szCs w:val="21"/>
                    </w:rPr>
                  </w:pPr>
                </w:p>
              </w:tc>
              <w:tc>
                <w:tcPr>
                  <w:tcW w:w="1814" w:type="pct"/>
                  <w:tcBorders>
                    <w:top w:val="single" w:color="auto" w:sz="4" w:space="0"/>
                    <w:left w:val="single" w:color="auto" w:sz="4" w:space="0"/>
                    <w:bottom w:val="single" w:color="auto" w:sz="4" w:space="0"/>
                    <w:right w:val="single" w:color="auto" w:sz="4" w:space="0"/>
                  </w:tcBorders>
                  <w:vAlign w:val="center"/>
                </w:tcPr>
                <w:p w14:paraId="6094F7E8">
                  <w:pPr>
                    <w:jc w:val="center"/>
                    <w:rPr>
                      <w:szCs w:val="21"/>
                    </w:rPr>
                  </w:pPr>
                  <w:r>
                    <w:rPr>
                      <w:szCs w:val="21"/>
                    </w:rPr>
                    <w:t>导热油炉维护</w:t>
                  </w:r>
                </w:p>
              </w:tc>
              <w:tc>
                <w:tcPr>
                  <w:tcW w:w="2528" w:type="pct"/>
                  <w:tcBorders>
                    <w:top w:val="single" w:color="auto" w:sz="4" w:space="0"/>
                    <w:left w:val="single" w:color="auto" w:sz="4" w:space="0"/>
                    <w:bottom w:val="single" w:color="auto" w:sz="4" w:space="0"/>
                    <w:right w:val="single" w:color="auto" w:sz="4" w:space="0"/>
                  </w:tcBorders>
                  <w:vAlign w:val="center"/>
                </w:tcPr>
                <w:p w14:paraId="32823DDB">
                  <w:pPr>
                    <w:jc w:val="center"/>
                    <w:rPr>
                      <w:szCs w:val="21"/>
                    </w:rPr>
                  </w:pPr>
                  <w:r>
                    <w:rPr>
                      <w:rFonts w:hint="eastAsia"/>
                      <w:szCs w:val="21"/>
                    </w:rPr>
                    <w:t>废导热油</w:t>
                  </w:r>
                </w:p>
              </w:tc>
            </w:tr>
            <w:tr w14:paraId="39153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58" w:type="pct"/>
                  <w:vMerge w:val="continue"/>
                  <w:tcBorders>
                    <w:top w:val="single" w:color="auto" w:sz="4" w:space="0"/>
                    <w:left w:val="single" w:color="auto" w:sz="4" w:space="0"/>
                    <w:bottom w:val="single" w:color="auto" w:sz="4" w:space="0"/>
                    <w:right w:val="single" w:color="auto" w:sz="4" w:space="0"/>
                  </w:tcBorders>
                  <w:vAlign w:val="center"/>
                </w:tcPr>
                <w:p w14:paraId="25560030">
                  <w:pPr>
                    <w:widowControl/>
                    <w:jc w:val="left"/>
                    <w:rPr>
                      <w:szCs w:val="21"/>
                    </w:rPr>
                  </w:pPr>
                </w:p>
              </w:tc>
              <w:tc>
                <w:tcPr>
                  <w:tcW w:w="1814" w:type="pct"/>
                  <w:tcBorders>
                    <w:top w:val="single" w:color="auto" w:sz="4" w:space="0"/>
                    <w:left w:val="single" w:color="auto" w:sz="4" w:space="0"/>
                    <w:bottom w:val="single" w:color="auto" w:sz="4" w:space="0"/>
                    <w:right w:val="single" w:color="auto" w:sz="4" w:space="0"/>
                  </w:tcBorders>
                  <w:vAlign w:val="center"/>
                </w:tcPr>
                <w:p w14:paraId="454B44A4">
                  <w:pPr>
                    <w:jc w:val="center"/>
                    <w:rPr>
                      <w:szCs w:val="21"/>
                    </w:rPr>
                  </w:pPr>
                  <w:r>
                    <w:rPr>
                      <w:rFonts w:hint="eastAsia"/>
                      <w:szCs w:val="21"/>
                    </w:rPr>
                    <w:t>生活垃圾</w:t>
                  </w:r>
                </w:p>
              </w:tc>
              <w:tc>
                <w:tcPr>
                  <w:tcW w:w="2528" w:type="pct"/>
                  <w:tcBorders>
                    <w:top w:val="single" w:color="auto" w:sz="4" w:space="0"/>
                    <w:left w:val="single" w:color="auto" w:sz="4" w:space="0"/>
                    <w:bottom w:val="single" w:color="auto" w:sz="4" w:space="0"/>
                    <w:right w:val="single" w:color="auto" w:sz="4" w:space="0"/>
                  </w:tcBorders>
                  <w:vAlign w:val="center"/>
                </w:tcPr>
                <w:p w14:paraId="159075E8">
                  <w:pPr>
                    <w:jc w:val="center"/>
                    <w:rPr>
                      <w:szCs w:val="21"/>
                    </w:rPr>
                  </w:pPr>
                  <w:r>
                    <w:rPr>
                      <w:rFonts w:hint="eastAsia"/>
                      <w:szCs w:val="21"/>
                    </w:rPr>
                    <w:t>生活垃圾</w:t>
                  </w:r>
                </w:p>
              </w:tc>
            </w:tr>
          </w:tbl>
          <w:p w14:paraId="79BEB7DB">
            <w:pPr>
              <w:rPr>
                <w:bCs/>
                <w:sz w:val="24"/>
              </w:rPr>
            </w:pPr>
          </w:p>
        </w:tc>
      </w:tr>
      <w:tr w14:paraId="54DF5B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2740" w:hRule="atLeast"/>
          <w:jc w:val="center"/>
        </w:trPr>
        <w:tc>
          <w:tcPr>
            <w:tcW w:w="721" w:type="dxa"/>
            <w:vAlign w:val="center"/>
          </w:tcPr>
          <w:p w14:paraId="7051D4BD">
            <w:pPr>
              <w:pStyle w:val="25"/>
              <w:adjustRightInd w:val="0"/>
              <w:snapToGrid w:val="0"/>
              <w:spacing w:before="0" w:beforeAutospacing="0" w:after="0" w:afterAutospacing="0"/>
              <w:jc w:val="center"/>
              <w:rPr>
                <w:rFonts w:ascii="Times New Roman" w:hAnsi="Times New Roman"/>
                <w:szCs w:val="24"/>
              </w:rPr>
            </w:pPr>
            <w:r>
              <w:rPr>
                <w:rFonts w:ascii="Times New Roman" w:hAnsi="Times New Roman"/>
                <w:bCs/>
                <w:kern w:val="2"/>
                <w:szCs w:val="24"/>
              </w:rPr>
              <w:t>与项目有关的原有环境污染问题</w:t>
            </w:r>
          </w:p>
        </w:tc>
        <w:tc>
          <w:tcPr>
            <w:tcW w:w="8713" w:type="dxa"/>
            <w:vAlign w:val="center"/>
          </w:tcPr>
          <w:p w14:paraId="072F1172">
            <w:pPr>
              <w:adjustRightInd w:val="0"/>
              <w:snapToGrid w:val="0"/>
              <w:spacing w:line="360" w:lineRule="auto"/>
              <w:ind w:firstLine="480" w:firstLineChars="200"/>
              <w:rPr>
                <w:sz w:val="24"/>
              </w:rPr>
            </w:pPr>
            <w:r>
              <w:rPr>
                <w:rFonts w:hint="eastAsia"/>
                <w:sz w:val="24"/>
              </w:rPr>
              <w:t>本项目为新建项目，</w:t>
            </w:r>
            <w:r>
              <w:rPr>
                <w:rFonts w:hint="eastAsia"/>
                <w:bCs/>
                <w:spacing w:val="-4"/>
                <w:sz w:val="24"/>
              </w:rPr>
              <w:t>租赁民权县北关镇民荷路北段9号</w:t>
            </w:r>
            <w:r>
              <w:rPr>
                <w:rFonts w:hint="eastAsia"/>
                <w:sz w:val="24"/>
              </w:rPr>
              <w:t>的厂区进行建设生产，根据现场踏勘，本项目导热油锅炉及1#生产车间生产设备正在安装，厂内有部分原料堆放于原料库内，但尚未投入生产，因此暂时不存在与本项目相关的原有污染情况。</w:t>
            </w:r>
          </w:p>
        </w:tc>
      </w:tr>
    </w:tbl>
    <w:p w14:paraId="48D76FC5">
      <w:pPr>
        <w:pStyle w:val="25"/>
        <w:jc w:val="center"/>
        <w:rPr>
          <w:rFonts w:ascii="黑体" w:hAnsi="黑体" w:eastAsia="黑体"/>
          <w:snapToGrid w:val="0"/>
          <w:sz w:val="36"/>
          <w:szCs w:val="36"/>
        </w:rPr>
        <w:sectPr>
          <w:pgSz w:w="11906" w:h="16838"/>
          <w:pgMar w:top="1797" w:right="1440" w:bottom="1797" w:left="1440" w:header="851" w:footer="851" w:gutter="0"/>
          <w:cols w:space="720" w:num="1"/>
          <w:docGrid w:linePitch="312" w:charSpace="0"/>
        </w:sectPr>
      </w:pPr>
    </w:p>
    <w:p w14:paraId="4EB67908">
      <w:pPr>
        <w:pStyle w:val="25"/>
        <w:adjustRightInd w:val="0"/>
        <w:snapToGrid w:val="0"/>
        <w:spacing w:before="0" w:beforeAutospacing="0" w:after="0" w:afterAutospacing="0" w:line="14" w:lineRule="auto"/>
        <w:jc w:val="center"/>
        <w:rPr>
          <w:rFonts w:ascii="黑体" w:hAnsi="黑体" w:eastAsia="黑体"/>
          <w:snapToGrid w:val="0"/>
          <w:sz w:val="30"/>
          <w:szCs w:val="30"/>
        </w:rPr>
      </w:pPr>
    </w:p>
    <w:p w14:paraId="2AA505AC">
      <w:pPr>
        <w:pStyle w:val="25"/>
        <w:jc w:val="center"/>
        <w:outlineLvl w:val="0"/>
        <w:rPr>
          <w:rFonts w:ascii="黑体" w:hAnsi="黑体" w:eastAsia="黑体"/>
          <w:snapToGrid w:val="0"/>
          <w:sz w:val="30"/>
          <w:szCs w:val="30"/>
        </w:rPr>
      </w:pPr>
      <w:r>
        <w:rPr>
          <w:rFonts w:hint="eastAsia" w:ascii="黑体" w:hAnsi="黑体" w:eastAsia="黑体"/>
          <w:snapToGrid w:val="0"/>
          <w:sz w:val="30"/>
          <w:szCs w:val="30"/>
        </w:rPr>
        <w:t>三、区域环境质量现状、环境保护目标及评价标准</w:t>
      </w:r>
    </w:p>
    <w:tbl>
      <w:tblPr>
        <w:tblStyle w:val="29"/>
        <w:tblW w:w="943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773"/>
        <w:gridCol w:w="8666"/>
      </w:tblGrid>
      <w:tr w14:paraId="6C4385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800" w:type="dxa"/>
            <w:vAlign w:val="center"/>
          </w:tcPr>
          <w:p w14:paraId="39F8EF59">
            <w:pPr>
              <w:adjustRightInd w:val="0"/>
              <w:snapToGrid w:val="0"/>
              <w:jc w:val="center"/>
              <w:rPr>
                <w:kern w:val="0"/>
                <w:sz w:val="24"/>
              </w:rPr>
            </w:pPr>
            <w:r>
              <w:rPr>
                <w:kern w:val="0"/>
                <w:sz w:val="24"/>
              </w:rPr>
              <w:t>区域</w:t>
            </w:r>
          </w:p>
          <w:p w14:paraId="7BA702A8">
            <w:pPr>
              <w:adjustRightInd w:val="0"/>
              <w:snapToGrid w:val="0"/>
              <w:jc w:val="center"/>
              <w:rPr>
                <w:kern w:val="0"/>
                <w:sz w:val="24"/>
              </w:rPr>
            </w:pPr>
            <w:r>
              <w:rPr>
                <w:kern w:val="0"/>
                <w:sz w:val="24"/>
              </w:rPr>
              <w:t>环境</w:t>
            </w:r>
          </w:p>
          <w:p w14:paraId="599734F5">
            <w:pPr>
              <w:adjustRightInd w:val="0"/>
              <w:snapToGrid w:val="0"/>
              <w:jc w:val="center"/>
              <w:rPr>
                <w:kern w:val="0"/>
                <w:sz w:val="24"/>
              </w:rPr>
            </w:pPr>
            <w:r>
              <w:rPr>
                <w:kern w:val="0"/>
                <w:sz w:val="24"/>
              </w:rPr>
              <w:t>质量</w:t>
            </w:r>
          </w:p>
          <w:p w14:paraId="1F717A16">
            <w:pPr>
              <w:adjustRightInd w:val="0"/>
              <w:snapToGrid w:val="0"/>
              <w:jc w:val="center"/>
              <w:rPr>
                <w:kern w:val="0"/>
                <w:sz w:val="24"/>
              </w:rPr>
            </w:pPr>
            <w:r>
              <w:rPr>
                <w:kern w:val="0"/>
                <w:sz w:val="24"/>
              </w:rPr>
              <w:t>现状</w:t>
            </w:r>
          </w:p>
        </w:tc>
        <w:tc>
          <w:tcPr>
            <w:tcW w:w="8639" w:type="dxa"/>
            <w:vAlign w:val="center"/>
          </w:tcPr>
          <w:p w14:paraId="29311F0F">
            <w:pPr>
              <w:spacing w:line="360" w:lineRule="auto"/>
              <w:ind w:firstLine="482" w:firstLineChars="200"/>
              <w:rPr>
                <w:b/>
                <w:sz w:val="24"/>
              </w:rPr>
            </w:pPr>
            <w:r>
              <w:rPr>
                <w:b/>
                <w:sz w:val="24"/>
              </w:rPr>
              <w:t>1</w:t>
            </w:r>
            <w:r>
              <w:rPr>
                <w:rFonts w:hint="eastAsia"/>
                <w:b/>
                <w:sz w:val="24"/>
              </w:rPr>
              <w:t>、环境空气质量现状</w:t>
            </w:r>
          </w:p>
          <w:p w14:paraId="771ADB46">
            <w:pPr>
              <w:spacing w:line="360" w:lineRule="auto"/>
              <w:ind w:firstLine="480" w:firstLineChars="200"/>
              <w:rPr>
                <w:bCs/>
                <w:sz w:val="24"/>
              </w:rPr>
            </w:pPr>
            <w:r>
              <w:rPr>
                <w:rFonts w:hint="eastAsia"/>
                <w:bCs/>
                <w:sz w:val="24"/>
              </w:rPr>
              <w:t>根据环境空气质量功能分区，项目所在区域属于二类功能区，应执行《环境空气质量标准》</w:t>
            </w:r>
            <w:r>
              <w:rPr>
                <w:bCs/>
                <w:sz w:val="24"/>
              </w:rPr>
              <w:t>(GB3095-2012)</w:t>
            </w:r>
            <w:r>
              <w:rPr>
                <w:rFonts w:hint="eastAsia"/>
                <w:bCs/>
                <w:sz w:val="24"/>
              </w:rPr>
              <w:t>表</w:t>
            </w:r>
            <w:r>
              <w:rPr>
                <w:bCs/>
                <w:sz w:val="24"/>
              </w:rPr>
              <w:t>1</w:t>
            </w:r>
            <w:r>
              <w:rPr>
                <w:rFonts w:hint="eastAsia"/>
                <w:bCs/>
                <w:sz w:val="24"/>
              </w:rPr>
              <w:t>二级标准。</w:t>
            </w:r>
            <w:r>
              <w:rPr>
                <w:bCs/>
                <w:sz w:val="24"/>
              </w:rPr>
              <w:t>本次收集河南省商丘市生态环境监测中心关于商丘市202</w:t>
            </w:r>
            <w:r>
              <w:rPr>
                <w:rFonts w:hint="eastAsia"/>
                <w:bCs/>
                <w:sz w:val="24"/>
              </w:rPr>
              <w:t>3</w:t>
            </w:r>
            <w:r>
              <w:rPr>
                <w:bCs/>
                <w:sz w:val="24"/>
              </w:rPr>
              <w:t>年1年中324个日均值数据（自动监测数据），每月至少有27个有效数据（其中2月不低于25个），数据有效性满足GB3095-2012和HJ663中关于数据统计的有效性规定，经统计分析环境质量调查数据统计结果</w:t>
            </w:r>
            <w:r>
              <w:rPr>
                <w:rFonts w:hint="eastAsia"/>
                <w:bCs/>
                <w:sz w:val="24"/>
              </w:rPr>
              <w:t>见</w:t>
            </w:r>
            <w:r>
              <w:rPr>
                <w:bCs/>
                <w:sz w:val="24"/>
              </w:rPr>
              <w:t>下表。</w:t>
            </w:r>
          </w:p>
          <w:p w14:paraId="2D600C45">
            <w:pPr>
              <w:pStyle w:val="60"/>
              <w:rPr>
                <w:rFonts w:eastAsia="宋体"/>
                <w:bCs/>
                <w:sz w:val="24"/>
              </w:rPr>
            </w:pPr>
            <w:r>
              <w:rPr>
                <w:rFonts w:hAnsi="宋体" w:eastAsia="宋体"/>
                <w:sz w:val="24"/>
              </w:rPr>
              <w:t>表</w:t>
            </w:r>
            <w:r>
              <w:rPr>
                <w:rFonts w:hint="eastAsia" w:eastAsia="宋体"/>
                <w:sz w:val="24"/>
              </w:rPr>
              <w:t xml:space="preserve">13    </w:t>
            </w:r>
            <w:r>
              <w:rPr>
                <w:rFonts w:hAnsi="宋体" w:eastAsia="宋体"/>
                <w:bCs/>
                <w:sz w:val="24"/>
              </w:rPr>
              <w:t>区域达标性判断表</w:t>
            </w:r>
            <w:r>
              <w:rPr>
                <w:rFonts w:hint="eastAsia" w:hAnsi="宋体" w:eastAsia="宋体"/>
                <w:bCs/>
                <w:sz w:val="24"/>
              </w:rPr>
              <w:t xml:space="preserve">       单位：</w:t>
            </w:r>
            <w:r>
              <w:t>µg/m</w:t>
            </w:r>
            <w:r>
              <w:rPr>
                <w:vertAlign w:val="superscript"/>
              </w:rPr>
              <w:t>3</w:t>
            </w: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085"/>
              <w:gridCol w:w="2047"/>
              <w:gridCol w:w="1639"/>
              <w:gridCol w:w="1444"/>
              <w:gridCol w:w="1249"/>
              <w:gridCol w:w="949"/>
            </w:tblGrid>
            <w:tr w14:paraId="74B22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085" w:type="dxa"/>
                  <w:vAlign w:val="center"/>
                </w:tcPr>
                <w:p w14:paraId="35D34562">
                  <w:pPr>
                    <w:snapToGrid w:val="0"/>
                    <w:spacing w:line="240" w:lineRule="exact"/>
                    <w:jc w:val="center"/>
                    <w:rPr>
                      <w:szCs w:val="21"/>
                    </w:rPr>
                  </w:pPr>
                  <w:r>
                    <w:rPr>
                      <w:rFonts w:hint="eastAsia"/>
                      <w:szCs w:val="21"/>
                    </w:rPr>
                    <w:t>污染物</w:t>
                  </w:r>
                </w:p>
              </w:tc>
              <w:tc>
                <w:tcPr>
                  <w:tcW w:w="2047" w:type="dxa"/>
                  <w:vAlign w:val="center"/>
                </w:tcPr>
                <w:p w14:paraId="35F901A5">
                  <w:pPr>
                    <w:adjustRightInd w:val="0"/>
                    <w:snapToGrid w:val="0"/>
                    <w:spacing w:line="240" w:lineRule="exact"/>
                    <w:jc w:val="center"/>
                    <w:rPr>
                      <w:szCs w:val="21"/>
                    </w:rPr>
                  </w:pPr>
                  <w:r>
                    <w:rPr>
                      <w:rFonts w:hint="eastAsia"/>
                      <w:szCs w:val="21"/>
                    </w:rPr>
                    <w:t>评价指标</w:t>
                  </w:r>
                </w:p>
              </w:tc>
              <w:tc>
                <w:tcPr>
                  <w:tcW w:w="1639" w:type="dxa"/>
                  <w:vAlign w:val="center"/>
                </w:tcPr>
                <w:p w14:paraId="02DA68A5">
                  <w:pPr>
                    <w:adjustRightInd w:val="0"/>
                    <w:snapToGrid w:val="0"/>
                    <w:spacing w:line="240" w:lineRule="exact"/>
                    <w:jc w:val="center"/>
                    <w:rPr>
                      <w:szCs w:val="21"/>
                    </w:rPr>
                  </w:pPr>
                  <w:r>
                    <w:rPr>
                      <w:rFonts w:hint="eastAsia"/>
                      <w:szCs w:val="21"/>
                    </w:rPr>
                    <w:t>现状浓度（</w:t>
                  </w:r>
                  <w:r>
                    <w:rPr>
                      <w:szCs w:val="21"/>
                    </w:rPr>
                    <w:t>μg/m</w:t>
                  </w:r>
                  <w:r>
                    <w:rPr>
                      <w:szCs w:val="21"/>
                      <w:vertAlign w:val="superscript"/>
                    </w:rPr>
                    <w:t>3</w:t>
                  </w:r>
                  <w:r>
                    <w:rPr>
                      <w:rFonts w:hint="eastAsia"/>
                      <w:szCs w:val="21"/>
                    </w:rPr>
                    <w:t>）</w:t>
                  </w:r>
                </w:p>
              </w:tc>
              <w:tc>
                <w:tcPr>
                  <w:tcW w:w="1444" w:type="dxa"/>
                  <w:vAlign w:val="center"/>
                </w:tcPr>
                <w:p w14:paraId="2A585C30">
                  <w:pPr>
                    <w:adjustRightInd w:val="0"/>
                    <w:snapToGrid w:val="0"/>
                    <w:spacing w:line="240" w:lineRule="exact"/>
                    <w:jc w:val="center"/>
                    <w:rPr>
                      <w:szCs w:val="21"/>
                    </w:rPr>
                  </w:pPr>
                  <w:r>
                    <w:rPr>
                      <w:rFonts w:hint="eastAsia"/>
                      <w:szCs w:val="21"/>
                    </w:rPr>
                    <w:t>标准值（</w:t>
                  </w:r>
                  <w:r>
                    <w:rPr>
                      <w:szCs w:val="21"/>
                    </w:rPr>
                    <w:t>μg/m</w:t>
                  </w:r>
                  <w:r>
                    <w:rPr>
                      <w:szCs w:val="21"/>
                      <w:vertAlign w:val="superscript"/>
                    </w:rPr>
                    <w:t>3</w:t>
                  </w:r>
                  <w:r>
                    <w:rPr>
                      <w:rFonts w:hint="eastAsia"/>
                      <w:szCs w:val="21"/>
                    </w:rPr>
                    <w:t>）</w:t>
                  </w:r>
                </w:p>
              </w:tc>
              <w:tc>
                <w:tcPr>
                  <w:tcW w:w="1249" w:type="dxa"/>
                  <w:vAlign w:val="center"/>
                </w:tcPr>
                <w:p w14:paraId="2A844D44">
                  <w:pPr>
                    <w:adjustRightInd w:val="0"/>
                    <w:snapToGrid w:val="0"/>
                    <w:spacing w:line="240" w:lineRule="exact"/>
                    <w:jc w:val="center"/>
                    <w:rPr>
                      <w:szCs w:val="21"/>
                    </w:rPr>
                  </w:pPr>
                  <w:r>
                    <w:rPr>
                      <w:rFonts w:hint="eastAsia"/>
                      <w:szCs w:val="21"/>
                    </w:rPr>
                    <w:t>占标率（</w:t>
                  </w:r>
                  <w:r>
                    <w:rPr>
                      <w:szCs w:val="21"/>
                    </w:rPr>
                    <w:t>%</w:t>
                  </w:r>
                  <w:r>
                    <w:rPr>
                      <w:rFonts w:hint="eastAsia"/>
                      <w:szCs w:val="21"/>
                    </w:rPr>
                    <w:t>）</w:t>
                  </w:r>
                </w:p>
              </w:tc>
              <w:tc>
                <w:tcPr>
                  <w:tcW w:w="949" w:type="dxa"/>
                  <w:vAlign w:val="center"/>
                </w:tcPr>
                <w:p w14:paraId="4E0D0181">
                  <w:pPr>
                    <w:adjustRightInd w:val="0"/>
                    <w:snapToGrid w:val="0"/>
                    <w:spacing w:line="240" w:lineRule="exact"/>
                    <w:jc w:val="center"/>
                    <w:rPr>
                      <w:szCs w:val="21"/>
                    </w:rPr>
                  </w:pPr>
                  <w:r>
                    <w:rPr>
                      <w:rFonts w:hint="eastAsia"/>
                      <w:szCs w:val="21"/>
                    </w:rPr>
                    <w:t>达标情况</w:t>
                  </w:r>
                </w:p>
              </w:tc>
            </w:tr>
            <w:tr w14:paraId="0C9C5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085" w:type="dxa"/>
                  <w:vAlign w:val="center"/>
                </w:tcPr>
                <w:p w14:paraId="5B9CBA11">
                  <w:pPr>
                    <w:snapToGrid w:val="0"/>
                    <w:spacing w:line="240" w:lineRule="exact"/>
                    <w:jc w:val="center"/>
                    <w:rPr>
                      <w:szCs w:val="21"/>
                    </w:rPr>
                  </w:pPr>
                  <w:r>
                    <w:rPr>
                      <w:szCs w:val="21"/>
                    </w:rPr>
                    <w:t>PM</w:t>
                  </w:r>
                  <w:r>
                    <w:rPr>
                      <w:szCs w:val="21"/>
                      <w:vertAlign w:val="subscript"/>
                    </w:rPr>
                    <w:t>10</w:t>
                  </w:r>
                </w:p>
              </w:tc>
              <w:tc>
                <w:tcPr>
                  <w:tcW w:w="2047" w:type="dxa"/>
                  <w:vAlign w:val="center"/>
                </w:tcPr>
                <w:p w14:paraId="09BAD8E6">
                  <w:pPr>
                    <w:adjustRightInd w:val="0"/>
                    <w:snapToGrid w:val="0"/>
                    <w:spacing w:line="240" w:lineRule="exact"/>
                    <w:jc w:val="center"/>
                    <w:rPr>
                      <w:szCs w:val="21"/>
                    </w:rPr>
                  </w:pPr>
                  <w:r>
                    <w:rPr>
                      <w:rFonts w:hint="eastAsia"/>
                      <w:szCs w:val="21"/>
                    </w:rPr>
                    <w:t>年平均</w:t>
                  </w:r>
                </w:p>
              </w:tc>
              <w:tc>
                <w:tcPr>
                  <w:tcW w:w="1639" w:type="dxa"/>
                  <w:vAlign w:val="center"/>
                </w:tcPr>
                <w:p w14:paraId="3C2E0828">
                  <w:pPr>
                    <w:adjustRightInd w:val="0"/>
                    <w:spacing w:line="240" w:lineRule="exact"/>
                    <w:jc w:val="center"/>
                    <w:rPr>
                      <w:szCs w:val="21"/>
                    </w:rPr>
                  </w:pPr>
                  <w:r>
                    <w:rPr>
                      <w:rFonts w:hint="eastAsia"/>
                      <w:szCs w:val="21"/>
                    </w:rPr>
                    <w:t>71</w:t>
                  </w:r>
                </w:p>
              </w:tc>
              <w:tc>
                <w:tcPr>
                  <w:tcW w:w="1444" w:type="dxa"/>
                  <w:vAlign w:val="center"/>
                </w:tcPr>
                <w:p w14:paraId="415ECFF3">
                  <w:pPr>
                    <w:adjustRightInd w:val="0"/>
                    <w:spacing w:line="240" w:lineRule="exact"/>
                    <w:jc w:val="center"/>
                    <w:rPr>
                      <w:szCs w:val="21"/>
                    </w:rPr>
                  </w:pPr>
                  <w:r>
                    <w:rPr>
                      <w:szCs w:val="21"/>
                    </w:rPr>
                    <w:t>70</w:t>
                  </w:r>
                </w:p>
              </w:tc>
              <w:tc>
                <w:tcPr>
                  <w:tcW w:w="1249" w:type="dxa"/>
                  <w:vAlign w:val="center"/>
                </w:tcPr>
                <w:p w14:paraId="1FC62780">
                  <w:pPr>
                    <w:adjustRightInd w:val="0"/>
                    <w:spacing w:line="240" w:lineRule="exact"/>
                    <w:jc w:val="center"/>
                    <w:rPr>
                      <w:szCs w:val="21"/>
                    </w:rPr>
                  </w:pPr>
                  <w:r>
                    <w:rPr>
                      <w:rFonts w:hint="eastAsia"/>
                      <w:szCs w:val="21"/>
                    </w:rPr>
                    <w:t>101</w:t>
                  </w:r>
                </w:p>
              </w:tc>
              <w:tc>
                <w:tcPr>
                  <w:tcW w:w="949" w:type="dxa"/>
                  <w:vAlign w:val="center"/>
                </w:tcPr>
                <w:p w14:paraId="0D1131AF">
                  <w:pPr>
                    <w:adjustRightInd w:val="0"/>
                    <w:snapToGrid w:val="0"/>
                    <w:spacing w:line="240" w:lineRule="exact"/>
                    <w:jc w:val="center"/>
                    <w:rPr>
                      <w:szCs w:val="21"/>
                    </w:rPr>
                  </w:pPr>
                  <w:r>
                    <w:rPr>
                      <w:rFonts w:hint="eastAsia"/>
                      <w:szCs w:val="21"/>
                    </w:rPr>
                    <w:t>超标</w:t>
                  </w:r>
                </w:p>
              </w:tc>
            </w:tr>
            <w:tr w14:paraId="0C479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085" w:type="dxa"/>
                  <w:vAlign w:val="center"/>
                </w:tcPr>
                <w:p w14:paraId="2802DB16">
                  <w:pPr>
                    <w:snapToGrid w:val="0"/>
                    <w:spacing w:line="240" w:lineRule="exact"/>
                    <w:jc w:val="center"/>
                    <w:rPr>
                      <w:szCs w:val="21"/>
                    </w:rPr>
                  </w:pPr>
                  <w:r>
                    <w:rPr>
                      <w:szCs w:val="21"/>
                    </w:rPr>
                    <w:t>PM</w:t>
                  </w:r>
                  <w:r>
                    <w:rPr>
                      <w:szCs w:val="21"/>
                      <w:vertAlign w:val="subscript"/>
                    </w:rPr>
                    <w:t>2.5</w:t>
                  </w:r>
                </w:p>
              </w:tc>
              <w:tc>
                <w:tcPr>
                  <w:tcW w:w="2047" w:type="dxa"/>
                  <w:vAlign w:val="center"/>
                </w:tcPr>
                <w:p w14:paraId="7D681245">
                  <w:pPr>
                    <w:adjustRightInd w:val="0"/>
                    <w:snapToGrid w:val="0"/>
                    <w:spacing w:line="240" w:lineRule="exact"/>
                    <w:jc w:val="center"/>
                    <w:rPr>
                      <w:szCs w:val="21"/>
                    </w:rPr>
                  </w:pPr>
                  <w:r>
                    <w:rPr>
                      <w:rFonts w:hint="eastAsia"/>
                      <w:szCs w:val="21"/>
                    </w:rPr>
                    <w:t>年平均</w:t>
                  </w:r>
                </w:p>
              </w:tc>
              <w:tc>
                <w:tcPr>
                  <w:tcW w:w="1639" w:type="dxa"/>
                  <w:vAlign w:val="center"/>
                </w:tcPr>
                <w:p w14:paraId="49454958">
                  <w:pPr>
                    <w:adjustRightInd w:val="0"/>
                    <w:spacing w:line="240" w:lineRule="exact"/>
                    <w:jc w:val="center"/>
                    <w:rPr>
                      <w:szCs w:val="21"/>
                    </w:rPr>
                  </w:pPr>
                  <w:r>
                    <w:rPr>
                      <w:rFonts w:hint="eastAsia"/>
                      <w:szCs w:val="21"/>
                    </w:rPr>
                    <w:t>46</w:t>
                  </w:r>
                </w:p>
              </w:tc>
              <w:tc>
                <w:tcPr>
                  <w:tcW w:w="1444" w:type="dxa"/>
                  <w:vAlign w:val="center"/>
                </w:tcPr>
                <w:p w14:paraId="32ED04CC">
                  <w:pPr>
                    <w:adjustRightInd w:val="0"/>
                    <w:spacing w:line="240" w:lineRule="exact"/>
                    <w:jc w:val="center"/>
                    <w:rPr>
                      <w:szCs w:val="21"/>
                    </w:rPr>
                  </w:pPr>
                  <w:r>
                    <w:rPr>
                      <w:szCs w:val="21"/>
                    </w:rPr>
                    <w:t>35</w:t>
                  </w:r>
                </w:p>
              </w:tc>
              <w:tc>
                <w:tcPr>
                  <w:tcW w:w="1249" w:type="dxa"/>
                  <w:vAlign w:val="center"/>
                </w:tcPr>
                <w:p w14:paraId="09078612">
                  <w:pPr>
                    <w:adjustRightInd w:val="0"/>
                    <w:spacing w:line="240" w:lineRule="exact"/>
                    <w:jc w:val="center"/>
                    <w:rPr>
                      <w:szCs w:val="21"/>
                    </w:rPr>
                  </w:pPr>
                  <w:r>
                    <w:rPr>
                      <w:rFonts w:hint="eastAsia"/>
                      <w:szCs w:val="21"/>
                    </w:rPr>
                    <w:t>131</w:t>
                  </w:r>
                </w:p>
              </w:tc>
              <w:tc>
                <w:tcPr>
                  <w:tcW w:w="949" w:type="dxa"/>
                  <w:vAlign w:val="center"/>
                </w:tcPr>
                <w:p w14:paraId="30879E42">
                  <w:pPr>
                    <w:adjustRightInd w:val="0"/>
                    <w:snapToGrid w:val="0"/>
                    <w:spacing w:line="240" w:lineRule="exact"/>
                    <w:jc w:val="center"/>
                    <w:rPr>
                      <w:szCs w:val="21"/>
                    </w:rPr>
                  </w:pPr>
                  <w:r>
                    <w:rPr>
                      <w:rFonts w:hint="eastAsia"/>
                      <w:szCs w:val="21"/>
                    </w:rPr>
                    <w:t>超标</w:t>
                  </w:r>
                </w:p>
              </w:tc>
            </w:tr>
            <w:tr w14:paraId="573F2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085" w:type="dxa"/>
                  <w:vAlign w:val="center"/>
                </w:tcPr>
                <w:p w14:paraId="6F3CE396">
                  <w:pPr>
                    <w:snapToGrid w:val="0"/>
                    <w:spacing w:line="240" w:lineRule="exact"/>
                    <w:jc w:val="center"/>
                    <w:rPr>
                      <w:szCs w:val="21"/>
                    </w:rPr>
                  </w:pPr>
                  <w:r>
                    <w:rPr>
                      <w:szCs w:val="21"/>
                    </w:rPr>
                    <w:t>SO</w:t>
                  </w:r>
                  <w:r>
                    <w:rPr>
                      <w:szCs w:val="21"/>
                      <w:vertAlign w:val="subscript"/>
                    </w:rPr>
                    <w:t>2</w:t>
                  </w:r>
                </w:p>
              </w:tc>
              <w:tc>
                <w:tcPr>
                  <w:tcW w:w="2047" w:type="dxa"/>
                  <w:vAlign w:val="center"/>
                </w:tcPr>
                <w:p w14:paraId="17AFD287">
                  <w:pPr>
                    <w:adjustRightInd w:val="0"/>
                    <w:snapToGrid w:val="0"/>
                    <w:spacing w:line="240" w:lineRule="exact"/>
                    <w:jc w:val="center"/>
                    <w:rPr>
                      <w:szCs w:val="21"/>
                    </w:rPr>
                  </w:pPr>
                  <w:r>
                    <w:rPr>
                      <w:rFonts w:hint="eastAsia"/>
                      <w:szCs w:val="21"/>
                    </w:rPr>
                    <w:t>年平均</w:t>
                  </w:r>
                </w:p>
              </w:tc>
              <w:tc>
                <w:tcPr>
                  <w:tcW w:w="1639" w:type="dxa"/>
                  <w:vAlign w:val="center"/>
                </w:tcPr>
                <w:p w14:paraId="2A0334B1">
                  <w:pPr>
                    <w:adjustRightInd w:val="0"/>
                    <w:spacing w:line="240" w:lineRule="exact"/>
                    <w:jc w:val="center"/>
                    <w:rPr>
                      <w:szCs w:val="21"/>
                    </w:rPr>
                  </w:pPr>
                  <w:r>
                    <w:rPr>
                      <w:rFonts w:hint="eastAsia"/>
                      <w:szCs w:val="21"/>
                    </w:rPr>
                    <w:t>8</w:t>
                  </w:r>
                </w:p>
              </w:tc>
              <w:tc>
                <w:tcPr>
                  <w:tcW w:w="1444" w:type="dxa"/>
                  <w:vAlign w:val="center"/>
                </w:tcPr>
                <w:p w14:paraId="0DCE3776">
                  <w:pPr>
                    <w:adjustRightInd w:val="0"/>
                    <w:spacing w:line="240" w:lineRule="exact"/>
                    <w:jc w:val="center"/>
                    <w:rPr>
                      <w:szCs w:val="21"/>
                    </w:rPr>
                  </w:pPr>
                  <w:r>
                    <w:rPr>
                      <w:szCs w:val="21"/>
                    </w:rPr>
                    <w:t>60</w:t>
                  </w:r>
                </w:p>
              </w:tc>
              <w:tc>
                <w:tcPr>
                  <w:tcW w:w="1249" w:type="dxa"/>
                  <w:vAlign w:val="center"/>
                </w:tcPr>
                <w:p w14:paraId="7712319D">
                  <w:pPr>
                    <w:adjustRightInd w:val="0"/>
                    <w:spacing w:line="240" w:lineRule="exact"/>
                    <w:jc w:val="center"/>
                    <w:rPr>
                      <w:szCs w:val="21"/>
                    </w:rPr>
                  </w:pPr>
                  <w:r>
                    <w:rPr>
                      <w:rFonts w:hint="eastAsia"/>
                      <w:szCs w:val="21"/>
                    </w:rPr>
                    <w:t>13.3</w:t>
                  </w:r>
                </w:p>
              </w:tc>
              <w:tc>
                <w:tcPr>
                  <w:tcW w:w="949" w:type="dxa"/>
                  <w:vAlign w:val="center"/>
                </w:tcPr>
                <w:p w14:paraId="020A4131">
                  <w:pPr>
                    <w:adjustRightInd w:val="0"/>
                    <w:snapToGrid w:val="0"/>
                    <w:spacing w:line="240" w:lineRule="exact"/>
                    <w:jc w:val="center"/>
                    <w:rPr>
                      <w:szCs w:val="21"/>
                    </w:rPr>
                  </w:pPr>
                  <w:r>
                    <w:rPr>
                      <w:rFonts w:hint="eastAsia"/>
                      <w:szCs w:val="21"/>
                    </w:rPr>
                    <w:t>达标</w:t>
                  </w:r>
                </w:p>
              </w:tc>
            </w:tr>
            <w:tr w14:paraId="608C1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085" w:type="dxa"/>
                  <w:vAlign w:val="center"/>
                </w:tcPr>
                <w:p w14:paraId="79EC4218">
                  <w:pPr>
                    <w:snapToGrid w:val="0"/>
                    <w:spacing w:line="240" w:lineRule="exact"/>
                    <w:jc w:val="center"/>
                    <w:rPr>
                      <w:szCs w:val="21"/>
                    </w:rPr>
                  </w:pPr>
                  <w:r>
                    <w:rPr>
                      <w:szCs w:val="21"/>
                    </w:rPr>
                    <w:t>NO</w:t>
                  </w:r>
                  <w:r>
                    <w:rPr>
                      <w:szCs w:val="21"/>
                      <w:vertAlign w:val="subscript"/>
                    </w:rPr>
                    <w:t>2</w:t>
                  </w:r>
                </w:p>
              </w:tc>
              <w:tc>
                <w:tcPr>
                  <w:tcW w:w="2047" w:type="dxa"/>
                  <w:vAlign w:val="center"/>
                </w:tcPr>
                <w:p w14:paraId="507E24FD">
                  <w:pPr>
                    <w:adjustRightInd w:val="0"/>
                    <w:snapToGrid w:val="0"/>
                    <w:spacing w:line="240" w:lineRule="exact"/>
                    <w:jc w:val="center"/>
                    <w:rPr>
                      <w:szCs w:val="21"/>
                    </w:rPr>
                  </w:pPr>
                  <w:r>
                    <w:rPr>
                      <w:rFonts w:hint="eastAsia"/>
                      <w:szCs w:val="21"/>
                    </w:rPr>
                    <w:t>年平均</w:t>
                  </w:r>
                </w:p>
              </w:tc>
              <w:tc>
                <w:tcPr>
                  <w:tcW w:w="1639" w:type="dxa"/>
                  <w:vAlign w:val="center"/>
                </w:tcPr>
                <w:p w14:paraId="707BE891">
                  <w:pPr>
                    <w:adjustRightInd w:val="0"/>
                    <w:spacing w:line="240" w:lineRule="exact"/>
                    <w:jc w:val="center"/>
                    <w:rPr>
                      <w:szCs w:val="21"/>
                    </w:rPr>
                  </w:pPr>
                  <w:r>
                    <w:rPr>
                      <w:rFonts w:hint="eastAsia"/>
                      <w:szCs w:val="21"/>
                    </w:rPr>
                    <w:t>21</w:t>
                  </w:r>
                </w:p>
              </w:tc>
              <w:tc>
                <w:tcPr>
                  <w:tcW w:w="1444" w:type="dxa"/>
                  <w:vAlign w:val="center"/>
                </w:tcPr>
                <w:p w14:paraId="5467C52F">
                  <w:pPr>
                    <w:adjustRightInd w:val="0"/>
                    <w:spacing w:line="240" w:lineRule="exact"/>
                    <w:jc w:val="center"/>
                    <w:rPr>
                      <w:szCs w:val="21"/>
                    </w:rPr>
                  </w:pPr>
                  <w:r>
                    <w:rPr>
                      <w:szCs w:val="21"/>
                    </w:rPr>
                    <w:t>40</w:t>
                  </w:r>
                </w:p>
              </w:tc>
              <w:tc>
                <w:tcPr>
                  <w:tcW w:w="1249" w:type="dxa"/>
                  <w:vAlign w:val="center"/>
                </w:tcPr>
                <w:p w14:paraId="00006802">
                  <w:pPr>
                    <w:adjustRightInd w:val="0"/>
                    <w:spacing w:line="240" w:lineRule="exact"/>
                    <w:jc w:val="center"/>
                    <w:rPr>
                      <w:szCs w:val="21"/>
                    </w:rPr>
                  </w:pPr>
                  <w:r>
                    <w:rPr>
                      <w:rFonts w:hint="eastAsia"/>
                      <w:szCs w:val="21"/>
                    </w:rPr>
                    <w:t>52.5</w:t>
                  </w:r>
                </w:p>
              </w:tc>
              <w:tc>
                <w:tcPr>
                  <w:tcW w:w="949" w:type="dxa"/>
                  <w:vAlign w:val="center"/>
                </w:tcPr>
                <w:p w14:paraId="11DD24DF">
                  <w:pPr>
                    <w:adjustRightInd w:val="0"/>
                    <w:snapToGrid w:val="0"/>
                    <w:spacing w:line="240" w:lineRule="exact"/>
                    <w:jc w:val="center"/>
                    <w:rPr>
                      <w:szCs w:val="21"/>
                    </w:rPr>
                  </w:pPr>
                  <w:r>
                    <w:rPr>
                      <w:rFonts w:hint="eastAsia"/>
                      <w:szCs w:val="21"/>
                    </w:rPr>
                    <w:t>达标</w:t>
                  </w:r>
                </w:p>
              </w:tc>
            </w:tr>
            <w:tr w14:paraId="0538F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085" w:type="dxa"/>
                  <w:vAlign w:val="center"/>
                </w:tcPr>
                <w:p w14:paraId="43437896">
                  <w:pPr>
                    <w:snapToGrid w:val="0"/>
                    <w:spacing w:line="240" w:lineRule="exact"/>
                    <w:jc w:val="center"/>
                    <w:rPr>
                      <w:szCs w:val="21"/>
                    </w:rPr>
                  </w:pPr>
                  <w:r>
                    <w:rPr>
                      <w:szCs w:val="21"/>
                    </w:rPr>
                    <w:t>CO</w:t>
                  </w:r>
                </w:p>
              </w:tc>
              <w:tc>
                <w:tcPr>
                  <w:tcW w:w="2047" w:type="dxa"/>
                  <w:vAlign w:val="center"/>
                </w:tcPr>
                <w:p w14:paraId="4A1579B6">
                  <w:pPr>
                    <w:adjustRightInd w:val="0"/>
                    <w:snapToGrid w:val="0"/>
                    <w:spacing w:line="240" w:lineRule="exact"/>
                    <w:jc w:val="center"/>
                    <w:rPr>
                      <w:szCs w:val="21"/>
                    </w:rPr>
                  </w:pPr>
                  <w:r>
                    <w:rPr>
                      <w:rFonts w:hint="eastAsia"/>
                      <w:szCs w:val="21"/>
                    </w:rPr>
                    <w:t>第</w:t>
                  </w:r>
                  <w:r>
                    <w:rPr>
                      <w:szCs w:val="21"/>
                    </w:rPr>
                    <w:t>95</w:t>
                  </w:r>
                  <w:r>
                    <w:rPr>
                      <w:rFonts w:hint="eastAsia"/>
                      <w:szCs w:val="21"/>
                    </w:rPr>
                    <w:t>百分位数日平均</w:t>
                  </w:r>
                </w:p>
              </w:tc>
              <w:tc>
                <w:tcPr>
                  <w:tcW w:w="1639" w:type="dxa"/>
                  <w:vAlign w:val="center"/>
                </w:tcPr>
                <w:p w14:paraId="04DC6A03">
                  <w:pPr>
                    <w:adjustRightInd w:val="0"/>
                    <w:spacing w:line="240" w:lineRule="exact"/>
                    <w:jc w:val="center"/>
                    <w:rPr>
                      <w:szCs w:val="21"/>
                    </w:rPr>
                  </w:pPr>
                  <w:r>
                    <w:rPr>
                      <w:rFonts w:hint="eastAsia"/>
                      <w:szCs w:val="21"/>
                    </w:rPr>
                    <w:t>900</w:t>
                  </w:r>
                </w:p>
              </w:tc>
              <w:tc>
                <w:tcPr>
                  <w:tcW w:w="1444" w:type="dxa"/>
                  <w:vAlign w:val="center"/>
                </w:tcPr>
                <w:p w14:paraId="45CFCEE3">
                  <w:pPr>
                    <w:adjustRightInd w:val="0"/>
                    <w:spacing w:line="240" w:lineRule="exact"/>
                    <w:jc w:val="center"/>
                    <w:rPr>
                      <w:szCs w:val="21"/>
                    </w:rPr>
                  </w:pPr>
                  <w:r>
                    <w:rPr>
                      <w:szCs w:val="21"/>
                    </w:rPr>
                    <w:t>4</w:t>
                  </w:r>
                  <w:r>
                    <w:rPr>
                      <w:rFonts w:hint="eastAsia"/>
                      <w:szCs w:val="21"/>
                    </w:rPr>
                    <w:t>000</w:t>
                  </w:r>
                </w:p>
              </w:tc>
              <w:tc>
                <w:tcPr>
                  <w:tcW w:w="1249" w:type="dxa"/>
                  <w:vAlign w:val="center"/>
                </w:tcPr>
                <w:p w14:paraId="4829E3BA">
                  <w:pPr>
                    <w:adjustRightInd w:val="0"/>
                    <w:spacing w:line="240" w:lineRule="exact"/>
                    <w:jc w:val="center"/>
                    <w:rPr>
                      <w:szCs w:val="21"/>
                    </w:rPr>
                  </w:pPr>
                  <w:r>
                    <w:rPr>
                      <w:rFonts w:hint="eastAsia"/>
                      <w:szCs w:val="21"/>
                    </w:rPr>
                    <w:t>22.5</w:t>
                  </w:r>
                </w:p>
              </w:tc>
              <w:tc>
                <w:tcPr>
                  <w:tcW w:w="949" w:type="dxa"/>
                  <w:vAlign w:val="center"/>
                </w:tcPr>
                <w:p w14:paraId="2DB0398A">
                  <w:pPr>
                    <w:adjustRightInd w:val="0"/>
                    <w:snapToGrid w:val="0"/>
                    <w:spacing w:line="240" w:lineRule="exact"/>
                    <w:jc w:val="center"/>
                    <w:rPr>
                      <w:szCs w:val="21"/>
                    </w:rPr>
                  </w:pPr>
                  <w:r>
                    <w:rPr>
                      <w:rFonts w:hint="eastAsia"/>
                      <w:szCs w:val="21"/>
                    </w:rPr>
                    <w:t>达标</w:t>
                  </w:r>
                </w:p>
              </w:tc>
            </w:tr>
            <w:tr w14:paraId="5CAC2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085" w:type="dxa"/>
                  <w:vAlign w:val="center"/>
                </w:tcPr>
                <w:p w14:paraId="06AD5648">
                  <w:pPr>
                    <w:snapToGrid w:val="0"/>
                    <w:spacing w:line="240" w:lineRule="exact"/>
                    <w:jc w:val="center"/>
                    <w:rPr>
                      <w:szCs w:val="21"/>
                    </w:rPr>
                  </w:pPr>
                  <w:r>
                    <w:rPr>
                      <w:sz w:val="24"/>
                    </w:rPr>
                    <w:t>O</w:t>
                  </w:r>
                  <w:r>
                    <w:rPr>
                      <w:sz w:val="24"/>
                      <w:vertAlign w:val="subscript"/>
                    </w:rPr>
                    <w:t>3</w:t>
                  </w:r>
                </w:p>
              </w:tc>
              <w:tc>
                <w:tcPr>
                  <w:tcW w:w="2047" w:type="dxa"/>
                  <w:vAlign w:val="center"/>
                </w:tcPr>
                <w:p w14:paraId="76C8E132">
                  <w:pPr>
                    <w:snapToGrid w:val="0"/>
                    <w:spacing w:line="240" w:lineRule="exact"/>
                    <w:jc w:val="center"/>
                    <w:rPr>
                      <w:szCs w:val="21"/>
                    </w:rPr>
                  </w:pPr>
                  <w:r>
                    <w:rPr>
                      <w:rFonts w:hint="eastAsia"/>
                      <w:szCs w:val="21"/>
                    </w:rPr>
                    <w:t>第</w:t>
                  </w:r>
                  <w:r>
                    <w:rPr>
                      <w:szCs w:val="21"/>
                    </w:rPr>
                    <w:t>90</w:t>
                  </w:r>
                  <w:r>
                    <w:rPr>
                      <w:rFonts w:hint="eastAsia"/>
                      <w:szCs w:val="21"/>
                    </w:rPr>
                    <w:t>百分位数</w:t>
                  </w:r>
                  <w:r>
                    <w:rPr>
                      <w:szCs w:val="21"/>
                    </w:rPr>
                    <w:t>8h</w:t>
                  </w:r>
                  <w:r>
                    <w:rPr>
                      <w:rFonts w:hint="eastAsia"/>
                      <w:szCs w:val="21"/>
                    </w:rPr>
                    <w:t>平均</w:t>
                  </w:r>
                </w:p>
              </w:tc>
              <w:tc>
                <w:tcPr>
                  <w:tcW w:w="1639" w:type="dxa"/>
                  <w:vAlign w:val="center"/>
                </w:tcPr>
                <w:p w14:paraId="74C6D16B">
                  <w:pPr>
                    <w:adjustRightInd w:val="0"/>
                    <w:spacing w:line="240" w:lineRule="exact"/>
                    <w:jc w:val="center"/>
                    <w:rPr>
                      <w:szCs w:val="21"/>
                    </w:rPr>
                  </w:pPr>
                  <w:r>
                    <w:rPr>
                      <w:rFonts w:hint="eastAsia"/>
                      <w:szCs w:val="21"/>
                    </w:rPr>
                    <w:t>169</w:t>
                  </w:r>
                </w:p>
              </w:tc>
              <w:tc>
                <w:tcPr>
                  <w:tcW w:w="1444" w:type="dxa"/>
                  <w:vAlign w:val="center"/>
                </w:tcPr>
                <w:p w14:paraId="297868AC">
                  <w:pPr>
                    <w:adjustRightInd w:val="0"/>
                    <w:spacing w:line="240" w:lineRule="exact"/>
                    <w:jc w:val="center"/>
                    <w:rPr>
                      <w:szCs w:val="21"/>
                    </w:rPr>
                  </w:pPr>
                  <w:r>
                    <w:rPr>
                      <w:szCs w:val="21"/>
                    </w:rPr>
                    <w:t>160</w:t>
                  </w:r>
                </w:p>
              </w:tc>
              <w:tc>
                <w:tcPr>
                  <w:tcW w:w="1249" w:type="dxa"/>
                  <w:vAlign w:val="center"/>
                </w:tcPr>
                <w:p w14:paraId="5DC16094">
                  <w:pPr>
                    <w:adjustRightInd w:val="0"/>
                    <w:spacing w:line="240" w:lineRule="exact"/>
                    <w:jc w:val="center"/>
                    <w:rPr>
                      <w:szCs w:val="21"/>
                    </w:rPr>
                  </w:pPr>
                  <w:r>
                    <w:rPr>
                      <w:rFonts w:hint="eastAsia"/>
                      <w:szCs w:val="21"/>
                    </w:rPr>
                    <w:t>105.6</w:t>
                  </w:r>
                </w:p>
              </w:tc>
              <w:tc>
                <w:tcPr>
                  <w:tcW w:w="949" w:type="dxa"/>
                  <w:vAlign w:val="center"/>
                </w:tcPr>
                <w:p w14:paraId="01F11B25">
                  <w:pPr>
                    <w:snapToGrid w:val="0"/>
                    <w:spacing w:line="240" w:lineRule="exact"/>
                    <w:jc w:val="center"/>
                    <w:rPr>
                      <w:szCs w:val="21"/>
                    </w:rPr>
                  </w:pPr>
                  <w:r>
                    <w:rPr>
                      <w:rFonts w:hint="eastAsia"/>
                      <w:szCs w:val="21"/>
                    </w:rPr>
                    <w:t>超标</w:t>
                  </w:r>
                </w:p>
              </w:tc>
            </w:tr>
          </w:tbl>
          <w:p w14:paraId="16BBFEC9">
            <w:pPr>
              <w:autoSpaceDE w:val="0"/>
              <w:autoSpaceDN w:val="0"/>
              <w:adjustRightInd w:val="0"/>
              <w:snapToGrid w:val="0"/>
              <w:spacing w:line="360" w:lineRule="auto"/>
              <w:ind w:firstLine="480" w:firstLineChars="200"/>
              <w:rPr>
                <w:rFonts w:cs="宋体"/>
                <w:kern w:val="0"/>
                <w:sz w:val="24"/>
              </w:rPr>
            </w:pPr>
            <w:r>
              <w:rPr>
                <w:rFonts w:hint="eastAsia"/>
                <w:sz w:val="24"/>
              </w:rPr>
              <w:t>由上表可知，项目所在区域</w:t>
            </w:r>
            <w:r>
              <w:rPr>
                <w:sz w:val="24"/>
              </w:rPr>
              <w:t>SO</w:t>
            </w:r>
            <w:r>
              <w:rPr>
                <w:sz w:val="24"/>
                <w:vertAlign w:val="subscript"/>
              </w:rPr>
              <w:t>2</w:t>
            </w:r>
            <w:r>
              <w:rPr>
                <w:rFonts w:hint="eastAsia"/>
                <w:sz w:val="24"/>
              </w:rPr>
              <w:t>、</w:t>
            </w:r>
            <w:r>
              <w:rPr>
                <w:sz w:val="24"/>
              </w:rPr>
              <w:t>NO</w:t>
            </w:r>
            <w:r>
              <w:rPr>
                <w:sz w:val="24"/>
                <w:vertAlign w:val="subscript"/>
              </w:rPr>
              <w:t>2</w:t>
            </w:r>
            <w:r>
              <w:rPr>
                <w:rFonts w:hint="eastAsia"/>
                <w:sz w:val="24"/>
              </w:rPr>
              <w:t>、</w:t>
            </w:r>
            <w:r>
              <w:rPr>
                <w:sz w:val="24"/>
              </w:rPr>
              <w:t>CO</w:t>
            </w:r>
            <w:r>
              <w:rPr>
                <w:rFonts w:hint="eastAsia"/>
                <w:sz w:val="24"/>
              </w:rPr>
              <w:t>浓度满足《环境空气质量标准》（</w:t>
            </w:r>
            <w:r>
              <w:rPr>
                <w:sz w:val="24"/>
              </w:rPr>
              <w:t>GB3095-2012</w:t>
            </w:r>
            <w:r>
              <w:rPr>
                <w:rFonts w:hint="eastAsia"/>
                <w:sz w:val="24"/>
              </w:rPr>
              <w:t>）二级标准，</w:t>
            </w:r>
            <w:r>
              <w:rPr>
                <w:sz w:val="24"/>
              </w:rPr>
              <w:t>PM</w:t>
            </w:r>
            <w:r>
              <w:rPr>
                <w:sz w:val="24"/>
                <w:vertAlign w:val="subscript"/>
              </w:rPr>
              <w:t>2.5</w:t>
            </w:r>
            <w:r>
              <w:rPr>
                <w:rFonts w:hint="eastAsia"/>
                <w:sz w:val="24"/>
              </w:rPr>
              <w:t>、</w:t>
            </w:r>
            <w:r>
              <w:rPr>
                <w:sz w:val="24"/>
              </w:rPr>
              <w:t>PM</w:t>
            </w:r>
            <w:r>
              <w:rPr>
                <w:sz w:val="24"/>
                <w:vertAlign w:val="subscript"/>
              </w:rPr>
              <w:t>10</w:t>
            </w:r>
            <w:r>
              <w:rPr>
                <w:rFonts w:hint="eastAsia"/>
                <w:sz w:val="24"/>
              </w:rPr>
              <w:t>、</w:t>
            </w:r>
            <w:r>
              <w:rPr>
                <w:sz w:val="24"/>
              </w:rPr>
              <w:t>O</w:t>
            </w:r>
            <w:r>
              <w:rPr>
                <w:sz w:val="24"/>
                <w:vertAlign w:val="subscript"/>
              </w:rPr>
              <w:t>3</w:t>
            </w:r>
            <w:r>
              <w:rPr>
                <w:rFonts w:hint="eastAsia"/>
                <w:sz w:val="24"/>
              </w:rPr>
              <w:t>浓度不满足《环境空气质量标准》（</w:t>
            </w:r>
            <w:r>
              <w:rPr>
                <w:sz w:val="24"/>
              </w:rPr>
              <w:t>GB3095-2012</w:t>
            </w:r>
            <w:r>
              <w:rPr>
                <w:rFonts w:hint="eastAsia"/>
                <w:sz w:val="24"/>
              </w:rPr>
              <w:t>）二级标准。</w:t>
            </w:r>
            <w:r>
              <w:rPr>
                <w:rFonts w:hint="eastAsia" w:cs="宋体"/>
                <w:kern w:val="0"/>
                <w:sz w:val="24"/>
              </w:rPr>
              <w:t>项目所在区域为环境空气质量不达标区。</w:t>
            </w:r>
          </w:p>
          <w:p w14:paraId="189C129B">
            <w:pPr>
              <w:adjustRightInd w:val="0"/>
              <w:snapToGrid w:val="0"/>
              <w:spacing w:line="360" w:lineRule="auto"/>
              <w:ind w:firstLine="480" w:firstLineChars="200"/>
              <w:rPr>
                <w:kern w:val="0"/>
                <w:sz w:val="24"/>
              </w:rPr>
            </w:pPr>
            <w:r>
              <w:rPr>
                <w:kern w:val="0"/>
                <w:sz w:val="24"/>
              </w:rPr>
              <w:t>目前民权县正在实施</w:t>
            </w:r>
            <w:r>
              <w:rPr>
                <w:rFonts w:hint="eastAsia"/>
                <w:kern w:val="0"/>
                <w:sz w:val="24"/>
              </w:rPr>
              <w:t>《河南省深入打好秋冬季重污染天气消除、夏季臭氧防治和柴油货车污染治理攻坚战行动方案》、《河南省2025年蓝天保卫战实施方案》</w:t>
            </w:r>
            <w:r>
              <w:rPr>
                <w:kern w:val="0"/>
                <w:sz w:val="24"/>
              </w:rPr>
              <w:t>等文件，通过实施一系列措施，可有效改善当地区域环境空气质量。</w:t>
            </w:r>
          </w:p>
          <w:p w14:paraId="736A4338">
            <w:pPr>
              <w:spacing w:line="360" w:lineRule="auto"/>
              <w:ind w:firstLine="482" w:firstLineChars="200"/>
              <w:rPr>
                <w:b/>
                <w:sz w:val="24"/>
              </w:rPr>
            </w:pPr>
            <w:r>
              <w:rPr>
                <w:b/>
                <w:sz w:val="24"/>
              </w:rPr>
              <w:t>2</w:t>
            </w:r>
            <w:r>
              <w:rPr>
                <w:rFonts w:hint="eastAsia"/>
                <w:b/>
                <w:sz w:val="24"/>
              </w:rPr>
              <w:t>、地表水环境质量现状</w:t>
            </w:r>
          </w:p>
          <w:p w14:paraId="5304046B">
            <w:pPr>
              <w:spacing w:line="360" w:lineRule="auto"/>
              <w:ind w:firstLine="512" w:firstLineChars="200"/>
              <w:rPr>
                <w:spacing w:val="8"/>
                <w:sz w:val="24"/>
              </w:rPr>
            </w:pPr>
            <w:r>
              <w:rPr>
                <w:rFonts w:hint="eastAsia"/>
                <w:spacing w:val="8"/>
                <w:sz w:val="24"/>
              </w:rPr>
              <w:t>项目生产废水经处理后排入民权县北关镇污水处理厂，根据民权县北关镇污水处理厂周围地表水体环境，废水排入支流后汇入杨河，最终汇入黄河故道，根据地表水质量功能划分，黄河故道水环境执行《地表水环境质量标准》（GB3838-2002）Ⅲ类标准。本次评价采用民权县人民政府网站公布的2023年“民权县1月至3月份水环境质量”中龙泽湖断面的常规监测数据，监测结果数据统计如下</w:t>
            </w:r>
            <w:r>
              <w:rPr>
                <w:rFonts w:hint="eastAsia"/>
                <w:color w:val="000000"/>
                <w:spacing w:val="8"/>
                <w:sz w:val="24"/>
              </w:rPr>
              <w:t>。</w:t>
            </w:r>
          </w:p>
          <w:p w14:paraId="2E140D1F">
            <w:pPr>
              <w:jc w:val="center"/>
              <w:rPr>
                <w:color w:val="000000"/>
                <w:spacing w:val="8"/>
                <w:sz w:val="24"/>
              </w:rPr>
            </w:pPr>
          </w:p>
          <w:p w14:paraId="00D8DB32">
            <w:pPr>
              <w:jc w:val="center"/>
              <w:rPr>
                <w:b/>
                <w:sz w:val="24"/>
              </w:rPr>
            </w:pPr>
            <w:r>
              <w:rPr>
                <w:rFonts w:hint="eastAsia"/>
                <w:b/>
                <w:sz w:val="24"/>
              </w:rPr>
              <w:t xml:space="preserve">表14      </w:t>
            </w:r>
            <w:r>
              <w:rPr>
                <w:rFonts w:hint="eastAsia"/>
                <w:b/>
                <w:bCs/>
                <w:sz w:val="24"/>
              </w:rPr>
              <w:t>地表水监测数据一览表     单位：mg/L</w:t>
            </w:r>
          </w:p>
          <w:tbl>
            <w:tblPr>
              <w:tblStyle w:val="2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40" w:type="dxa"/>
                <w:left w:w="108" w:type="dxa"/>
                <w:bottom w:w="40" w:type="dxa"/>
                <w:right w:w="108" w:type="dxa"/>
              </w:tblCellMar>
            </w:tblPr>
            <w:tblGrid>
              <w:gridCol w:w="2106"/>
              <w:gridCol w:w="1978"/>
              <w:gridCol w:w="1266"/>
              <w:gridCol w:w="900"/>
              <w:gridCol w:w="1083"/>
              <w:gridCol w:w="1099"/>
            </w:tblGrid>
            <w:tr w14:paraId="5A691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397" w:hRule="atLeast"/>
                <w:jc w:val="center"/>
              </w:trPr>
              <w:tc>
                <w:tcPr>
                  <w:tcW w:w="644" w:type="pct"/>
                  <w:vMerge w:val="restart"/>
                  <w:tcBorders>
                    <w:top w:val="single" w:color="auto" w:sz="4" w:space="0"/>
                    <w:left w:val="single" w:color="auto" w:sz="4" w:space="0"/>
                    <w:right w:val="single" w:color="auto" w:sz="4" w:space="0"/>
                  </w:tcBorders>
                  <w:noWrap/>
                  <w:vAlign w:val="center"/>
                </w:tcPr>
                <w:p w14:paraId="4459738D">
                  <w:pPr>
                    <w:pStyle w:val="72"/>
                    <w:spacing w:line="240" w:lineRule="auto"/>
                    <w:rPr>
                      <w:rFonts w:ascii="Times New Roman" w:hAnsi="Times New Roman"/>
                      <w:color w:val="auto"/>
                      <w:sz w:val="21"/>
                      <w:szCs w:val="21"/>
                    </w:rPr>
                  </w:pPr>
                  <w:r>
                    <w:rPr>
                      <w:rFonts w:hint="eastAsia" w:ascii="Times New Roman" w:hAnsi="Times New Roman"/>
                      <w:color w:val="auto"/>
                      <w:sz w:val="21"/>
                      <w:szCs w:val="21"/>
                    </w:rPr>
                    <w:t>监测断面名称</w:t>
                  </w:r>
                </w:p>
              </w:tc>
              <w:tc>
                <w:tcPr>
                  <w:tcW w:w="1294" w:type="pct"/>
                  <w:vMerge w:val="restart"/>
                  <w:tcBorders>
                    <w:top w:val="single" w:color="auto" w:sz="4" w:space="0"/>
                    <w:left w:val="single" w:color="auto" w:sz="4" w:space="0"/>
                    <w:right w:val="single" w:color="auto" w:sz="4" w:space="0"/>
                  </w:tcBorders>
                  <w:noWrap/>
                  <w:vAlign w:val="center"/>
                </w:tcPr>
                <w:p w14:paraId="74FE8DFC">
                  <w:pPr>
                    <w:pStyle w:val="72"/>
                    <w:spacing w:line="240" w:lineRule="auto"/>
                    <w:rPr>
                      <w:rFonts w:ascii="Times New Roman" w:hAnsi="Times New Roman"/>
                      <w:bCs/>
                      <w:color w:val="auto"/>
                      <w:sz w:val="21"/>
                      <w:szCs w:val="21"/>
                    </w:rPr>
                  </w:pPr>
                  <w:r>
                    <w:rPr>
                      <w:rFonts w:hint="eastAsia" w:ascii="Times New Roman" w:hAnsi="Times New Roman"/>
                      <w:color w:val="auto"/>
                      <w:sz w:val="21"/>
                      <w:szCs w:val="21"/>
                    </w:rPr>
                    <w:t>监测时间</w:t>
                  </w:r>
                </w:p>
              </w:tc>
              <w:tc>
                <w:tcPr>
                  <w:tcW w:w="3061" w:type="pct"/>
                  <w:gridSpan w:val="4"/>
                  <w:tcBorders>
                    <w:top w:val="single" w:color="auto" w:sz="4" w:space="0"/>
                    <w:left w:val="single" w:color="auto" w:sz="4" w:space="0"/>
                    <w:bottom w:val="single" w:color="auto" w:sz="4" w:space="0"/>
                    <w:right w:val="single" w:color="auto" w:sz="4" w:space="0"/>
                  </w:tcBorders>
                  <w:noWrap/>
                  <w:vAlign w:val="center"/>
                </w:tcPr>
                <w:p w14:paraId="57567756">
                  <w:pPr>
                    <w:pStyle w:val="72"/>
                    <w:spacing w:line="240" w:lineRule="auto"/>
                    <w:rPr>
                      <w:rFonts w:ascii="Times New Roman" w:hAnsi="Times New Roman"/>
                      <w:color w:val="auto"/>
                      <w:sz w:val="21"/>
                      <w:szCs w:val="21"/>
                    </w:rPr>
                  </w:pPr>
                  <w:r>
                    <w:rPr>
                      <w:rFonts w:hint="eastAsia" w:ascii="Times New Roman" w:hAnsi="Times New Roman"/>
                      <w:color w:val="auto"/>
                      <w:sz w:val="21"/>
                      <w:szCs w:val="21"/>
                    </w:rPr>
                    <w:t>监测因子及检测结果</w:t>
                  </w:r>
                </w:p>
              </w:tc>
            </w:tr>
            <w:tr w14:paraId="59D5A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397" w:hRule="atLeast"/>
                <w:jc w:val="center"/>
              </w:trPr>
              <w:tc>
                <w:tcPr>
                  <w:tcW w:w="644" w:type="pct"/>
                  <w:vMerge w:val="continue"/>
                  <w:tcBorders>
                    <w:left w:val="single" w:color="auto" w:sz="4" w:space="0"/>
                    <w:right w:val="single" w:color="auto" w:sz="4" w:space="0"/>
                  </w:tcBorders>
                  <w:noWrap/>
                  <w:vAlign w:val="center"/>
                </w:tcPr>
                <w:p w14:paraId="01375795">
                  <w:pPr>
                    <w:pStyle w:val="72"/>
                    <w:spacing w:line="240" w:lineRule="auto"/>
                    <w:rPr>
                      <w:rFonts w:ascii="Times New Roman" w:hAnsi="Times New Roman"/>
                      <w:color w:val="auto"/>
                      <w:sz w:val="21"/>
                      <w:szCs w:val="21"/>
                    </w:rPr>
                  </w:pPr>
                </w:p>
              </w:tc>
              <w:tc>
                <w:tcPr>
                  <w:tcW w:w="1294" w:type="pct"/>
                  <w:vMerge w:val="continue"/>
                  <w:tcBorders>
                    <w:left w:val="single" w:color="auto" w:sz="4" w:space="0"/>
                    <w:bottom w:val="single" w:color="auto" w:sz="4" w:space="0"/>
                    <w:right w:val="single" w:color="auto" w:sz="4" w:space="0"/>
                  </w:tcBorders>
                  <w:noWrap/>
                  <w:vAlign w:val="center"/>
                </w:tcPr>
                <w:p w14:paraId="14769910">
                  <w:pPr>
                    <w:pStyle w:val="72"/>
                    <w:spacing w:line="240" w:lineRule="auto"/>
                    <w:rPr>
                      <w:rFonts w:ascii="Times New Roman" w:hAnsi="Times New Roman"/>
                      <w:bCs/>
                      <w:color w:val="auto"/>
                      <w:sz w:val="21"/>
                      <w:szCs w:val="21"/>
                    </w:rPr>
                  </w:pPr>
                </w:p>
              </w:tc>
              <w:tc>
                <w:tcPr>
                  <w:tcW w:w="763" w:type="pct"/>
                  <w:tcBorders>
                    <w:top w:val="single" w:color="auto" w:sz="4" w:space="0"/>
                    <w:left w:val="single" w:color="auto" w:sz="4" w:space="0"/>
                    <w:bottom w:val="single" w:color="auto" w:sz="4" w:space="0"/>
                    <w:right w:val="single" w:color="auto" w:sz="4" w:space="0"/>
                  </w:tcBorders>
                  <w:noWrap/>
                  <w:vAlign w:val="center"/>
                </w:tcPr>
                <w:p w14:paraId="17F21AE8">
                  <w:pPr>
                    <w:pStyle w:val="72"/>
                    <w:spacing w:line="240" w:lineRule="auto"/>
                    <w:rPr>
                      <w:rFonts w:ascii="Times New Roman" w:hAnsi="Times New Roman"/>
                      <w:bCs/>
                      <w:color w:val="auto"/>
                      <w:sz w:val="21"/>
                      <w:szCs w:val="21"/>
                    </w:rPr>
                  </w:pPr>
                  <w:r>
                    <w:rPr>
                      <w:rFonts w:hint="eastAsia" w:ascii="Times New Roman" w:hAnsi="Times New Roman"/>
                      <w:color w:val="auto"/>
                      <w:sz w:val="21"/>
                      <w:szCs w:val="21"/>
                    </w:rPr>
                    <w:t>化学需氧量</w:t>
                  </w:r>
                </w:p>
              </w:tc>
              <w:tc>
                <w:tcPr>
                  <w:tcW w:w="763" w:type="pct"/>
                  <w:tcBorders>
                    <w:top w:val="single" w:color="auto" w:sz="4" w:space="0"/>
                    <w:left w:val="single" w:color="auto" w:sz="4" w:space="0"/>
                    <w:bottom w:val="single" w:color="auto" w:sz="4" w:space="0"/>
                    <w:right w:val="single" w:color="auto" w:sz="4" w:space="0"/>
                  </w:tcBorders>
                  <w:noWrap/>
                  <w:vAlign w:val="center"/>
                </w:tcPr>
                <w:p w14:paraId="75B1BFFA">
                  <w:pPr>
                    <w:pStyle w:val="72"/>
                    <w:spacing w:line="240" w:lineRule="auto"/>
                    <w:rPr>
                      <w:rFonts w:ascii="Times New Roman" w:hAnsi="Times New Roman"/>
                      <w:bCs/>
                      <w:color w:val="auto"/>
                      <w:sz w:val="21"/>
                      <w:szCs w:val="21"/>
                    </w:rPr>
                  </w:pPr>
                  <w:r>
                    <w:rPr>
                      <w:rFonts w:hint="eastAsia" w:ascii="Times New Roman" w:hAnsi="Times New Roman"/>
                      <w:color w:val="auto"/>
                      <w:sz w:val="21"/>
                      <w:szCs w:val="21"/>
                    </w:rPr>
                    <w:t>氨氮</w:t>
                  </w:r>
                </w:p>
              </w:tc>
              <w:tc>
                <w:tcPr>
                  <w:tcW w:w="763" w:type="pct"/>
                  <w:tcBorders>
                    <w:top w:val="single" w:color="auto" w:sz="4" w:space="0"/>
                    <w:left w:val="single" w:color="auto" w:sz="4" w:space="0"/>
                    <w:bottom w:val="single" w:color="auto" w:sz="4" w:space="0"/>
                    <w:right w:val="single" w:color="auto" w:sz="4" w:space="0"/>
                  </w:tcBorders>
                  <w:noWrap/>
                  <w:vAlign w:val="center"/>
                </w:tcPr>
                <w:p w14:paraId="7F8D1A0C">
                  <w:pPr>
                    <w:pStyle w:val="72"/>
                    <w:spacing w:line="240" w:lineRule="auto"/>
                    <w:rPr>
                      <w:rFonts w:ascii="Times New Roman" w:hAnsi="Times New Roman"/>
                      <w:bCs/>
                      <w:color w:val="auto"/>
                      <w:sz w:val="21"/>
                      <w:szCs w:val="21"/>
                    </w:rPr>
                  </w:pPr>
                  <w:r>
                    <w:rPr>
                      <w:rFonts w:hint="eastAsia" w:ascii="Times New Roman" w:hAnsi="Times New Roman"/>
                      <w:color w:val="auto"/>
                      <w:sz w:val="21"/>
                      <w:szCs w:val="21"/>
                    </w:rPr>
                    <w:t>pH值</w:t>
                  </w:r>
                </w:p>
              </w:tc>
              <w:tc>
                <w:tcPr>
                  <w:tcW w:w="771" w:type="pct"/>
                  <w:tcBorders>
                    <w:top w:val="single" w:color="auto" w:sz="4" w:space="0"/>
                    <w:left w:val="single" w:color="auto" w:sz="4" w:space="0"/>
                    <w:bottom w:val="single" w:color="auto" w:sz="4" w:space="0"/>
                    <w:right w:val="single" w:color="auto" w:sz="4" w:space="0"/>
                  </w:tcBorders>
                  <w:noWrap/>
                  <w:vAlign w:val="center"/>
                </w:tcPr>
                <w:p w14:paraId="1C44277C">
                  <w:pPr>
                    <w:pStyle w:val="72"/>
                    <w:spacing w:line="240" w:lineRule="auto"/>
                    <w:rPr>
                      <w:rFonts w:ascii="Times New Roman" w:hAnsi="Times New Roman"/>
                      <w:bCs/>
                      <w:color w:val="auto"/>
                      <w:sz w:val="21"/>
                      <w:szCs w:val="21"/>
                    </w:rPr>
                  </w:pPr>
                  <w:r>
                    <w:rPr>
                      <w:rFonts w:hint="eastAsia" w:ascii="Times New Roman" w:hAnsi="Times New Roman"/>
                      <w:color w:val="auto"/>
                      <w:sz w:val="21"/>
                      <w:szCs w:val="21"/>
                    </w:rPr>
                    <w:t>总磷</w:t>
                  </w:r>
                </w:p>
              </w:tc>
            </w:tr>
            <w:tr w14:paraId="530A2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397" w:hRule="atLeast"/>
                <w:jc w:val="center"/>
              </w:trPr>
              <w:tc>
                <w:tcPr>
                  <w:tcW w:w="644" w:type="pct"/>
                  <w:vMerge w:val="restart"/>
                  <w:tcBorders>
                    <w:top w:val="single" w:color="auto" w:sz="4" w:space="0"/>
                    <w:left w:val="single" w:color="auto" w:sz="4" w:space="0"/>
                    <w:right w:val="single" w:color="auto" w:sz="4" w:space="0"/>
                  </w:tcBorders>
                  <w:noWrap/>
                  <w:vAlign w:val="center"/>
                </w:tcPr>
                <w:p w14:paraId="424EA5D9">
                  <w:pPr>
                    <w:pStyle w:val="72"/>
                    <w:spacing w:line="240" w:lineRule="auto"/>
                    <w:rPr>
                      <w:rFonts w:ascii="Times New Roman" w:hAnsi="Times New Roman"/>
                      <w:bCs/>
                      <w:color w:val="auto"/>
                      <w:sz w:val="21"/>
                      <w:szCs w:val="21"/>
                    </w:rPr>
                  </w:pPr>
                  <w:r>
                    <w:rPr>
                      <w:rFonts w:hint="eastAsia" w:ascii="Times New Roman" w:hAnsi="Times New Roman"/>
                      <w:bCs/>
                      <w:color w:val="auto"/>
                      <w:sz w:val="21"/>
                      <w:szCs w:val="21"/>
                    </w:rPr>
                    <w:t>黄河故道龙泽湖断面</w:t>
                  </w:r>
                </w:p>
              </w:tc>
              <w:tc>
                <w:tcPr>
                  <w:tcW w:w="1294" w:type="pct"/>
                  <w:tcBorders>
                    <w:top w:val="single" w:color="auto" w:sz="4" w:space="0"/>
                    <w:left w:val="single" w:color="auto" w:sz="4" w:space="0"/>
                    <w:bottom w:val="single" w:color="auto" w:sz="4" w:space="0"/>
                    <w:right w:val="single" w:color="auto" w:sz="4" w:space="0"/>
                  </w:tcBorders>
                  <w:noWrap/>
                  <w:vAlign w:val="center"/>
                </w:tcPr>
                <w:p w14:paraId="4D072DA4">
                  <w:pPr>
                    <w:pStyle w:val="72"/>
                    <w:spacing w:line="240" w:lineRule="auto"/>
                    <w:rPr>
                      <w:rFonts w:ascii="Times New Roman" w:hAnsi="Times New Roman"/>
                      <w:bCs/>
                      <w:color w:val="auto"/>
                      <w:sz w:val="21"/>
                      <w:szCs w:val="21"/>
                    </w:rPr>
                  </w:pPr>
                  <w:r>
                    <w:rPr>
                      <w:rFonts w:hint="eastAsia" w:ascii="Times New Roman" w:hAnsi="Times New Roman"/>
                      <w:bCs/>
                      <w:color w:val="auto"/>
                      <w:sz w:val="21"/>
                      <w:szCs w:val="21"/>
                    </w:rPr>
                    <w:t>2023年1月10日</w:t>
                  </w:r>
                </w:p>
              </w:tc>
              <w:tc>
                <w:tcPr>
                  <w:tcW w:w="763" w:type="pct"/>
                  <w:tcBorders>
                    <w:top w:val="single" w:color="auto" w:sz="4" w:space="0"/>
                    <w:left w:val="single" w:color="auto" w:sz="4" w:space="0"/>
                    <w:bottom w:val="single" w:color="auto" w:sz="4" w:space="0"/>
                    <w:right w:val="single" w:color="auto" w:sz="4" w:space="0"/>
                  </w:tcBorders>
                  <w:noWrap/>
                  <w:vAlign w:val="center"/>
                </w:tcPr>
                <w:p w14:paraId="6410C67C">
                  <w:pPr>
                    <w:pStyle w:val="72"/>
                    <w:spacing w:line="240" w:lineRule="auto"/>
                    <w:rPr>
                      <w:rFonts w:ascii="Times New Roman" w:hAnsi="Times New Roman"/>
                      <w:bCs/>
                      <w:color w:val="auto"/>
                      <w:sz w:val="21"/>
                      <w:szCs w:val="21"/>
                    </w:rPr>
                  </w:pPr>
                  <w:r>
                    <w:rPr>
                      <w:rFonts w:hint="eastAsia" w:ascii="Times New Roman" w:hAnsi="Times New Roman"/>
                      <w:bCs/>
                      <w:color w:val="auto"/>
                      <w:sz w:val="21"/>
                      <w:szCs w:val="21"/>
                    </w:rPr>
                    <w:t>15.2</w:t>
                  </w:r>
                </w:p>
              </w:tc>
              <w:tc>
                <w:tcPr>
                  <w:tcW w:w="763" w:type="pct"/>
                  <w:tcBorders>
                    <w:top w:val="single" w:color="auto" w:sz="4" w:space="0"/>
                    <w:left w:val="single" w:color="auto" w:sz="4" w:space="0"/>
                    <w:bottom w:val="single" w:color="auto" w:sz="4" w:space="0"/>
                    <w:right w:val="single" w:color="auto" w:sz="4" w:space="0"/>
                  </w:tcBorders>
                  <w:noWrap/>
                  <w:vAlign w:val="center"/>
                </w:tcPr>
                <w:p w14:paraId="6EE23AC2">
                  <w:pPr>
                    <w:pStyle w:val="72"/>
                    <w:spacing w:line="240" w:lineRule="auto"/>
                    <w:rPr>
                      <w:rFonts w:ascii="Times New Roman" w:hAnsi="Times New Roman"/>
                      <w:bCs/>
                      <w:color w:val="auto"/>
                      <w:sz w:val="21"/>
                      <w:szCs w:val="21"/>
                    </w:rPr>
                  </w:pPr>
                  <w:r>
                    <w:rPr>
                      <w:rFonts w:hint="eastAsia" w:ascii="Times New Roman" w:hAnsi="Times New Roman"/>
                      <w:bCs/>
                      <w:color w:val="auto"/>
                      <w:sz w:val="21"/>
                      <w:szCs w:val="21"/>
                    </w:rPr>
                    <w:t>0.133</w:t>
                  </w:r>
                </w:p>
              </w:tc>
              <w:tc>
                <w:tcPr>
                  <w:tcW w:w="763" w:type="pct"/>
                  <w:tcBorders>
                    <w:top w:val="single" w:color="auto" w:sz="4" w:space="0"/>
                    <w:left w:val="single" w:color="auto" w:sz="4" w:space="0"/>
                    <w:bottom w:val="single" w:color="auto" w:sz="4" w:space="0"/>
                    <w:right w:val="single" w:color="auto" w:sz="4" w:space="0"/>
                  </w:tcBorders>
                  <w:noWrap/>
                  <w:vAlign w:val="center"/>
                </w:tcPr>
                <w:p w14:paraId="6DDA8264">
                  <w:pPr>
                    <w:pStyle w:val="72"/>
                    <w:spacing w:line="240" w:lineRule="auto"/>
                    <w:rPr>
                      <w:rFonts w:ascii="Times New Roman" w:hAnsi="Times New Roman"/>
                      <w:bCs/>
                      <w:color w:val="auto"/>
                      <w:sz w:val="21"/>
                      <w:szCs w:val="21"/>
                    </w:rPr>
                  </w:pPr>
                  <w:r>
                    <w:rPr>
                      <w:rFonts w:hint="eastAsia" w:ascii="Times New Roman" w:hAnsi="Times New Roman"/>
                      <w:bCs/>
                      <w:color w:val="auto"/>
                      <w:sz w:val="21"/>
                      <w:szCs w:val="21"/>
                    </w:rPr>
                    <w:t>8.10</w:t>
                  </w:r>
                </w:p>
              </w:tc>
              <w:tc>
                <w:tcPr>
                  <w:tcW w:w="771" w:type="pct"/>
                  <w:tcBorders>
                    <w:top w:val="single" w:color="auto" w:sz="4" w:space="0"/>
                    <w:left w:val="single" w:color="auto" w:sz="4" w:space="0"/>
                    <w:bottom w:val="single" w:color="auto" w:sz="4" w:space="0"/>
                    <w:right w:val="single" w:color="auto" w:sz="4" w:space="0"/>
                  </w:tcBorders>
                  <w:noWrap/>
                  <w:vAlign w:val="center"/>
                </w:tcPr>
                <w:p w14:paraId="38F60299">
                  <w:pPr>
                    <w:pStyle w:val="72"/>
                    <w:spacing w:line="240" w:lineRule="auto"/>
                    <w:rPr>
                      <w:rFonts w:ascii="Times New Roman" w:hAnsi="Times New Roman"/>
                      <w:bCs/>
                      <w:color w:val="auto"/>
                      <w:sz w:val="21"/>
                      <w:szCs w:val="21"/>
                    </w:rPr>
                  </w:pPr>
                  <w:r>
                    <w:rPr>
                      <w:rFonts w:hint="eastAsia" w:ascii="Times New Roman" w:hAnsi="Times New Roman"/>
                      <w:bCs/>
                      <w:color w:val="auto"/>
                      <w:sz w:val="21"/>
                      <w:szCs w:val="21"/>
                    </w:rPr>
                    <w:t>0.017</w:t>
                  </w:r>
                </w:p>
              </w:tc>
            </w:tr>
            <w:tr w14:paraId="1737D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397" w:hRule="atLeast"/>
                <w:jc w:val="center"/>
              </w:trPr>
              <w:tc>
                <w:tcPr>
                  <w:tcW w:w="644" w:type="pct"/>
                  <w:vMerge w:val="continue"/>
                  <w:tcBorders>
                    <w:left w:val="single" w:color="auto" w:sz="4" w:space="0"/>
                    <w:right w:val="single" w:color="auto" w:sz="4" w:space="0"/>
                  </w:tcBorders>
                  <w:noWrap/>
                  <w:vAlign w:val="center"/>
                </w:tcPr>
                <w:p w14:paraId="615DCB9E">
                  <w:pPr>
                    <w:pStyle w:val="72"/>
                    <w:spacing w:line="240" w:lineRule="auto"/>
                    <w:rPr>
                      <w:rFonts w:ascii="Times New Roman" w:hAnsi="Times New Roman"/>
                      <w:bCs/>
                      <w:color w:val="auto"/>
                      <w:sz w:val="21"/>
                      <w:szCs w:val="21"/>
                    </w:rPr>
                  </w:pPr>
                </w:p>
              </w:tc>
              <w:tc>
                <w:tcPr>
                  <w:tcW w:w="1294" w:type="pct"/>
                  <w:tcBorders>
                    <w:top w:val="single" w:color="auto" w:sz="4" w:space="0"/>
                    <w:left w:val="single" w:color="auto" w:sz="4" w:space="0"/>
                    <w:bottom w:val="single" w:color="auto" w:sz="4" w:space="0"/>
                    <w:right w:val="single" w:color="auto" w:sz="4" w:space="0"/>
                  </w:tcBorders>
                  <w:noWrap/>
                  <w:vAlign w:val="center"/>
                </w:tcPr>
                <w:p w14:paraId="02390A6F">
                  <w:pPr>
                    <w:pStyle w:val="72"/>
                    <w:spacing w:line="240" w:lineRule="auto"/>
                    <w:rPr>
                      <w:rFonts w:ascii="Times New Roman" w:hAnsi="Times New Roman"/>
                      <w:bCs/>
                      <w:color w:val="auto"/>
                      <w:sz w:val="21"/>
                      <w:szCs w:val="21"/>
                    </w:rPr>
                  </w:pPr>
                  <w:r>
                    <w:rPr>
                      <w:rFonts w:hint="eastAsia" w:ascii="Times New Roman" w:hAnsi="Times New Roman"/>
                      <w:bCs/>
                      <w:color w:val="auto"/>
                      <w:sz w:val="21"/>
                      <w:szCs w:val="21"/>
                    </w:rPr>
                    <w:t>2023年2月20日</w:t>
                  </w:r>
                </w:p>
              </w:tc>
              <w:tc>
                <w:tcPr>
                  <w:tcW w:w="763" w:type="pct"/>
                  <w:tcBorders>
                    <w:top w:val="single" w:color="auto" w:sz="4" w:space="0"/>
                    <w:left w:val="single" w:color="auto" w:sz="4" w:space="0"/>
                    <w:bottom w:val="single" w:color="auto" w:sz="4" w:space="0"/>
                    <w:right w:val="single" w:color="auto" w:sz="4" w:space="0"/>
                  </w:tcBorders>
                  <w:noWrap/>
                  <w:vAlign w:val="center"/>
                </w:tcPr>
                <w:p w14:paraId="1D51439D">
                  <w:pPr>
                    <w:pStyle w:val="72"/>
                    <w:spacing w:line="240" w:lineRule="auto"/>
                    <w:rPr>
                      <w:rFonts w:ascii="Times New Roman" w:hAnsi="Times New Roman"/>
                      <w:bCs/>
                      <w:color w:val="auto"/>
                      <w:sz w:val="21"/>
                      <w:szCs w:val="21"/>
                    </w:rPr>
                  </w:pPr>
                  <w:r>
                    <w:rPr>
                      <w:rFonts w:hint="eastAsia" w:ascii="Times New Roman" w:hAnsi="Times New Roman"/>
                      <w:bCs/>
                      <w:color w:val="auto"/>
                      <w:sz w:val="21"/>
                      <w:szCs w:val="21"/>
                    </w:rPr>
                    <w:t>18.0</w:t>
                  </w:r>
                </w:p>
              </w:tc>
              <w:tc>
                <w:tcPr>
                  <w:tcW w:w="763" w:type="pct"/>
                  <w:tcBorders>
                    <w:top w:val="single" w:color="auto" w:sz="4" w:space="0"/>
                    <w:left w:val="single" w:color="auto" w:sz="4" w:space="0"/>
                    <w:bottom w:val="single" w:color="auto" w:sz="4" w:space="0"/>
                    <w:right w:val="single" w:color="auto" w:sz="4" w:space="0"/>
                  </w:tcBorders>
                  <w:noWrap/>
                  <w:vAlign w:val="center"/>
                </w:tcPr>
                <w:p w14:paraId="56AFF6BA">
                  <w:pPr>
                    <w:pStyle w:val="72"/>
                    <w:spacing w:line="240" w:lineRule="auto"/>
                    <w:rPr>
                      <w:rFonts w:ascii="Times New Roman" w:hAnsi="Times New Roman"/>
                      <w:bCs/>
                      <w:color w:val="auto"/>
                      <w:sz w:val="21"/>
                      <w:szCs w:val="21"/>
                    </w:rPr>
                  </w:pPr>
                  <w:r>
                    <w:rPr>
                      <w:rFonts w:hint="eastAsia" w:ascii="Times New Roman" w:hAnsi="Times New Roman"/>
                      <w:bCs/>
                      <w:color w:val="auto"/>
                      <w:sz w:val="21"/>
                      <w:szCs w:val="21"/>
                    </w:rPr>
                    <w:t>0.143</w:t>
                  </w:r>
                </w:p>
              </w:tc>
              <w:tc>
                <w:tcPr>
                  <w:tcW w:w="763" w:type="pct"/>
                  <w:tcBorders>
                    <w:top w:val="single" w:color="auto" w:sz="4" w:space="0"/>
                    <w:left w:val="single" w:color="auto" w:sz="4" w:space="0"/>
                    <w:bottom w:val="single" w:color="auto" w:sz="4" w:space="0"/>
                    <w:right w:val="single" w:color="auto" w:sz="4" w:space="0"/>
                  </w:tcBorders>
                  <w:noWrap/>
                  <w:vAlign w:val="center"/>
                </w:tcPr>
                <w:p w14:paraId="5A8D89FD">
                  <w:pPr>
                    <w:pStyle w:val="72"/>
                    <w:spacing w:line="240" w:lineRule="auto"/>
                    <w:rPr>
                      <w:rFonts w:ascii="Times New Roman" w:hAnsi="Times New Roman"/>
                      <w:bCs/>
                      <w:color w:val="auto"/>
                      <w:sz w:val="21"/>
                      <w:szCs w:val="21"/>
                    </w:rPr>
                  </w:pPr>
                  <w:r>
                    <w:rPr>
                      <w:rFonts w:hint="eastAsia" w:ascii="Times New Roman" w:hAnsi="Times New Roman"/>
                      <w:bCs/>
                      <w:color w:val="auto"/>
                      <w:sz w:val="21"/>
                      <w:szCs w:val="21"/>
                    </w:rPr>
                    <w:t>7.81</w:t>
                  </w:r>
                </w:p>
              </w:tc>
              <w:tc>
                <w:tcPr>
                  <w:tcW w:w="771" w:type="pct"/>
                  <w:tcBorders>
                    <w:top w:val="single" w:color="auto" w:sz="4" w:space="0"/>
                    <w:left w:val="single" w:color="auto" w:sz="4" w:space="0"/>
                    <w:bottom w:val="single" w:color="auto" w:sz="4" w:space="0"/>
                    <w:right w:val="single" w:color="auto" w:sz="4" w:space="0"/>
                  </w:tcBorders>
                  <w:noWrap/>
                  <w:vAlign w:val="center"/>
                </w:tcPr>
                <w:p w14:paraId="4C6BDA12">
                  <w:pPr>
                    <w:pStyle w:val="72"/>
                    <w:spacing w:line="240" w:lineRule="auto"/>
                    <w:rPr>
                      <w:rFonts w:ascii="Times New Roman" w:hAnsi="Times New Roman"/>
                      <w:bCs/>
                      <w:color w:val="auto"/>
                      <w:sz w:val="21"/>
                      <w:szCs w:val="21"/>
                    </w:rPr>
                  </w:pPr>
                  <w:r>
                    <w:rPr>
                      <w:rFonts w:hint="eastAsia" w:ascii="Times New Roman" w:hAnsi="Times New Roman"/>
                      <w:bCs/>
                      <w:color w:val="auto"/>
                      <w:sz w:val="21"/>
                      <w:szCs w:val="21"/>
                    </w:rPr>
                    <w:t>0.018</w:t>
                  </w:r>
                </w:p>
              </w:tc>
            </w:tr>
            <w:tr w14:paraId="16D3B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397" w:hRule="atLeast"/>
                <w:jc w:val="center"/>
              </w:trPr>
              <w:tc>
                <w:tcPr>
                  <w:tcW w:w="644" w:type="pct"/>
                  <w:vMerge w:val="continue"/>
                  <w:tcBorders>
                    <w:left w:val="single" w:color="auto" w:sz="4" w:space="0"/>
                    <w:right w:val="single" w:color="auto" w:sz="4" w:space="0"/>
                  </w:tcBorders>
                  <w:noWrap/>
                  <w:vAlign w:val="center"/>
                </w:tcPr>
                <w:p w14:paraId="575186EE">
                  <w:pPr>
                    <w:pStyle w:val="72"/>
                    <w:spacing w:line="240" w:lineRule="auto"/>
                    <w:rPr>
                      <w:rFonts w:ascii="Times New Roman" w:hAnsi="Times New Roman"/>
                      <w:bCs/>
                      <w:color w:val="auto"/>
                      <w:sz w:val="21"/>
                      <w:szCs w:val="21"/>
                    </w:rPr>
                  </w:pPr>
                </w:p>
              </w:tc>
              <w:tc>
                <w:tcPr>
                  <w:tcW w:w="1294" w:type="pct"/>
                  <w:tcBorders>
                    <w:top w:val="single" w:color="auto" w:sz="4" w:space="0"/>
                    <w:left w:val="single" w:color="auto" w:sz="4" w:space="0"/>
                    <w:bottom w:val="single" w:color="auto" w:sz="4" w:space="0"/>
                    <w:right w:val="single" w:color="auto" w:sz="4" w:space="0"/>
                  </w:tcBorders>
                  <w:noWrap/>
                  <w:vAlign w:val="center"/>
                </w:tcPr>
                <w:p w14:paraId="6A780C7D">
                  <w:pPr>
                    <w:pStyle w:val="72"/>
                    <w:spacing w:line="240" w:lineRule="auto"/>
                    <w:rPr>
                      <w:rFonts w:ascii="Times New Roman" w:hAnsi="Times New Roman"/>
                      <w:bCs/>
                      <w:color w:val="auto"/>
                      <w:sz w:val="21"/>
                      <w:szCs w:val="21"/>
                    </w:rPr>
                  </w:pPr>
                  <w:r>
                    <w:rPr>
                      <w:rFonts w:hint="eastAsia" w:ascii="Times New Roman" w:hAnsi="Times New Roman"/>
                      <w:bCs/>
                      <w:color w:val="auto"/>
                      <w:sz w:val="21"/>
                      <w:szCs w:val="21"/>
                    </w:rPr>
                    <w:t>2023年3月20日</w:t>
                  </w:r>
                </w:p>
              </w:tc>
              <w:tc>
                <w:tcPr>
                  <w:tcW w:w="763" w:type="pct"/>
                  <w:tcBorders>
                    <w:top w:val="single" w:color="auto" w:sz="4" w:space="0"/>
                    <w:left w:val="single" w:color="auto" w:sz="4" w:space="0"/>
                    <w:bottom w:val="single" w:color="auto" w:sz="4" w:space="0"/>
                    <w:right w:val="single" w:color="auto" w:sz="4" w:space="0"/>
                  </w:tcBorders>
                  <w:noWrap/>
                  <w:vAlign w:val="center"/>
                </w:tcPr>
                <w:p w14:paraId="2B09830C">
                  <w:pPr>
                    <w:pStyle w:val="72"/>
                    <w:spacing w:line="240" w:lineRule="auto"/>
                    <w:rPr>
                      <w:rFonts w:ascii="Times New Roman" w:hAnsi="Times New Roman"/>
                      <w:bCs/>
                      <w:color w:val="auto"/>
                      <w:sz w:val="21"/>
                      <w:szCs w:val="21"/>
                    </w:rPr>
                  </w:pPr>
                  <w:r>
                    <w:rPr>
                      <w:rFonts w:hint="eastAsia" w:ascii="Times New Roman" w:hAnsi="Times New Roman"/>
                      <w:bCs/>
                      <w:color w:val="auto"/>
                      <w:sz w:val="21"/>
                      <w:szCs w:val="21"/>
                    </w:rPr>
                    <w:t>14.6</w:t>
                  </w:r>
                </w:p>
              </w:tc>
              <w:tc>
                <w:tcPr>
                  <w:tcW w:w="763" w:type="pct"/>
                  <w:tcBorders>
                    <w:top w:val="single" w:color="auto" w:sz="4" w:space="0"/>
                    <w:left w:val="single" w:color="auto" w:sz="4" w:space="0"/>
                    <w:bottom w:val="single" w:color="auto" w:sz="4" w:space="0"/>
                    <w:right w:val="single" w:color="auto" w:sz="4" w:space="0"/>
                  </w:tcBorders>
                  <w:noWrap/>
                  <w:vAlign w:val="center"/>
                </w:tcPr>
                <w:p w14:paraId="2896DF15">
                  <w:pPr>
                    <w:pStyle w:val="72"/>
                    <w:spacing w:line="240" w:lineRule="auto"/>
                    <w:rPr>
                      <w:rFonts w:ascii="Times New Roman" w:hAnsi="Times New Roman"/>
                      <w:bCs/>
                      <w:color w:val="auto"/>
                      <w:sz w:val="21"/>
                      <w:szCs w:val="21"/>
                    </w:rPr>
                  </w:pPr>
                  <w:r>
                    <w:rPr>
                      <w:rFonts w:hint="eastAsia" w:ascii="Times New Roman" w:hAnsi="Times New Roman"/>
                      <w:bCs/>
                      <w:color w:val="auto"/>
                      <w:sz w:val="21"/>
                      <w:szCs w:val="21"/>
                    </w:rPr>
                    <w:t>0.155</w:t>
                  </w:r>
                </w:p>
              </w:tc>
              <w:tc>
                <w:tcPr>
                  <w:tcW w:w="763" w:type="pct"/>
                  <w:tcBorders>
                    <w:top w:val="single" w:color="auto" w:sz="4" w:space="0"/>
                    <w:left w:val="single" w:color="auto" w:sz="4" w:space="0"/>
                    <w:bottom w:val="single" w:color="auto" w:sz="4" w:space="0"/>
                    <w:right w:val="single" w:color="auto" w:sz="4" w:space="0"/>
                  </w:tcBorders>
                  <w:noWrap/>
                  <w:vAlign w:val="center"/>
                </w:tcPr>
                <w:p w14:paraId="3A83E5B8">
                  <w:pPr>
                    <w:pStyle w:val="72"/>
                    <w:spacing w:line="240" w:lineRule="auto"/>
                    <w:rPr>
                      <w:rFonts w:ascii="Times New Roman" w:hAnsi="Times New Roman"/>
                      <w:bCs/>
                      <w:color w:val="auto"/>
                      <w:sz w:val="21"/>
                      <w:szCs w:val="21"/>
                    </w:rPr>
                  </w:pPr>
                  <w:r>
                    <w:rPr>
                      <w:rFonts w:hint="eastAsia" w:ascii="Times New Roman" w:hAnsi="Times New Roman"/>
                      <w:bCs/>
                      <w:color w:val="auto"/>
                      <w:sz w:val="21"/>
                      <w:szCs w:val="21"/>
                    </w:rPr>
                    <w:t>8.00</w:t>
                  </w:r>
                </w:p>
              </w:tc>
              <w:tc>
                <w:tcPr>
                  <w:tcW w:w="771" w:type="pct"/>
                  <w:tcBorders>
                    <w:top w:val="single" w:color="auto" w:sz="4" w:space="0"/>
                    <w:left w:val="single" w:color="auto" w:sz="4" w:space="0"/>
                    <w:bottom w:val="single" w:color="auto" w:sz="4" w:space="0"/>
                    <w:right w:val="single" w:color="auto" w:sz="4" w:space="0"/>
                  </w:tcBorders>
                  <w:noWrap/>
                  <w:vAlign w:val="center"/>
                </w:tcPr>
                <w:p w14:paraId="68F5A82C">
                  <w:pPr>
                    <w:pStyle w:val="72"/>
                    <w:spacing w:line="240" w:lineRule="auto"/>
                    <w:rPr>
                      <w:rFonts w:ascii="Times New Roman" w:hAnsi="Times New Roman"/>
                      <w:bCs/>
                      <w:color w:val="auto"/>
                      <w:sz w:val="21"/>
                      <w:szCs w:val="21"/>
                    </w:rPr>
                  </w:pPr>
                  <w:r>
                    <w:rPr>
                      <w:rFonts w:hint="eastAsia" w:ascii="Times New Roman" w:hAnsi="Times New Roman"/>
                      <w:bCs/>
                      <w:color w:val="auto"/>
                      <w:sz w:val="21"/>
                      <w:szCs w:val="21"/>
                    </w:rPr>
                    <w:t>0.046</w:t>
                  </w:r>
                </w:p>
              </w:tc>
            </w:tr>
            <w:tr w14:paraId="16A49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397" w:hRule="atLeast"/>
                <w:jc w:val="center"/>
              </w:trPr>
              <w:tc>
                <w:tcPr>
                  <w:tcW w:w="1938" w:type="pct"/>
                  <w:gridSpan w:val="2"/>
                  <w:tcBorders>
                    <w:left w:val="single" w:color="auto" w:sz="4" w:space="0"/>
                    <w:right w:val="single" w:color="auto" w:sz="4" w:space="0"/>
                  </w:tcBorders>
                  <w:noWrap/>
                  <w:vAlign w:val="center"/>
                </w:tcPr>
                <w:p w14:paraId="3103BC21">
                  <w:pPr>
                    <w:pStyle w:val="72"/>
                    <w:spacing w:line="240" w:lineRule="auto"/>
                    <w:rPr>
                      <w:rFonts w:ascii="Times New Roman" w:hAnsi="Times New Roman"/>
                      <w:bCs/>
                      <w:color w:val="auto"/>
                      <w:sz w:val="21"/>
                      <w:szCs w:val="21"/>
                    </w:rPr>
                  </w:pPr>
                  <w:r>
                    <w:rPr>
                      <w:rFonts w:hint="eastAsia" w:ascii="Times New Roman" w:hAnsi="Times New Roman"/>
                      <w:bCs/>
                      <w:color w:val="auto"/>
                      <w:sz w:val="21"/>
                      <w:szCs w:val="21"/>
                    </w:rPr>
                    <w:t>（GB3838-2002）Ⅲ类标准限值</w:t>
                  </w:r>
                </w:p>
              </w:tc>
              <w:tc>
                <w:tcPr>
                  <w:tcW w:w="763" w:type="pct"/>
                  <w:tcBorders>
                    <w:top w:val="single" w:color="auto" w:sz="4" w:space="0"/>
                    <w:left w:val="single" w:color="auto" w:sz="4" w:space="0"/>
                    <w:bottom w:val="single" w:color="auto" w:sz="4" w:space="0"/>
                    <w:right w:val="single" w:color="auto" w:sz="4" w:space="0"/>
                  </w:tcBorders>
                  <w:noWrap/>
                  <w:vAlign w:val="center"/>
                </w:tcPr>
                <w:p w14:paraId="3A8305AD">
                  <w:pPr>
                    <w:pStyle w:val="72"/>
                    <w:spacing w:line="240" w:lineRule="auto"/>
                    <w:rPr>
                      <w:rFonts w:ascii="Times New Roman" w:hAnsi="Times New Roman"/>
                      <w:bCs/>
                      <w:color w:val="auto"/>
                      <w:sz w:val="21"/>
                      <w:szCs w:val="21"/>
                    </w:rPr>
                  </w:pPr>
                  <w:r>
                    <w:rPr>
                      <w:rFonts w:hint="eastAsia" w:ascii="Times New Roman" w:hAnsi="Times New Roman"/>
                      <w:bCs/>
                      <w:color w:val="auto"/>
                      <w:sz w:val="21"/>
                      <w:szCs w:val="21"/>
                    </w:rPr>
                    <w:t>20</w:t>
                  </w:r>
                </w:p>
              </w:tc>
              <w:tc>
                <w:tcPr>
                  <w:tcW w:w="763" w:type="pct"/>
                  <w:tcBorders>
                    <w:top w:val="single" w:color="auto" w:sz="4" w:space="0"/>
                    <w:left w:val="single" w:color="auto" w:sz="4" w:space="0"/>
                    <w:bottom w:val="single" w:color="auto" w:sz="4" w:space="0"/>
                    <w:right w:val="single" w:color="auto" w:sz="4" w:space="0"/>
                  </w:tcBorders>
                  <w:noWrap/>
                  <w:vAlign w:val="center"/>
                </w:tcPr>
                <w:p w14:paraId="74FA85D3">
                  <w:pPr>
                    <w:pStyle w:val="72"/>
                    <w:spacing w:line="240" w:lineRule="auto"/>
                    <w:rPr>
                      <w:rFonts w:ascii="Times New Roman" w:hAnsi="Times New Roman"/>
                      <w:bCs/>
                      <w:color w:val="auto"/>
                      <w:sz w:val="21"/>
                      <w:szCs w:val="21"/>
                    </w:rPr>
                  </w:pPr>
                  <w:r>
                    <w:rPr>
                      <w:rFonts w:hint="eastAsia" w:ascii="Times New Roman" w:hAnsi="Times New Roman"/>
                      <w:bCs/>
                      <w:color w:val="auto"/>
                      <w:sz w:val="21"/>
                      <w:szCs w:val="21"/>
                    </w:rPr>
                    <w:t>1.0</w:t>
                  </w:r>
                </w:p>
              </w:tc>
              <w:tc>
                <w:tcPr>
                  <w:tcW w:w="763" w:type="pct"/>
                  <w:tcBorders>
                    <w:top w:val="single" w:color="auto" w:sz="4" w:space="0"/>
                    <w:left w:val="single" w:color="auto" w:sz="4" w:space="0"/>
                    <w:bottom w:val="single" w:color="auto" w:sz="4" w:space="0"/>
                    <w:right w:val="single" w:color="auto" w:sz="4" w:space="0"/>
                  </w:tcBorders>
                  <w:noWrap/>
                  <w:vAlign w:val="center"/>
                </w:tcPr>
                <w:p w14:paraId="135B3EBD">
                  <w:pPr>
                    <w:pStyle w:val="72"/>
                    <w:spacing w:line="240" w:lineRule="auto"/>
                    <w:rPr>
                      <w:rFonts w:ascii="Times New Roman" w:hAnsi="Times New Roman"/>
                      <w:bCs/>
                      <w:color w:val="auto"/>
                      <w:sz w:val="21"/>
                      <w:szCs w:val="21"/>
                    </w:rPr>
                  </w:pPr>
                  <w:r>
                    <w:rPr>
                      <w:rFonts w:hint="eastAsia" w:ascii="Times New Roman" w:hAnsi="Times New Roman"/>
                      <w:bCs/>
                      <w:color w:val="auto"/>
                      <w:sz w:val="21"/>
                      <w:szCs w:val="21"/>
                    </w:rPr>
                    <w:t>6~9</w:t>
                  </w:r>
                </w:p>
              </w:tc>
              <w:tc>
                <w:tcPr>
                  <w:tcW w:w="771" w:type="pct"/>
                  <w:tcBorders>
                    <w:top w:val="single" w:color="auto" w:sz="4" w:space="0"/>
                    <w:left w:val="single" w:color="auto" w:sz="4" w:space="0"/>
                    <w:bottom w:val="single" w:color="auto" w:sz="4" w:space="0"/>
                    <w:right w:val="single" w:color="auto" w:sz="4" w:space="0"/>
                  </w:tcBorders>
                  <w:noWrap/>
                  <w:vAlign w:val="center"/>
                </w:tcPr>
                <w:p w14:paraId="4000D5AD">
                  <w:pPr>
                    <w:pStyle w:val="72"/>
                    <w:spacing w:line="240" w:lineRule="auto"/>
                    <w:rPr>
                      <w:rFonts w:ascii="Times New Roman" w:hAnsi="Times New Roman"/>
                      <w:bCs/>
                      <w:color w:val="auto"/>
                      <w:sz w:val="21"/>
                      <w:szCs w:val="21"/>
                    </w:rPr>
                  </w:pPr>
                  <w:r>
                    <w:rPr>
                      <w:rFonts w:hint="eastAsia" w:ascii="Times New Roman" w:hAnsi="Times New Roman"/>
                      <w:bCs/>
                      <w:color w:val="auto"/>
                      <w:sz w:val="21"/>
                      <w:szCs w:val="21"/>
                    </w:rPr>
                    <w:t>0.05</w:t>
                  </w:r>
                </w:p>
              </w:tc>
            </w:tr>
            <w:tr w14:paraId="051F1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397" w:hRule="atLeast"/>
                <w:jc w:val="center"/>
              </w:trPr>
              <w:tc>
                <w:tcPr>
                  <w:tcW w:w="1938" w:type="pct"/>
                  <w:gridSpan w:val="2"/>
                  <w:tcBorders>
                    <w:left w:val="single" w:color="auto" w:sz="4" w:space="0"/>
                    <w:bottom w:val="single" w:color="auto" w:sz="4" w:space="0"/>
                    <w:right w:val="single" w:color="auto" w:sz="4" w:space="0"/>
                  </w:tcBorders>
                  <w:noWrap/>
                  <w:vAlign w:val="center"/>
                </w:tcPr>
                <w:p w14:paraId="10C7D733">
                  <w:pPr>
                    <w:pStyle w:val="72"/>
                    <w:spacing w:line="240" w:lineRule="auto"/>
                    <w:rPr>
                      <w:rFonts w:ascii="Times New Roman" w:hAnsi="Times New Roman"/>
                      <w:bCs/>
                      <w:color w:val="auto"/>
                      <w:sz w:val="21"/>
                      <w:szCs w:val="21"/>
                    </w:rPr>
                  </w:pPr>
                  <w:r>
                    <w:rPr>
                      <w:rFonts w:hint="eastAsia" w:ascii="Times New Roman" w:hAnsi="Times New Roman"/>
                      <w:bCs/>
                      <w:color w:val="auto"/>
                      <w:sz w:val="21"/>
                      <w:szCs w:val="21"/>
                    </w:rPr>
                    <w:t>达标情况</w:t>
                  </w:r>
                </w:p>
              </w:tc>
              <w:tc>
                <w:tcPr>
                  <w:tcW w:w="763" w:type="pct"/>
                  <w:tcBorders>
                    <w:top w:val="single" w:color="auto" w:sz="4" w:space="0"/>
                    <w:left w:val="single" w:color="auto" w:sz="4" w:space="0"/>
                    <w:bottom w:val="single" w:color="auto" w:sz="4" w:space="0"/>
                    <w:right w:val="single" w:color="auto" w:sz="4" w:space="0"/>
                  </w:tcBorders>
                  <w:noWrap/>
                  <w:vAlign w:val="center"/>
                </w:tcPr>
                <w:p w14:paraId="0FF87838">
                  <w:pPr>
                    <w:pStyle w:val="72"/>
                    <w:spacing w:line="240" w:lineRule="auto"/>
                    <w:rPr>
                      <w:rFonts w:ascii="Times New Roman" w:hAnsi="Times New Roman"/>
                      <w:bCs/>
                      <w:color w:val="auto"/>
                      <w:sz w:val="21"/>
                      <w:szCs w:val="21"/>
                    </w:rPr>
                  </w:pPr>
                  <w:r>
                    <w:rPr>
                      <w:rFonts w:hint="eastAsia" w:ascii="Times New Roman" w:hAnsi="Times New Roman"/>
                      <w:bCs/>
                      <w:color w:val="auto"/>
                      <w:sz w:val="21"/>
                      <w:szCs w:val="21"/>
                    </w:rPr>
                    <w:t>达标</w:t>
                  </w:r>
                </w:p>
              </w:tc>
              <w:tc>
                <w:tcPr>
                  <w:tcW w:w="763" w:type="pct"/>
                  <w:tcBorders>
                    <w:top w:val="single" w:color="auto" w:sz="4" w:space="0"/>
                    <w:left w:val="single" w:color="auto" w:sz="4" w:space="0"/>
                    <w:bottom w:val="single" w:color="auto" w:sz="4" w:space="0"/>
                    <w:right w:val="single" w:color="auto" w:sz="4" w:space="0"/>
                  </w:tcBorders>
                  <w:noWrap/>
                  <w:vAlign w:val="center"/>
                </w:tcPr>
                <w:p w14:paraId="5D7C4FF8">
                  <w:pPr>
                    <w:pStyle w:val="72"/>
                    <w:spacing w:line="240" w:lineRule="auto"/>
                    <w:rPr>
                      <w:rFonts w:ascii="Times New Roman" w:hAnsi="Times New Roman"/>
                      <w:bCs/>
                      <w:color w:val="auto"/>
                      <w:sz w:val="21"/>
                      <w:szCs w:val="21"/>
                    </w:rPr>
                  </w:pPr>
                  <w:r>
                    <w:rPr>
                      <w:rFonts w:hint="eastAsia" w:ascii="Times New Roman" w:hAnsi="Times New Roman"/>
                      <w:bCs/>
                      <w:color w:val="auto"/>
                      <w:sz w:val="21"/>
                      <w:szCs w:val="21"/>
                    </w:rPr>
                    <w:t>达标</w:t>
                  </w:r>
                </w:p>
              </w:tc>
              <w:tc>
                <w:tcPr>
                  <w:tcW w:w="763" w:type="pct"/>
                  <w:tcBorders>
                    <w:top w:val="single" w:color="auto" w:sz="4" w:space="0"/>
                    <w:left w:val="single" w:color="auto" w:sz="4" w:space="0"/>
                    <w:bottom w:val="single" w:color="auto" w:sz="4" w:space="0"/>
                    <w:right w:val="single" w:color="auto" w:sz="4" w:space="0"/>
                  </w:tcBorders>
                  <w:noWrap/>
                  <w:vAlign w:val="center"/>
                </w:tcPr>
                <w:p w14:paraId="0463F5F0">
                  <w:pPr>
                    <w:pStyle w:val="72"/>
                    <w:spacing w:line="240" w:lineRule="auto"/>
                    <w:rPr>
                      <w:rFonts w:ascii="Times New Roman" w:hAnsi="Times New Roman"/>
                      <w:bCs/>
                      <w:color w:val="auto"/>
                      <w:sz w:val="21"/>
                      <w:szCs w:val="21"/>
                    </w:rPr>
                  </w:pPr>
                  <w:r>
                    <w:rPr>
                      <w:rFonts w:hint="eastAsia" w:ascii="Times New Roman" w:hAnsi="Times New Roman"/>
                      <w:bCs/>
                      <w:color w:val="auto"/>
                      <w:sz w:val="21"/>
                      <w:szCs w:val="21"/>
                    </w:rPr>
                    <w:t>达标</w:t>
                  </w:r>
                </w:p>
              </w:tc>
              <w:tc>
                <w:tcPr>
                  <w:tcW w:w="771" w:type="pct"/>
                  <w:tcBorders>
                    <w:top w:val="single" w:color="auto" w:sz="4" w:space="0"/>
                    <w:left w:val="single" w:color="auto" w:sz="4" w:space="0"/>
                    <w:bottom w:val="single" w:color="auto" w:sz="4" w:space="0"/>
                    <w:right w:val="single" w:color="auto" w:sz="4" w:space="0"/>
                  </w:tcBorders>
                  <w:noWrap/>
                  <w:vAlign w:val="center"/>
                </w:tcPr>
                <w:p w14:paraId="07EBAE8F">
                  <w:pPr>
                    <w:pStyle w:val="72"/>
                    <w:spacing w:line="240" w:lineRule="auto"/>
                    <w:rPr>
                      <w:rFonts w:ascii="Times New Roman" w:hAnsi="Times New Roman"/>
                      <w:bCs/>
                      <w:color w:val="auto"/>
                      <w:sz w:val="21"/>
                      <w:szCs w:val="21"/>
                    </w:rPr>
                  </w:pPr>
                  <w:r>
                    <w:rPr>
                      <w:rFonts w:hint="eastAsia" w:ascii="Times New Roman" w:hAnsi="Times New Roman"/>
                      <w:bCs/>
                      <w:color w:val="auto"/>
                      <w:sz w:val="21"/>
                      <w:szCs w:val="21"/>
                    </w:rPr>
                    <w:t>达标</w:t>
                  </w:r>
                </w:p>
              </w:tc>
            </w:tr>
          </w:tbl>
          <w:p w14:paraId="08E32676">
            <w:pPr>
              <w:spacing w:line="360" w:lineRule="auto"/>
              <w:ind w:firstLine="480" w:firstLineChars="200"/>
              <w:rPr>
                <w:sz w:val="24"/>
              </w:rPr>
            </w:pPr>
            <w:r>
              <w:rPr>
                <w:rFonts w:hint="eastAsia"/>
                <w:sz w:val="24"/>
              </w:rPr>
              <w:t>由上表可知，该监控断面</w:t>
            </w:r>
            <w:r>
              <w:rPr>
                <w:rFonts w:hint="eastAsia"/>
                <w:bCs/>
                <w:color w:val="000000"/>
                <w:sz w:val="24"/>
              </w:rPr>
              <w:t>氨氮</w:t>
            </w:r>
            <w:r>
              <w:rPr>
                <w:rFonts w:hint="eastAsia"/>
                <w:sz w:val="24"/>
              </w:rPr>
              <w:t>以及</w:t>
            </w:r>
            <w:r>
              <w:rPr>
                <w:rFonts w:hint="eastAsia"/>
                <w:bCs/>
                <w:color w:val="000000"/>
                <w:sz w:val="24"/>
              </w:rPr>
              <w:t>总磷均能</w:t>
            </w:r>
            <w:r>
              <w:rPr>
                <w:rFonts w:hint="eastAsia"/>
                <w:sz w:val="24"/>
              </w:rPr>
              <w:t>满足《地表水环境质量标准》（GB3838-2002）Ⅲ类标准要求。</w:t>
            </w:r>
          </w:p>
          <w:p w14:paraId="115BCAC6">
            <w:pPr>
              <w:spacing w:line="360" w:lineRule="auto"/>
              <w:ind w:firstLine="482" w:firstLineChars="200"/>
              <w:rPr>
                <w:b/>
                <w:sz w:val="24"/>
              </w:rPr>
            </w:pPr>
            <w:r>
              <w:rPr>
                <w:b/>
                <w:sz w:val="24"/>
              </w:rPr>
              <w:t>3</w:t>
            </w:r>
            <w:r>
              <w:rPr>
                <w:rFonts w:hint="eastAsia"/>
                <w:b/>
                <w:sz w:val="24"/>
              </w:rPr>
              <w:t>、声环境质量现状</w:t>
            </w:r>
          </w:p>
          <w:p w14:paraId="271479C8">
            <w:pPr>
              <w:spacing w:line="360" w:lineRule="auto"/>
              <w:ind w:firstLine="480" w:firstLineChars="200"/>
              <w:jc w:val="left"/>
              <w:rPr>
                <w:sz w:val="24"/>
              </w:rPr>
            </w:pPr>
            <w:r>
              <w:rPr>
                <w:rFonts w:hint="eastAsia"/>
                <w:sz w:val="24"/>
              </w:rPr>
              <w:t>项目50m范围内不涉及环境保护目标，</w:t>
            </w:r>
            <w:r>
              <w:rPr>
                <w:rFonts w:hint="eastAsia"/>
                <w:bCs/>
                <w:sz w:val="24"/>
              </w:rPr>
              <w:t>根据《建设项目环境影响报告表编制技术指南</w:t>
            </w:r>
            <w:r>
              <w:rPr>
                <w:bCs/>
                <w:sz w:val="24"/>
              </w:rPr>
              <w:t xml:space="preserve"> </w:t>
            </w:r>
            <w:r>
              <w:rPr>
                <w:rFonts w:hint="eastAsia"/>
                <w:bCs/>
                <w:sz w:val="24"/>
              </w:rPr>
              <w:t>污染影响类》（试行），</w:t>
            </w:r>
            <w:r>
              <w:rPr>
                <w:rFonts w:hint="eastAsia"/>
                <w:sz w:val="24"/>
              </w:rPr>
              <w:t>不需开展声环境质量现状调查。</w:t>
            </w:r>
          </w:p>
          <w:p w14:paraId="673BAE00">
            <w:pPr>
              <w:spacing w:line="360" w:lineRule="auto"/>
              <w:ind w:firstLine="482" w:firstLineChars="200"/>
              <w:rPr>
                <w:b/>
                <w:sz w:val="24"/>
              </w:rPr>
            </w:pPr>
            <w:r>
              <w:rPr>
                <w:rFonts w:hint="eastAsia"/>
                <w:b/>
                <w:sz w:val="24"/>
              </w:rPr>
              <w:t>4、地下水、土壤环境</w:t>
            </w:r>
          </w:p>
          <w:p w14:paraId="64979440">
            <w:pPr>
              <w:adjustRightInd w:val="0"/>
              <w:snapToGrid w:val="0"/>
              <w:spacing w:line="360" w:lineRule="auto"/>
              <w:ind w:firstLine="480" w:firstLineChars="200"/>
              <w:rPr>
                <w:bCs/>
                <w:sz w:val="24"/>
              </w:rPr>
            </w:pPr>
            <w:r>
              <w:rPr>
                <w:rFonts w:hint="eastAsia"/>
                <w:bCs/>
                <w:sz w:val="24"/>
              </w:rPr>
              <w:t>根据《建设项目环境影响报告表编制技术指南污染影响类》（试行），地下水、土壤环境原则上不开展环境质量现状调查，</w:t>
            </w:r>
            <w:r>
              <w:rPr>
                <w:bCs/>
                <w:sz w:val="24"/>
              </w:rPr>
              <w:t>本项目运营期</w:t>
            </w:r>
            <w:r>
              <w:rPr>
                <w:rFonts w:hint="eastAsia"/>
                <w:bCs/>
                <w:sz w:val="24"/>
              </w:rPr>
              <w:t>厂区采用</w:t>
            </w:r>
            <w:r>
              <w:rPr>
                <w:bCs/>
                <w:sz w:val="24"/>
              </w:rPr>
              <w:t>分区防渗</w:t>
            </w:r>
            <w:r>
              <w:rPr>
                <w:rFonts w:hint="eastAsia"/>
                <w:bCs/>
                <w:sz w:val="24"/>
              </w:rPr>
              <w:t>，</w:t>
            </w:r>
            <w:r>
              <w:rPr>
                <w:bCs/>
                <w:sz w:val="24"/>
              </w:rPr>
              <w:t>不存在地下水、土壤污染途径，因此本项目</w:t>
            </w:r>
            <w:r>
              <w:rPr>
                <w:rFonts w:hint="eastAsia"/>
                <w:bCs/>
                <w:sz w:val="24"/>
              </w:rPr>
              <w:t>无需开展地下水、土壤环境影响评价。</w:t>
            </w:r>
          </w:p>
          <w:p w14:paraId="28EEB818">
            <w:pPr>
              <w:adjustRightInd w:val="0"/>
              <w:snapToGrid w:val="0"/>
              <w:spacing w:line="360" w:lineRule="auto"/>
              <w:ind w:left="-868" w:leftChars="-548" w:hanging="283" w:hangingChars="118"/>
              <w:rPr>
                <w:sz w:val="24"/>
              </w:rPr>
            </w:pPr>
          </w:p>
        </w:tc>
      </w:tr>
      <w:tr w14:paraId="2E4F04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17" w:hRule="atLeast"/>
          <w:jc w:val="center"/>
        </w:trPr>
        <w:tc>
          <w:tcPr>
            <w:tcW w:w="800" w:type="dxa"/>
            <w:vAlign w:val="center"/>
          </w:tcPr>
          <w:p w14:paraId="0E1CE1CA">
            <w:pPr>
              <w:adjustRightInd w:val="0"/>
              <w:snapToGrid w:val="0"/>
              <w:jc w:val="center"/>
              <w:rPr>
                <w:kern w:val="0"/>
                <w:sz w:val="24"/>
              </w:rPr>
            </w:pPr>
            <w:r>
              <w:rPr>
                <w:kern w:val="0"/>
                <w:sz w:val="24"/>
              </w:rPr>
              <w:t>环境</w:t>
            </w:r>
          </w:p>
          <w:p w14:paraId="6F05522A">
            <w:pPr>
              <w:adjustRightInd w:val="0"/>
              <w:snapToGrid w:val="0"/>
              <w:jc w:val="center"/>
              <w:rPr>
                <w:kern w:val="0"/>
                <w:sz w:val="24"/>
              </w:rPr>
            </w:pPr>
            <w:r>
              <w:rPr>
                <w:kern w:val="0"/>
                <w:sz w:val="24"/>
              </w:rPr>
              <w:t>保护</w:t>
            </w:r>
          </w:p>
          <w:p w14:paraId="5AFC7130">
            <w:pPr>
              <w:adjustRightInd w:val="0"/>
              <w:snapToGrid w:val="0"/>
              <w:jc w:val="center"/>
              <w:rPr>
                <w:kern w:val="0"/>
                <w:sz w:val="24"/>
              </w:rPr>
            </w:pPr>
            <w:r>
              <w:rPr>
                <w:kern w:val="0"/>
                <w:sz w:val="24"/>
              </w:rPr>
              <w:t>目标</w:t>
            </w:r>
          </w:p>
        </w:tc>
        <w:tc>
          <w:tcPr>
            <w:tcW w:w="8639" w:type="dxa"/>
            <w:vAlign w:val="center"/>
          </w:tcPr>
          <w:p w14:paraId="1E46EA83">
            <w:pPr>
              <w:spacing w:line="360" w:lineRule="auto"/>
              <w:ind w:firstLine="480" w:firstLineChars="200"/>
              <w:jc w:val="left"/>
              <w:rPr>
                <w:sz w:val="24"/>
              </w:rPr>
            </w:pPr>
            <w:r>
              <w:rPr>
                <w:sz w:val="24"/>
              </w:rPr>
              <w:t>本项目位于</w:t>
            </w:r>
            <w:r>
              <w:rPr>
                <w:rFonts w:hint="eastAsia"/>
                <w:sz w:val="24"/>
              </w:rPr>
              <w:t>商丘市民权县北关镇民荷路北段9号</w:t>
            </w:r>
            <w:r>
              <w:rPr>
                <w:sz w:val="24"/>
              </w:rPr>
              <w:t>，根据调查，项目厂界外50</w:t>
            </w:r>
            <w:r>
              <w:rPr>
                <w:rFonts w:hint="eastAsia"/>
                <w:sz w:val="24"/>
              </w:rPr>
              <w:t>m</w:t>
            </w:r>
            <w:r>
              <w:rPr>
                <w:sz w:val="24"/>
              </w:rPr>
              <w:t>范围内无声环境保护目标；本项目厂界外500</w:t>
            </w:r>
            <w:r>
              <w:rPr>
                <w:rFonts w:hint="eastAsia"/>
                <w:sz w:val="24"/>
              </w:rPr>
              <w:t>m</w:t>
            </w:r>
            <w:r>
              <w:rPr>
                <w:sz w:val="24"/>
              </w:rPr>
              <w:t>范围内无地下水集中式饮用水水源和热水、矿泉水、温泉等特殊地下水资源。500</w:t>
            </w:r>
            <w:r>
              <w:rPr>
                <w:rFonts w:hint="eastAsia"/>
                <w:sz w:val="24"/>
              </w:rPr>
              <w:t>m</w:t>
            </w:r>
            <w:r>
              <w:rPr>
                <w:sz w:val="24"/>
              </w:rPr>
              <w:t>范围内涉及的环境空气目标见下表。</w:t>
            </w:r>
          </w:p>
          <w:p w14:paraId="073E2FEF">
            <w:pPr>
              <w:jc w:val="center"/>
              <w:rPr>
                <w:b/>
                <w:bCs/>
                <w:sz w:val="24"/>
              </w:rPr>
            </w:pPr>
            <w:r>
              <w:rPr>
                <w:rFonts w:hint="eastAsia"/>
                <w:b/>
                <w:bCs/>
                <w:sz w:val="24"/>
              </w:rPr>
              <w:t>表15</w:t>
            </w:r>
            <w:r>
              <w:rPr>
                <w:b/>
                <w:bCs/>
                <w:sz w:val="24"/>
              </w:rPr>
              <w:t xml:space="preserve">  </w:t>
            </w:r>
            <w:r>
              <w:rPr>
                <w:rFonts w:hint="eastAsia"/>
                <w:b/>
                <w:bCs/>
                <w:sz w:val="24"/>
              </w:rPr>
              <w:t xml:space="preserve"> 本项目主要环境保护目标一览表</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3" w:type="dxa"/>
                <w:bottom w:w="0" w:type="dxa"/>
                <w:right w:w="23" w:type="dxa"/>
              </w:tblCellMar>
            </w:tblPr>
            <w:tblGrid>
              <w:gridCol w:w="973"/>
              <w:gridCol w:w="1133"/>
              <w:gridCol w:w="1560"/>
              <w:gridCol w:w="1416"/>
              <w:gridCol w:w="852"/>
              <w:gridCol w:w="803"/>
              <w:gridCol w:w="748"/>
              <w:gridCol w:w="955"/>
            </w:tblGrid>
            <w:tr w14:paraId="0F928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40" w:hRule="atLeast"/>
              </w:trPr>
              <w:tc>
                <w:tcPr>
                  <w:tcW w:w="576" w:type="pct"/>
                  <w:vMerge w:val="restart"/>
                  <w:vAlign w:val="center"/>
                </w:tcPr>
                <w:p w14:paraId="68DD3D8C">
                  <w:pPr>
                    <w:pStyle w:val="62"/>
                    <w:rPr>
                      <w:szCs w:val="21"/>
                    </w:rPr>
                  </w:pPr>
                  <w:r>
                    <w:rPr>
                      <w:rFonts w:hint="eastAsia"/>
                      <w:szCs w:val="21"/>
                    </w:rPr>
                    <w:t>环境类别</w:t>
                  </w:r>
                </w:p>
              </w:tc>
              <w:tc>
                <w:tcPr>
                  <w:tcW w:w="671" w:type="pct"/>
                  <w:vMerge w:val="restart"/>
                  <w:vAlign w:val="center"/>
                </w:tcPr>
                <w:p w14:paraId="0FBB7A7E">
                  <w:pPr>
                    <w:pStyle w:val="62"/>
                    <w:rPr>
                      <w:szCs w:val="21"/>
                    </w:rPr>
                  </w:pPr>
                  <w:r>
                    <w:rPr>
                      <w:rFonts w:hint="eastAsia"/>
                      <w:szCs w:val="21"/>
                    </w:rPr>
                    <w:t>名称</w:t>
                  </w:r>
                </w:p>
              </w:tc>
              <w:tc>
                <w:tcPr>
                  <w:tcW w:w="1763" w:type="pct"/>
                  <w:gridSpan w:val="2"/>
                  <w:vAlign w:val="center"/>
                </w:tcPr>
                <w:p w14:paraId="31A0F4CA">
                  <w:pPr>
                    <w:pStyle w:val="62"/>
                    <w:rPr>
                      <w:szCs w:val="21"/>
                    </w:rPr>
                  </w:pPr>
                  <w:r>
                    <w:rPr>
                      <w:rFonts w:hint="eastAsia"/>
                      <w:szCs w:val="21"/>
                    </w:rPr>
                    <w:t>坐标</w:t>
                  </w:r>
                </w:p>
              </w:tc>
              <w:tc>
                <w:tcPr>
                  <w:tcW w:w="505" w:type="pct"/>
                  <w:vMerge w:val="restart"/>
                  <w:vAlign w:val="center"/>
                </w:tcPr>
                <w:p w14:paraId="5F332EB0">
                  <w:pPr>
                    <w:pStyle w:val="62"/>
                    <w:rPr>
                      <w:szCs w:val="21"/>
                    </w:rPr>
                  </w:pPr>
                  <w:r>
                    <w:rPr>
                      <w:rFonts w:hint="eastAsia"/>
                      <w:szCs w:val="21"/>
                    </w:rPr>
                    <w:t>保护</w:t>
                  </w:r>
                </w:p>
                <w:p w14:paraId="34AB3260">
                  <w:pPr>
                    <w:pStyle w:val="62"/>
                    <w:rPr>
                      <w:szCs w:val="21"/>
                    </w:rPr>
                  </w:pPr>
                  <w:r>
                    <w:rPr>
                      <w:rFonts w:hint="eastAsia"/>
                      <w:szCs w:val="21"/>
                    </w:rPr>
                    <w:t>对象</w:t>
                  </w:r>
                </w:p>
              </w:tc>
              <w:tc>
                <w:tcPr>
                  <w:tcW w:w="476" w:type="pct"/>
                  <w:vMerge w:val="restart"/>
                  <w:vAlign w:val="center"/>
                </w:tcPr>
                <w:p w14:paraId="1014F049">
                  <w:pPr>
                    <w:pStyle w:val="62"/>
                    <w:rPr>
                      <w:szCs w:val="21"/>
                    </w:rPr>
                  </w:pPr>
                  <w:r>
                    <w:rPr>
                      <w:rFonts w:hint="eastAsia"/>
                      <w:szCs w:val="21"/>
                    </w:rPr>
                    <w:t>环境功能区</w:t>
                  </w:r>
                </w:p>
              </w:tc>
              <w:tc>
                <w:tcPr>
                  <w:tcW w:w="443" w:type="pct"/>
                  <w:vMerge w:val="restart"/>
                  <w:vAlign w:val="center"/>
                </w:tcPr>
                <w:p w14:paraId="7F4C767C">
                  <w:pPr>
                    <w:pStyle w:val="62"/>
                    <w:rPr>
                      <w:szCs w:val="21"/>
                    </w:rPr>
                  </w:pPr>
                  <w:r>
                    <w:rPr>
                      <w:rFonts w:hint="eastAsia"/>
                      <w:szCs w:val="21"/>
                    </w:rPr>
                    <w:t>相对厂址方位</w:t>
                  </w:r>
                </w:p>
              </w:tc>
              <w:tc>
                <w:tcPr>
                  <w:tcW w:w="566" w:type="pct"/>
                  <w:vMerge w:val="restart"/>
                  <w:vAlign w:val="center"/>
                </w:tcPr>
                <w:p w14:paraId="5DEA91C5">
                  <w:pPr>
                    <w:pStyle w:val="62"/>
                    <w:rPr>
                      <w:szCs w:val="21"/>
                    </w:rPr>
                  </w:pPr>
                  <w:r>
                    <w:rPr>
                      <w:rFonts w:hint="eastAsia"/>
                      <w:szCs w:val="21"/>
                    </w:rPr>
                    <w:t>相对厂界距离（</w:t>
                  </w:r>
                  <w:r>
                    <w:rPr>
                      <w:szCs w:val="21"/>
                    </w:rPr>
                    <w:t>m</w:t>
                  </w:r>
                  <w:r>
                    <w:rPr>
                      <w:rFonts w:hint="eastAsia"/>
                      <w:szCs w:val="21"/>
                    </w:rPr>
                    <w:t>）</w:t>
                  </w:r>
                </w:p>
              </w:tc>
            </w:tr>
            <w:tr w14:paraId="61592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40" w:hRule="atLeast"/>
              </w:trPr>
              <w:tc>
                <w:tcPr>
                  <w:tcW w:w="576" w:type="pct"/>
                  <w:vMerge w:val="continue"/>
                  <w:vAlign w:val="center"/>
                </w:tcPr>
                <w:p w14:paraId="2AF2ADC1">
                  <w:pPr>
                    <w:widowControl/>
                    <w:jc w:val="center"/>
                    <w:rPr>
                      <w:szCs w:val="21"/>
                    </w:rPr>
                  </w:pPr>
                </w:p>
              </w:tc>
              <w:tc>
                <w:tcPr>
                  <w:tcW w:w="671" w:type="pct"/>
                  <w:vMerge w:val="continue"/>
                  <w:vAlign w:val="center"/>
                </w:tcPr>
                <w:p w14:paraId="4C91153E">
                  <w:pPr>
                    <w:widowControl/>
                    <w:jc w:val="center"/>
                    <w:rPr>
                      <w:szCs w:val="21"/>
                    </w:rPr>
                  </w:pPr>
                </w:p>
              </w:tc>
              <w:tc>
                <w:tcPr>
                  <w:tcW w:w="924" w:type="pct"/>
                  <w:vAlign w:val="center"/>
                </w:tcPr>
                <w:p w14:paraId="77C90DC8">
                  <w:pPr>
                    <w:pStyle w:val="62"/>
                    <w:rPr>
                      <w:szCs w:val="21"/>
                    </w:rPr>
                  </w:pPr>
                  <w:r>
                    <w:rPr>
                      <w:rFonts w:hint="eastAsia"/>
                      <w:szCs w:val="21"/>
                    </w:rPr>
                    <w:t>经度</w:t>
                  </w:r>
                </w:p>
              </w:tc>
              <w:tc>
                <w:tcPr>
                  <w:tcW w:w="839" w:type="pct"/>
                  <w:vAlign w:val="center"/>
                </w:tcPr>
                <w:p w14:paraId="414D4537">
                  <w:pPr>
                    <w:pStyle w:val="62"/>
                    <w:rPr>
                      <w:szCs w:val="21"/>
                    </w:rPr>
                  </w:pPr>
                  <w:r>
                    <w:rPr>
                      <w:rFonts w:hint="eastAsia"/>
                      <w:szCs w:val="21"/>
                    </w:rPr>
                    <w:t>纬度</w:t>
                  </w:r>
                </w:p>
              </w:tc>
              <w:tc>
                <w:tcPr>
                  <w:tcW w:w="505" w:type="pct"/>
                  <w:vMerge w:val="continue"/>
                  <w:vAlign w:val="center"/>
                </w:tcPr>
                <w:p w14:paraId="07C3C264">
                  <w:pPr>
                    <w:widowControl/>
                    <w:jc w:val="center"/>
                    <w:rPr>
                      <w:szCs w:val="21"/>
                    </w:rPr>
                  </w:pPr>
                </w:p>
              </w:tc>
              <w:tc>
                <w:tcPr>
                  <w:tcW w:w="476" w:type="pct"/>
                  <w:vMerge w:val="continue"/>
                  <w:vAlign w:val="center"/>
                </w:tcPr>
                <w:p w14:paraId="51958982">
                  <w:pPr>
                    <w:widowControl/>
                    <w:jc w:val="center"/>
                    <w:rPr>
                      <w:szCs w:val="21"/>
                    </w:rPr>
                  </w:pPr>
                </w:p>
              </w:tc>
              <w:tc>
                <w:tcPr>
                  <w:tcW w:w="443" w:type="pct"/>
                  <w:vMerge w:val="continue"/>
                  <w:vAlign w:val="center"/>
                </w:tcPr>
                <w:p w14:paraId="4807FE6A">
                  <w:pPr>
                    <w:widowControl/>
                    <w:jc w:val="center"/>
                    <w:rPr>
                      <w:szCs w:val="21"/>
                    </w:rPr>
                  </w:pPr>
                </w:p>
              </w:tc>
              <w:tc>
                <w:tcPr>
                  <w:tcW w:w="566" w:type="pct"/>
                  <w:vMerge w:val="continue"/>
                  <w:vAlign w:val="center"/>
                </w:tcPr>
                <w:p w14:paraId="0247205E">
                  <w:pPr>
                    <w:widowControl/>
                    <w:jc w:val="center"/>
                    <w:rPr>
                      <w:szCs w:val="21"/>
                    </w:rPr>
                  </w:pPr>
                </w:p>
              </w:tc>
            </w:tr>
            <w:tr w14:paraId="3C447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trPr>
              <w:tc>
                <w:tcPr>
                  <w:tcW w:w="576" w:type="pct"/>
                  <w:vAlign w:val="center"/>
                </w:tcPr>
                <w:p w14:paraId="09001FF2">
                  <w:pPr>
                    <w:jc w:val="center"/>
                    <w:rPr>
                      <w:bCs/>
                      <w:szCs w:val="21"/>
                    </w:rPr>
                  </w:pPr>
                  <w:r>
                    <w:rPr>
                      <w:bCs/>
                      <w:szCs w:val="21"/>
                    </w:rPr>
                    <w:t>环境空气</w:t>
                  </w:r>
                </w:p>
              </w:tc>
              <w:tc>
                <w:tcPr>
                  <w:tcW w:w="671" w:type="pct"/>
                  <w:vAlign w:val="center"/>
                </w:tcPr>
                <w:p w14:paraId="5A168120">
                  <w:pPr>
                    <w:jc w:val="center"/>
                    <w:rPr>
                      <w:bCs/>
                      <w:szCs w:val="21"/>
                    </w:rPr>
                  </w:pPr>
                  <w:r>
                    <w:rPr>
                      <w:rFonts w:hint="eastAsia"/>
                      <w:bCs/>
                      <w:szCs w:val="21"/>
                    </w:rPr>
                    <w:t>张营</w:t>
                  </w:r>
                </w:p>
              </w:tc>
              <w:tc>
                <w:tcPr>
                  <w:tcW w:w="924" w:type="pct"/>
                  <w:vAlign w:val="center"/>
                </w:tcPr>
                <w:p w14:paraId="441E4487">
                  <w:pPr>
                    <w:pStyle w:val="62"/>
                    <w:rPr>
                      <w:szCs w:val="21"/>
                    </w:rPr>
                  </w:pPr>
                  <w:r>
                    <w:rPr>
                      <w:szCs w:val="21"/>
                    </w:rPr>
                    <w:t>115.33140423</w:t>
                  </w:r>
                </w:p>
              </w:tc>
              <w:tc>
                <w:tcPr>
                  <w:tcW w:w="839" w:type="pct"/>
                  <w:vAlign w:val="center"/>
                </w:tcPr>
                <w:p w14:paraId="0C06214F">
                  <w:pPr>
                    <w:pStyle w:val="62"/>
                    <w:rPr>
                      <w:szCs w:val="21"/>
                    </w:rPr>
                  </w:pPr>
                  <w:r>
                    <w:rPr>
                      <w:szCs w:val="21"/>
                    </w:rPr>
                    <w:t>34.83681035</w:t>
                  </w:r>
                </w:p>
              </w:tc>
              <w:tc>
                <w:tcPr>
                  <w:tcW w:w="505" w:type="pct"/>
                  <w:vAlign w:val="center"/>
                </w:tcPr>
                <w:p w14:paraId="0E5861BB">
                  <w:pPr>
                    <w:pStyle w:val="62"/>
                    <w:rPr>
                      <w:szCs w:val="21"/>
                    </w:rPr>
                  </w:pPr>
                  <w:r>
                    <w:rPr>
                      <w:szCs w:val="21"/>
                    </w:rPr>
                    <w:t>居民</w:t>
                  </w:r>
                </w:p>
              </w:tc>
              <w:tc>
                <w:tcPr>
                  <w:tcW w:w="476" w:type="pct"/>
                  <w:vAlign w:val="center"/>
                </w:tcPr>
                <w:p w14:paraId="1849FA41">
                  <w:pPr>
                    <w:pStyle w:val="62"/>
                    <w:rPr>
                      <w:szCs w:val="21"/>
                    </w:rPr>
                  </w:pPr>
                  <w:r>
                    <w:rPr>
                      <w:szCs w:val="21"/>
                    </w:rPr>
                    <w:t>二类功能区</w:t>
                  </w:r>
                </w:p>
              </w:tc>
              <w:tc>
                <w:tcPr>
                  <w:tcW w:w="443" w:type="pct"/>
                  <w:vAlign w:val="center"/>
                </w:tcPr>
                <w:p w14:paraId="7AD55050">
                  <w:pPr>
                    <w:pStyle w:val="62"/>
                    <w:rPr>
                      <w:szCs w:val="21"/>
                    </w:rPr>
                  </w:pPr>
                  <w:r>
                    <w:rPr>
                      <w:rFonts w:hint="eastAsia"/>
                      <w:szCs w:val="21"/>
                    </w:rPr>
                    <w:t>SW</w:t>
                  </w:r>
                </w:p>
              </w:tc>
              <w:tc>
                <w:tcPr>
                  <w:tcW w:w="566" w:type="pct"/>
                  <w:vAlign w:val="center"/>
                </w:tcPr>
                <w:p w14:paraId="2E0F4518">
                  <w:pPr>
                    <w:pStyle w:val="62"/>
                    <w:rPr>
                      <w:szCs w:val="21"/>
                    </w:rPr>
                  </w:pPr>
                  <w:r>
                    <w:rPr>
                      <w:rFonts w:hint="eastAsia"/>
                      <w:szCs w:val="21"/>
                    </w:rPr>
                    <w:t>430</w:t>
                  </w:r>
                </w:p>
              </w:tc>
            </w:tr>
          </w:tbl>
          <w:p w14:paraId="4769E791">
            <w:pPr>
              <w:spacing w:beforeLines="50" w:line="360" w:lineRule="auto"/>
              <w:rPr>
                <w:sz w:val="24"/>
              </w:rPr>
            </w:pPr>
          </w:p>
          <w:p w14:paraId="6DADFD2D">
            <w:pPr>
              <w:adjustRightInd w:val="0"/>
              <w:snapToGrid w:val="0"/>
              <w:rPr>
                <w:sz w:val="24"/>
              </w:rPr>
            </w:pPr>
          </w:p>
        </w:tc>
      </w:tr>
      <w:tr w14:paraId="79D13C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75" w:hRule="atLeast"/>
          <w:jc w:val="center"/>
        </w:trPr>
        <w:tc>
          <w:tcPr>
            <w:tcW w:w="800" w:type="dxa"/>
            <w:tcMar>
              <w:left w:w="28" w:type="dxa"/>
              <w:right w:w="28" w:type="dxa"/>
            </w:tcMar>
            <w:vAlign w:val="center"/>
          </w:tcPr>
          <w:p w14:paraId="2B7962DD">
            <w:pPr>
              <w:adjustRightInd w:val="0"/>
              <w:snapToGrid w:val="0"/>
              <w:jc w:val="center"/>
              <w:rPr>
                <w:kern w:val="0"/>
                <w:sz w:val="24"/>
              </w:rPr>
            </w:pPr>
            <w:r>
              <w:rPr>
                <w:kern w:val="0"/>
                <w:sz w:val="24"/>
              </w:rPr>
              <w:t>污染</w:t>
            </w:r>
          </w:p>
          <w:p w14:paraId="44A23752">
            <w:pPr>
              <w:adjustRightInd w:val="0"/>
              <w:snapToGrid w:val="0"/>
              <w:jc w:val="center"/>
              <w:rPr>
                <w:kern w:val="0"/>
                <w:sz w:val="24"/>
              </w:rPr>
            </w:pPr>
            <w:r>
              <w:rPr>
                <w:kern w:val="0"/>
                <w:sz w:val="24"/>
              </w:rPr>
              <w:t>物排</w:t>
            </w:r>
          </w:p>
          <w:p w14:paraId="78DBF456">
            <w:pPr>
              <w:adjustRightInd w:val="0"/>
              <w:snapToGrid w:val="0"/>
              <w:jc w:val="center"/>
              <w:rPr>
                <w:kern w:val="0"/>
                <w:sz w:val="24"/>
              </w:rPr>
            </w:pPr>
            <w:r>
              <w:rPr>
                <w:kern w:val="0"/>
                <w:sz w:val="24"/>
              </w:rPr>
              <w:t>放控</w:t>
            </w:r>
          </w:p>
          <w:p w14:paraId="5808FE64">
            <w:pPr>
              <w:adjustRightInd w:val="0"/>
              <w:snapToGrid w:val="0"/>
              <w:jc w:val="center"/>
              <w:rPr>
                <w:kern w:val="0"/>
                <w:sz w:val="24"/>
              </w:rPr>
            </w:pPr>
            <w:r>
              <w:rPr>
                <w:kern w:val="0"/>
                <w:sz w:val="24"/>
              </w:rPr>
              <w:t>制标</w:t>
            </w:r>
          </w:p>
          <w:p w14:paraId="0CAF9D75">
            <w:pPr>
              <w:adjustRightInd w:val="0"/>
              <w:snapToGrid w:val="0"/>
              <w:jc w:val="center"/>
              <w:rPr>
                <w:kern w:val="0"/>
                <w:sz w:val="24"/>
              </w:rPr>
            </w:pPr>
            <w:r>
              <w:rPr>
                <w:kern w:val="0"/>
                <w:sz w:val="24"/>
              </w:rPr>
              <w:t>准</w:t>
            </w:r>
          </w:p>
        </w:tc>
        <w:tc>
          <w:tcPr>
            <w:tcW w:w="8639" w:type="dxa"/>
            <w:vAlign w:val="center"/>
          </w:tcPr>
          <w:p w14:paraId="2F4B04EF">
            <w:pPr>
              <w:adjustRightInd w:val="0"/>
              <w:snapToGrid w:val="0"/>
              <w:spacing w:line="360" w:lineRule="auto"/>
              <w:ind w:firstLine="480" w:firstLineChars="200"/>
              <w:jc w:val="left"/>
              <w:rPr>
                <w:kern w:val="0"/>
                <w:sz w:val="24"/>
              </w:rPr>
            </w:pPr>
            <w:r>
              <w:rPr>
                <w:rFonts w:hint="eastAsia"/>
                <w:kern w:val="0"/>
                <w:sz w:val="24"/>
              </w:rPr>
              <w:t>项目污染物排放控制标准见下表。</w:t>
            </w:r>
          </w:p>
          <w:p w14:paraId="6B867911">
            <w:pPr>
              <w:adjustRightInd w:val="0"/>
              <w:snapToGrid w:val="0"/>
              <w:jc w:val="center"/>
              <w:rPr>
                <w:b/>
                <w:bCs/>
                <w:sz w:val="24"/>
              </w:rPr>
            </w:pPr>
            <w:r>
              <w:rPr>
                <w:rFonts w:hint="eastAsia"/>
                <w:b/>
                <w:bCs/>
                <w:sz w:val="24"/>
              </w:rPr>
              <w:t>表16    本项目执行污染物排放控制标准一览表</w:t>
            </w:r>
          </w:p>
          <w:tbl>
            <w:tblPr>
              <w:tblStyle w:val="29"/>
              <w:tblW w:w="84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45"/>
              <w:gridCol w:w="3545"/>
              <w:gridCol w:w="567"/>
              <w:gridCol w:w="851"/>
              <w:gridCol w:w="2932"/>
            </w:tblGrid>
            <w:tr w14:paraId="17209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23" w:type="pct"/>
                  <w:vAlign w:val="center"/>
                </w:tcPr>
                <w:p w14:paraId="67E63F74">
                  <w:pPr>
                    <w:snapToGrid w:val="0"/>
                    <w:jc w:val="center"/>
                    <w:rPr>
                      <w:color w:val="000000"/>
                      <w:szCs w:val="21"/>
                    </w:rPr>
                  </w:pPr>
                  <w:r>
                    <w:rPr>
                      <w:color w:val="000000"/>
                      <w:szCs w:val="21"/>
                    </w:rPr>
                    <w:t>环境要素</w:t>
                  </w:r>
                </w:p>
              </w:tc>
              <w:tc>
                <w:tcPr>
                  <w:tcW w:w="2100" w:type="pct"/>
                  <w:vAlign w:val="center"/>
                </w:tcPr>
                <w:p w14:paraId="4B0EAAAD">
                  <w:pPr>
                    <w:pStyle w:val="73"/>
                    <w:spacing w:line="240" w:lineRule="auto"/>
                    <w:ind w:firstLine="0" w:firstLineChars="0"/>
                    <w:jc w:val="center"/>
                    <w:rPr>
                      <w:sz w:val="21"/>
                      <w:szCs w:val="21"/>
                    </w:rPr>
                  </w:pPr>
                  <w:r>
                    <w:rPr>
                      <w:rFonts w:hint="eastAsia"/>
                      <w:sz w:val="21"/>
                      <w:szCs w:val="21"/>
                    </w:rPr>
                    <w:t>执行标准名称及级别</w:t>
                  </w:r>
                </w:p>
              </w:tc>
              <w:tc>
                <w:tcPr>
                  <w:tcW w:w="2577" w:type="pct"/>
                  <w:gridSpan w:val="3"/>
                  <w:vAlign w:val="center"/>
                </w:tcPr>
                <w:p w14:paraId="1C796C51">
                  <w:pPr>
                    <w:pStyle w:val="73"/>
                    <w:spacing w:line="240" w:lineRule="auto"/>
                    <w:ind w:firstLine="0" w:firstLineChars="0"/>
                    <w:jc w:val="center"/>
                    <w:rPr>
                      <w:sz w:val="21"/>
                      <w:szCs w:val="21"/>
                    </w:rPr>
                  </w:pPr>
                  <w:r>
                    <w:rPr>
                      <w:rFonts w:hint="eastAsia"/>
                      <w:sz w:val="21"/>
                      <w:szCs w:val="21"/>
                    </w:rPr>
                    <w:t>污染因子及排放限值</w:t>
                  </w:r>
                </w:p>
              </w:tc>
            </w:tr>
            <w:tr w14:paraId="1150F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23" w:type="pct"/>
                  <w:vMerge w:val="restart"/>
                  <w:vAlign w:val="center"/>
                </w:tcPr>
                <w:p w14:paraId="132E9E92">
                  <w:pPr>
                    <w:pStyle w:val="73"/>
                    <w:spacing w:line="240" w:lineRule="auto"/>
                    <w:ind w:firstLine="0" w:firstLineChars="0"/>
                    <w:jc w:val="center"/>
                    <w:rPr>
                      <w:sz w:val="21"/>
                      <w:szCs w:val="21"/>
                    </w:rPr>
                  </w:pPr>
                  <w:r>
                    <w:rPr>
                      <w:rFonts w:hint="eastAsia"/>
                      <w:sz w:val="21"/>
                      <w:szCs w:val="21"/>
                    </w:rPr>
                    <w:t>废气</w:t>
                  </w:r>
                </w:p>
              </w:tc>
              <w:tc>
                <w:tcPr>
                  <w:tcW w:w="2100" w:type="pct"/>
                  <w:vAlign w:val="center"/>
                </w:tcPr>
                <w:p w14:paraId="45EE216F">
                  <w:pPr>
                    <w:pStyle w:val="73"/>
                    <w:adjustRightInd w:val="0"/>
                    <w:snapToGrid w:val="0"/>
                    <w:spacing w:line="240" w:lineRule="auto"/>
                    <w:ind w:firstLine="0" w:firstLineChars="0"/>
                    <w:jc w:val="center"/>
                    <w:rPr>
                      <w:sz w:val="21"/>
                      <w:szCs w:val="21"/>
                    </w:rPr>
                  </w:pPr>
                  <w:r>
                    <w:rPr>
                      <w:rFonts w:hint="eastAsia"/>
                      <w:sz w:val="21"/>
                      <w:szCs w:val="21"/>
                    </w:rPr>
                    <w:t>《餐饮业油烟污染物排放标准》（DB41/1604-2018）表1</w:t>
                  </w:r>
                </w:p>
              </w:tc>
              <w:tc>
                <w:tcPr>
                  <w:tcW w:w="336" w:type="pct"/>
                  <w:vAlign w:val="center"/>
                </w:tcPr>
                <w:p w14:paraId="45AC3A7C">
                  <w:pPr>
                    <w:pStyle w:val="73"/>
                    <w:adjustRightInd w:val="0"/>
                    <w:snapToGrid w:val="0"/>
                    <w:spacing w:line="240" w:lineRule="auto"/>
                    <w:ind w:firstLine="0" w:firstLineChars="0"/>
                    <w:jc w:val="center"/>
                    <w:rPr>
                      <w:sz w:val="21"/>
                      <w:szCs w:val="21"/>
                    </w:rPr>
                  </w:pPr>
                  <w:r>
                    <w:rPr>
                      <w:rFonts w:hint="eastAsia"/>
                      <w:sz w:val="21"/>
                      <w:szCs w:val="21"/>
                    </w:rPr>
                    <w:t>油烟</w:t>
                  </w:r>
                </w:p>
              </w:tc>
              <w:tc>
                <w:tcPr>
                  <w:tcW w:w="504" w:type="pct"/>
                  <w:vAlign w:val="center"/>
                </w:tcPr>
                <w:p w14:paraId="45C0A488">
                  <w:pPr>
                    <w:pStyle w:val="73"/>
                    <w:adjustRightInd w:val="0"/>
                    <w:snapToGrid w:val="0"/>
                    <w:spacing w:line="240" w:lineRule="auto"/>
                    <w:ind w:firstLine="0" w:firstLineChars="0"/>
                    <w:jc w:val="center"/>
                    <w:rPr>
                      <w:sz w:val="21"/>
                      <w:szCs w:val="21"/>
                    </w:rPr>
                  </w:pPr>
                  <w:r>
                    <w:rPr>
                      <w:rFonts w:hint="eastAsia"/>
                      <w:sz w:val="21"/>
                      <w:szCs w:val="21"/>
                    </w:rPr>
                    <w:t>有组织</w:t>
                  </w:r>
                </w:p>
              </w:tc>
              <w:tc>
                <w:tcPr>
                  <w:tcW w:w="1737" w:type="pct"/>
                  <w:vAlign w:val="center"/>
                </w:tcPr>
                <w:p w14:paraId="38C53F21">
                  <w:pPr>
                    <w:pStyle w:val="73"/>
                    <w:adjustRightInd w:val="0"/>
                    <w:snapToGrid w:val="0"/>
                    <w:spacing w:line="240" w:lineRule="auto"/>
                    <w:ind w:firstLine="0" w:firstLineChars="0"/>
                    <w:jc w:val="center"/>
                    <w:rPr>
                      <w:sz w:val="21"/>
                      <w:szCs w:val="21"/>
                    </w:rPr>
                  </w:pPr>
                  <w:r>
                    <w:rPr>
                      <w:rFonts w:hint="eastAsia"/>
                      <w:spacing w:val="-4"/>
                      <w:sz w:val="21"/>
                      <w:szCs w:val="21"/>
                    </w:rPr>
                    <w:t>大型，排放限值1.0</w:t>
                  </w:r>
                  <w:r>
                    <w:rPr>
                      <w:spacing w:val="-4"/>
                      <w:sz w:val="21"/>
                      <w:szCs w:val="21"/>
                    </w:rPr>
                    <w:t>mg/m</w:t>
                  </w:r>
                  <w:r>
                    <w:rPr>
                      <w:spacing w:val="-4"/>
                      <w:sz w:val="21"/>
                      <w:szCs w:val="21"/>
                      <w:vertAlign w:val="superscript"/>
                    </w:rPr>
                    <w:t>3</w:t>
                  </w:r>
                  <w:r>
                    <w:rPr>
                      <w:rFonts w:hint="eastAsia"/>
                      <w:spacing w:val="-4"/>
                      <w:sz w:val="21"/>
                      <w:szCs w:val="21"/>
                    </w:rPr>
                    <w:t>，油烟去除效率≥95%</w:t>
                  </w:r>
                </w:p>
              </w:tc>
            </w:tr>
            <w:tr w14:paraId="73AC4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23" w:type="pct"/>
                  <w:vMerge w:val="continue"/>
                  <w:vAlign w:val="center"/>
                </w:tcPr>
                <w:p w14:paraId="203FF9FD">
                  <w:pPr>
                    <w:pStyle w:val="73"/>
                    <w:spacing w:line="240" w:lineRule="auto"/>
                    <w:ind w:firstLine="0" w:firstLineChars="0"/>
                    <w:jc w:val="center"/>
                    <w:rPr>
                      <w:sz w:val="21"/>
                      <w:szCs w:val="21"/>
                    </w:rPr>
                  </w:pPr>
                </w:p>
              </w:tc>
              <w:tc>
                <w:tcPr>
                  <w:tcW w:w="2100" w:type="pct"/>
                  <w:vMerge w:val="restart"/>
                  <w:vAlign w:val="center"/>
                </w:tcPr>
                <w:p w14:paraId="5F383C79">
                  <w:pPr>
                    <w:pStyle w:val="73"/>
                    <w:adjustRightInd w:val="0"/>
                    <w:snapToGrid w:val="0"/>
                    <w:spacing w:line="240" w:lineRule="auto"/>
                    <w:ind w:firstLine="0" w:firstLineChars="0"/>
                    <w:jc w:val="center"/>
                    <w:rPr>
                      <w:sz w:val="21"/>
                      <w:szCs w:val="21"/>
                      <w:highlight w:val="green"/>
                    </w:rPr>
                  </w:pPr>
                  <w:r>
                    <w:rPr>
                      <w:rFonts w:hint="eastAsia"/>
                      <w:sz w:val="21"/>
                      <w:szCs w:val="21"/>
                    </w:rPr>
                    <w:t>《恶臭污染物排放标准》（GB14554-93）表1及表2</w:t>
                  </w:r>
                </w:p>
              </w:tc>
              <w:tc>
                <w:tcPr>
                  <w:tcW w:w="336" w:type="pct"/>
                  <w:vMerge w:val="restart"/>
                  <w:vAlign w:val="center"/>
                </w:tcPr>
                <w:p w14:paraId="77FB475A">
                  <w:pPr>
                    <w:pStyle w:val="73"/>
                    <w:adjustRightInd w:val="0"/>
                    <w:snapToGrid w:val="0"/>
                    <w:spacing w:line="240" w:lineRule="auto"/>
                    <w:ind w:firstLine="0" w:firstLineChars="0"/>
                    <w:jc w:val="center"/>
                    <w:rPr>
                      <w:sz w:val="21"/>
                      <w:szCs w:val="21"/>
                    </w:rPr>
                  </w:pPr>
                  <w:r>
                    <w:rPr>
                      <w:rFonts w:hint="eastAsia"/>
                      <w:sz w:val="21"/>
                      <w:szCs w:val="21"/>
                    </w:rPr>
                    <w:t>NH</w:t>
                  </w:r>
                  <w:r>
                    <w:rPr>
                      <w:rFonts w:hint="eastAsia"/>
                      <w:sz w:val="21"/>
                      <w:szCs w:val="21"/>
                      <w:vertAlign w:val="subscript"/>
                    </w:rPr>
                    <w:t>3</w:t>
                  </w:r>
                </w:p>
              </w:tc>
              <w:tc>
                <w:tcPr>
                  <w:tcW w:w="504" w:type="pct"/>
                  <w:vAlign w:val="center"/>
                </w:tcPr>
                <w:p w14:paraId="2C50360B">
                  <w:pPr>
                    <w:pStyle w:val="73"/>
                    <w:adjustRightInd w:val="0"/>
                    <w:snapToGrid w:val="0"/>
                    <w:spacing w:line="240" w:lineRule="auto"/>
                    <w:ind w:firstLine="0" w:firstLineChars="0"/>
                    <w:jc w:val="center"/>
                    <w:rPr>
                      <w:sz w:val="21"/>
                      <w:szCs w:val="21"/>
                    </w:rPr>
                  </w:pPr>
                  <w:r>
                    <w:rPr>
                      <w:rFonts w:hint="eastAsia"/>
                      <w:sz w:val="21"/>
                      <w:szCs w:val="21"/>
                    </w:rPr>
                    <w:t>有组织</w:t>
                  </w:r>
                </w:p>
              </w:tc>
              <w:tc>
                <w:tcPr>
                  <w:tcW w:w="1737" w:type="pct"/>
                  <w:vAlign w:val="center"/>
                </w:tcPr>
                <w:p w14:paraId="49CC3EA9">
                  <w:pPr>
                    <w:pStyle w:val="134"/>
                    <w:adjustRightInd w:val="0"/>
                    <w:snapToGrid w:val="0"/>
                    <w:spacing w:line="240" w:lineRule="auto"/>
                    <w:rPr>
                      <w:szCs w:val="21"/>
                    </w:rPr>
                  </w:pPr>
                  <w:r>
                    <w:rPr>
                      <w:rFonts w:hint="eastAsia"/>
                      <w:szCs w:val="21"/>
                    </w:rPr>
                    <w:t>15m高排气筒，4.9kg/h</w:t>
                  </w:r>
                </w:p>
              </w:tc>
            </w:tr>
            <w:tr w14:paraId="18308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23" w:type="pct"/>
                  <w:vMerge w:val="continue"/>
                  <w:vAlign w:val="center"/>
                </w:tcPr>
                <w:p w14:paraId="1A7AFED1">
                  <w:pPr>
                    <w:pStyle w:val="73"/>
                    <w:spacing w:line="240" w:lineRule="auto"/>
                    <w:ind w:firstLine="0" w:firstLineChars="0"/>
                    <w:jc w:val="center"/>
                    <w:rPr>
                      <w:sz w:val="21"/>
                      <w:szCs w:val="21"/>
                    </w:rPr>
                  </w:pPr>
                </w:p>
              </w:tc>
              <w:tc>
                <w:tcPr>
                  <w:tcW w:w="2100" w:type="pct"/>
                  <w:vMerge w:val="continue"/>
                  <w:vAlign w:val="center"/>
                </w:tcPr>
                <w:p w14:paraId="05D0C49B">
                  <w:pPr>
                    <w:pStyle w:val="73"/>
                    <w:adjustRightInd w:val="0"/>
                    <w:snapToGrid w:val="0"/>
                    <w:spacing w:line="240" w:lineRule="auto"/>
                    <w:ind w:firstLine="0" w:firstLineChars="0"/>
                    <w:jc w:val="center"/>
                    <w:rPr>
                      <w:sz w:val="21"/>
                      <w:szCs w:val="21"/>
                      <w:highlight w:val="green"/>
                    </w:rPr>
                  </w:pPr>
                </w:p>
              </w:tc>
              <w:tc>
                <w:tcPr>
                  <w:tcW w:w="336" w:type="pct"/>
                  <w:vMerge w:val="continue"/>
                  <w:vAlign w:val="center"/>
                </w:tcPr>
                <w:p w14:paraId="43B471AF">
                  <w:pPr>
                    <w:pStyle w:val="73"/>
                    <w:adjustRightInd w:val="0"/>
                    <w:snapToGrid w:val="0"/>
                    <w:spacing w:line="240" w:lineRule="auto"/>
                    <w:ind w:firstLine="0" w:firstLineChars="0"/>
                    <w:jc w:val="center"/>
                    <w:rPr>
                      <w:sz w:val="21"/>
                      <w:szCs w:val="21"/>
                    </w:rPr>
                  </w:pPr>
                </w:p>
              </w:tc>
              <w:tc>
                <w:tcPr>
                  <w:tcW w:w="504" w:type="pct"/>
                  <w:vAlign w:val="center"/>
                </w:tcPr>
                <w:p w14:paraId="5C2134AE">
                  <w:pPr>
                    <w:pStyle w:val="73"/>
                    <w:adjustRightInd w:val="0"/>
                    <w:snapToGrid w:val="0"/>
                    <w:spacing w:line="240" w:lineRule="auto"/>
                    <w:ind w:firstLine="0" w:firstLineChars="0"/>
                    <w:jc w:val="center"/>
                    <w:rPr>
                      <w:sz w:val="21"/>
                      <w:szCs w:val="21"/>
                    </w:rPr>
                  </w:pPr>
                  <w:r>
                    <w:rPr>
                      <w:rFonts w:hint="eastAsia"/>
                      <w:sz w:val="21"/>
                      <w:szCs w:val="21"/>
                    </w:rPr>
                    <w:t>无组织</w:t>
                  </w:r>
                </w:p>
              </w:tc>
              <w:tc>
                <w:tcPr>
                  <w:tcW w:w="1737" w:type="pct"/>
                  <w:vAlign w:val="center"/>
                </w:tcPr>
                <w:p w14:paraId="019B2594">
                  <w:pPr>
                    <w:pStyle w:val="134"/>
                    <w:adjustRightInd w:val="0"/>
                    <w:snapToGrid w:val="0"/>
                    <w:spacing w:line="240" w:lineRule="auto"/>
                    <w:rPr>
                      <w:szCs w:val="21"/>
                    </w:rPr>
                  </w:pPr>
                  <w:r>
                    <w:rPr>
                      <w:rFonts w:hint="eastAsia"/>
                      <w:szCs w:val="21"/>
                    </w:rPr>
                    <w:t>二级新建1.5</w:t>
                  </w:r>
                  <w:r>
                    <w:rPr>
                      <w:szCs w:val="21"/>
                    </w:rPr>
                    <w:t>mg/m</w:t>
                  </w:r>
                  <w:r>
                    <w:rPr>
                      <w:szCs w:val="21"/>
                      <w:vertAlign w:val="superscript"/>
                    </w:rPr>
                    <w:t>3</w:t>
                  </w:r>
                </w:p>
              </w:tc>
            </w:tr>
            <w:tr w14:paraId="62BDB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23" w:type="pct"/>
                  <w:vMerge w:val="continue"/>
                  <w:vAlign w:val="center"/>
                </w:tcPr>
                <w:p w14:paraId="5E81F84D">
                  <w:pPr>
                    <w:pStyle w:val="73"/>
                    <w:spacing w:line="240" w:lineRule="auto"/>
                    <w:ind w:firstLine="0" w:firstLineChars="0"/>
                    <w:jc w:val="center"/>
                    <w:rPr>
                      <w:sz w:val="21"/>
                      <w:szCs w:val="21"/>
                    </w:rPr>
                  </w:pPr>
                </w:p>
              </w:tc>
              <w:tc>
                <w:tcPr>
                  <w:tcW w:w="2100" w:type="pct"/>
                  <w:vMerge w:val="continue"/>
                  <w:vAlign w:val="center"/>
                </w:tcPr>
                <w:p w14:paraId="57A70168">
                  <w:pPr>
                    <w:pStyle w:val="73"/>
                    <w:adjustRightInd w:val="0"/>
                    <w:snapToGrid w:val="0"/>
                    <w:spacing w:line="240" w:lineRule="auto"/>
                    <w:ind w:firstLine="0" w:firstLineChars="0"/>
                    <w:jc w:val="center"/>
                    <w:rPr>
                      <w:sz w:val="21"/>
                      <w:szCs w:val="21"/>
                      <w:highlight w:val="green"/>
                    </w:rPr>
                  </w:pPr>
                </w:p>
              </w:tc>
              <w:tc>
                <w:tcPr>
                  <w:tcW w:w="336" w:type="pct"/>
                  <w:vMerge w:val="restart"/>
                  <w:vAlign w:val="center"/>
                </w:tcPr>
                <w:p w14:paraId="0A6EBE1A">
                  <w:pPr>
                    <w:pStyle w:val="73"/>
                    <w:adjustRightInd w:val="0"/>
                    <w:snapToGrid w:val="0"/>
                    <w:spacing w:line="240" w:lineRule="auto"/>
                    <w:ind w:firstLine="0" w:firstLineChars="0"/>
                    <w:jc w:val="center"/>
                    <w:rPr>
                      <w:sz w:val="21"/>
                      <w:szCs w:val="21"/>
                    </w:rPr>
                  </w:pPr>
                  <w:r>
                    <w:rPr>
                      <w:rFonts w:hint="eastAsia"/>
                      <w:sz w:val="21"/>
                      <w:szCs w:val="21"/>
                    </w:rPr>
                    <w:t>H</w:t>
                  </w:r>
                  <w:r>
                    <w:rPr>
                      <w:rFonts w:hint="eastAsia"/>
                      <w:sz w:val="21"/>
                      <w:szCs w:val="21"/>
                      <w:vertAlign w:val="subscript"/>
                    </w:rPr>
                    <w:t>2</w:t>
                  </w:r>
                  <w:r>
                    <w:rPr>
                      <w:rFonts w:hint="eastAsia"/>
                      <w:sz w:val="21"/>
                      <w:szCs w:val="21"/>
                    </w:rPr>
                    <w:t>S</w:t>
                  </w:r>
                </w:p>
              </w:tc>
              <w:tc>
                <w:tcPr>
                  <w:tcW w:w="504" w:type="pct"/>
                  <w:vAlign w:val="center"/>
                </w:tcPr>
                <w:p w14:paraId="2FC54F91">
                  <w:pPr>
                    <w:pStyle w:val="73"/>
                    <w:adjustRightInd w:val="0"/>
                    <w:snapToGrid w:val="0"/>
                    <w:spacing w:line="240" w:lineRule="auto"/>
                    <w:ind w:firstLine="0" w:firstLineChars="0"/>
                    <w:jc w:val="center"/>
                    <w:rPr>
                      <w:sz w:val="21"/>
                      <w:szCs w:val="21"/>
                    </w:rPr>
                  </w:pPr>
                  <w:r>
                    <w:rPr>
                      <w:rFonts w:hint="eastAsia"/>
                      <w:sz w:val="21"/>
                      <w:szCs w:val="21"/>
                    </w:rPr>
                    <w:t>有组织</w:t>
                  </w:r>
                </w:p>
              </w:tc>
              <w:tc>
                <w:tcPr>
                  <w:tcW w:w="1737" w:type="pct"/>
                  <w:vAlign w:val="center"/>
                </w:tcPr>
                <w:p w14:paraId="23C6CDDF">
                  <w:pPr>
                    <w:pStyle w:val="134"/>
                    <w:adjustRightInd w:val="0"/>
                    <w:snapToGrid w:val="0"/>
                    <w:spacing w:line="240" w:lineRule="auto"/>
                    <w:rPr>
                      <w:szCs w:val="21"/>
                    </w:rPr>
                  </w:pPr>
                  <w:r>
                    <w:rPr>
                      <w:rFonts w:hint="eastAsia"/>
                      <w:szCs w:val="21"/>
                    </w:rPr>
                    <w:t>15m高排气筒，0.33kg/h</w:t>
                  </w:r>
                </w:p>
              </w:tc>
            </w:tr>
            <w:tr w14:paraId="2B565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23" w:type="pct"/>
                  <w:vMerge w:val="continue"/>
                  <w:vAlign w:val="center"/>
                </w:tcPr>
                <w:p w14:paraId="6D185F03">
                  <w:pPr>
                    <w:pStyle w:val="73"/>
                    <w:spacing w:line="240" w:lineRule="auto"/>
                    <w:ind w:firstLine="0" w:firstLineChars="0"/>
                    <w:jc w:val="center"/>
                    <w:rPr>
                      <w:sz w:val="21"/>
                      <w:szCs w:val="21"/>
                    </w:rPr>
                  </w:pPr>
                </w:p>
              </w:tc>
              <w:tc>
                <w:tcPr>
                  <w:tcW w:w="2100" w:type="pct"/>
                  <w:vMerge w:val="continue"/>
                  <w:vAlign w:val="center"/>
                </w:tcPr>
                <w:p w14:paraId="198B6EE3">
                  <w:pPr>
                    <w:pStyle w:val="73"/>
                    <w:adjustRightInd w:val="0"/>
                    <w:snapToGrid w:val="0"/>
                    <w:spacing w:line="240" w:lineRule="auto"/>
                    <w:ind w:firstLine="0" w:firstLineChars="0"/>
                    <w:jc w:val="center"/>
                    <w:rPr>
                      <w:sz w:val="21"/>
                      <w:szCs w:val="21"/>
                      <w:highlight w:val="green"/>
                    </w:rPr>
                  </w:pPr>
                </w:p>
              </w:tc>
              <w:tc>
                <w:tcPr>
                  <w:tcW w:w="336" w:type="pct"/>
                  <w:vMerge w:val="continue"/>
                  <w:vAlign w:val="center"/>
                </w:tcPr>
                <w:p w14:paraId="605199B9">
                  <w:pPr>
                    <w:pStyle w:val="73"/>
                    <w:adjustRightInd w:val="0"/>
                    <w:snapToGrid w:val="0"/>
                    <w:spacing w:line="240" w:lineRule="auto"/>
                    <w:ind w:firstLine="0" w:firstLineChars="0"/>
                    <w:jc w:val="center"/>
                    <w:rPr>
                      <w:sz w:val="21"/>
                      <w:szCs w:val="21"/>
                    </w:rPr>
                  </w:pPr>
                </w:p>
              </w:tc>
              <w:tc>
                <w:tcPr>
                  <w:tcW w:w="504" w:type="pct"/>
                  <w:vAlign w:val="center"/>
                </w:tcPr>
                <w:p w14:paraId="7C193E12">
                  <w:pPr>
                    <w:pStyle w:val="73"/>
                    <w:adjustRightInd w:val="0"/>
                    <w:snapToGrid w:val="0"/>
                    <w:spacing w:line="240" w:lineRule="auto"/>
                    <w:ind w:firstLine="0" w:firstLineChars="0"/>
                    <w:jc w:val="center"/>
                    <w:rPr>
                      <w:sz w:val="21"/>
                      <w:szCs w:val="21"/>
                    </w:rPr>
                  </w:pPr>
                  <w:r>
                    <w:rPr>
                      <w:rFonts w:hint="eastAsia"/>
                      <w:sz w:val="21"/>
                      <w:szCs w:val="21"/>
                    </w:rPr>
                    <w:t>无组织</w:t>
                  </w:r>
                </w:p>
              </w:tc>
              <w:tc>
                <w:tcPr>
                  <w:tcW w:w="1737" w:type="pct"/>
                  <w:vAlign w:val="center"/>
                </w:tcPr>
                <w:p w14:paraId="595BB9A5">
                  <w:pPr>
                    <w:pStyle w:val="134"/>
                    <w:adjustRightInd w:val="0"/>
                    <w:snapToGrid w:val="0"/>
                    <w:spacing w:line="240" w:lineRule="auto"/>
                    <w:rPr>
                      <w:szCs w:val="21"/>
                    </w:rPr>
                  </w:pPr>
                  <w:r>
                    <w:rPr>
                      <w:rFonts w:hint="eastAsia"/>
                      <w:szCs w:val="21"/>
                    </w:rPr>
                    <w:t>二级新建0.06</w:t>
                  </w:r>
                  <w:r>
                    <w:rPr>
                      <w:szCs w:val="21"/>
                    </w:rPr>
                    <w:t>mg/m</w:t>
                  </w:r>
                  <w:r>
                    <w:rPr>
                      <w:szCs w:val="21"/>
                      <w:vertAlign w:val="superscript"/>
                    </w:rPr>
                    <w:t>3</w:t>
                  </w:r>
                </w:p>
              </w:tc>
            </w:tr>
            <w:tr w14:paraId="1EB19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23" w:type="pct"/>
                  <w:vMerge w:val="continue"/>
                  <w:vAlign w:val="center"/>
                </w:tcPr>
                <w:p w14:paraId="39B4545A">
                  <w:pPr>
                    <w:pStyle w:val="73"/>
                    <w:spacing w:line="240" w:lineRule="auto"/>
                    <w:ind w:firstLine="0" w:firstLineChars="0"/>
                    <w:jc w:val="center"/>
                    <w:rPr>
                      <w:sz w:val="21"/>
                      <w:szCs w:val="21"/>
                    </w:rPr>
                  </w:pPr>
                </w:p>
              </w:tc>
              <w:tc>
                <w:tcPr>
                  <w:tcW w:w="2100" w:type="pct"/>
                  <w:vMerge w:val="continue"/>
                  <w:vAlign w:val="center"/>
                </w:tcPr>
                <w:p w14:paraId="0E70D6E5">
                  <w:pPr>
                    <w:pStyle w:val="73"/>
                    <w:adjustRightInd w:val="0"/>
                    <w:snapToGrid w:val="0"/>
                    <w:spacing w:line="240" w:lineRule="auto"/>
                    <w:ind w:firstLine="0" w:firstLineChars="0"/>
                    <w:jc w:val="center"/>
                    <w:rPr>
                      <w:sz w:val="21"/>
                      <w:szCs w:val="21"/>
                      <w:highlight w:val="green"/>
                    </w:rPr>
                  </w:pPr>
                </w:p>
              </w:tc>
              <w:tc>
                <w:tcPr>
                  <w:tcW w:w="336" w:type="pct"/>
                  <w:vMerge w:val="restart"/>
                  <w:vAlign w:val="center"/>
                </w:tcPr>
                <w:p w14:paraId="076885D8">
                  <w:pPr>
                    <w:pStyle w:val="73"/>
                    <w:adjustRightInd w:val="0"/>
                    <w:snapToGrid w:val="0"/>
                    <w:spacing w:line="240" w:lineRule="auto"/>
                    <w:ind w:firstLine="0" w:firstLineChars="0"/>
                    <w:jc w:val="center"/>
                    <w:rPr>
                      <w:sz w:val="21"/>
                      <w:szCs w:val="21"/>
                    </w:rPr>
                  </w:pPr>
                  <w:r>
                    <w:rPr>
                      <w:rFonts w:hint="eastAsia"/>
                      <w:sz w:val="21"/>
                      <w:szCs w:val="21"/>
                    </w:rPr>
                    <w:t>臭气浓度</w:t>
                  </w:r>
                </w:p>
              </w:tc>
              <w:tc>
                <w:tcPr>
                  <w:tcW w:w="504" w:type="pct"/>
                  <w:vAlign w:val="center"/>
                </w:tcPr>
                <w:p w14:paraId="3081E4C8">
                  <w:pPr>
                    <w:pStyle w:val="73"/>
                    <w:adjustRightInd w:val="0"/>
                    <w:snapToGrid w:val="0"/>
                    <w:spacing w:line="240" w:lineRule="auto"/>
                    <w:ind w:firstLine="0" w:firstLineChars="0"/>
                    <w:jc w:val="center"/>
                    <w:rPr>
                      <w:sz w:val="21"/>
                      <w:szCs w:val="21"/>
                    </w:rPr>
                  </w:pPr>
                  <w:r>
                    <w:rPr>
                      <w:rFonts w:hint="eastAsia"/>
                      <w:sz w:val="21"/>
                      <w:szCs w:val="21"/>
                    </w:rPr>
                    <w:t>有组织</w:t>
                  </w:r>
                </w:p>
              </w:tc>
              <w:tc>
                <w:tcPr>
                  <w:tcW w:w="1737" w:type="pct"/>
                  <w:vAlign w:val="center"/>
                </w:tcPr>
                <w:p w14:paraId="273A768D">
                  <w:pPr>
                    <w:pStyle w:val="134"/>
                    <w:adjustRightInd w:val="0"/>
                    <w:snapToGrid w:val="0"/>
                    <w:spacing w:line="240" w:lineRule="auto"/>
                    <w:rPr>
                      <w:szCs w:val="21"/>
                    </w:rPr>
                  </w:pPr>
                  <w:r>
                    <w:rPr>
                      <w:rFonts w:hint="eastAsia"/>
                      <w:szCs w:val="21"/>
                    </w:rPr>
                    <w:t>15m高排气筒，2000（无量纲）</w:t>
                  </w:r>
                </w:p>
              </w:tc>
            </w:tr>
            <w:tr w14:paraId="02844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23" w:type="pct"/>
                  <w:vMerge w:val="continue"/>
                  <w:vAlign w:val="center"/>
                </w:tcPr>
                <w:p w14:paraId="261268E7">
                  <w:pPr>
                    <w:pStyle w:val="73"/>
                    <w:spacing w:line="240" w:lineRule="auto"/>
                    <w:ind w:firstLine="0" w:firstLineChars="0"/>
                    <w:jc w:val="center"/>
                    <w:rPr>
                      <w:sz w:val="21"/>
                      <w:szCs w:val="21"/>
                    </w:rPr>
                  </w:pPr>
                </w:p>
              </w:tc>
              <w:tc>
                <w:tcPr>
                  <w:tcW w:w="2100" w:type="pct"/>
                  <w:vMerge w:val="continue"/>
                  <w:vAlign w:val="center"/>
                </w:tcPr>
                <w:p w14:paraId="7A6B3F16">
                  <w:pPr>
                    <w:pStyle w:val="73"/>
                    <w:adjustRightInd w:val="0"/>
                    <w:snapToGrid w:val="0"/>
                    <w:spacing w:line="240" w:lineRule="auto"/>
                    <w:ind w:firstLine="0" w:firstLineChars="0"/>
                    <w:jc w:val="center"/>
                    <w:rPr>
                      <w:sz w:val="21"/>
                      <w:szCs w:val="21"/>
                      <w:highlight w:val="green"/>
                    </w:rPr>
                  </w:pPr>
                </w:p>
              </w:tc>
              <w:tc>
                <w:tcPr>
                  <w:tcW w:w="336" w:type="pct"/>
                  <w:vMerge w:val="continue"/>
                  <w:vAlign w:val="center"/>
                </w:tcPr>
                <w:p w14:paraId="2430F186">
                  <w:pPr>
                    <w:pStyle w:val="73"/>
                    <w:adjustRightInd w:val="0"/>
                    <w:snapToGrid w:val="0"/>
                    <w:spacing w:line="240" w:lineRule="auto"/>
                    <w:ind w:firstLine="0" w:firstLineChars="0"/>
                    <w:jc w:val="center"/>
                    <w:rPr>
                      <w:sz w:val="21"/>
                      <w:szCs w:val="21"/>
                    </w:rPr>
                  </w:pPr>
                </w:p>
              </w:tc>
              <w:tc>
                <w:tcPr>
                  <w:tcW w:w="504" w:type="pct"/>
                  <w:vAlign w:val="center"/>
                </w:tcPr>
                <w:p w14:paraId="25560ED0">
                  <w:pPr>
                    <w:pStyle w:val="73"/>
                    <w:adjustRightInd w:val="0"/>
                    <w:snapToGrid w:val="0"/>
                    <w:spacing w:line="240" w:lineRule="auto"/>
                    <w:ind w:firstLine="0" w:firstLineChars="0"/>
                    <w:jc w:val="center"/>
                    <w:rPr>
                      <w:sz w:val="21"/>
                      <w:szCs w:val="21"/>
                    </w:rPr>
                  </w:pPr>
                  <w:r>
                    <w:rPr>
                      <w:rFonts w:hint="eastAsia"/>
                      <w:sz w:val="21"/>
                      <w:szCs w:val="21"/>
                    </w:rPr>
                    <w:t>无组织</w:t>
                  </w:r>
                </w:p>
              </w:tc>
              <w:tc>
                <w:tcPr>
                  <w:tcW w:w="1737" w:type="pct"/>
                  <w:vAlign w:val="center"/>
                </w:tcPr>
                <w:p w14:paraId="108F6A35">
                  <w:pPr>
                    <w:pStyle w:val="134"/>
                    <w:adjustRightInd w:val="0"/>
                    <w:snapToGrid w:val="0"/>
                    <w:spacing w:line="240" w:lineRule="auto"/>
                    <w:rPr>
                      <w:szCs w:val="21"/>
                    </w:rPr>
                  </w:pPr>
                  <w:r>
                    <w:rPr>
                      <w:rFonts w:hint="eastAsia"/>
                      <w:szCs w:val="21"/>
                    </w:rPr>
                    <w:t>20（无量纲）</w:t>
                  </w:r>
                </w:p>
              </w:tc>
            </w:tr>
            <w:tr w14:paraId="3D555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23" w:type="pct"/>
                  <w:vMerge w:val="continue"/>
                  <w:vAlign w:val="center"/>
                </w:tcPr>
                <w:p w14:paraId="7848C197">
                  <w:pPr>
                    <w:pStyle w:val="73"/>
                    <w:spacing w:line="240" w:lineRule="auto"/>
                    <w:ind w:firstLine="0" w:firstLineChars="0"/>
                    <w:jc w:val="center"/>
                    <w:rPr>
                      <w:sz w:val="21"/>
                      <w:szCs w:val="21"/>
                    </w:rPr>
                  </w:pPr>
                </w:p>
              </w:tc>
              <w:tc>
                <w:tcPr>
                  <w:tcW w:w="2100" w:type="pct"/>
                  <w:vMerge w:val="restart"/>
                  <w:vAlign w:val="center"/>
                </w:tcPr>
                <w:p w14:paraId="3AEB8BDF">
                  <w:pPr>
                    <w:pStyle w:val="73"/>
                    <w:spacing w:line="240" w:lineRule="auto"/>
                    <w:ind w:firstLine="0" w:firstLineChars="0"/>
                    <w:jc w:val="center"/>
                    <w:rPr>
                      <w:sz w:val="21"/>
                      <w:szCs w:val="21"/>
                    </w:rPr>
                  </w:pPr>
                  <w:r>
                    <w:rPr>
                      <w:rFonts w:hint="eastAsia"/>
                      <w:sz w:val="21"/>
                      <w:szCs w:val="21"/>
                    </w:rPr>
                    <w:t>《锅炉大气污染物排放标准》（</w:t>
                  </w:r>
                  <w:r>
                    <w:rPr>
                      <w:sz w:val="21"/>
                      <w:szCs w:val="21"/>
                    </w:rPr>
                    <w:t>DB41/</w:t>
                  </w:r>
                  <w:r>
                    <w:rPr>
                      <w:rFonts w:hint="eastAsia"/>
                      <w:sz w:val="21"/>
                      <w:szCs w:val="21"/>
                    </w:rPr>
                    <w:t>2</w:t>
                  </w:r>
                  <w:r>
                    <w:rPr>
                      <w:sz w:val="21"/>
                      <w:szCs w:val="21"/>
                    </w:rPr>
                    <w:t>089</w:t>
                  </w:r>
                  <w:r>
                    <w:rPr>
                      <w:rFonts w:hint="eastAsia"/>
                      <w:sz w:val="21"/>
                      <w:szCs w:val="21"/>
                    </w:rPr>
                    <w:t>-</w:t>
                  </w:r>
                  <w:r>
                    <w:rPr>
                      <w:sz w:val="21"/>
                      <w:szCs w:val="21"/>
                    </w:rPr>
                    <w:t>2021</w:t>
                  </w:r>
                  <w:r>
                    <w:rPr>
                      <w:rFonts w:hint="eastAsia"/>
                      <w:sz w:val="21"/>
                      <w:szCs w:val="21"/>
                    </w:rPr>
                    <w:t>）</w:t>
                  </w:r>
                  <w:r>
                    <w:rPr>
                      <w:rFonts w:hint="eastAsia"/>
                      <w:sz w:val="21"/>
                      <w:szCs w:val="16"/>
                    </w:rPr>
                    <w:t>表1</w:t>
                  </w:r>
                  <w:r>
                    <w:rPr>
                      <w:rFonts w:hint="eastAsia"/>
                      <w:sz w:val="21"/>
                      <w:szCs w:val="21"/>
                    </w:rPr>
                    <w:t>新建燃气锅炉</w:t>
                  </w:r>
                </w:p>
              </w:tc>
              <w:tc>
                <w:tcPr>
                  <w:tcW w:w="840" w:type="pct"/>
                  <w:gridSpan w:val="2"/>
                  <w:vAlign w:val="center"/>
                </w:tcPr>
                <w:p w14:paraId="6E088797">
                  <w:pPr>
                    <w:pStyle w:val="73"/>
                    <w:snapToGrid w:val="0"/>
                    <w:spacing w:line="240" w:lineRule="auto"/>
                    <w:ind w:firstLine="0" w:firstLineChars="0"/>
                    <w:jc w:val="center"/>
                    <w:rPr>
                      <w:sz w:val="21"/>
                      <w:szCs w:val="21"/>
                    </w:rPr>
                  </w:pPr>
                  <w:r>
                    <w:rPr>
                      <w:rFonts w:hint="eastAsia"/>
                      <w:sz w:val="21"/>
                      <w:szCs w:val="21"/>
                    </w:rPr>
                    <w:t>颗粒物</w:t>
                  </w:r>
                </w:p>
              </w:tc>
              <w:tc>
                <w:tcPr>
                  <w:tcW w:w="1737" w:type="pct"/>
                  <w:vAlign w:val="center"/>
                </w:tcPr>
                <w:p w14:paraId="44FFC843">
                  <w:pPr>
                    <w:pStyle w:val="73"/>
                    <w:snapToGrid w:val="0"/>
                    <w:spacing w:line="240" w:lineRule="auto"/>
                    <w:ind w:firstLine="0" w:firstLineChars="0"/>
                    <w:jc w:val="center"/>
                    <w:rPr>
                      <w:sz w:val="21"/>
                      <w:szCs w:val="21"/>
                    </w:rPr>
                  </w:pPr>
                  <w:r>
                    <w:rPr>
                      <w:rFonts w:hint="eastAsia"/>
                      <w:sz w:val="21"/>
                      <w:szCs w:val="21"/>
                    </w:rPr>
                    <w:t>5mg/m</w:t>
                  </w:r>
                  <w:r>
                    <w:rPr>
                      <w:rFonts w:hint="eastAsia"/>
                      <w:sz w:val="21"/>
                      <w:szCs w:val="21"/>
                      <w:vertAlign w:val="superscript"/>
                    </w:rPr>
                    <w:t>3</w:t>
                  </w:r>
                </w:p>
              </w:tc>
            </w:tr>
            <w:tr w14:paraId="40CAF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23" w:type="pct"/>
                  <w:vMerge w:val="continue"/>
                  <w:vAlign w:val="center"/>
                </w:tcPr>
                <w:p w14:paraId="5157F6BA">
                  <w:pPr>
                    <w:pStyle w:val="73"/>
                    <w:spacing w:line="240" w:lineRule="auto"/>
                    <w:ind w:firstLine="0" w:firstLineChars="0"/>
                    <w:jc w:val="center"/>
                    <w:rPr>
                      <w:sz w:val="21"/>
                      <w:szCs w:val="21"/>
                    </w:rPr>
                  </w:pPr>
                </w:p>
              </w:tc>
              <w:tc>
                <w:tcPr>
                  <w:tcW w:w="2100" w:type="pct"/>
                  <w:vMerge w:val="continue"/>
                  <w:vAlign w:val="center"/>
                </w:tcPr>
                <w:p w14:paraId="10E92CA8">
                  <w:pPr>
                    <w:pStyle w:val="73"/>
                    <w:spacing w:line="240" w:lineRule="auto"/>
                    <w:ind w:firstLine="0" w:firstLineChars="0"/>
                    <w:jc w:val="center"/>
                    <w:rPr>
                      <w:sz w:val="21"/>
                      <w:szCs w:val="21"/>
                    </w:rPr>
                  </w:pPr>
                </w:p>
              </w:tc>
              <w:tc>
                <w:tcPr>
                  <w:tcW w:w="840" w:type="pct"/>
                  <w:gridSpan w:val="2"/>
                  <w:vAlign w:val="center"/>
                </w:tcPr>
                <w:p w14:paraId="0D86442E">
                  <w:pPr>
                    <w:pStyle w:val="73"/>
                    <w:snapToGrid w:val="0"/>
                    <w:spacing w:line="240" w:lineRule="auto"/>
                    <w:ind w:firstLine="0" w:firstLineChars="0"/>
                    <w:jc w:val="center"/>
                    <w:rPr>
                      <w:sz w:val="21"/>
                      <w:szCs w:val="21"/>
                    </w:rPr>
                  </w:pPr>
                  <w:r>
                    <w:rPr>
                      <w:rFonts w:hint="eastAsia"/>
                      <w:sz w:val="21"/>
                      <w:szCs w:val="21"/>
                    </w:rPr>
                    <w:t>二氧化硫</w:t>
                  </w:r>
                </w:p>
              </w:tc>
              <w:tc>
                <w:tcPr>
                  <w:tcW w:w="1737" w:type="pct"/>
                  <w:vAlign w:val="center"/>
                </w:tcPr>
                <w:p w14:paraId="31D085DF">
                  <w:pPr>
                    <w:pStyle w:val="73"/>
                    <w:snapToGrid w:val="0"/>
                    <w:spacing w:line="240" w:lineRule="auto"/>
                    <w:ind w:firstLine="0" w:firstLineChars="0"/>
                    <w:jc w:val="center"/>
                    <w:rPr>
                      <w:sz w:val="21"/>
                      <w:szCs w:val="21"/>
                    </w:rPr>
                  </w:pPr>
                  <w:r>
                    <w:rPr>
                      <w:rFonts w:hint="eastAsia"/>
                      <w:sz w:val="21"/>
                      <w:szCs w:val="21"/>
                    </w:rPr>
                    <w:t>10mg/m</w:t>
                  </w:r>
                  <w:r>
                    <w:rPr>
                      <w:rFonts w:hint="eastAsia"/>
                      <w:sz w:val="21"/>
                      <w:szCs w:val="21"/>
                      <w:vertAlign w:val="superscript"/>
                    </w:rPr>
                    <w:t>3</w:t>
                  </w:r>
                </w:p>
              </w:tc>
            </w:tr>
            <w:tr w14:paraId="6DD00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23" w:type="pct"/>
                  <w:vMerge w:val="continue"/>
                  <w:vAlign w:val="center"/>
                </w:tcPr>
                <w:p w14:paraId="12446005">
                  <w:pPr>
                    <w:pStyle w:val="73"/>
                    <w:spacing w:line="240" w:lineRule="auto"/>
                    <w:ind w:firstLine="0" w:firstLineChars="0"/>
                    <w:jc w:val="center"/>
                    <w:rPr>
                      <w:sz w:val="21"/>
                      <w:szCs w:val="21"/>
                    </w:rPr>
                  </w:pPr>
                </w:p>
              </w:tc>
              <w:tc>
                <w:tcPr>
                  <w:tcW w:w="2100" w:type="pct"/>
                  <w:vMerge w:val="continue"/>
                  <w:vAlign w:val="center"/>
                </w:tcPr>
                <w:p w14:paraId="09EE3B6A">
                  <w:pPr>
                    <w:pStyle w:val="73"/>
                    <w:spacing w:line="240" w:lineRule="auto"/>
                    <w:ind w:firstLine="0" w:firstLineChars="0"/>
                    <w:jc w:val="center"/>
                    <w:rPr>
                      <w:sz w:val="21"/>
                      <w:szCs w:val="21"/>
                    </w:rPr>
                  </w:pPr>
                </w:p>
              </w:tc>
              <w:tc>
                <w:tcPr>
                  <w:tcW w:w="840" w:type="pct"/>
                  <w:gridSpan w:val="2"/>
                  <w:vAlign w:val="center"/>
                </w:tcPr>
                <w:p w14:paraId="38D54353">
                  <w:pPr>
                    <w:pStyle w:val="73"/>
                    <w:snapToGrid w:val="0"/>
                    <w:spacing w:line="240" w:lineRule="auto"/>
                    <w:ind w:firstLine="0" w:firstLineChars="0"/>
                    <w:jc w:val="center"/>
                    <w:rPr>
                      <w:sz w:val="21"/>
                      <w:szCs w:val="21"/>
                    </w:rPr>
                  </w:pPr>
                  <w:r>
                    <w:rPr>
                      <w:rFonts w:hint="eastAsia"/>
                      <w:sz w:val="21"/>
                      <w:szCs w:val="21"/>
                    </w:rPr>
                    <w:t>氮氧化物</w:t>
                  </w:r>
                </w:p>
              </w:tc>
              <w:tc>
                <w:tcPr>
                  <w:tcW w:w="1737" w:type="pct"/>
                  <w:vAlign w:val="center"/>
                </w:tcPr>
                <w:p w14:paraId="48C105FD">
                  <w:pPr>
                    <w:pStyle w:val="73"/>
                    <w:snapToGrid w:val="0"/>
                    <w:spacing w:line="240" w:lineRule="auto"/>
                    <w:ind w:firstLine="0" w:firstLineChars="0"/>
                    <w:jc w:val="center"/>
                    <w:rPr>
                      <w:sz w:val="21"/>
                      <w:szCs w:val="21"/>
                    </w:rPr>
                  </w:pPr>
                  <w:r>
                    <w:rPr>
                      <w:rFonts w:hint="eastAsia"/>
                      <w:sz w:val="21"/>
                      <w:szCs w:val="21"/>
                    </w:rPr>
                    <w:t>30mg/m</w:t>
                  </w:r>
                  <w:r>
                    <w:rPr>
                      <w:rFonts w:hint="eastAsia"/>
                      <w:sz w:val="21"/>
                      <w:szCs w:val="21"/>
                      <w:vertAlign w:val="superscript"/>
                    </w:rPr>
                    <w:t>3</w:t>
                  </w:r>
                </w:p>
              </w:tc>
            </w:tr>
            <w:tr w14:paraId="744DB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23" w:type="pct"/>
                  <w:vMerge w:val="continue"/>
                  <w:vAlign w:val="center"/>
                </w:tcPr>
                <w:p w14:paraId="67BE934F">
                  <w:pPr>
                    <w:pStyle w:val="73"/>
                    <w:spacing w:line="240" w:lineRule="auto"/>
                    <w:ind w:firstLine="0" w:firstLineChars="0"/>
                    <w:jc w:val="center"/>
                    <w:rPr>
                      <w:sz w:val="21"/>
                      <w:szCs w:val="21"/>
                    </w:rPr>
                  </w:pPr>
                </w:p>
              </w:tc>
              <w:tc>
                <w:tcPr>
                  <w:tcW w:w="2100" w:type="pct"/>
                  <w:vMerge w:val="continue"/>
                  <w:vAlign w:val="center"/>
                </w:tcPr>
                <w:p w14:paraId="04DFB5F6">
                  <w:pPr>
                    <w:pStyle w:val="73"/>
                    <w:spacing w:line="240" w:lineRule="auto"/>
                    <w:ind w:firstLine="0" w:firstLineChars="0"/>
                    <w:jc w:val="center"/>
                    <w:rPr>
                      <w:sz w:val="21"/>
                      <w:szCs w:val="21"/>
                    </w:rPr>
                  </w:pPr>
                </w:p>
              </w:tc>
              <w:tc>
                <w:tcPr>
                  <w:tcW w:w="840" w:type="pct"/>
                  <w:gridSpan w:val="2"/>
                  <w:vAlign w:val="center"/>
                </w:tcPr>
                <w:p w14:paraId="57F30BE3">
                  <w:pPr>
                    <w:pStyle w:val="73"/>
                    <w:snapToGrid w:val="0"/>
                    <w:spacing w:line="240" w:lineRule="auto"/>
                    <w:ind w:firstLine="0" w:firstLineChars="0"/>
                    <w:jc w:val="center"/>
                    <w:rPr>
                      <w:sz w:val="21"/>
                      <w:szCs w:val="21"/>
                    </w:rPr>
                  </w:pPr>
                  <w:r>
                    <w:rPr>
                      <w:rFonts w:hint="eastAsia"/>
                      <w:sz w:val="21"/>
                      <w:szCs w:val="21"/>
                    </w:rPr>
                    <w:t>烟气黑度</w:t>
                  </w:r>
                </w:p>
              </w:tc>
              <w:tc>
                <w:tcPr>
                  <w:tcW w:w="1737" w:type="pct"/>
                  <w:vAlign w:val="center"/>
                </w:tcPr>
                <w:p w14:paraId="4BED36CC">
                  <w:pPr>
                    <w:pStyle w:val="73"/>
                    <w:snapToGrid w:val="0"/>
                    <w:spacing w:line="240" w:lineRule="auto"/>
                    <w:ind w:firstLine="0" w:firstLineChars="0"/>
                    <w:jc w:val="center"/>
                    <w:rPr>
                      <w:sz w:val="21"/>
                      <w:szCs w:val="21"/>
                    </w:rPr>
                  </w:pPr>
                  <w:r>
                    <w:rPr>
                      <w:rFonts w:hint="eastAsia"/>
                      <w:sz w:val="21"/>
                      <w:szCs w:val="21"/>
                    </w:rPr>
                    <w:t>≤1</w:t>
                  </w:r>
                </w:p>
              </w:tc>
            </w:tr>
            <w:tr w14:paraId="5CC38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23" w:type="pct"/>
                  <w:vMerge w:val="restart"/>
                  <w:vAlign w:val="center"/>
                </w:tcPr>
                <w:p w14:paraId="1355EC9E">
                  <w:pPr>
                    <w:pStyle w:val="73"/>
                    <w:spacing w:line="240" w:lineRule="auto"/>
                    <w:ind w:firstLine="0" w:firstLineChars="0"/>
                    <w:jc w:val="center"/>
                    <w:rPr>
                      <w:sz w:val="21"/>
                      <w:szCs w:val="21"/>
                    </w:rPr>
                  </w:pPr>
                  <w:r>
                    <w:rPr>
                      <w:rFonts w:hint="eastAsia"/>
                      <w:sz w:val="21"/>
                      <w:szCs w:val="21"/>
                    </w:rPr>
                    <w:t>噪声</w:t>
                  </w:r>
                </w:p>
              </w:tc>
              <w:tc>
                <w:tcPr>
                  <w:tcW w:w="2100" w:type="pct"/>
                  <w:vMerge w:val="restart"/>
                  <w:vAlign w:val="center"/>
                </w:tcPr>
                <w:p w14:paraId="2B4EA5C4">
                  <w:pPr>
                    <w:pStyle w:val="73"/>
                    <w:spacing w:line="240" w:lineRule="auto"/>
                    <w:ind w:firstLine="0" w:firstLineChars="0"/>
                    <w:jc w:val="center"/>
                    <w:rPr>
                      <w:sz w:val="21"/>
                      <w:szCs w:val="21"/>
                    </w:rPr>
                  </w:pPr>
                  <w:r>
                    <w:rPr>
                      <w:rFonts w:hint="eastAsia"/>
                      <w:sz w:val="21"/>
                      <w:szCs w:val="21"/>
                    </w:rPr>
                    <w:t>《工业企业厂界环境噪声排放标准》（GB12348-2008）2类</w:t>
                  </w:r>
                </w:p>
              </w:tc>
              <w:tc>
                <w:tcPr>
                  <w:tcW w:w="840" w:type="pct"/>
                  <w:gridSpan w:val="2"/>
                  <w:vAlign w:val="center"/>
                </w:tcPr>
                <w:p w14:paraId="0004B2B7">
                  <w:pPr>
                    <w:pStyle w:val="73"/>
                    <w:adjustRightInd w:val="0"/>
                    <w:snapToGrid w:val="0"/>
                    <w:spacing w:line="240" w:lineRule="auto"/>
                    <w:ind w:firstLine="0" w:firstLineChars="0"/>
                    <w:jc w:val="center"/>
                    <w:rPr>
                      <w:sz w:val="21"/>
                      <w:szCs w:val="21"/>
                    </w:rPr>
                  </w:pPr>
                  <w:r>
                    <w:rPr>
                      <w:rFonts w:hint="eastAsia"/>
                      <w:sz w:val="21"/>
                      <w:szCs w:val="21"/>
                    </w:rPr>
                    <w:t>昼间</w:t>
                  </w:r>
                </w:p>
              </w:tc>
              <w:tc>
                <w:tcPr>
                  <w:tcW w:w="1737" w:type="pct"/>
                  <w:vAlign w:val="center"/>
                </w:tcPr>
                <w:p w14:paraId="02E98285">
                  <w:pPr>
                    <w:pStyle w:val="73"/>
                    <w:spacing w:line="240" w:lineRule="auto"/>
                    <w:ind w:firstLine="0" w:firstLineChars="0"/>
                    <w:jc w:val="center"/>
                    <w:rPr>
                      <w:sz w:val="21"/>
                      <w:szCs w:val="21"/>
                    </w:rPr>
                  </w:pPr>
                  <w:r>
                    <w:rPr>
                      <w:rFonts w:hint="eastAsia"/>
                      <w:sz w:val="21"/>
                      <w:szCs w:val="21"/>
                    </w:rPr>
                    <w:t>60dB（A）</w:t>
                  </w:r>
                </w:p>
              </w:tc>
            </w:tr>
            <w:tr w14:paraId="40244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23" w:type="pct"/>
                  <w:vMerge w:val="continue"/>
                  <w:vAlign w:val="center"/>
                </w:tcPr>
                <w:p w14:paraId="7F2B2561">
                  <w:pPr>
                    <w:pStyle w:val="73"/>
                    <w:spacing w:line="240" w:lineRule="auto"/>
                    <w:ind w:firstLine="0" w:firstLineChars="0"/>
                    <w:jc w:val="center"/>
                    <w:rPr>
                      <w:sz w:val="21"/>
                      <w:szCs w:val="21"/>
                    </w:rPr>
                  </w:pPr>
                </w:p>
              </w:tc>
              <w:tc>
                <w:tcPr>
                  <w:tcW w:w="2100" w:type="pct"/>
                  <w:vMerge w:val="continue"/>
                  <w:vAlign w:val="center"/>
                </w:tcPr>
                <w:p w14:paraId="53AEFC61">
                  <w:pPr>
                    <w:pStyle w:val="73"/>
                    <w:spacing w:line="240" w:lineRule="auto"/>
                    <w:ind w:firstLine="0" w:firstLineChars="0"/>
                    <w:jc w:val="center"/>
                    <w:rPr>
                      <w:sz w:val="21"/>
                      <w:szCs w:val="21"/>
                    </w:rPr>
                  </w:pPr>
                </w:p>
              </w:tc>
              <w:tc>
                <w:tcPr>
                  <w:tcW w:w="840" w:type="pct"/>
                  <w:gridSpan w:val="2"/>
                  <w:vAlign w:val="center"/>
                </w:tcPr>
                <w:p w14:paraId="6A3CEA98">
                  <w:pPr>
                    <w:pStyle w:val="73"/>
                    <w:adjustRightInd w:val="0"/>
                    <w:snapToGrid w:val="0"/>
                    <w:spacing w:line="240" w:lineRule="auto"/>
                    <w:ind w:firstLine="0" w:firstLineChars="0"/>
                    <w:jc w:val="center"/>
                    <w:rPr>
                      <w:sz w:val="21"/>
                      <w:szCs w:val="21"/>
                    </w:rPr>
                  </w:pPr>
                  <w:r>
                    <w:rPr>
                      <w:rFonts w:hint="eastAsia"/>
                      <w:sz w:val="21"/>
                      <w:szCs w:val="21"/>
                    </w:rPr>
                    <w:t>夜间</w:t>
                  </w:r>
                </w:p>
              </w:tc>
              <w:tc>
                <w:tcPr>
                  <w:tcW w:w="1737" w:type="pct"/>
                  <w:vAlign w:val="center"/>
                </w:tcPr>
                <w:p w14:paraId="7C690E11">
                  <w:pPr>
                    <w:pStyle w:val="73"/>
                    <w:spacing w:line="240" w:lineRule="auto"/>
                    <w:ind w:firstLine="0" w:firstLineChars="0"/>
                    <w:jc w:val="center"/>
                    <w:rPr>
                      <w:sz w:val="21"/>
                      <w:szCs w:val="21"/>
                    </w:rPr>
                  </w:pPr>
                  <w:r>
                    <w:rPr>
                      <w:rFonts w:hint="eastAsia"/>
                      <w:sz w:val="21"/>
                      <w:szCs w:val="21"/>
                    </w:rPr>
                    <w:t>50dB（A）</w:t>
                  </w:r>
                </w:p>
              </w:tc>
            </w:tr>
            <w:tr w14:paraId="65BE0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23" w:type="pct"/>
                  <w:vMerge w:val="restart"/>
                  <w:vAlign w:val="center"/>
                </w:tcPr>
                <w:p w14:paraId="57D6E5CA">
                  <w:pPr>
                    <w:pStyle w:val="73"/>
                    <w:spacing w:line="240" w:lineRule="auto"/>
                    <w:ind w:firstLine="0" w:firstLineChars="0"/>
                    <w:rPr>
                      <w:sz w:val="21"/>
                      <w:szCs w:val="21"/>
                    </w:rPr>
                  </w:pPr>
                  <w:r>
                    <w:rPr>
                      <w:sz w:val="21"/>
                      <w:szCs w:val="21"/>
                    </w:rPr>
                    <w:t>废水</w:t>
                  </w:r>
                </w:p>
              </w:tc>
              <w:tc>
                <w:tcPr>
                  <w:tcW w:w="2100" w:type="pct"/>
                  <w:vMerge w:val="restart"/>
                  <w:vAlign w:val="center"/>
                </w:tcPr>
                <w:p w14:paraId="5A8ACB43">
                  <w:pPr>
                    <w:pStyle w:val="73"/>
                    <w:adjustRightInd w:val="0"/>
                    <w:snapToGrid w:val="0"/>
                    <w:spacing w:line="240" w:lineRule="auto"/>
                    <w:ind w:firstLine="0" w:firstLineChars="0"/>
                    <w:jc w:val="center"/>
                    <w:rPr>
                      <w:sz w:val="21"/>
                      <w:szCs w:val="21"/>
                    </w:rPr>
                  </w:pPr>
                  <w:r>
                    <w:rPr>
                      <w:sz w:val="21"/>
                      <w:szCs w:val="21"/>
                    </w:rPr>
                    <w:t>《污水综合排放标准》（GB8978-1996）</w:t>
                  </w:r>
                </w:p>
                <w:p w14:paraId="2856E693">
                  <w:pPr>
                    <w:pStyle w:val="73"/>
                    <w:adjustRightInd w:val="0"/>
                    <w:snapToGrid w:val="0"/>
                    <w:spacing w:line="240" w:lineRule="auto"/>
                    <w:ind w:firstLine="420"/>
                    <w:jc w:val="center"/>
                    <w:rPr>
                      <w:sz w:val="21"/>
                      <w:szCs w:val="21"/>
                    </w:rPr>
                  </w:pPr>
                  <w:r>
                    <w:rPr>
                      <w:sz w:val="21"/>
                      <w:szCs w:val="21"/>
                    </w:rPr>
                    <w:t>表4三级排放标准</w:t>
                  </w:r>
                </w:p>
              </w:tc>
              <w:tc>
                <w:tcPr>
                  <w:tcW w:w="840" w:type="pct"/>
                  <w:gridSpan w:val="2"/>
                  <w:vAlign w:val="center"/>
                </w:tcPr>
                <w:p w14:paraId="1129DD2F">
                  <w:pPr>
                    <w:pStyle w:val="73"/>
                    <w:adjustRightInd w:val="0"/>
                    <w:snapToGrid w:val="0"/>
                    <w:spacing w:line="240" w:lineRule="auto"/>
                    <w:ind w:firstLine="0" w:firstLineChars="0"/>
                    <w:jc w:val="center"/>
                    <w:rPr>
                      <w:sz w:val="21"/>
                      <w:szCs w:val="21"/>
                    </w:rPr>
                  </w:pPr>
                  <w:r>
                    <w:rPr>
                      <w:sz w:val="21"/>
                      <w:szCs w:val="21"/>
                    </w:rPr>
                    <w:t>COD</w:t>
                  </w:r>
                </w:p>
              </w:tc>
              <w:tc>
                <w:tcPr>
                  <w:tcW w:w="1737" w:type="pct"/>
                  <w:vAlign w:val="center"/>
                </w:tcPr>
                <w:p w14:paraId="43533F54">
                  <w:pPr>
                    <w:pStyle w:val="73"/>
                    <w:spacing w:line="240" w:lineRule="auto"/>
                    <w:ind w:firstLine="0" w:firstLineChars="0"/>
                    <w:jc w:val="center"/>
                    <w:rPr>
                      <w:sz w:val="21"/>
                      <w:szCs w:val="21"/>
                    </w:rPr>
                  </w:pPr>
                  <w:r>
                    <w:rPr>
                      <w:rFonts w:hint="eastAsia"/>
                      <w:sz w:val="21"/>
                      <w:szCs w:val="21"/>
                    </w:rPr>
                    <w:t>500</w:t>
                  </w:r>
                  <w:r>
                    <w:rPr>
                      <w:sz w:val="21"/>
                      <w:szCs w:val="21"/>
                    </w:rPr>
                    <w:t>mg/L</w:t>
                  </w:r>
                </w:p>
              </w:tc>
            </w:tr>
            <w:tr w14:paraId="51957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23" w:type="pct"/>
                  <w:vMerge w:val="continue"/>
                  <w:vAlign w:val="center"/>
                </w:tcPr>
                <w:p w14:paraId="5A8B1A97">
                  <w:pPr>
                    <w:pStyle w:val="73"/>
                    <w:ind w:firstLine="420"/>
                    <w:jc w:val="center"/>
                    <w:rPr>
                      <w:sz w:val="21"/>
                      <w:szCs w:val="21"/>
                    </w:rPr>
                  </w:pPr>
                </w:p>
              </w:tc>
              <w:tc>
                <w:tcPr>
                  <w:tcW w:w="2100" w:type="pct"/>
                  <w:vMerge w:val="continue"/>
                  <w:vAlign w:val="center"/>
                </w:tcPr>
                <w:p w14:paraId="0CFA6FD7">
                  <w:pPr>
                    <w:pStyle w:val="73"/>
                    <w:ind w:firstLine="420"/>
                    <w:jc w:val="center"/>
                    <w:rPr>
                      <w:sz w:val="21"/>
                      <w:szCs w:val="21"/>
                    </w:rPr>
                  </w:pPr>
                </w:p>
              </w:tc>
              <w:tc>
                <w:tcPr>
                  <w:tcW w:w="840" w:type="pct"/>
                  <w:gridSpan w:val="2"/>
                  <w:vAlign w:val="center"/>
                </w:tcPr>
                <w:p w14:paraId="38FE8A2A">
                  <w:pPr>
                    <w:pStyle w:val="73"/>
                    <w:adjustRightInd w:val="0"/>
                    <w:snapToGrid w:val="0"/>
                    <w:spacing w:line="240" w:lineRule="auto"/>
                    <w:ind w:firstLine="0" w:firstLineChars="0"/>
                    <w:jc w:val="center"/>
                    <w:rPr>
                      <w:sz w:val="21"/>
                      <w:szCs w:val="21"/>
                    </w:rPr>
                  </w:pPr>
                  <w:r>
                    <w:rPr>
                      <w:sz w:val="21"/>
                      <w:szCs w:val="21"/>
                    </w:rPr>
                    <w:t>BOD</w:t>
                  </w:r>
                  <w:r>
                    <w:rPr>
                      <w:sz w:val="21"/>
                      <w:szCs w:val="21"/>
                      <w:vertAlign w:val="subscript"/>
                    </w:rPr>
                    <w:t>5</w:t>
                  </w:r>
                </w:p>
              </w:tc>
              <w:tc>
                <w:tcPr>
                  <w:tcW w:w="1737" w:type="pct"/>
                  <w:vAlign w:val="center"/>
                </w:tcPr>
                <w:p w14:paraId="5B4CA07F">
                  <w:pPr>
                    <w:pStyle w:val="73"/>
                    <w:spacing w:line="240" w:lineRule="auto"/>
                    <w:ind w:firstLine="0" w:firstLineChars="0"/>
                    <w:jc w:val="center"/>
                    <w:rPr>
                      <w:sz w:val="21"/>
                      <w:szCs w:val="21"/>
                    </w:rPr>
                  </w:pPr>
                  <w:r>
                    <w:rPr>
                      <w:sz w:val="21"/>
                      <w:szCs w:val="21"/>
                    </w:rPr>
                    <w:t>300mg/L</w:t>
                  </w:r>
                </w:p>
              </w:tc>
            </w:tr>
            <w:tr w14:paraId="6DE25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23" w:type="pct"/>
                  <w:vMerge w:val="continue"/>
                  <w:vAlign w:val="center"/>
                </w:tcPr>
                <w:p w14:paraId="405DBBCF">
                  <w:pPr>
                    <w:pStyle w:val="73"/>
                    <w:spacing w:line="240" w:lineRule="auto"/>
                    <w:ind w:firstLine="0" w:firstLineChars="0"/>
                    <w:jc w:val="center"/>
                    <w:rPr>
                      <w:sz w:val="21"/>
                      <w:szCs w:val="21"/>
                    </w:rPr>
                  </w:pPr>
                </w:p>
              </w:tc>
              <w:tc>
                <w:tcPr>
                  <w:tcW w:w="2100" w:type="pct"/>
                  <w:vMerge w:val="continue"/>
                  <w:vAlign w:val="center"/>
                </w:tcPr>
                <w:p w14:paraId="5FCE17CF">
                  <w:pPr>
                    <w:pStyle w:val="73"/>
                    <w:spacing w:line="240" w:lineRule="auto"/>
                    <w:ind w:firstLine="0" w:firstLineChars="0"/>
                    <w:jc w:val="center"/>
                    <w:rPr>
                      <w:sz w:val="21"/>
                      <w:szCs w:val="21"/>
                    </w:rPr>
                  </w:pPr>
                </w:p>
              </w:tc>
              <w:tc>
                <w:tcPr>
                  <w:tcW w:w="840" w:type="pct"/>
                  <w:gridSpan w:val="2"/>
                  <w:vAlign w:val="center"/>
                </w:tcPr>
                <w:p w14:paraId="4F45628F">
                  <w:pPr>
                    <w:pStyle w:val="73"/>
                    <w:adjustRightInd w:val="0"/>
                    <w:snapToGrid w:val="0"/>
                    <w:spacing w:line="240" w:lineRule="auto"/>
                    <w:ind w:firstLine="0" w:firstLineChars="0"/>
                    <w:jc w:val="center"/>
                    <w:rPr>
                      <w:sz w:val="21"/>
                      <w:szCs w:val="21"/>
                    </w:rPr>
                  </w:pPr>
                  <w:r>
                    <w:rPr>
                      <w:sz w:val="21"/>
                      <w:szCs w:val="21"/>
                    </w:rPr>
                    <w:t>SS</w:t>
                  </w:r>
                </w:p>
              </w:tc>
              <w:tc>
                <w:tcPr>
                  <w:tcW w:w="1737" w:type="pct"/>
                  <w:vAlign w:val="center"/>
                </w:tcPr>
                <w:p w14:paraId="2C23525F">
                  <w:pPr>
                    <w:pStyle w:val="73"/>
                    <w:spacing w:line="240" w:lineRule="auto"/>
                    <w:ind w:firstLine="0" w:firstLineChars="0"/>
                    <w:jc w:val="center"/>
                    <w:rPr>
                      <w:sz w:val="21"/>
                      <w:szCs w:val="21"/>
                    </w:rPr>
                  </w:pPr>
                  <w:r>
                    <w:rPr>
                      <w:sz w:val="21"/>
                      <w:szCs w:val="21"/>
                    </w:rPr>
                    <w:t>400mg/L</w:t>
                  </w:r>
                </w:p>
              </w:tc>
            </w:tr>
            <w:tr w14:paraId="651DC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23" w:type="pct"/>
                  <w:vMerge w:val="continue"/>
                  <w:vAlign w:val="center"/>
                </w:tcPr>
                <w:p w14:paraId="28359534">
                  <w:pPr>
                    <w:pStyle w:val="73"/>
                    <w:spacing w:line="240" w:lineRule="auto"/>
                    <w:ind w:firstLine="0" w:firstLineChars="0"/>
                    <w:jc w:val="center"/>
                    <w:rPr>
                      <w:sz w:val="21"/>
                      <w:szCs w:val="21"/>
                    </w:rPr>
                  </w:pPr>
                </w:p>
              </w:tc>
              <w:tc>
                <w:tcPr>
                  <w:tcW w:w="2100" w:type="pct"/>
                  <w:vMerge w:val="continue"/>
                  <w:vAlign w:val="center"/>
                </w:tcPr>
                <w:p w14:paraId="6E5205AF">
                  <w:pPr>
                    <w:pStyle w:val="73"/>
                    <w:spacing w:line="240" w:lineRule="auto"/>
                    <w:ind w:firstLine="0" w:firstLineChars="0"/>
                    <w:jc w:val="center"/>
                    <w:rPr>
                      <w:sz w:val="21"/>
                      <w:szCs w:val="21"/>
                    </w:rPr>
                  </w:pPr>
                </w:p>
              </w:tc>
              <w:tc>
                <w:tcPr>
                  <w:tcW w:w="840" w:type="pct"/>
                  <w:gridSpan w:val="2"/>
                  <w:vAlign w:val="center"/>
                </w:tcPr>
                <w:p w14:paraId="6FD20E61">
                  <w:pPr>
                    <w:pStyle w:val="73"/>
                    <w:adjustRightInd w:val="0"/>
                    <w:snapToGrid w:val="0"/>
                    <w:spacing w:line="240" w:lineRule="auto"/>
                    <w:ind w:firstLine="0" w:firstLineChars="0"/>
                    <w:jc w:val="center"/>
                    <w:rPr>
                      <w:sz w:val="21"/>
                      <w:szCs w:val="21"/>
                    </w:rPr>
                  </w:pPr>
                  <w:r>
                    <w:rPr>
                      <w:sz w:val="21"/>
                      <w:szCs w:val="21"/>
                    </w:rPr>
                    <w:t>氨氮</w:t>
                  </w:r>
                </w:p>
              </w:tc>
              <w:tc>
                <w:tcPr>
                  <w:tcW w:w="1737" w:type="pct"/>
                  <w:vAlign w:val="center"/>
                </w:tcPr>
                <w:p w14:paraId="1E33639C">
                  <w:pPr>
                    <w:pStyle w:val="73"/>
                    <w:spacing w:line="240" w:lineRule="auto"/>
                    <w:ind w:firstLine="0" w:firstLineChars="0"/>
                    <w:jc w:val="center"/>
                    <w:rPr>
                      <w:sz w:val="21"/>
                      <w:szCs w:val="21"/>
                    </w:rPr>
                  </w:pPr>
                  <w:r>
                    <w:rPr>
                      <w:sz w:val="21"/>
                      <w:szCs w:val="21"/>
                    </w:rPr>
                    <w:t>/</w:t>
                  </w:r>
                </w:p>
              </w:tc>
            </w:tr>
            <w:tr w14:paraId="251C2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23" w:type="pct"/>
                  <w:vMerge w:val="continue"/>
                  <w:vAlign w:val="center"/>
                </w:tcPr>
                <w:p w14:paraId="5275E4B9">
                  <w:pPr>
                    <w:pStyle w:val="73"/>
                    <w:spacing w:line="240" w:lineRule="auto"/>
                    <w:ind w:firstLine="0" w:firstLineChars="0"/>
                    <w:jc w:val="center"/>
                    <w:rPr>
                      <w:sz w:val="21"/>
                      <w:szCs w:val="21"/>
                    </w:rPr>
                  </w:pPr>
                </w:p>
              </w:tc>
              <w:tc>
                <w:tcPr>
                  <w:tcW w:w="2100" w:type="pct"/>
                  <w:vMerge w:val="continue"/>
                  <w:vAlign w:val="center"/>
                </w:tcPr>
                <w:p w14:paraId="13178114">
                  <w:pPr>
                    <w:pStyle w:val="73"/>
                    <w:spacing w:line="240" w:lineRule="auto"/>
                    <w:ind w:firstLine="0" w:firstLineChars="0"/>
                    <w:jc w:val="center"/>
                    <w:rPr>
                      <w:sz w:val="21"/>
                      <w:szCs w:val="21"/>
                    </w:rPr>
                  </w:pPr>
                </w:p>
              </w:tc>
              <w:tc>
                <w:tcPr>
                  <w:tcW w:w="840" w:type="pct"/>
                  <w:gridSpan w:val="2"/>
                  <w:vAlign w:val="center"/>
                </w:tcPr>
                <w:p w14:paraId="785551A3">
                  <w:pPr>
                    <w:pStyle w:val="73"/>
                    <w:adjustRightInd w:val="0"/>
                    <w:snapToGrid w:val="0"/>
                    <w:spacing w:line="240" w:lineRule="auto"/>
                    <w:ind w:firstLine="0" w:firstLineChars="0"/>
                    <w:jc w:val="center"/>
                    <w:rPr>
                      <w:sz w:val="21"/>
                      <w:szCs w:val="21"/>
                    </w:rPr>
                  </w:pPr>
                  <w:r>
                    <w:rPr>
                      <w:rFonts w:hint="eastAsia"/>
                      <w:sz w:val="21"/>
                      <w:szCs w:val="21"/>
                    </w:rPr>
                    <w:t>动植物油</w:t>
                  </w:r>
                </w:p>
              </w:tc>
              <w:tc>
                <w:tcPr>
                  <w:tcW w:w="1737" w:type="pct"/>
                  <w:vAlign w:val="center"/>
                </w:tcPr>
                <w:p w14:paraId="6D6529B0">
                  <w:pPr>
                    <w:pStyle w:val="73"/>
                    <w:spacing w:line="240" w:lineRule="auto"/>
                    <w:ind w:firstLine="0" w:firstLineChars="0"/>
                    <w:jc w:val="center"/>
                    <w:rPr>
                      <w:sz w:val="21"/>
                      <w:szCs w:val="21"/>
                    </w:rPr>
                  </w:pPr>
                  <w:r>
                    <w:rPr>
                      <w:rFonts w:hint="eastAsia"/>
                      <w:sz w:val="21"/>
                      <w:szCs w:val="21"/>
                    </w:rPr>
                    <w:t>1</w:t>
                  </w:r>
                  <w:r>
                    <w:rPr>
                      <w:sz w:val="21"/>
                      <w:szCs w:val="21"/>
                    </w:rPr>
                    <w:t>00mg/L</w:t>
                  </w:r>
                </w:p>
              </w:tc>
            </w:tr>
            <w:tr w14:paraId="73E38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23" w:type="pct"/>
                  <w:vMerge w:val="continue"/>
                  <w:vAlign w:val="center"/>
                </w:tcPr>
                <w:p w14:paraId="5546E481">
                  <w:pPr>
                    <w:pStyle w:val="73"/>
                    <w:spacing w:line="240" w:lineRule="auto"/>
                    <w:ind w:firstLine="0" w:firstLineChars="0"/>
                    <w:jc w:val="center"/>
                    <w:rPr>
                      <w:sz w:val="21"/>
                      <w:szCs w:val="21"/>
                    </w:rPr>
                  </w:pPr>
                </w:p>
              </w:tc>
              <w:tc>
                <w:tcPr>
                  <w:tcW w:w="2100" w:type="pct"/>
                  <w:vMerge w:val="restart"/>
                  <w:vAlign w:val="center"/>
                </w:tcPr>
                <w:p w14:paraId="33C7498A">
                  <w:pPr>
                    <w:pStyle w:val="73"/>
                    <w:spacing w:line="240" w:lineRule="auto"/>
                    <w:ind w:firstLine="0" w:firstLineChars="0"/>
                    <w:jc w:val="center"/>
                    <w:rPr>
                      <w:sz w:val="21"/>
                      <w:szCs w:val="21"/>
                    </w:rPr>
                  </w:pPr>
                  <w:r>
                    <w:rPr>
                      <w:rFonts w:hint="eastAsia"/>
                      <w:sz w:val="21"/>
                      <w:szCs w:val="21"/>
                    </w:rPr>
                    <w:t>民权县北关镇污水处理厂收水水质（参照</w:t>
                  </w:r>
                  <w:r>
                    <w:rPr>
                      <w:sz w:val="21"/>
                      <w:szCs w:val="21"/>
                    </w:rPr>
                    <w:t>《污水综合排放标准》（GB8978-1996）</w:t>
                  </w:r>
                  <w:r>
                    <w:rPr>
                      <w:rFonts w:hint="eastAsia"/>
                      <w:sz w:val="21"/>
                      <w:szCs w:val="21"/>
                    </w:rPr>
                    <w:t>其他排污单位）</w:t>
                  </w:r>
                </w:p>
              </w:tc>
              <w:tc>
                <w:tcPr>
                  <w:tcW w:w="840" w:type="pct"/>
                  <w:gridSpan w:val="2"/>
                  <w:vAlign w:val="center"/>
                </w:tcPr>
                <w:p w14:paraId="5A8479E1">
                  <w:pPr>
                    <w:pStyle w:val="73"/>
                    <w:adjustRightInd w:val="0"/>
                    <w:snapToGrid w:val="0"/>
                    <w:spacing w:line="240" w:lineRule="auto"/>
                    <w:ind w:firstLine="0" w:firstLineChars="0"/>
                    <w:jc w:val="center"/>
                    <w:rPr>
                      <w:sz w:val="21"/>
                      <w:szCs w:val="21"/>
                    </w:rPr>
                  </w:pPr>
                  <w:r>
                    <w:rPr>
                      <w:sz w:val="21"/>
                      <w:szCs w:val="21"/>
                    </w:rPr>
                    <w:t>COD</w:t>
                  </w:r>
                </w:p>
              </w:tc>
              <w:tc>
                <w:tcPr>
                  <w:tcW w:w="1737" w:type="pct"/>
                  <w:vAlign w:val="center"/>
                </w:tcPr>
                <w:p w14:paraId="6E868725">
                  <w:pPr>
                    <w:pStyle w:val="73"/>
                    <w:spacing w:line="240" w:lineRule="auto"/>
                    <w:ind w:firstLine="0" w:firstLineChars="0"/>
                    <w:jc w:val="center"/>
                    <w:rPr>
                      <w:sz w:val="21"/>
                      <w:szCs w:val="21"/>
                    </w:rPr>
                  </w:pPr>
                  <w:r>
                    <w:rPr>
                      <w:rFonts w:hint="eastAsia"/>
                      <w:sz w:val="21"/>
                      <w:szCs w:val="21"/>
                    </w:rPr>
                    <w:t>500</w:t>
                  </w:r>
                  <w:r>
                    <w:rPr>
                      <w:sz w:val="21"/>
                      <w:szCs w:val="21"/>
                    </w:rPr>
                    <w:t>mg/L</w:t>
                  </w:r>
                </w:p>
              </w:tc>
            </w:tr>
            <w:tr w14:paraId="1190F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23" w:type="pct"/>
                  <w:vMerge w:val="continue"/>
                  <w:vAlign w:val="center"/>
                </w:tcPr>
                <w:p w14:paraId="55D47C31">
                  <w:pPr>
                    <w:pStyle w:val="73"/>
                    <w:spacing w:line="240" w:lineRule="auto"/>
                    <w:ind w:firstLine="0" w:firstLineChars="0"/>
                    <w:jc w:val="center"/>
                    <w:rPr>
                      <w:sz w:val="21"/>
                      <w:szCs w:val="21"/>
                    </w:rPr>
                  </w:pPr>
                </w:p>
              </w:tc>
              <w:tc>
                <w:tcPr>
                  <w:tcW w:w="2100" w:type="pct"/>
                  <w:vMerge w:val="continue"/>
                  <w:vAlign w:val="center"/>
                </w:tcPr>
                <w:p w14:paraId="5D4ECA13">
                  <w:pPr>
                    <w:pStyle w:val="73"/>
                    <w:spacing w:line="240" w:lineRule="auto"/>
                    <w:ind w:firstLine="0" w:firstLineChars="0"/>
                    <w:jc w:val="center"/>
                    <w:rPr>
                      <w:sz w:val="21"/>
                      <w:szCs w:val="21"/>
                    </w:rPr>
                  </w:pPr>
                </w:p>
              </w:tc>
              <w:tc>
                <w:tcPr>
                  <w:tcW w:w="840" w:type="pct"/>
                  <w:gridSpan w:val="2"/>
                  <w:vAlign w:val="center"/>
                </w:tcPr>
                <w:p w14:paraId="0B633CEC">
                  <w:pPr>
                    <w:pStyle w:val="73"/>
                    <w:adjustRightInd w:val="0"/>
                    <w:snapToGrid w:val="0"/>
                    <w:spacing w:line="240" w:lineRule="auto"/>
                    <w:ind w:firstLine="0" w:firstLineChars="0"/>
                    <w:jc w:val="center"/>
                    <w:rPr>
                      <w:sz w:val="21"/>
                      <w:szCs w:val="21"/>
                    </w:rPr>
                  </w:pPr>
                  <w:r>
                    <w:rPr>
                      <w:sz w:val="21"/>
                      <w:szCs w:val="21"/>
                    </w:rPr>
                    <w:t>BOD</w:t>
                  </w:r>
                  <w:r>
                    <w:rPr>
                      <w:sz w:val="21"/>
                      <w:szCs w:val="21"/>
                      <w:vertAlign w:val="subscript"/>
                    </w:rPr>
                    <w:t>5</w:t>
                  </w:r>
                </w:p>
              </w:tc>
              <w:tc>
                <w:tcPr>
                  <w:tcW w:w="1737" w:type="pct"/>
                  <w:vAlign w:val="center"/>
                </w:tcPr>
                <w:p w14:paraId="54544B49">
                  <w:pPr>
                    <w:pStyle w:val="73"/>
                    <w:spacing w:line="240" w:lineRule="auto"/>
                    <w:ind w:firstLine="0" w:firstLineChars="0"/>
                    <w:jc w:val="center"/>
                    <w:rPr>
                      <w:sz w:val="21"/>
                      <w:szCs w:val="21"/>
                    </w:rPr>
                  </w:pPr>
                  <w:r>
                    <w:rPr>
                      <w:sz w:val="21"/>
                      <w:szCs w:val="21"/>
                    </w:rPr>
                    <w:t>300mg/L</w:t>
                  </w:r>
                </w:p>
              </w:tc>
            </w:tr>
            <w:tr w14:paraId="350B1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23" w:type="pct"/>
                  <w:vMerge w:val="continue"/>
                  <w:vAlign w:val="center"/>
                </w:tcPr>
                <w:p w14:paraId="19A0C23D">
                  <w:pPr>
                    <w:pStyle w:val="73"/>
                    <w:spacing w:line="240" w:lineRule="auto"/>
                    <w:ind w:firstLine="0" w:firstLineChars="0"/>
                    <w:jc w:val="center"/>
                    <w:rPr>
                      <w:sz w:val="21"/>
                      <w:szCs w:val="21"/>
                    </w:rPr>
                  </w:pPr>
                </w:p>
              </w:tc>
              <w:tc>
                <w:tcPr>
                  <w:tcW w:w="2100" w:type="pct"/>
                  <w:vMerge w:val="continue"/>
                  <w:vAlign w:val="center"/>
                </w:tcPr>
                <w:p w14:paraId="0CC619A2">
                  <w:pPr>
                    <w:pStyle w:val="73"/>
                    <w:spacing w:line="240" w:lineRule="auto"/>
                    <w:ind w:firstLine="0" w:firstLineChars="0"/>
                    <w:jc w:val="center"/>
                    <w:rPr>
                      <w:sz w:val="21"/>
                      <w:szCs w:val="21"/>
                    </w:rPr>
                  </w:pPr>
                </w:p>
              </w:tc>
              <w:tc>
                <w:tcPr>
                  <w:tcW w:w="840" w:type="pct"/>
                  <w:gridSpan w:val="2"/>
                  <w:vAlign w:val="center"/>
                </w:tcPr>
                <w:p w14:paraId="64E12862">
                  <w:pPr>
                    <w:pStyle w:val="73"/>
                    <w:adjustRightInd w:val="0"/>
                    <w:snapToGrid w:val="0"/>
                    <w:spacing w:line="240" w:lineRule="auto"/>
                    <w:ind w:firstLine="0" w:firstLineChars="0"/>
                    <w:jc w:val="center"/>
                    <w:rPr>
                      <w:sz w:val="21"/>
                      <w:szCs w:val="21"/>
                    </w:rPr>
                  </w:pPr>
                  <w:r>
                    <w:rPr>
                      <w:sz w:val="21"/>
                      <w:szCs w:val="21"/>
                    </w:rPr>
                    <w:t>SS</w:t>
                  </w:r>
                </w:p>
              </w:tc>
              <w:tc>
                <w:tcPr>
                  <w:tcW w:w="1737" w:type="pct"/>
                  <w:vAlign w:val="center"/>
                </w:tcPr>
                <w:p w14:paraId="74674B83">
                  <w:pPr>
                    <w:pStyle w:val="73"/>
                    <w:spacing w:line="240" w:lineRule="auto"/>
                    <w:ind w:firstLine="0" w:firstLineChars="0"/>
                    <w:jc w:val="center"/>
                    <w:rPr>
                      <w:sz w:val="21"/>
                      <w:szCs w:val="21"/>
                    </w:rPr>
                  </w:pPr>
                  <w:r>
                    <w:rPr>
                      <w:sz w:val="21"/>
                      <w:szCs w:val="21"/>
                    </w:rPr>
                    <w:t>400mg/L</w:t>
                  </w:r>
                </w:p>
              </w:tc>
            </w:tr>
            <w:tr w14:paraId="1210D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23" w:type="pct"/>
                  <w:vMerge w:val="continue"/>
                  <w:vAlign w:val="center"/>
                </w:tcPr>
                <w:p w14:paraId="7040F5B0">
                  <w:pPr>
                    <w:pStyle w:val="73"/>
                    <w:spacing w:line="240" w:lineRule="auto"/>
                    <w:ind w:firstLine="0" w:firstLineChars="0"/>
                    <w:jc w:val="center"/>
                    <w:rPr>
                      <w:sz w:val="21"/>
                      <w:szCs w:val="21"/>
                    </w:rPr>
                  </w:pPr>
                </w:p>
              </w:tc>
              <w:tc>
                <w:tcPr>
                  <w:tcW w:w="2100" w:type="pct"/>
                  <w:vMerge w:val="continue"/>
                  <w:vAlign w:val="center"/>
                </w:tcPr>
                <w:p w14:paraId="10DE5C20">
                  <w:pPr>
                    <w:pStyle w:val="73"/>
                    <w:spacing w:line="240" w:lineRule="auto"/>
                    <w:ind w:firstLine="0" w:firstLineChars="0"/>
                    <w:jc w:val="center"/>
                    <w:rPr>
                      <w:sz w:val="21"/>
                      <w:szCs w:val="21"/>
                    </w:rPr>
                  </w:pPr>
                </w:p>
              </w:tc>
              <w:tc>
                <w:tcPr>
                  <w:tcW w:w="840" w:type="pct"/>
                  <w:gridSpan w:val="2"/>
                  <w:vAlign w:val="center"/>
                </w:tcPr>
                <w:p w14:paraId="2387B546">
                  <w:pPr>
                    <w:pStyle w:val="73"/>
                    <w:adjustRightInd w:val="0"/>
                    <w:snapToGrid w:val="0"/>
                    <w:spacing w:line="240" w:lineRule="auto"/>
                    <w:ind w:firstLine="0" w:firstLineChars="0"/>
                    <w:jc w:val="center"/>
                    <w:rPr>
                      <w:sz w:val="21"/>
                      <w:szCs w:val="21"/>
                    </w:rPr>
                  </w:pPr>
                  <w:r>
                    <w:rPr>
                      <w:sz w:val="21"/>
                      <w:szCs w:val="21"/>
                    </w:rPr>
                    <w:t>氨氮</w:t>
                  </w:r>
                </w:p>
              </w:tc>
              <w:tc>
                <w:tcPr>
                  <w:tcW w:w="1737" w:type="pct"/>
                  <w:vAlign w:val="center"/>
                </w:tcPr>
                <w:p w14:paraId="6761D5A9">
                  <w:pPr>
                    <w:pStyle w:val="73"/>
                    <w:spacing w:line="240" w:lineRule="auto"/>
                    <w:ind w:firstLine="0" w:firstLineChars="0"/>
                    <w:jc w:val="center"/>
                    <w:rPr>
                      <w:sz w:val="21"/>
                      <w:szCs w:val="21"/>
                    </w:rPr>
                  </w:pPr>
                  <w:r>
                    <w:rPr>
                      <w:sz w:val="21"/>
                      <w:szCs w:val="21"/>
                    </w:rPr>
                    <w:t>/</w:t>
                  </w:r>
                </w:p>
              </w:tc>
            </w:tr>
            <w:tr w14:paraId="2B99E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23" w:type="pct"/>
                  <w:vMerge w:val="continue"/>
                  <w:vAlign w:val="center"/>
                </w:tcPr>
                <w:p w14:paraId="5D99E2A5">
                  <w:pPr>
                    <w:pStyle w:val="73"/>
                    <w:spacing w:line="240" w:lineRule="auto"/>
                    <w:ind w:firstLine="0" w:firstLineChars="0"/>
                    <w:jc w:val="center"/>
                    <w:rPr>
                      <w:sz w:val="21"/>
                      <w:szCs w:val="21"/>
                    </w:rPr>
                  </w:pPr>
                </w:p>
              </w:tc>
              <w:tc>
                <w:tcPr>
                  <w:tcW w:w="2100" w:type="pct"/>
                  <w:vMerge w:val="continue"/>
                  <w:vAlign w:val="center"/>
                </w:tcPr>
                <w:p w14:paraId="12AE4401">
                  <w:pPr>
                    <w:pStyle w:val="73"/>
                    <w:spacing w:line="240" w:lineRule="auto"/>
                    <w:ind w:firstLine="0" w:firstLineChars="0"/>
                    <w:jc w:val="center"/>
                    <w:rPr>
                      <w:sz w:val="21"/>
                      <w:szCs w:val="21"/>
                    </w:rPr>
                  </w:pPr>
                </w:p>
              </w:tc>
              <w:tc>
                <w:tcPr>
                  <w:tcW w:w="840" w:type="pct"/>
                  <w:gridSpan w:val="2"/>
                  <w:vAlign w:val="center"/>
                </w:tcPr>
                <w:p w14:paraId="5D49BD39">
                  <w:pPr>
                    <w:pStyle w:val="73"/>
                    <w:adjustRightInd w:val="0"/>
                    <w:snapToGrid w:val="0"/>
                    <w:spacing w:line="240" w:lineRule="auto"/>
                    <w:ind w:firstLine="0" w:firstLineChars="0"/>
                    <w:jc w:val="center"/>
                    <w:rPr>
                      <w:sz w:val="21"/>
                      <w:szCs w:val="21"/>
                    </w:rPr>
                  </w:pPr>
                  <w:r>
                    <w:rPr>
                      <w:rFonts w:hint="eastAsia"/>
                      <w:sz w:val="21"/>
                      <w:szCs w:val="21"/>
                    </w:rPr>
                    <w:t>动植物油</w:t>
                  </w:r>
                </w:p>
              </w:tc>
              <w:tc>
                <w:tcPr>
                  <w:tcW w:w="1737" w:type="pct"/>
                  <w:vAlign w:val="center"/>
                </w:tcPr>
                <w:p w14:paraId="764FFE18">
                  <w:pPr>
                    <w:pStyle w:val="73"/>
                    <w:spacing w:line="240" w:lineRule="auto"/>
                    <w:ind w:firstLine="0" w:firstLineChars="0"/>
                    <w:jc w:val="center"/>
                    <w:rPr>
                      <w:sz w:val="21"/>
                      <w:szCs w:val="21"/>
                    </w:rPr>
                  </w:pPr>
                  <w:r>
                    <w:rPr>
                      <w:rFonts w:hint="eastAsia"/>
                      <w:sz w:val="21"/>
                      <w:szCs w:val="21"/>
                    </w:rPr>
                    <w:t>1</w:t>
                  </w:r>
                  <w:r>
                    <w:rPr>
                      <w:sz w:val="21"/>
                      <w:szCs w:val="21"/>
                    </w:rPr>
                    <w:t>00mg/L</w:t>
                  </w:r>
                </w:p>
              </w:tc>
            </w:tr>
            <w:tr w14:paraId="2E316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23" w:type="pct"/>
                  <w:vMerge w:val="restart"/>
                  <w:vAlign w:val="center"/>
                </w:tcPr>
                <w:p w14:paraId="5CD3BA75">
                  <w:pPr>
                    <w:jc w:val="center"/>
                    <w:rPr>
                      <w:szCs w:val="21"/>
                    </w:rPr>
                  </w:pPr>
                  <w:r>
                    <w:rPr>
                      <w:rFonts w:hint="eastAsia"/>
                      <w:szCs w:val="21"/>
                    </w:rPr>
                    <w:t>固体废物</w:t>
                  </w:r>
                </w:p>
              </w:tc>
              <w:tc>
                <w:tcPr>
                  <w:tcW w:w="4677" w:type="pct"/>
                  <w:gridSpan w:val="4"/>
                  <w:vAlign w:val="center"/>
                </w:tcPr>
                <w:p w14:paraId="6C27CDC3">
                  <w:pPr>
                    <w:jc w:val="center"/>
                    <w:rPr>
                      <w:szCs w:val="21"/>
                    </w:rPr>
                  </w:pPr>
                  <w:r>
                    <w:rPr>
                      <w:rFonts w:hint="eastAsia"/>
                      <w:color w:val="000000"/>
                      <w:szCs w:val="21"/>
                    </w:rPr>
                    <w:t>按照《一般工业固体废物贮存和填埋污染控制</w:t>
                  </w:r>
                  <w:r>
                    <w:rPr>
                      <w:color w:val="000000"/>
                      <w:szCs w:val="21"/>
                    </w:rPr>
                    <w:t>标准》（</w:t>
                  </w:r>
                  <w:r>
                    <w:rPr>
                      <w:rFonts w:eastAsia="TimesNewRomanPSMT"/>
                      <w:color w:val="000000"/>
                      <w:szCs w:val="21"/>
                    </w:rPr>
                    <w:t>GB18599-2020</w:t>
                  </w:r>
                  <w:r>
                    <w:rPr>
                      <w:color w:val="000000"/>
                      <w:szCs w:val="21"/>
                    </w:rPr>
                    <w:t>）中规</w:t>
                  </w:r>
                  <w:r>
                    <w:rPr>
                      <w:rFonts w:hint="eastAsia"/>
                      <w:color w:val="000000"/>
                      <w:szCs w:val="21"/>
                    </w:rPr>
                    <w:t>定一般固废间建设：防渗漏、防雨淋、防扬尘</w:t>
                  </w:r>
                </w:p>
              </w:tc>
            </w:tr>
            <w:tr w14:paraId="69028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23" w:type="pct"/>
                  <w:vMerge w:val="continue"/>
                  <w:vAlign w:val="center"/>
                </w:tcPr>
                <w:p w14:paraId="28444DA1">
                  <w:pPr>
                    <w:jc w:val="center"/>
                    <w:rPr>
                      <w:kern w:val="0"/>
                      <w:szCs w:val="21"/>
                    </w:rPr>
                  </w:pPr>
                </w:p>
              </w:tc>
              <w:tc>
                <w:tcPr>
                  <w:tcW w:w="4677" w:type="pct"/>
                  <w:gridSpan w:val="4"/>
                  <w:vAlign w:val="center"/>
                </w:tcPr>
                <w:p w14:paraId="068007AE">
                  <w:pPr>
                    <w:jc w:val="center"/>
                    <w:rPr>
                      <w:kern w:val="0"/>
                      <w:szCs w:val="21"/>
                    </w:rPr>
                  </w:pPr>
                  <w:r>
                    <w:rPr>
                      <w:rFonts w:hint="eastAsia"/>
                      <w:bCs/>
                    </w:rPr>
                    <w:t>《危险废物贮存污染控制标准》（GB18597-2023）</w:t>
                  </w:r>
                </w:p>
              </w:tc>
            </w:tr>
          </w:tbl>
          <w:p w14:paraId="731B4331">
            <w:pPr>
              <w:adjustRightInd w:val="0"/>
              <w:snapToGrid w:val="0"/>
              <w:jc w:val="center"/>
              <w:rPr>
                <w:b/>
                <w:bCs/>
                <w:sz w:val="24"/>
              </w:rPr>
            </w:pPr>
          </w:p>
          <w:p w14:paraId="12DE41F1">
            <w:pPr>
              <w:autoSpaceDE w:val="0"/>
              <w:autoSpaceDN w:val="0"/>
              <w:adjustRightInd w:val="0"/>
              <w:jc w:val="left"/>
              <w:rPr>
                <w:sz w:val="24"/>
              </w:rPr>
            </w:pPr>
          </w:p>
          <w:p w14:paraId="01A3A15E">
            <w:pPr>
              <w:autoSpaceDE w:val="0"/>
              <w:autoSpaceDN w:val="0"/>
              <w:adjustRightInd w:val="0"/>
              <w:jc w:val="left"/>
              <w:rPr>
                <w:sz w:val="24"/>
              </w:rPr>
            </w:pPr>
          </w:p>
          <w:p w14:paraId="18242F8C">
            <w:pPr>
              <w:autoSpaceDE w:val="0"/>
              <w:autoSpaceDN w:val="0"/>
              <w:adjustRightInd w:val="0"/>
              <w:jc w:val="left"/>
              <w:rPr>
                <w:sz w:val="24"/>
              </w:rPr>
            </w:pPr>
          </w:p>
          <w:p w14:paraId="299C84A2">
            <w:pPr>
              <w:autoSpaceDE w:val="0"/>
              <w:autoSpaceDN w:val="0"/>
              <w:adjustRightInd w:val="0"/>
              <w:jc w:val="left"/>
              <w:rPr>
                <w:sz w:val="24"/>
              </w:rPr>
            </w:pPr>
          </w:p>
          <w:p w14:paraId="547ABB00">
            <w:pPr>
              <w:autoSpaceDE w:val="0"/>
              <w:autoSpaceDN w:val="0"/>
              <w:adjustRightInd w:val="0"/>
              <w:jc w:val="left"/>
              <w:rPr>
                <w:sz w:val="24"/>
              </w:rPr>
            </w:pPr>
          </w:p>
          <w:p w14:paraId="1C5D4DE8">
            <w:pPr>
              <w:autoSpaceDE w:val="0"/>
              <w:autoSpaceDN w:val="0"/>
              <w:adjustRightInd w:val="0"/>
              <w:jc w:val="left"/>
              <w:rPr>
                <w:sz w:val="24"/>
              </w:rPr>
            </w:pPr>
          </w:p>
          <w:p w14:paraId="6EE0E182">
            <w:pPr>
              <w:autoSpaceDE w:val="0"/>
              <w:autoSpaceDN w:val="0"/>
              <w:adjustRightInd w:val="0"/>
              <w:jc w:val="left"/>
              <w:rPr>
                <w:sz w:val="24"/>
              </w:rPr>
            </w:pPr>
          </w:p>
          <w:p w14:paraId="20A08169">
            <w:pPr>
              <w:autoSpaceDE w:val="0"/>
              <w:autoSpaceDN w:val="0"/>
              <w:adjustRightInd w:val="0"/>
              <w:jc w:val="left"/>
              <w:rPr>
                <w:sz w:val="24"/>
              </w:rPr>
            </w:pPr>
          </w:p>
        </w:tc>
      </w:tr>
      <w:tr w14:paraId="2038FB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327" w:hRule="atLeast"/>
          <w:jc w:val="center"/>
        </w:trPr>
        <w:tc>
          <w:tcPr>
            <w:tcW w:w="800" w:type="dxa"/>
            <w:vAlign w:val="center"/>
          </w:tcPr>
          <w:p w14:paraId="1BA51E87">
            <w:pPr>
              <w:adjustRightInd w:val="0"/>
              <w:snapToGrid w:val="0"/>
              <w:jc w:val="center"/>
              <w:rPr>
                <w:kern w:val="0"/>
                <w:sz w:val="24"/>
              </w:rPr>
            </w:pPr>
            <w:r>
              <w:rPr>
                <w:kern w:val="0"/>
                <w:sz w:val="24"/>
              </w:rPr>
              <w:t>总量</w:t>
            </w:r>
          </w:p>
          <w:p w14:paraId="72248FFF">
            <w:pPr>
              <w:adjustRightInd w:val="0"/>
              <w:snapToGrid w:val="0"/>
              <w:jc w:val="center"/>
              <w:rPr>
                <w:kern w:val="0"/>
                <w:sz w:val="24"/>
              </w:rPr>
            </w:pPr>
            <w:r>
              <w:rPr>
                <w:kern w:val="0"/>
                <w:sz w:val="24"/>
              </w:rPr>
              <w:t>控制</w:t>
            </w:r>
          </w:p>
          <w:p w14:paraId="1FE196F6">
            <w:pPr>
              <w:adjustRightInd w:val="0"/>
              <w:snapToGrid w:val="0"/>
              <w:jc w:val="center"/>
              <w:rPr>
                <w:kern w:val="0"/>
                <w:sz w:val="24"/>
                <w:highlight w:val="yellow"/>
              </w:rPr>
            </w:pPr>
            <w:r>
              <w:rPr>
                <w:kern w:val="0"/>
                <w:sz w:val="24"/>
              </w:rPr>
              <w:t>指标</w:t>
            </w:r>
          </w:p>
        </w:tc>
        <w:tc>
          <w:tcPr>
            <w:tcW w:w="8639" w:type="dxa"/>
            <w:vAlign w:val="center"/>
          </w:tcPr>
          <w:p w14:paraId="01F5BBF5">
            <w:pPr>
              <w:adjustRightInd w:val="0"/>
              <w:snapToGrid w:val="0"/>
              <w:spacing w:line="360" w:lineRule="auto"/>
              <w:ind w:firstLine="482" w:firstLineChars="200"/>
              <w:rPr>
                <w:b/>
                <w:bCs/>
                <w:sz w:val="24"/>
              </w:rPr>
            </w:pPr>
            <w:r>
              <w:rPr>
                <w:rFonts w:hint="eastAsia"/>
                <w:b/>
                <w:bCs/>
                <w:sz w:val="24"/>
              </w:rPr>
              <w:t>1、废水污染物排放情况</w:t>
            </w:r>
          </w:p>
          <w:p w14:paraId="0856D2DE">
            <w:pPr>
              <w:adjustRightInd w:val="0"/>
              <w:snapToGrid w:val="0"/>
              <w:spacing w:line="360" w:lineRule="auto"/>
              <w:ind w:firstLine="480" w:firstLineChars="200"/>
              <w:rPr>
                <w:sz w:val="24"/>
              </w:rPr>
            </w:pPr>
            <w:r>
              <w:rPr>
                <w:rFonts w:hint="eastAsia"/>
                <w:sz w:val="24"/>
              </w:rPr>
              <w:t>项目生产废水经厂区污水处理站处理后，经罐车运至北关镇污水处理厂处理。</w:t>
            </w:r>
          </w:p>
          <w:p w14:paraId="4AB4623E">
            <w:pPr>
              <w:adjustRightInd w:val="0"/>
              <w:snapToGrid w:val="0"/>
              <w:spacing w:line="360" w:lineRule="auto"/>
              <w:ind w:firstLine="480" w:firstLineChars="200"/>
              <w:rPr>
                <w:bCs/>
                <w:sz w:val="24"/>
              </w:rPr>
            </w:pPr>
            <w:r>
              <w:rPr>
                <w:rFonts w:hint="eastAsia"/>
                <w:bCs/>
                <w:sz w:val="24"/>
                <w:lang w:val="pt-BR"/>
              </w:rPr>
              <w:t>本项目废水排放量为</w:t>
            </w:r>
            <w:r>
              <w:rPr>
                <w:rFonts w:hint="eastAsia"/>
                <w:bCs/>
                <w:sz w:val="24"/>
              </w:rPr>
              <w:t>8824.8</w:t>
            </w:r>
            <w:r>
              <w:rPr>
                <w:sz w:val="24"/>
              </w:rPr>
              <w:t>m</w:t>
            </w:r>
            <w:r>
              <w:rPr>
                <w:sz w:val="24"/>
                <w:vertAlign w:val="superscript"/>
              </w:rPr>
              <w:t>3</w:t>
            </w:r>
            <w:r>
              <w:rPr>
                <w:sz w:val="24"/>
              </w:rPr>
              <w:t>/a，</w:t>
            </w:r>
            <w:r>
              <w:rPr>
                <w:rFonts w:hint="eastAsia"/>
                <w:sz w:val="24"/>
              </w:rPr>
              <w:t>出厂水质为</w:t>
            </w:r>
            <w:r>
              <w:rPr>
                <w:sz w:val="24"/>
              </w:rPr>
              <w:t>COD</w:t>
            </w:r>
            <w:r>
              <w:rPr>
                <w:rFonts w:hint="eastAsia"/>
                <w:sz w:val="24"/>
              </w:rPr>
              <w:t>375</w:t>
            </w:r>
            <w:r>
              <w:rPr>
                <w:sz w:val="24"/>
              </w:rPr>
              <w:t>mg/L，氨氮</w:t>
            </w:r>
            <w:r>
              <w:rPr>
                <w:rFonts w:hint="eastAsia"/>
                <w:sz w:val="24"/>
              </w:rPr>
              <w:t>10.5</w:t>
            </w:r>
            <w:r>
              <w:rPr>
                <w:sz w:val="24"/>
              </w:rPr>
              <w:t>mg/L</w:t>
            </w:r>
            <w:r>
              <w:rPr>
                <w:rFonts w:hint="eastAsia"/>
                <w:sz w:val="24"/>
              </w:rPr>
              <w:t>，经罐车运至北关镇污水处理厂</w:t>
            </w:r>
            <w:r>
              <w:rPr>
                <w:sz w:val="24"/>
              </w:rPr>
              <w:t>处理，污水处理厂出水水质执行</w:t>
            </w:r>
            <w:r>
              <w:rPr>
                <w:rFonts w:hint="eastAsia"/>
                <w:sz w:val="24"/>
              </w:rPr>
              <w:t>《城镇污水处理厂污染物排放标准》（GB18918-2002）一级A标准</w:t>
            </w:r>
            <w:r>
              <w:rPr>
                <w:sz w:val="24"/>
              </w:rPr>
              <w:t>（COD</w:t>
            </w:r>
            <w:r>
              <w:rPr>
                <w:rFonts w:hint="eastAsia"/>
                <w:sz w:val="24"/>
              </w:rPr>
              <w:t>50</w:t>
            </w:r>
            <w:r>
              <w:rPr>
                <w:sz w:val="24"/>
              </w:rPr>
              <w:t>mg/L，氨氮</w:t>
            </w:r>
            <w:r>
              <w:rPr>
                <w:rFonts w:hint="eastAsia"/>
                <w:sz w:val="24"/>
              </w:rPr>
              <w:t>5</w:t>
            </w:r>
            <w:r>
              <w:rPr>
                <w:sz w:val="24"/>
              </w:rPr>
              <w:t>mg/L）。</w:t>
            </w:r>
          </w:p>
          <w:p w14:paraId="02A35CDB">
            <w:pPr>
              <w:adjustRightInd w:val="0"/>
              <w:snapToGrid w:val="0"/>
              <w:spacing w:line="360" w:lineRule="auto"/>
              <w:ind w:firstLine="480" w:firstLineChars="200"/>
              <w:rPr>
                <w:sz w:val="24"/>
              </w:rPr>
            </w:pPr>
            <w:r>
              <w:rPr>
                <w:rFonts w:hint="eastAsia"/>
                <w:bCs/>
                <w:sz w:val="24"/>
              </w:rPr>
              <w:t>本项目出厂界的COD总量为3.3093t/a，氨氮总量0.0927t/a；排入外环境的总量为COD0.4412t/a，氨氮0.0441t/a。</w:t>
            </w:r>
          </w:p>
          <w:p w14:paraId="364C27CF">
            <w:pPr>
              <w:adjustRightInd w:val="0"/>
              <w:snapToGrid w:val="0"/>
              <w:spacing w:line="360" w:lineRule="auto"/>
              <w:ind w:firstLine="482" w:firstLineChars="200"/>
              <w:rPr>
                <w:b/>
                <w:bCs/>
                <w:sz w:val="24"/>
              </w:rPr>
            </w:pPr>
            <w:r>
              <w:rPr>
                <w:rFonts w:hint="eastAsia"/>
                <w:b/>
                <w:bCs/>
                <w:sz w:val="24"/>
              </w:rPr>
              <w:t>2、废气污染物排放情况</w:t>
            </w:r>
          </w:p>
          <w:p w14:paraId="61676600">
            <w:pPr>
              <w:adjustRightInd w:val="0"/>
              <w:snapToGrid w:val="0"/>
              <w:spacing w:line="360" w:lineRule="auto"/>
              <w:ind w:firstLine="480" w:firstLineChars="200"/>
              <w:rPr>
                <w:sz w:val="24"/>
              </w:rPr>
            </w:pPr>
            <w:r>
              <w:rPr>
                <w:rFonts w:hint="eastAsia"/>
                <w:sz w:val="24"/>
              </w:rPr>
              <w:t>项目废气污染物主要为颗粒物、二氧化硫、氮氧化物、NH</w:t>
            </w:r>
            <w:r>
              <w:rPr>
                <w:rFonts w:hint="eastAsia"/>
                <w:sz w:val="24"/>
                <w:vertAlign w:val="subscript"/>
              </w:rPr>
              <w:t>3</w:t>
            </w:r>
            <w:r>
              <w:rPr>
                <w:rFonts w:hint="eastAsia"/>
                <w:sz w:val="24"/>
              </w:rPr>
              <w:t>、H</w:t>
            </w:r>
            <w:r>
              <w:rPr>
                <w:rFonts w:hint="eastAsia"/>
                <w:sz w:val="24"/>
                <w:vertAlign w:val="subscript"/>
              </w:rPr>
              <w:t>2</w:t>
            </w:r>
            <w:r>
              <w:rPr>
                <w:rFonts w:hint="eastAsia"/>
                <w:sz w:val="24"/>
              </w:rPr>
              <w:t>S及油烟，废气总量因子为颗粒物、二氧化硫、氮氧化物，因此项目废气总量控制指标为颗粒物0.0514t/a、二氧化硫0.0387t/a、氮氧化物0.2929t/a。因民权县2023年度环境空气质量不达标，因此废气实行区域内倍量替代，替代量为颗粒物：0.1028t/a，二氧化硫：0.0774t/a，氮氧化物：0.5858t/a。</w:t>
            </w:r>
          </w:p>
          <w:p w14:paraId="3D174DBF">
            <w:pPr>
              <w:adjustRightInd w:val="0"/>
              <w:snapToGrid w:val="0"/>
              <w:spacing w:line="360" w:lineRule="auto"/>
              <w:ind w:firstLine="482" w:firstLineChars="200"/>
              <w:rPr>
                <w:b/>
                <w:sz w:val="24"/>
              </w:rPr>
            </w:pPr>
            <w:r>
              <w:rPr>
                <w:rFonts w:hint="eastAsia"/>
                <w:b/>
                <w:sz w:val="24"/>
              </w:rPr>
              <w:t>3、总量替代方案</w:t>
            </w:r>
          </w:p>
          <w:p w14:paraId="26586715">
            <w:pPr>
              <w:spacing w:line="360" w:lineRule="auto"/>
              <w:ind w:firstLine="480" w:firstLineChars="200"/>
              <w:rPr>
                <w:sz w:val="24"/>
              </w:rPr>
            </w:pPr>
            <w:r>
              <w:rPr>
                <w:kern w:val="0"/>
                <w:sz w:val="24"/>
              </w:rPr>
              <w:t>综上所述，本项目总量控制指标</w:t>
            </w:r>
            <w:r>
              <w:rPr>
                <w:rFonts w:hint="eastAsia"/>
                <w:kern w:val="0"/>
                <w:sz w:val="24"/>
              </w:rPr>
              <w:t>为</w:t>
            </w:r>
            <w:r>
              <w:rPr>
                <w:sz w:val="24"/>
              </w:rPr>
              <w:t>COD</w:t>
            </w:r>
            <w:r>
              <w:rPr>
                <w:bCs/>
                <w:sz w:val="24"/>
              </w:rPr>
              <w:t>0.</w:t>
            </w:r>
            <w:r>
              <w:rPr>
                <w:rFonts w:hint="eastAsia"/>
                <w:bCs/>
                <w:sz w:val="24"/>
              </w:rPr>
              <w:t>4412</w:t>
            </w:r>
            <w:r>
              <w:rPr>
                <w:bCs/>
                <w:sz w:val="24"/>
              </w:rPr>
              <w:t>t/a</w:t>
            </w:r>
            <w:r>
              <w:rPr>
                <w:rFonts w:hint="eastAsia"/>
                <w:sz w:val="24"/>
              </w:rPr>
              <w:t>、</w:t>
            </w:r>
            <w:r>
              <w:rPr>
                <w:sz w:val="24"/>
              </w:rPr>
              <w:t>氨氮</w:t>
            </w:r>
            <w:r>
              <w:rPr>
                <w:bCs/>
                <w:sz w:val="24"/>
              </w:rPr>
              <w:t>0.0</w:t>
            </w:r>
            <w:r>
              <w:rPr>
                <w:rFonts w:hint="eastAsia"/>
                <w:bCs/>
                <w:sz w:val="24"/>
              </w:rPr>
              <w:t>441</w:t>
            </w:r>
            <w:r>
              <w:rPr>
                <w:bCs/>
                <w:sz w:val="24"/>
              </w:rPr>
              <w:t>t/a</w:t>
            </w:r>
            <w:r>
              <w:rPr>
                <w:rFonts w:hint="eastAsia"/>
                <w:sz w:val="24"/>
              </w:rPr>
              <w:t>、颗粒物0.0514t/a，二氧化硫0.0387t/a，氮氧化物0.2929t/a。</w:t>
            </w:r>
          </w:p>
          <w:p w14:paraId="3CE45B19">
            <w:pPr>
              <w:spacing w:line="360" w:lineRule="auto"/>
              <w:ind w:firstLine="480" w:firstLineChars="200"/>
              <w:rPr>
                <w:rFonts w:eastAsiaTheme="majorEastAsia"/>
                <w:sz w:val="24"/>
              </w:rPr>
            </w:pPr>
            <w:r>
              <w:rPr>
                <w:rFonts w:hint="eastAsia"/>
                <w:sz w:val="24"/>
              </w:rPr>
              <w:t>项目废水总量从民权县</w:t>
            </w:r>
            <w:r>
              <w:rPr>
                <w:rFonts w:hAnsiTheme="majorEastAsia" w:eastAsiaTheme="majorEastAsia"/>
                <w:sz w:val="24"/>
              </w:rPr>
              <w:t>褚庙乡广洋养殖场（</w:t>
            </w:r>
            <w:r>
              <w:rPr>
                <w:rFonts w:eastAsiaTheme="majorEastAsia"/>
                <w:sz w:val="24"/>
              </w:rPr>
              <w:t>COD12.7367t/a</w:t>
            </w:r>
            <w:r>
              <w:rPr>
                <w:rFonts w:hAnsiTheme="majorEastAsia" w:eastAsiaTheme="majorEastAsia"/>
                <w:sz w:val="24"/>
              </w:rPr>
              <w:t>，氨氮</w:t>
            </w:r>
            <w:r>
              <w:rPr>
                <w:rFonts w:eastAsiaTheme="majorEastAsia"/>
                <w:sz w:val="24"/>
              </w:rPr>
              <w:t>2.89514t/a</w:t>
            </w:r>
            <w:r>
              <w:rPr>
                <w:rFonts w:hAnsiTheme="majorEastAsia" w:eastAsiaTheme="majorEastAsia"/>
                <w:sz w:val="24"/>
              </w:rPr>
              <w:t>）减排水污染物排放总量中进行等量替代，替代完成后，民权县褚庙乡广洋养殖场可用减排剩余量为：</w:t>
            </w:r>
            <w:r>
              <w:rPr>
                <w:rFonts w:eastAsiaTheme="majorEastAsia"/>
                <w:sz w:val="24"/>
              </w:rPr>
              <w:t>COD12.2955t/a</w:t>
            </w:r>
            <w:r>
              <w:rPr>
                <w:rFonts w:hAnsiTheme="majorEastAsia" w:eastAsiaTheme="majorEastAsia"/>
                <w:sz w:val="24"/>
              </w:rPr>
              <w:t>，氨氮</w:t>
            </w:r>
            <w:r>
              <w:rPr>
                <w:rFonts w:eastAsiaTheme="majorEastAsia"/>
                <w:sz w:val="24"/>
              </w:rPr>
              <w:t>2.85104t/a</w:t>
            </w:r>
            <w:r>
              <w:rPr>
                <w:rFonts w:hAnsiTheme="majorEastAsia" w:eastAsiaTheme="majorEastAsia"/>
                <w:sz w:val="24"/>
              </w:rPr>
              <w:t>。</w:t>
            </w:r>
          </w:p>
          <w:p w14:paraId="2FB85269">
            <w:pPr>
              <w:spacing w:line="360" w:lineRule="auto"/>
              <w:ind w:firstLine="480" w:firstLineChars="200"/>
              <w:rPr>
                <w:sz w:val="24"/>
              </w:rPr>
            </w:pPr>
            <w:r>
              <w:rPr>
                <w:rFonts w:hint="eastAsia"/>
                <w:sz w:val="24"/>
              </w:rPr>
              <w:t>项目废气总量从民权县庄子镇山河蔬菜加工厂年产3000吨大蒜、脱水加工及销售项目（颗粒物0.056t/a，二氧化硫0.065t/a，氮氧化物0.567t/a）、民权县北关镇雨航蔬菜加工厂年生产600吨大蒜、蔬菜加工及销售项目（颗粒物0.017t/a，二氧化硫0.02t/a，氮氧化物0.17t/a）和民权县铭旭再生资源回收有限公司废弃物再利用项目（颗粒物0.45t/a）减排废气污染物排放总量进行倍量替代，替代完成后，民权县庄子镇山河蔬菜加工厂年产3000吨大蒜、脱水加工及销售项目可用废气减排剩余量为：二氧化硫0.0076t/a，氮氧化物0.1512t/a；民权县铭旭再生资源回收有限公司废弃物再利用项目可用废气减排剩余量为：颗粒物0.4202t/a。</w:t>
            </w:r>
          </w:p>
        </w:tc>
      </w:tr>
    </w:tbl>
    <w:p w14:paraId="3BE8A8AF">
      <w:pPr>
        <w:pStyle w:val="25"/>
        <w:jc w:val="center"/>
        <w:outlineLvl w:val="0"/>
        <w:rPr>
          <w:rFonts w:ascii="黑体" w:hAnsi="黑体" w:eastAsia="黑体"/>
          <w:snapToGrid w:val="0"/>
          <w:sz w:val="36"/>
          <w:szCs w:val="36"/>
        </w:rPr>
        <w:sectPr>
          <w:pgSz w:w="11907" w:h="16840"/>
          <w:pgMar w:top="1701" w:right="1531" w:bottom="2127" w:left="1531" w:header="851" w:footer="851" w:gutter="0"/>
          <w:cols w:space="720" w:num="1"/>
          <w:docGrid w:linePitch="312" w:charSpace="0"/>
        </w:sectPr>
      </w:pPr>
    </w:p>
    <w:p w14:paraId="3CFC8790">
      <w:pPr>
        <w:pStyle w:val="25"/>
        <w:jc w:val="center"/>
        <w:outlineLvl w:val="0"/>
        <w:rPr>
          <w:rFonts w:ascii="黑体" w:hAnsi="黑体" w:eastAsia="黑体"/>
          <w:snapToGrid w:val="0"/>
          <w:sz w:val="30"/>
          <w:szCs w:val="30"/>
        </w:rPr>
      </w:pPr>
      <w:r>
        <w:rPr>
          <w:rFonts w:hint="eastAsia" w:ascii="黑体" w:hAnsi="黑体" w:eastAsia="黑体"/>
          <w:snapToGrid w:val="0"/>
          <w:sz w:val="30"/>
          <w:szCs w:val="30"/>
        </w:rPr>
        <w:t>四、主要环境影响和保护措施</w:t>
      </w:r>
    </w:p>
    <w:tbl>
      <w:tblPr>
        <w:tblStyle w:val="29"/>
        <w:tblW w:w="5228"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748"/>
        <w:gridCol w:w="8643"/>
      </w:tblGrid>
      <w:tr w14:paraId="1D9F16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633" w:hRule="atLeast"/>
          <w:jc w:val="center"/>
        </w:trPr>
        <w:tc>
          <w:tcPr>
            <w:tcW w:w="398" w:type="pct"/>
            <w:tcMar>
              <w:left w:w="28" w:type="dxa"/>
              <w:right w:w="28" w:type="dxa"/>
            </w:tcMar>
            <w:vAlign w:val="center"/>
          </w:tcPr>
          <w:p w14:paraId="33F0FCA1">
            <w:pPr>
              <w:pStyle w:val="25"/>
              <w:adjustRightInd w:val="0"/>
              <w:snapToGrid w:val="0"/>
              <w:spacing w:before="0" w:beforeAutospacing="0" w:after="0" w:afterAutospacing="0"/>
              <w:jc w:val="center"/>
              <w:rPr>
                <w:rFonts w:ascii="Times New Roman" w:hAnsi="Times New Roman"/>
                <w:kern w:val="2"/>
                <w:szCs w:val="24"/>
              </w:rPr>
            </w:pPr>
            <w:r>
              <w:rPr>
                <w:rFonts w:ascii="Times New Roman" w:hAnsi="Times New Roman"/>
                <w:kern w:val="2"/>
                <w:szCs w:val="24"/>
              </w:rPr>
              <w:t>施工期环境保护措施</w:t>
            </w:r>
          </w:p>
        </w:tc>
        <w:tc>
          <w:tcPr>
            <w:tcW w:w="4602" w:type="pct"/>
            <w:vAlign w:val="center"/>
          </w:tcPr>
          <w:p w14:paraId="2BCBCF13">
            <w:pPr>
              <w:spacing w:line="360" w:lineRule="auto"/>
              <w:ind w:firstLine="480" w:firstLineChars="200"/>
              <w:jc w:val="left"/>
              <w:rPr>
                <w:rFonts w:ascii="宋体" w:hAnsi="宋体" w:cs="宋体"/>
                <w:bCs/>
                <w:sz w:val="24"/>
              </w:rPr>
            </w:pPr>
            <w:r>
              <w:rPr>
                <w:rFonts w:hint="eastAsia"/>
                <w:sz w:val="24"/>
              </w:rPr>
              <w:t>本项目为新建项目，</w:t>
            </w:r>
            <w:r>
              <w:rPr>
                <w:rFonts w:hint="eastAsia"/>
                <w:bCs/>
                <w:spacing w:val="-4"/>
                <w:sz w:val="24"/>
              </w:rPr>
              <w:t>租赁民权县北关镇民荷路北段9号</w:t>
            </w:r>
            <w:r>
              <w:rPr>
                <w:rFonts w:hint="eastAsia"/>
                <w:sz w:val="24"/>
              </w:rPr>
              <w:t>的车间进行建设生产，</w:t>
            </w:r>
            <w:r>
              <w:rPr>
                <w:bCs/>
                <w:sz w:val="24"/>
              </w:rPr>
              <w:t>经现场勘查，项目生产车间已建成，本项目</w:t>
            </w:r>
            <w:r>
              <w:rPr>
                <w:rFonts w:hint="eastAsia" w:ascii="宋体" w:hAnsi="宋体" w:cs="宋体"/>
                <w:bCs/>
                <w:sz w:val="24"/>
              </w:rPr>
              <w:t>施工期内容主要为地面硬化、锅炉房建设、生活区建设、</w:t>
            </w:r>
            <w:r>
              <w:rPr>
                <w:rFonts w:hint="eastAsia"/>
                <w:sz w:val="24"/>
              </w:rPr>
              <w:t>内部装修及设备安装等</w:t>
            </w:r>
            <w:r>
              <w:rPr>
                <w:sz w:val="24"/>
              </w:rPr>
              <w:t>，</w:t>
            </w:r>
            <w:r>
              <w:rPr>
                <w:rFonts w:hint="eastAsia"/>
                <w:sz w:val="24"/>
              </w:rPr>
              <w:t>施工过程中</w:t>
            </w:r>
            <w:r>
              <w:rPr>
                <w:sz w:val="24"/>
              </w:rPr>
              <w:t>将产生噪声、</w:t>
            </w:r>
            <w:r>
              <w:rPr>
                <w:rFonts w:hint="eastAsia"/>
                <w:sz w:val="24"/>
              </w:rPr>
              <w:t>废气、</w:t>
            </w:r>
            <w:r>
              <w:rPr>
                <w:sz w:val="24"/>
              </w:rPr>
              <w:t>固体废物、</w:t>
            </w:r>
            <w:r>
              <w:rPr>
                <w:rFonts w:hint="eastAsia"/>
                <w:sz w:val="24"/>
              </w:rPr>
              <w:t>废</w:t>
            </w:r>
            <w:r>
              <w:rPr>
                <w:sz w:val="24"/>
              </w:rPr>
              <w:t>水等污染物</w:t>
            </w:r>
            <w:r>
              <w:rPr>
                <w:rFonts w:hint="eastAsia"/>
                <w:sz w:val="24"/>
              </w:rPr>
              <w:t>。</w:t>
            </w:r>
          </w:p>
          <w:p w14:paraId="3316B20E">
            <w:pPr>
              <w:spacing w:line="360" w:lineRule="auto"/>
              <w:ind w:firstLine="482"/>
              <w:rPr>
                <w:rFonts w:eastAsia="黑体"/>
                <w:kern w:val="0"/>
                <w:sz w:val="24"/>
              </w:rPr>
            </w:pPr>
            <w:r>
              <w:rPr>
                <w:rFonts w:eastAsia="黑体"/>
                <w:kern w:val="0"/>
                <w:sz w:val="24"/>
              </w:rPr>
              <w:t>1、施工期大气环境影响分析</w:t>
            </w:r>
          </w:p>
          <w:p w14:paraId="6A81E024">
            <w:pPr>
              <w:spacing w:line="360" w:lineRule="auto"/>
              <w:ind w:firstLine="482"/>
              <w:rPr>
                <w:rFonts w:asciiTheme="minorEastAsia" w:hAnsiTheme="minorEastAsia" w:eastAsiaTheme="minorEastAsia"/>
                <w:kern w:val="0"/>
                <w:sz w:val="24"/>
              </w:rPr>
            </w:pPr>
            <w:r>
              <w:rPr>
                <w:rFonts w:hAnsiTheme="minorEastAsia" w:eastAsiaTheme="minorEastAsia"/>
                <w:kern w:val="0"/>
                <w:sz w:val="24"/>
              </w:rPr>
              <w:t>施工期对环境空气质量造成污染的主要是扬尘。为</w:t>
            </w:r>
            <w:r>
              <w:rPr>
                <w:rFonts w:hint="eastAsia" w:hAnsiTheme="minorEastAsia" w:eastAsiaTheme="minorEastAsia"/>
                <w:kern w:val="0"/>
                <w:sz w:val="24"/>
              </w:rPr>
              <w:t>控制</w:t>
            </w:r>
            <w:r>
              <w:rPr>
                <w:rFonts w:hAnsiTheme="minorEastAsia" w:eastAsiaTheme="minorEastAsia"/>
                <w:kern w:val="0"/>
                <w:sz w:val="24"/>
              </w:rPr>
              <w:t>项目建设对环境空气的污染，评价建议项目在施工期严格执行《河南省建筑施工现场扬尘防治管理暂行规定》、《</w:t>
            </w:r>
            <w:r>
              <w:rPr>
                <w:rFonts w:hint="eastAsia" w:hAnsiTheme="minorEastAsia" w:eastAsiaTheme="minorEastAsia"/>
                <w:kern w:val="0"/>
                <w:sz w:val="24"/>
              </w:rPr>
              <w:t>河南省2025年蓝天保卫战实施方案</w:t>
            </w:r>
            <w:r>
              <w:rPr>
                <w:rFonts w:hAnsiTheme="minorEastAsia" w:eastAsiaTheme="minorEastAsia"/>
                <w:kern w:val="0"/>
                <w:sz w:val="24"/>
              </w:rPr>
              <w:t>》等文件对建筑施工扬尘的要求，</w:t>
            </w:r>
            <w:r>
              <w:rPr>
                <w:rFonts w:asciiTheme="majorEastAsia" w:hAnsiTheme="majorEastAsia" w:eastAsiaTheme="majorEastAsia"/>
                <w:sz w:val="24"/>
              </w:rPr>
              <w:t>确保实现“六不开工”、“六个到位”、“</w:t>
            </w:r>
            <w:r>
              <w:rPr>
                <w:rFonts w:hint="eastAsia" w:asciiTheme="majorEastAsia" w:hAnsiTheme="majorEastAsia" w:eastAsiaTheme="majorEastAsia"/>
                <w:sz w:val="24"/>
              </w:rPr>
              <w:t>六</w:t>
            </w:r>
            <w:r>
              <w:rPr>
                <w:rFonts w:asciiTheme="majorEastAsia" w:hAnsiTheme="majorEastAsia" w:eastAsiaTheme="majorEastAsia"/>
                <w:sz w:val="24"/>
              </w:rPr>
              <w:t>个百分之百”和“两禁止”要求</w:t>
            </w:r>
            <w:r>
              <w:rPr>
                <w:sz w:val="24"/>
              </w:rPr>
              <w:t>。</w:t>
            </w:r>
          </w:p>
          <w:p w14:paraId="6417C06C">
            <w:pPr>
              <w:spacing w:line="360" w:lineRule="auto"/>
              <w:ind w:firstLine="482"/>
              <w:rPr>
                <w:rFonts w:asciiTheme="minorEastAsia" w:hAnsiTheme="minorEastAsia" w:eastAsiaTheme="minorEastAsia"/>
                <w:kern w:val="0"/>
                <w:sz w:val="24"/>
              </w:rPr>
            </w:pPr>
            <w:r>
              <w:rPr>
                <w:rFonts w:asciiTheme="minorEastAsia" w:hAnsiTheme="minorEastAsia" w:eastAsiaTheme="minorEastAsia"/>
                <w:kern w:val="0"/>
                <w:sz w:val="24"/>
              </w:rPr>
              <w:t>为控制扬尘的影响，建设单位应严格采取以下施工污染防治措施：</w:t>
            </w:r>
          </w:p>
          <w:p w14:paraId="46DFD485">
            <w:pPr>
              <w:spacing w:line="360" w:lineRule="auto"/>
              <w:ind w:firstLine="482"/>
              <w:rPr>
                <w:rFonts w:asciiTheme="minorEastAsia" w:hAnsiTheme="minorEastAsia" w:eastAsiaTheme="minorEastAsia"/>
                <w:kern w:val="0"/>
                <w:sz w:val="24"/>
              </w:rPr>
            </w:pPr>
            <w:r>
              <w:rPr>
                <w:rFonts w:asciiTheme="minorEastAsia" w:hAnsiTheme="minorEastAsia" w:eastAsiaTheme="minorEastAsia"/>
                <w:kern w:val="0"/>
                <w:sz w:val="24"/>
              </w:rPr>
              <w:t>①施工现场设置环境保护牌，标明扬尘污染防治措施、主管部门、责任人及环保监督电话等，严格落实“三员”（管理员、监督员、网格员）管理制度；</w:t>
            </w:r>
          </w:p>
          <w:p w14:paraId="556C6AE2">
            <w:pPr>
              <w:spacing w:line="360" w:lineRule="auto"/>
              <w:ind w:firstLine="482"/>
              <w:rPr>
                <w:rFonts w:asciiTheme="minorEastAsia" w:hAnsiTheme="minorEastAsia" w:eastAsiaTheme="minorEastAsia"/>
                <w:kern w:val="0"/>
                <w:sz w:val="24"/>
              </w:rPr>
            </w:pPr>
            <w:r>
              <w:rPr>
                <w:rFonts w:asciiTheme="minorEastAsia" w:hAnsiTheme="minorEastAsia" w:eastAsiaTheme="minorEastAsia"/>
                <w:kern w:val="0"/>
                <w:sz w:val="24"/>
              </w:rPr>
              <w:t>②施工现场四周连续设置稳固、整齐、</w:t>
            </w:r>
            <w:r>
              <w:rPr>
                <w:rFonts w:hAnsiTheme="minorEastAsia" w:eastAsiaTheme="minorEastAsia"/>
                <w:kern w:val="0"/>
                <w:sz w:val="24"/>
              </w:rPr>
              <w:t>美观的</w:t>
            </w:r>
            <w:r>
              <w:rPr>
                <w:rFonts w:eastAsiaTheme="minorEastAsia"/>
                <w:kern w:val="0"/>
                <w:sz w:val="24"/>
              </w:rPr>
              <w:t>2.5m</w:t>
            </w:r>
            <w:r>
              <w:rPr>
                <w:rFonts w:hAnsiTheme="minorEastAsia" w:eastAsiaTheme="minorEastAsia"/>
                <w:kern w:val="0"/>
                <w:sz w:val="24"/>
              </w:rPr>
              <w:t>高围挡（墙）。围挡（墙）间无缝隙，底部设置不低</w:t>
            </w:r>
            <w:r>
              <w:rPr>
                <w:rFonts w:eastAsiaTheme="minorEastAsia"/>
                <w:kern w:val="0"/>
                <w:sz w:val="24"/>
              </w:rPr>
              <w:t>于20cm的防</w:t>
            </w:r>
            <w:r>
              <w:rPr>
                <w:rFonts w:hAnsiTheme="minorEastAsia" w:eastAsiaTheme="minorEastAsia"/>
                <w:kern w:val="0"/>
                <w:sz w:val="24"/>
              </w:rPr>
              <w:t>溢座以防止粉尘流失，顶端</w:t>
            </w:r>
            <w:r>
              <w:rPr>
                <w:rFonts w:asciiTheme="minorEastAsia" w:hAnsiTheme="minorEastAsia" w:eastAsiaTheme="minorEastAsia"/>
                <w:kern w:val="0"/>
                <w:sz w:val="24"/>
              </w:rPr>
              <w:t>设置压顶；</w:t>
            </w:r>
          </w:p>
          <w:p w14:paraId="23EC3C1D">
            <w:pPr>
              <w:spacing w:line="360" w:lineRule="auto"/>
              <w:ind w:firstLine="482"/>
              <w:rPr>
                <w:rFonts w:asciiTheme="minorEastAsia" w:hAnsiTheme="minorEastAsia" w:eastAsiaTheme="minorEastAsia"/>
                <w:kern w:val="0"/>
                <w:sz w:val="24"/>
              </w:rPr>
            </w:pPr>
            <w:r>
              <w:rPr>
                <w:rFonts w:asciiTheme="minorEastAsia" w:hAnsiTheme="minorEastAsia" w:eastAsiaTheme="minorEastAsia"/>
                <w:kern w:val="0"/>
                <w:sz w:val="24"/>
              </w:rPr>
              <w:t>③施工物料在室外存放要用苫布遮挡，对易起尘物料实行库存或加盖苫布；水泥和石灰等粉状建筑材料采用罐车散装运输；无法及时清运的渣土，要集中整齐堆放，并用遮挡物进行覆盖，施工结束后渣土必须清运完毕；</w:t>
            </w:r>
          </w:p>
          <w:p w14:paraId="03573B93">
            <w:pPr>
              <w:spacing w:line="360" w:lineRule="auto"/>
              <w:ind w:firstLine="482"/>
              <w:rPr>
                <w:rFonts w:asciiTheme="minorEastAsia" w:hAnsiTheme="minorEastAsia" w:eastAsiaTheme="minorEastAsia"/>
                <w:kern w:val="0"/>
                <w:sz w:val="24"/>
              </w:rPr>
            </w:pPr>
            <w:r>
              <w:rPr>
                <w:rFonts w:asciiTheme="minorEastAsia" w:hAnsiTheme="minorEastAsia" w:eastAsiaTheme="minorEastAsia"/>
                <w:kern w:val="0"/>
                <w:sz w:val="24"/>
              </w:rPr>
              <w:t>④现场开挖必须辅以持续加压洒水或喷淋措施，以抑制扬尘飞散；开挖的翻渣和垃圾清运，应采取洒水或喷淋措施；出现五级及以上大风天气，必须采取防扬尘应急措施，且不得进行土方开挖、回填、转运作业及工程拆除等作业；建立洒水清扫制度，指定专人负责洒水和清扫工作；</w:t>
            </w:r>
          </w:p>
          <w:p w14:paraId="0CFB88C7">
            <w:pPr>
              <w:spacing w:line="360" w:lineRule="auto"/>
              <w:ind w:firstLine="482"/>
              <w:rPr>
                <w:rFonts w:asciiTheme="minorEastAsia" w:hAnsiTheme="minorEastAsia" w:eastAsiaTheme="minorEastAsia"/>
                <w:kern w:val="0"/>
                <w:sz w:val="24"/>
              </w:rPr>
            </w:pPr>
            <w:r>
              <w:rPr>
                <w:rFonts w:asciiTheme="minorEastAsia" w:hAnsiTheme="minorEastAsia" w:eastAsiaTheme="minorEastAsia"/>
                <w:kern w:val="0"/>
                <w:sz w:val="24"/>
              </w:rPr>
              <w:t>⑤施工现场地坪必须进行硬化处理，施工现场出入口处要设置冲洗车轮的设施，由专人负责清扫（洗）车身及出入口卫生，确保出入车辆不带泥土出厂；</w:t>
            </w:r>
          </w:p>
          <w:p w14:paraId="5453ED0A">
            <w:pPr>
              <w:spacing w:line="360" w:lineRule="auto"/>
              <w:ind w:firstLine="482"/>
              <w:rPr>
                <w:rFonts w:asciiTheme="minorEastAsia" w:hAnsiTheme="minorEastAsia" w:eastAsiaTheme="minorEastAsia"/>
                <w:kern w:val="0"/>
                <w:sz w:val="24"/>
              </w:rPr>
            </w:pPr>
            <w:r>
              <w:rPr>
                <w:rFonts w:asciiTheme="minorEastAsia" w:hAnsiTheme="minorEastAsia" w:eastAsiaTheme="minorEastAsia"/>
                <w:kern w:val="0"/>
                <w:sz w:val="24"/>
              </w:rPr>
              <w:t>⑥施工现场必须设立垃圾站，并及时回收、清运垃圾及工程废土；使用预拌混凝土，禁止现场搅拌，禁止现场消化石灰、拌合成土或其他有严重粉尘污染的作业；</w:t>
            </w:r>
          </w:p>
          <w:p w14:paraId="2863298D">
            <w:pPr>
              <w:spacing w:line="360" w:lineRule="auto"/>
              <w:ind w:firstLine="482"/>
              <w:rPr>
                <w:kern w:val="0"/>
                <w:sz w:val="24"/>
              </w:rPr>
            </w:pPr>
            <w:r>
              <w:rPr>
                <w:rFonts w:asciiTheme="minorEastAsia" w:hAnsiTheme="minorEastAsia" w:eastAsiaTheme="minorEastAsia"/>
                <w:kern w:val="0"/>
                <w:sz w:val="24"/>
              </w:rPr>
              <w:t>⑦强化渣土车等物料运输车辆扬尘治理。所有渣土车等物料运输车辆必须资格手续齐全，安装实时在线定位系统，严格实行挖、堆、运全过程监控、全面达到无外</w:t>
            </w:r>
            <w:r>
              <w:rPr>
                <w:kern w:val="0"/>
                <w:sz w:val="24"/>
              </w:rPr>
              <w:t>露、无遗撒、无高尖，严禁“跑冒滴漏”和野蛮驾驶。必须为全封密高封闭性能的新能智能环保车辆。运输车辆要完好、装载不宜过满、对易起尘物料加盖蓬布、控制车速、减少卸料落差等。</w:t>
            </w:r>
          </w:p>
          <w:p w14:paraId="0DA63704">
            <w:pPr>
              <w:spacing w:line="360" w:lineRule="auto"/>
              <w:ind w:firstLine="480" w:firstLineChars="200"/>
              <w:jc w:val="left"/>
              <w:rPr>
                <w:sz w:val="24"/>
              </w:rPr>
            </w:pPr>
            <w:r>
              <w:rPr>
                <w:rFonts w:hint="eastAsia"/>
                <w:sz w:val="24"/>
              </w:rPr>
              <w:t>经采取以上措施，项目施工期废气对周围环境空气影响较小。</w:t>
            </w:r>
          </w:p>
          <w:p w14:paraId="52A9F09B">
            <w:pPr>
              <w:spacing w:line="336" w:lineRule="auto"/>
              <w:ind w:firstLine="482" w:firstLineChars="200"/>
              <w:jc w:val="left"/>
              <w:rPr>
                <w:b/>
                <w:sz w:val="24"/>
              </w:rPr>
            </w:pPr>
            <w:r>
              <w:rPr>
                <w:rFonts w:hint="eastAsia"/>
                <w:b/>
                <w:sz w:val="24"/>
              </w:rPr>
              <w:t>2、施工期废水</w:t>
            </w:r>
          </w:p>
          <w:p w14:paraId="1C41FBAA">
            <w:pPr>
              <w:pStyle w:val="11"/>
              <w:snapToGrid w:val="0"/>
              <w:spacing w:line="360" w:lineRule="auto"/>
              <w:ind w:firstLine="480"/>
              <w:rPr>
                <w:bCs w:val="0"/>
                <w:sz w:val="24"/>
              </w:rPr>
            </w:pPr>
            <w:r>
              <w:rPr>
                <w:rFonts w:hint="eastAsia"/>
                <w:bCs w:val="0"/>
                <w:snapToGrid w:val="0"/>
                <w:kern w:val="0"/>
                <w:sz w:val="24"/>
              </w:rPr>
              <w:t>（</w:t>
            </w:r>
            <w:r>
              <w:rPr>
                <w:bCs w:val="0"/>
                <w:snapToGrid w:val="0"/>
                <w:kern w:val="0"/>
                <w:sz w:val="24"/>
              </w:rPr>
              <w:t>1</w:t>
            </w:r>
            <w:r>
              <w:rPr>
                <w:rFonts w:hint="eastAsia"/>
                <w:bCs w:val="0"/>
                <w:snapToGrid w:val="0"/>
                <w:kern w:val="0"/>
                <w:sz w:val="24"/>
              </w:rPr>
              <w:t>）施工废水</w:t>
            </w:r>
          </w:p>
          <w:p w14:paraId="63AB7859">
            <w:pPr>
              <w:snapToGrid w:val="0"/>
              <w:spacing w:line="360" w:lineRule="auto"/>
              <w:ind w:firstLine="480" w:firstLineChars="200"/>
              <w:rPr>
                <w:kern w:val="0"/>
                <w:sz w:val="24"/>
              </w:rPr>
            </w:pPr>
            <w:r>
              <w:rPr>
                <w:rFonts w:hint="eastAsia"/>
                <w:kern w:val="0"/>
                <w:sz w:val="24"/>
              </w:rPr>
              <w:t>施工期产生的废水污染源主要为施工废水，</w:t>
            </w:r>
            <w:r>
              <w:rPr>
                <w:kern w:val="0"/>
                <w:sz w:val="24"/>
              </w:rPr>
              <w:t>包括</w:t>
            </w:r>
            <w:r>
              <w:rPr>
                <w:rFonts w:hint="eastAsia"/>
                <w:bCs/>
                <w:kern w:val="0"/>
                <w:sz w:val="24"/>
              </w:rPr>
              <w:t>车辆冲洗废水、砂石料冲洗废水等</w:t>
            </w:r>
            <w:r>
              <w:rPr>
                <w:rFonts w:hint="eastAsia"/>
                <w:kern w:val="0"/>
                <w:sz w:val="24"/>
              </w:rPr>
              <w:t>，</w:t>
            </w:r>
            <w:r>
              <w:rPr>
                <w:kern w:val="0"/>
                <w:sz w:val="24"/>
              </w:rPr>
              <w:t>其主要污染物为悬浮物</w:t>
            </w:r>
            <w:r>
              <w:rPr>
                <w:rFonts w:hint="eastAsia"/>
                <w:kern w:val="0"/>
                <w:sz w:val="24"/>
              </w:rPr>
              <w:t>。</w:t>
            </w:r>
            <w:r>
              <w:rPr>
                <w:rFonts w:hint="eastAsia"/>
                <w:bCs/>
                <w:kern w:val="0"/>
                <w:sz w:val="24"/>
              </w:rPr>
              <w:t>施工期间修建临时废水沉淀池，施工废水经沉淀池沉淀后作为施工用水或场地洒水降尘使用，不外排，节约用水的同时减轻对周围环境的污染。</w:t>
            </w:r>
          </w:p>
          <w:p w14:paraId="37659FF1">
            <w:pPr>
              <w:snapToGrid w:val="0"/>
              <w:spacing w:line="360" w:lineRule="auto"/>
              <w:ind w:firstLine="480" w:firstLineChars="200"/>
              <w:rPr>
                <w:bCs/>
                <w:kern w:val="0"/>
                <w:sz w:val="24"/>
              </w:rPr>
            </w:pPr>
            <w:r>
              <w:rPr>
                <w:rFonts w:hint="eastAsia"/>
                <w:kern w:val="0"/>
                <w:sz w:val="24"/>
              </w:rPr>
              <w:t>（2）生活污水</w:t>
            </w:r>
          </w:p>
          <w:p w14:paraId="35BED8CD">
            <w:pPr>
              <w:adjustRightInd w:val="0"/>
              <w:snapToGrid w:val="0"/>
              <w:spacing w:line="360" w:lineRule="auto"/>
              <w:ind w:firstLine="480" w:firstLineChars="200"/>
              <w:rPr>
                <w:bCs/>
                <w:kern w:val="0"/>
                <w:sz w:val="24"/>
              </w:rPr>
            </w:pPr>
            <w:r>
              <w:rPr>
                <w:rFonts w:hint="eastAsia"/>
                <w:bCs/>
                <w:kern w:val="0"/>
                <w:sz w:val="24"/>
              </w:rPr>
              <w:t>本项目施工人员均不在施工场地食宿，生活污水主要为施工人员的盥洗水，主要污染物是</w:t>
            </w:r>
            <w:r>
              <w:rPr>
                <w:bCs/>
                <w:kern w:val="0"/>
                <w:sz w:val="24"/>
              </w:rPr>
              <w:t>COD</w:t>
            </w:r>
            <w:r>
              <w:rPr>
                <w:rFonts w:hint="eastAsia"/>
                <w:bCs/>
                <w:kern w:val="0"/>
                <w:sz w:val="24"/>
              </w:rPr>
              <w:t>、</w:t>
            </w:r>
            <w:r>
              <w:rPr>
                <w:bCs/>
                <w:kern w:val="0"/>
                <w:sz w:val="24"/>
              </w:rPr>
              <w:t>BOD</w:t>
            </w:r>
            <w:r>
              <w:rPr>
                <w:bCs/>
                <w:kern w:val="0"/>
                <w:sz w:val="24"/>
                <w:vertAlign w:val="subscript"/>
              </w:rPr>
              <w:t>5</w:t>
            </w:r>
            <w:r>
              <w:rPr>
                <w:rFonts w:hint="eastAsia"/>
                <w:bCs/>
                <w:kern w:val="0"/>
                <w:sz w:val="24"/>
              </w:rPr>
              <w:t>、</w:t>
            </w:r>
            <w:r>
              <w:rPr>
                <w:bCs/>
                <w:kern w:val="0"/>
                <w:sz w:val="24"/>
              </w:rPr>
              <w:t>SS</w:t>
            </w:r>
            <w:r>
              <w:rPr>
                <w:rFonts w:hint="eastAsia"/>
                <w:bCs/>
                <w:kern w:val="0"/>
                <w:sz w:val="24"/>
              </w:rPr>
              <w:t>、</w:t>
            </w:r>
            <w:r>
              <w:rPr>
                <w:bCs/>
                <w:kern w:val="0"/>
                <w:sz w:val="24"/>
              </w:rPr>
              <w:t>氨氮</w:t>
            </w:r>
            <w:r>
              <w:rPr>
                <w:rFonts w:hint="eastAsia"/>
                <w:bCs/>
                <w:kern w:val="0"/>
                <w:sz w:val="24"/>
              </w:rPr>
              <w:t>等。项目厂区</w:t>
            </w:r>
            <w:r>
              <w:rPr>
                <w:bCs/>
                <w:kern w:val="0"/>
                <w:sz w:val="24"/>
              </w:rPr>
              <w:t>设置厕所，生活污水收集</w:t>
            </w:r>
            <w:r>
              <w:rPr>
                <w:rFonts w:hint="eastAsia"/>
                <w:bCs/>
                <w:kern w:val="0"/>
                <w:sz w:val="24"/>
              </w:rPr>
              <w:t>于厂区化粪池处理后定期外运</w:t>
            </w:r>
            <w:r>
              <w:rPr>
                <w:bCs/>
                <w:kern w:val="0"/>
                <w:sz w:val="24"/>
              </w:rPr>
              <w:t>。</w:t>
            </w:r>
          </w:p>
          <w:p w14:paraId="054F5980">
            <w:pPr>
              <w:snapToGrid w:val="0"/>
              <w:spacing w:line="360" w:lineRule="auto"/>
              <w:ind w:firstLine="480" w:firstLineChars="200"/>
            </w:pPr>
            <w:r>
              <w:rPr>
                <w:rFonts w:hint="eastAsia"/>
                <w:kern w:val="0"/>
                <w:sz w:val="24"/>
              </w:rPr>
              <w:t>采取措施后，施工期废水对周围环境影响较小。</w:t>
            </w:r>
          </w:p>
          <w:p w14:paraId="49B40622">
            <w:pPr>
              <w:spacing w:line="336" w:lineRule="auto"/>
              <w:ind w:firstLine="482" w:firstLineChars="200"/>
              <w:jc w:val="left"/>
              <w:rPr>
                <w:b/>
                <w:color w:val="000000"/>
                <w:sz w:val="24"/>
              </w:rPr>
            </w:pPr>
            <w:r>
              <w:rPr>
                <w:rFonts w:hint="eastAsia"/>
                <w:b/>
                <w:sz w:val="24"/>
              </w:rPr>
              <w:t>3、</w:t>
            </w:r>
            <w:r>
              <w:rPr>
                <w:rFonts w:hint="eastAsia"/>
                <w:b/>
                <w:color w:val="000000"/>
                <w:sz w:val="24"/>
              </w:rPr>
              <w:t>施工期噪声</w:t>
            </w:r>
          </w:p>
          <w:p w14:paraId="289A9B78">
            <w:pPr>
              <w:spacing w:line="360" w:lineRule="auto"/>
              <w:ind w:firstLine="482"/>
              <w:rPr>
                <w:sz w:val="24"/>
              </w:rPr>
            </w:pPr>
            <w:r>
              <w:rPr>
                <w:sz w:val="24"/>
              </w:rPr>
              <w:t>施工现场的噪声主要为施工机械设备噪声，物料装缷等。由于建筑施工是露天作业，流动性和间歇性较强，因此评价结合施工特点，对一些重点噪声设备和声源，提出如下治理措施和建议：</w:t>
            </w:r>
          </w:p>
          <w:p w14:paraId="5575E5B5">
            <w:pPr>
              <w:spacing w:line="360" w:lineRule="auto"/>
              <w:ind w:firstLine="480" w:firstLineChars="200"/>
              <w:rPr>
                <w:rFonts w:asciiTheme="minorEastAsia" w:hAnsiTheme="minorEastAsia" w:eastAsiaTheme="minorEastAsia"/>
                <w:kern w:val="0"/>
                <w:sz w:val="24"/>
              </w:rPr>
            </w:pPr>
            <w:r>
              <w:rPr>
                <w:rFonts w:asciiTheme="minorEastAsia" w:hAnsiTheme="minorEastAsia" w:eastAsiaTheme="minorEastAsia"/>
                <w:kern w:val="0"/>
                <w:sz w:val="24"/>
              </w:rPr>
              <w:t>①加强施工管理，合理安排作业时间，应避免在夜</w:t>
            </w:r>
            <w:r>
              <w:rPr>
                <w:rFonts w:hAnsiTheme="minorEastAsia" w:eastAsiaTheme="minorEastAsia"/>
                <w:kern w:val="0"/>
                <w:sz w:val="24"/>
              </w:rPr>
              <w:t>间（</w:t>
            </w:r>
            <w:r>
              <w:rPr>
                <w:rFonts w:eastAsiaTheme="minorEastAsia"/>
                <w:kern w:val="0"/>
                <w:sz w:val="24"/>
              </w:rPr>
              <w:t>22:00~6:00</w:t>
            </w:r>
            <w:r>
              <w:rPr>
                <w:rFonts w:hAnsiTheme="minorEastAsia" w:eastAsiaTheme="minorEastAsia"/>
                <w:kern w:val="0"/>
                <w:sz w:val="24"/>
              </w:rPr>
              <w:t>）以</w:t>
            </w:r>
            <w:r>
              <w:rPr>
                <w:rFonts w:asciiTheme="minorEastAsia" w:hAnsiTheme="minorEastAsia" w:eastAsiaTheme="minorEastAsia"/>
                <w:kern w:val="0"/>
                <w:sz w:val="24"/>
              </w:rPr>
              <w:t>及午休时间</w:t>
            </w:r>
            <w:r>
              <w:rPr>
                <w:rFonts w:hAnsiTheme="minorEastAsia" w:eastAsiaTheme="minorEastAsia"/>
                <w:kern w:val="0"/>
                <w:sz w:val="24"/>
              </w:rPr>
              <w:t>（</w:t>
            </w:r>
            <w:r>
              <w:rPr>
                <w:rFonts w:eastAsiaTheme="minorEastAsia"/>
                <w:kern w:val="0"/>
                <w:sz w:val="24"/>
              </w:rPr>
              <w:t>12:00~14:00</w:t>
            </w:r>
            <w:r>
              <w:rPr>
                <w:rFonts w:hAnsiTheme="minorEastAsia" w:eastAsiaTheme="minorEastAsia"/>
                <w:kern w:val="0"/>
                <w:sz w:val="24"/>
              </w:rPr>
              <w:t>）</w:t>
            </w:r>
            <w:r>
              <w:rPr>
                <w:rFonts w:asciiTheme="minorEastAsia" w:hAnsiTheme="minorEastAsia" w:eastAsiaTheme="minorEastAsia"/>
                <w:kern w:val="0"/>
                <w:sz w:val="24"/>
              </w:rPr>
              <w:t>进行产生强噪声污染、干扰周围居民生活的建筑施工作业；</w:t>
            </w:r>
          </w:p>
          <w:p w14:paraId="5F4629EF">
            <w:pPr>
              <w:spacing w:line="360" w:lineRule="auto"/>
              <w:ind w:firstLine="480" w:firstLineChars="200"/>
              <w:rPr>
                <w:rFonts w:asciiTheme="minorEastAsia" w:hAnsiTheme="minorEastAsia" w:eastAsiaTheme="minorEastAsia"/>
                <w:kern w:val="0"/>
                <w:sz w:val="24"/>
              </w:rPr>
            </w:pPr>
            <w:r>
              <w:rPr>
                <w:rFonts w:asciiTheme="minorEastAsia" w:hAnsiTheme="minorEastAsia" w:eastAsiaTheme="minorEastAsia"/>
                <w:kern w:val="0"/>
                <w:sz w:val="24"/>
              </w:rPr>
              <w:t>②尽量采用低噪声施工设备和噪声低的施工方法；</w:t>
            </w:r>
          </w:p>
          <w:p w14:paraId="283438F4">
            <w:pPr>
              <w:spacing w:line="360" w:lineRule="auto"/>
              <w:ind w:firstLine="480" w:firstLineChars="200"/>
              <w:rPr>
                <w:rFonts w:asciiTheme="minorEastAsia" w:hAnsiTheme="minorEastAsia" w:eastAsiaTheme="minorEastAsia"/>
                <w:kern w:val="0"/>
                <w:sz w:val="24"/>
              </w:rPr>
            </w:pPr>
            <w:r>
              <w:rPr>
                <w:rFonts w:asciiTheme="minorEastAsia" w:hAnsiTheme="minorEastAsia" w:eastAsiaTheme="minorEastAsia"/>
                <w:kern w:val="0"/>
                <w:sz w:val="24"/>
              </w:rPr>
              <w:t>③作业时在高噪声设备周围设置屏蔽；</w:t>
            </w:r>
          </w:p>
          <w:p w14:paraId="3E877C9E">
            <w:pPr>
              <w:spacing w:line="336" w:lineRule="auto"/>
              <w:ind w:firstLine="480" w:firstLineChars="200"/>
              <w:jc w:val="left"/>
              <w:rPr>
                <w:kern w:val="0"/>
                <w:sz w:val="24"/>
              </w:rPr>
            </w:pPr>
            <w:r>
              <w:rPr>
                <w:rFonts w:asciiTheme="minorEastAsia" w:hAnsiTheme="minorEastAsia" w:eastAsiaTheme="minorEastAsia"/>
                <w:kern w:val="0"/>
                <w:sz w:val="24"/>
              </w:rPr>
              <w:t>④加强运输车辆的</w:t>
            </w:r>
            <w:r>
              <w:rPr>
                <w:kern w:val="0"/>
                <w:sz w:val="24"/>
              </w:rPr>
              <w:t>管理，建材等运输尽量在白天进行，并控制车辆鸣笛。</w:t>
            </w:r>
          </w:p>
          <w:p w14:paraId="0560AB22">
            <w:pPr>
              <w:spacing w:line="336" w:lineRule="auto"/>
              <w:ind w:firstLine="482" w:firstLineChars="200"/>
              <w:jc w:val="left"/>
              <w:rPr>
                <w:b/>
                <w:sz w:val="24"/>
              </w:rPr>
            </w:pPr>
            <w:r>
              <w:rPr>
                <w:rFonts w:hint="eastAsia"/>
                <w:b/>
                <w:sz w:val="24"/>
              </w:rPr>
              <w:t>4、施工期固体废弃物</w:t>
            </w:r>
          </w:p>
          <w:p w14:paraId="41C5CD37">
            <w:pPr>
              <w:spacing w:line="336" w:lineRule="auto"/>
              <w:ind w:firstLine="480" w:firstLineChars="200"/>
              <w:rPr>
                <w:color w:val="000000"/>
                <w:sz w:val="24"/>
              </w:rPr>
            </w:pPr>
            <w:r>
              <w:rPr>
                <w:rFonts w:hint="eastAsia"/>
                <w:color w:val="000000"/>
                <w:sz w:val="24"/>
              </w:rPr>
              <w:t>施工期会产生建筑垃圾、生活垃圾等。</w:t>
            </w:r>
            <w:r>
              <w:rPr>
                <w:color w:val="000000"/>
                <w:sz w:val="24"/>
              </w:rPr>
              <w:t>如果处理不当会对环境造成影响，评价建议企对施工期固废采取以下污染防治措施：</w:t>
            </w:r>
          </w:p>
          <w:p w14:paraId="50F4DC7B">
            <w:pPr>
              <w:spacing w:line="336" w:lineRule="auto"/>
              <w:ind w:firstLine="480" w:firstLineChars="200"/>
              <w:rPr>
                <w:color w:val="000000"/>
                <w:sz w:val="24"/>
              </w:rPr>
            </w:pPr>
            <w:r>
              <w:rPr>
                <w:color w:val="000000"/>
                <w:sz w:val="24"/>
              </w:rPr>
              <w:t>（1）工程完工后临时设施拆除时应防止扬尘、噪声及废弃物污染。</w:t>
            </w:r>
          </w:p>
          <w:p w14:paraId="5D074A90">
            <w:pPr>
              <w:spacing w:line="336" w:lineRule="auto"/>
              <w:ind w:firstLine="480" w:firstLineChars="200"/>
              <w:rPr>
                <w:color w:val="000000"/>
                <w:sz w:val="24"/>
              </w:rPr>
            </w:pPr>
            <w:r>
              <w:rPr>
                <w:color w:val="000000"/>
                <w:sz w:val="24"/>
              </w:rPr>
              <w:t>（2）将施工废弃物彻底清除处理，移至渣场，或运送至规定的地点进行堆放或填埋，对其中具有利用价值的加以回收，生活垃圾送到垃圾处置点，由市政环卫部门统一填埋。</w:t>
            </w:r>
          </w:p>
          <w:p w14:paraId="4708CB07">
            <w:pPr>
              <w:spacing w:line="336" w:lineRule="auto"/>
              <w:ind w:firstLine="480" w:firstLineChars="200"/>
              <w:rPr>
                <w:color w:val="000000"/>
                <w:sz w:val="24"/>
              </w:rPr>
            </w:pPr>
            <w:r>
              <w:rPr>
                <w:color w:val="000000"/>
                <w:sz w:val="24"/>
              </w:rPr>
              <w:t>综上，施工期的环境影响是短期的，并且受人为和自然条件的影响较大，因此应加强对施工现场的管理，并采取有效的防护措施最大限度地减少施工期间对周围环境的影响。</w:t>
            </w:r>
          </w:p>
        </w:tc>
      </w:tr>
    </w:tbl>
    <w:p w14:paraId="617E826A">
      <w:pPr>
        <w:widowControl/>
        <w:jc w:val="left"/>
        <w:rPr>
          <w:rFonts w:ascii="黑体" w:hAnsi="黑体" w:eastAsia="黑体"/>
          <w:snapToGrid w:val="0"/>
          <w:kern w:val="0"/>
          <w:sz w:val="30"/>
          <w:szCs w:val="30"/>
        </w:rPr>
      </w:pPr>
    </w:p>
    <w:p w14:paraId="536B8088">
      <w:pPr>
        <w:pStyle w:val="25"/>
        <w:outlineLvl w:val="0"/>
        <w:rPr>
          <w:rFonts w:ascii="黑体" w:hAnsi="黑体" w:eastAsia="黑体"/>
          <w:snapToGrid w:val="0"/>
          <w:sz w:val="30"/>
          <w:szCs w:val="30"/>
        </w:rPr>
        <w:sectPr>
          <w:pgSz w:w="11907" w:h="16840"/>
          <w:pgMar w:top="1701" w:right="1531" w:bottom="2127" w:left="1531" w:header="851" w:footer="851" w:gutter="0"/>
          <w:cols w:space="720" w:num="1"/>
          <w:docGrid w:linePitch="312" w:charSpace="0"/>
        </w:sectPr>
      </w:pPr>
    </w:p>
    <w:tbl>
      <w:tblPr>
        <w:tblStyle w:val="29"/>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776"/>
        <w:gridCol w:w="12372"/>
      </w:tblGrid>
      <w:tr w14:paraId="31FE67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16" w:hRule="atLeast"/>
          <w:jc w:val="center"/>
        </w:trPr>
        <w:tc>
          <w:tcPr>
            <w:tcW w:w="295" w:type="pct"/>
            <w:tcMar>
              <w:left w:w="28" w:type="dxa"/>
              <w:right w:w="28" w:type="dxa"/>
            </w:tcMar>
            <w:vAlign w:val="center"/>
          </w:tcPr>
          <w:p w14:paraId="5CA93177">
            <w:pPr>
              <w:adjustRightInd w:val="0"/>
              <w:snapToGrid w:val="0"/>
              <w:jc w:val="center"/>
              <w:rPr>
                <w:bCs/>
                <w:sz w:val="24"/>
              </w:rPr>
            </w:pPr>
            <w:r>
              <w:rPr>
                <w:bCs/>
                <w:sz w:val="24"/>
              </w:rPr>
              <w:t>运营期环境影响和保护措施</w:t>
            </w:r>
          </w:p>
        </w:tc>
        <w:tc>
          <w:tcPr>
            <w:tcW w:w="4705" w:type="pct"/>
            <w:vAlign w:val="center"/>
          </w:tcPr>
          <w:p w14:paraId="7CAF15B8">
            <w:pPr>
              <w:spacing w:line="360" w:lineRule="auto"/>
              <w:ind w:firstLine="482" w:firstLineChars="200"/>
              <w:jc w:val="left"/>
              <w:rPr>
                <w:sz w:val="24"/>
              </w:rPr>
            </w:pPr>
            <w:r>
              <w:rPr>
                <w:rFonts w:eastAsia="黑体"/>
                <w:b/>
                <w:sz w:val="24"/>
              </w:rPr>
              <w:t>1</w:t>
            </w:r>
            <w:r>
              <w:rPr>
                <w:rFonts w:hint="eastAsia" w:eastAsia="黑体"/>
                <w:b/>
                <w:sz w:val="24"/>
              </w:rPr>
              <w:t>、废气</w:t>
            </w:r>
          </w:p>
          <w:p w14:paraId="779A250E">
            <w:pPr>
              <w:spacing w:line="360" w:lineRule="auto"/>
              <w:ind w:firstLine="482" w:firstLineChars="200"/>
              <w:rPr>
                <w:b/>
                <w:sz w:val="24"/>
              </w:rPr>
            </w:pPr>
            <w:r>
              <w:rPr>
                <w:rFonts w:hint="eastAsia"/>
                <w:b/>
                <w:sz w:val="24"/>
              </w:rPr>
              <w:t>1.1废气产排情况</w:t>
            </w:r>
          </w:p>
          <w:p w14:paraId="5F309C92">
            <w:pPr>
              <w:spacing w:line="360" w:lineRule="auto"/>
              <w:ind w:firstLine="480" w:firstLineChars="200"/>
              <w:rPr>
                <w:sz w:val="24"/>
              </w:rPr>
            </w:pPr>
            <w:r>
              <w:rPr>
                <w:rFonts w:hint="eastAsia"/>
                <w:sz w:val="24"/>
              </w:rPr>
              <w:t>根据项目废气污染物源强核算，项目废气产排情况见表17。</w:t>
            </w:r>
          </w:p>
          <w:p w14:paraId="70CAC757">
            <w:pPr>
              <w:jc w:val="center"/>
              <w:rPr>
                <w:sz w:val="24"/>
              </w:rPr>
            </w:pPr>
            <w:r>
              <w:rPr>
                <w:rFonts w:hint="eastAsia"/>
                <w:b/>
                <w:bCs/>
                <w:sz w:val="24"/>
              </w:rPr>
              <w:t>表17     本次工程废气产排情况一览表</w:t>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22"/>
              <w:gridCol w:w="515"/>
              <w:gridCol w:w="520"/>
              <w:gridCol w:w="640"/>
              <w:gridCol w:w="804"/>
              <w:gridCol w:w="2432"/>
              <w:gridCol w:w="568"/>
              <w:gridCol w:w="469"/>
              <w:gridCol w:w="396"/>
              <w:gridCol w:w="471"/>
              <w:gridCol w:w="828"/>
              <w:gridCol w:w="629"/>
              <w:gridCol w:w="384"/>
              <w:gridCol w:w="640"/>
              <w:gridCol w:w="804"/>
              <w:gridCol w:w="991"/>
              <w:gridCol w:w="833"/>
            </w:tblGrid>
            <w:tr w14:paraId="2928B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32" w:hRule="atLeast"/>
                <w:jc w:val="center"/>
              </w:trPr>
              <w:tc>
                <w:tcPr>
                  <w:tcW w:w="91" w:type="pct"/>
                  <w:vMerge w:val="restart"/>
                  <w:vAlign w:val="center"/>
                </w:tcPr>
                <w:p w14:paraId="34DB8C53">
                  <w:pPr>
                    <w:widowControl/>
                    <w:adjustRightInd w:val="0"/>
                    <w:snapToGrid w:val="0"/>
                    <w:jc w:val="center"/>
                    <w:rPr>
                      <w:szCs w:val="21"/>
                    </w:rPr>
                  </w:pPr>
                  <w:r>
                    <w:rPr>
                      <w:szCs w:val="21"/>
                    </w:rPr>
                    <w:t>分类</w:t>
                  </w:r>
                </w:p>
              </w:tc>
              <w:tc>
                <w:tcPr>
                  <w:tcW w:w="212" w:type="pct"/>
                  <w:vMerge w:val="restart"/>
                  <w:vAlign w:val="center"/>
                </w:tcPr>
                <w:p w14:paraId="6742DB0E">
                  <w:pPr>
                    <w:widowControl/>
                    <w:adjustRightInd w:val="0"/>
                    <w:snapToGrid w:val="0"/>
                    <w:jc w:val="center"/>
                    <w:rPr>
                      <w:szCs w:val="21"/>
                    </w:rPr>
                  </w:pPr>
                  <w:r>
                    <w:rPr>
                      <w:szCs w:val="21"/>
                    </w:rPr>
                    <w:t>产污环节</w:t>
                  </w:r>
                </w:p>
              </w:tc>
              <w:tc>
                <w:tcPr>
                  <w:tcW w:w="214" w:type="pct"/>
                  <w:vMerge w:val="restart"/>
                  <w:vAlign w:val="center"/>
                </w:tcPr>
                <w:p w14:paraId="4DAC90A6">
                  <w:pPr>
                    <w:widowControl/>
                    <w:adjustRightInd w:val="0"/>
                    <w:snapToGrid w:val="0"/>
                    <w:jc w:val="center"/>
                    <w:rPr>
                      <w:szCs w:val="21"/>
                    </w:rPr>
                  </w:pPr>
                  <w:r>
                    <w:rPr>
                      <w:szCs w:val="21"/>
                    </w:rPr>
                    <w:t>污染物</w:t>
                  </w:r>
                </w:p>
                <w:p w14:paraId="1F5F01EB">
                  <w:pPr>
                    <w:widowControl/>
                    <w:adjustRightInd w:val="0"/>
                    <w:snapToGrid w:val="0"/>
                    <w:jc w:val="center"/>
                    <w:rPr>
                      <w:szCs w:val="21"/>
                    </w:rPr>
                  </w:pPr>
                  <w:r>
                    <w:rPr>
                      <w:szCs w:val="21"/>
                    </w:rPr>
                    <w:t>种类</w:t>
                  </w:r>
                </w:p>
              </w:tc>
              <w:tc>
                <w:tcPr>
                  <w:tcW w:w="594" w:type="pct"/>
                  <w:gridSpan w:val="2"/>
                  <w:vAlign w:val="center"/>
                </w:tcPr>
                <w:p w14:paraId="7C6D815C">
                  <w:pPr>
                    <w:widowControl/>
                    <w:adjustRightInd w:val="0"/>
                    <w:snapToGrid w:val="0"/>
                    <w:jc w:val="center"/>
                    <w:rPr>
                      <w:szCs w:val="21"/>
                    </w:rPr>
                  </w:pPr>
                  <w:r>
                    <w:rPr>
                      <w:szCs w:val="21"/>
                    </w:rPr>
                    <w:t>污染物产生量</w:t>
                  </w:r>
                </w:p>
              </w:tc>
              <w:tc>
                <w:tcPr>
                  <w:tcW w:w="1001" w:type="pct"/>
                  <w:vMerge w:val="restart"/>
                  <w:vAlign w:val="center"/>
                </w:tcPr>
                <w:p w14:paraId="1E31B35B">
                  <w:pPr>
                    <w:adjustRightInd w:val="0"/>
                    <w:snapToGrid w:val="0"/>
                    <w:jc w:val="center"/>
                    <w:rPr>
                      <w:szCs w:val="21"/>
                    </w:rPr>
                  </w:pPr>
                  <w:r>
                    <w:rPr>
                      <w:szCs w:val="21"/>
                    </w:rPr>
                    <w:t>收集措施</w:t>
                  </w:r>
                </w:p>
              </w:tc>
              <w:tc>
                <w:tcPr>
                  <w:tcW w:w="1125" w:type="pct"/>
                  <w:gridSpan w:val="5"/>
                  <w:vAlign w:val="center"/>
                </w:tcPr>
                <w:p w14:paraId="0F2A369F">
                  <w:pPr>
                    <w:widowControl/>
                    <w:adjustRightInd w:val="0"/>
                    <w:snapToGrid w:val="0"/>
                    <w:jc w:val="center"/>
                    <w:rPr>
                      <w:szCs w:val="21"/>
                    </w:rPr>
                  </w:pPr>
                  <w:r>
                    <w:rPr>
                      <w:szCs w:val="21"/>
                    </w:rPr>
                    <w:t>治理设施</w:t>
                  </w:r>
                </w:p>
              </w:tc>
              <w:tc>
                <w:tcPr>
                  <w:tcW w:w="259" w:type="pct"/>
                  <w:vMerge w:val="restart"/>
                  <w:vAlign w:val="center"/>
                </w:tcPr>
                <w:p w14:paraId="798A6838">
                  <w:pPr>
                    <w:widowControl/>
                    <w:adjustRightInd w:val="0"/>
                    <w:snapToGrid w:val="0"/>
                    <w:jc w:val="center"/>
                    <w:rPr>
                      <w:szCs w:val="21"/>
                    </w:rPr>
                  </w:pPr>
                  <w:r>
                    <w:rPr>
                      <w:szCs w:val="21"/>
                    </w:rPr>
                    <w:t>排放口编号</w:t>
                  </w:r>
                </w:p>
              </w:tc>
              <w:tc>
                <w:tcPr>
                  <w:tcW w:w="158" w:type="pct"/>
                  <w:vMerge w:val="restart"/>
                  <w:textDirection w:val="tbRlV"/>
                  <w:vAlign w:val="center"/>
                </w:tcPr>
                <w:p w14:paraId="1B6ABD1C">
                  <w:pPr>
                    <w:widowControl/>
                    <w:adjustRightInd w:val="0"/>
                    <w:snapToGrid w:val="0"/>
                    <w:ind w:left="113" w:right="113"/>
                    <w:jc w:val="center"/>
                    <w:rPr>
                      <w:szCs w:val="21"/>
                    </w:rPr>
                  </w:pPr>
                  <w:r>
                    <w:rPr>
                      <w:szCs w:val="21"/>
                    </w:rPr>
                    <w:t>排气筒高度</w:t>
                  </w:r>
                </w:p>
              </w:tc>
              <w:tc>
                <w:tcPr>
                  <w:tcW w:w="1002" w:type="pct"/>
                  <w:gridSpan w:val="3"/>
                  <w:vAlign w:val="center"/>
                </w:tcPr>
                <w:p w14:paraId="692C836A">
                  <w:pPr>
                    <w:widowControl/>
                    <w:adjustRightInd w:val="0"/>
                    <w:snapToGrid w:val="0"/>
                    <w:jc w:val="center"/>
                    <w:rPr>
                      <w:szCs w:val="21"/>
                    </w:rPr>
                  </w:pPr>
                  <w:r>
                    <w:rPr>
                      <w:szCs w:val="21"/>
                    </w:rPr>
                    <w:t>污染物排放情况</w:t>
                  </w:r>
                </w:p>
              </w:tc>
              <w:tc>
                <w:tcPr>
                  <w:tcW w:w="343" w:type="pct"/>
                  <w:vMerge w:val="restart"/>
                  <w:vAlign w:val="center"/>
                </w:tcPr>
                <w:p w14:paraId="45E326C9">
                  <w:pPr>
                    <w:widowControl/>
                    <w:adjustRightInd w:val="0"/>
                    <w:snapToGrid w:val="0"/>
                    <w:jc w:val="center"/>
                    <w:rPr>
                      <w:szCs w:val="21"/>
                    </w:rPr>
                  </w:pPr>
                  <w:r>
                    <w:rPr>
                      <w:szCs w:val="21"/>
                    </w:rPr>
                    <w:t>排放标准</w:t>
                  </w:r>
                </w:p>
              </w:tc>
            </w:tr>
            <w:tr w14:paraId="456D7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134" w:hRule="atLeast"/>
                <w:jc w:val="center"/>
              </w:trPr>
              <w:tc>
                <w:tcPr>
                  <w:tcW w:w="91" w:type="pct"/>
                  <w:vMerge w:val="continue"/>
                  <w:vAlign w:val="center"/>
                </w:tcPr>
                <w:p w14:paraId="7DA10EAF">
                  <w:pPr>
                    <w:widowControl/>
                    <w:adjustRightInd w:val="0"/>
                    <w:snapToGrid w:val="0"/>
                    <w:jc w:val="center"/>
                    <w:rPr>
                      <w:szCs w:val="21"/>
                    </w:rPr>
                  </w:pPr>
                </w:p>
              </w:tc>
              <w:tc>
                <w:tcPr>
                  <w:tcW w:w="212" w:type="pct"/>
                  <w:vMerge w:val="continue"/>
                  <w:vAlign w:val="center"/>
                </w:tcPr>
                <w:p w14:paraId="0408918B">
                  <w:pPr>
                    <w:widowControl/>
                    <w:adjustRightInd w:val="0"/>
                    <w:snapToGrid w:val="0"/>
                    <w:jc w:val="center"/>
                    <w:rPr>
                      <w:szCs w:val="21"/>
                    </w:rPr>
                  </w:pPr>
                </w:p>
              </w:tc>
              <w:tc>
                <w:tcPr>
                  <w:tcW w:w="214" w:type="pct"/>
                  <w:vMerge w:val="continue"/>
                  <w:vAlign w:val="center"/>
                </w:tcPr>
                <w:p w14:paraId="14AC101B">
                  <w:pPr>
                    <w:widowControl/>
                    <w:adjustRightInd w:val="0"/>
                    <w:snapToGrid w:val="0"/>
                    <w:jc w:val="center"/>
                    <w:rPr>
                      <w:szCs w:val="21"/>
                    </w:rPr>
                  </w:pPr>
                </w:p>
              </w:tc>
              <w:tc>
                <w:tcPr>
                  <w:tcW w:w="263" w:type="pct"/>
                  <w:vAlign w:val="center"/>
                </w:tcPr>
                <w:p w14:paraId="5ABECCEF">
                  <w:pPr>
                    <w:widowControl/>
                    <w:adjustRightInd w:val="0"/>
                    <w:snapToGrid w:val="0"/>
                    <w:jc w:val="center"/>
                    <w:rPr>
                      <w:szCs w:val="21"/>
                    </w:rPr>
                  </w:pPr>
                  <w:r>
                    <w:rPr>
                      <w:szCs w:val="21"/>
                    </w:rPr>
                    <w:t>产生量（t/a）</w:t>
                  </w:r>
                </w:p>
              </w:tc>
              <w:tc>
                <w:tcPr>
                  <w:tcW w:w="331" w:type="pct"/>
                  <w:vAlign w:val="center"/>
                </w:tcPr>
                <w:p w14:paraId="6BAA3728">
                  <w:pPr>
                    <w:widowControl/>
                    <w:adjustRightInd w:val="0"/>
                    <w:snapToGrid w:val="0"/>
                    <w:jc w:val="center"/>
                    <w:rPr>
                      <w:szCs w:val="21"/>
                    </w:rPr>
                  </w:pPr>
                  <w:r>
                    <w:rPr>
                      <w:szCs w:val="21"/>
                    </w:rPr>
                    <w:t>产生速率（kg/h）</w:t>
                  </w:r>
                </w:p>
              </w:tc>
              <w:tc>
                <w:tcPr>
                  <w:tcW w:w="1001" w:type="pct"/>
                  <w:vMerge w:val="continue"/>
                  <w:vAlign w:val="center"/>
                </w:tcPr>
                <w:p w14:paraId="014BA6CB">
                  <w:pPr>
                    <w:widowControl/>
                    <w:adjustRightInd w:val="0"/>
                    <w:snapToGrid w:val="0"/>
                    <w:jc w:val="center"/>
                    <w:rPr>
                      <w:szCs w:val="21"/>
                    </w:rPr>
                  </w:pPr>
                </w:p>
              </w:tc>
              <w:tc>
                <w:tcPr>
                  <w:tcW w:w="427" w:type="pct"/>
                  <w:gridSpan w:val="2"/>
                  <w:vAlign w:val="center"/>
                </w:tcPr>
                <w:p w14:paraId="00A2C1F3">
                  <w:pPr>
                    <w:widowControl/>
                    <w:adjustRightInd w:val="0"/>
                    <w:snapToGrid w:val="0"/>
                    <w:jc w:val="center"/>
                    <w:rPr>
                      <w:szCs w:val="21"/>
                    </w:rPr>
                  </w:pPr>
                  <w:r>
                    <w:rPr>
                      <w:szCs w:val="21"/>
                    </w:rPr>
                    <w:t>治理设施</w:t>
                  </w:r>
                </w:p>
              </w:tc>
              <w:tc>
                <w:tcPr>
                  <w:tcW w:w="163" w:type="pct"/>
                  <w:textDirection w:val="tbRlV"/>
                  <w:vAlign w:val="center"/>
                </w:tcPr>
                <w:p w14:paraId="677B1487">
                  <w:pPr>
                    <w:widowControl/>
                    <w:adjustRightInd w:val="0"/>
                    <w:snapToGrid w:val="0"/>
                    <w:ind w:left="113" w:right="113"/>
                    <w:jc w:val="center"/>
                    <w:rPr>
                      <w:szCs w:val="21"/>
                    </w:rPr>
                  </w:pPr>
                  <w:r>
                    <w:rPr>
                      <w:szCs w:val="21"/>
                    </w:rPr>
                    <w:t>收集效率</w:t>
                  </w:r>
                </w:p>
              </w:tc>
              <w:tc>
                <w:tcPr>
                  <w:tcW w:w="194" w:type="pct"/>
                  <w:vAlign w:val="center"/>
                </w:tcPr>
                <w:p w14:paraId="49967B9D">
                  <w:pPr>
                    <w:widowControl/>
                    <w:adjustRightInd w:val="0"/>
                    <w:snapToGrid w:val="0"/>
                    <w:jc w:val="center"/>
                    <w:rPr>
                      <w:szCs w:val="21"/>
                    </w:rPr>
                  </w:pPr>
                  <w:r>
                    <w:rPr>
                      <w:szCs w:val="21"/>
                    </w:rPr>
                    <w:t>治理工艺去除率</w:t>
                  </w:r>
                </w:p>
              </w:tc>
              <w:tc>
                <w:tcPr>
                  <w:tcW w:w="341" w:type="pct"/>
                  <w:vAlign w:val="center"/>
                </w:tcPr>
                <w:p w14:paraId="14F9BD0D">
                  <w:pPr>
                    <w:widowControl/>
                    <w:adjustRightInd w:val="0"/>
                    <w:snapToGrid w:val="0"/>
                    <w:jc w:val="center"/>
                    <w:rPr>
                      <w:szCs w:val="21"/>
                    </w:rPr>
                  </w:pPr>
                  <w:r>
                    <w:rPr>
                      <w:szCs w:val="21"/>
                    </w:rPr>
                    <w:t>废气量（m</w:t>
                  </w:r>
                  <w:r>
                    <w:rPr>
                      <w:szCs w:val="21"/>
                      <w:vertAlign w:val="superscript"/>
                    </w:rPr>
                    <w:t>3</w:t>
                  </w:r>
                  <w:r>
                    <w:rPr>
                      <w:szCs w:val="21"/>
                    </w:rPr>
                    <w:t>/h）</w:t>
                  </w:r>
                </w:p>
              </w:tc>
              <w:tc>
                <w:tcPr>
                  <w:tcW w:w="259" w:type="pct"/>
                  <w:vMerge w:val="continue"/>
                  <w:vAlign w:val="center"/>
                </w:tcPr>
                <w:p w14:paraId="168085AB">
                  <w:pPr>
                    <w:widowControl/>
                    <w:adjustRightInd w:val="0"/>
                    <w:snapToGrid w:val="0"/>
                    <w:jc w:val="center"/>
                    <w:rPr>
                      <w:szCs w:val="21"/>
                    </w:rPr>
                  </w:pPr>
                </w:p>
              </w:tc>
              <w:tc>
                <w:tcPr>
                  <w:tcW w:w="158" w:type="pct"/>
                  <w:vMerge w:val="continue"/>
                  <w:vAlign w:val="center"/>
                </w:tcPr>
                <w:p w14:paraId="4554732E">
                  <w:pPr>
                    <w:widowControl/>
                    <w:adjustRightInd w:val="0"/>
                    <w:snapToGrid w:val="0"/>
                    <w:jc w:val="center"/>
                    <w:rPr>
                      <w:szCs w:val="21"/>
                    </w:rPr>
                  </w:pPr>
                </w:p>
              </w:tc>
              <w:tc>
                <w:tcPr>
                  <w:tcW w:w="263" w:type="pct"/>
                  <w:vAlign w:val="center"/>
                </w:tcPr>
                <w:p w14:paraId="76F024F3">
                  <w:pPr>
                    <w:widowControl/>
                    <w:adjustRightInd w:val="0"/>
                    <w:snapToGrid w:val="0"/>
                    <w:jc w:val="center"/>
                    <w:rPr>
                      <w:szCs w:val="21"/>
                    </w:rPr>
                  </w:pPr>
                  <w:r>
                    <w:rPr>
                      <w:szCs w:val="21"/>
                    </w:rPr>
                    <w:t>排放量（t/a）</w:t>
                  </w:r>
                </w:p>
              </w:tc>
              <w:tc>
                <w:tcPr>
                  <w:tcW w:w="331" w:type="pct"/>
                  <w:vAlign w:val="center"/>
                </w:tcPr>
                <w:p w14:paraId="4839521E">
                  <w:pPr>
                    <w:widowControl/>
                    <w:adjustRightInd w:val="0"/>
                    <w:snapToGrid w:val="0"/>
                    <w:jc w:val="center"/>
                    <w:rPr>
                      <w:szCs w:val="21"/>
                    </w:rPr>
                  </w:pPr>
                  <w:r>
                    <w:rPr>
                      <w:szCs w:val="21"/>
                    </w:rPr>
                    <w:t>排放速率（kg/h）</w:t>
                  </w:r>
                </w:p>
              </w:tc>
              <w:tc>
                <w:tcPr>
                  <w:tcW w:w="408" w:type="pct"/>
                  <w:vAlign w:val="center"/>
                </w:tcPr>
                <w:p w14:paraId="6F8A3DA3">
                  <w:pPr>
                    <w:widowControl/>
                    <w:adjustRightInd w:val="0"/>
                    <w:snapToGrid w:val="0"/>
                    <w:jc w:val="center"/>
                    <w:rPr>
                      <w:szCs w:val="21"/>
                    </w:rPr>
                  </w:pPr>
                  <w:r>
                    <w:rPr>
                      <w:szCs w:val="21"/>
                    </w:rPr>
                    <w:t>排放浓度（mg/m</w:t>
                  </w:r>
                  <w:r>
                    <w:rPr>
                      <w:szCs w:val="21"/>
                      <w:vertAlign w:val="superscript"/>
                    </w:rPr>
                    <w:t>3</w:t>
                  </w:r>
                  <w:r>
                    <w:rPr>
                      <w:szCs w:val="21"/>
                    </w:rPr>
                    <w:t>）</w:t>
                  </w:r>
                </w:p>
              </w:tc>
              <w:tc>
                <w:tcPr>
                  <w:tcW w:w="343" w:type="pct"/>
                  <w:vMerge w:val="continue"/>
                  <w:vAlign w:val="center"/>
                </w:tcPr>
                <w:p w14:paraId="4C14957A">
                  <w:pPr>
                    <w:widowControl/>
                    <w:adjustRightInd w:val="0"/>
                    <w:snapToGrid w:val="0"/>
                    <w:jc w:val="center"/>
                    <w:rPr>
                      <w:szCs w:val="21"/>
                    </w:rPr>
                  </w:pPr>
                </w:p>
              </w:tc>
            </w:tr>
            <w:tr w14:paraId="549FC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57" w:hRule="atLeast"/>
                <w:jc w:val="center"/>
              </w:trPr>
              <w:tc>
                <w:tcPr>
                  <w:tcW w:w="91" w:type="pct"/>
                  <w:vMerge w:val="restart"/>
                  <w:vAlign w:val="center"/>
                </w:tcPr>
                <w:p w14:paraId="22D24501">
                  <w:pPr>
                    <w:adjustRightInd w:val="0"/>
                    <w:snapToGrid w:val="0"/>
                    <w:jc w:val="center"/>
                    <w:rPr>
                      <w:szCs w:val="21"/>
                    </w:rPr>
                  </w:pPr>
                  <w:r>
                    <w:rPr>
                      <w:szCs w:val="21"/>
                    </w:rPr>
                    <w:t>有</w:t>
                  </w:r>
                </w:p>
                <w:p w14:paraId="47C619D3">
                  <w:pPr>
                    <w:adjustRightInd w:val="0"/>
                    <w:snapToGrid w:val="0"/>
                    <w:jc w:val="center"/>
                    <w:rPr>
                      <w:szCs w:val="21"/>
                    </w:rPr>
                  </w:pPr>
                  <w:r>
                    <w:rPr>
                      <w:szCs w:val="21"/>
                    </w:rPr>
                    <w:t>组</w:t>
                  </w:r>
                </w:p>
                <w:p w14:paraId="6C056D5C">
                  <w:pPr>
                    <w:adjustRightInd w:val="0"/>
                    <w:snapToGrid w:val="0"/>
                    <w:jc w:val="center"/>
                    <w:rPr>
                      <w:szCs w:val="21"/>
                    </w:rPr>
                  </w:pPr>
                  <w:r>
                    <w:rPr>
                      <w:szCs w:val="21"/>
                    </w:rPr>
                    <w:t>织</w:t>
                  </w:r>
                </w:p>
              </w:tc>
              <w:tc>
                <w:tcPr>
                  <w:tcW w:w="212" w:type="pct"/>
                  <w:vMerge w:val="restart"/>
                  <w:vAlign w:val="center"/>
                </w:tcPr>
                <w:p w14:paraId="79284E42">
                  <w:pPr>
                    <w:adjustRightInd w:val="0"/>
                    <w:snapToGrid w:val="0"/>
                    <w:jc w:val="center"/>
                    <w:rPr>
                      <w:szCs w:val="21"/>
                    </w:rPr>
                  </w:pPr>
                  <w:r>
                    <w:rPr>
                      <w:szCs w:val="21"/>
                    </w:rPr>
                    <w:t>1#生产车间粉碎、熬制、压饼等过程</w:t>
                  </w:r>
                </w:p>
              </w:tc>
              <w:tc>
                <w:tcPr>
                  <w:tcW w:w="214" w:type="pct"/>
                  <w:vAlign w:val="center"/>
                </w:tcPr>
                <w:p w14:paraId="4A604D29">
                  <w:pPr>
                    <w:adjustRightInd w:val="0"/>
                    <w:snapToGrid w:val="0"/>
                    <w:jc w:val="center"/>
                    <w:rPr>
                      <w:szCs w:val="21"/>
                    </w:rPr>
                  </w:pPr>
                  <w:r>
                    <w:rPr>
                      <w:szCs w:val="21"/>
                    </w:rPr>
                    <w:t>油烟</w:t>
                  </w:r>
                </w:p>
              </w:tc>
              <w:tc>
                <w:tcPr>
                  <w:tcW w:w="263" w:type="pct"/>
                  <w:vAlign w:val="center"/>
                </w:tcPr>
                <w:p w14:paraId="365A224F">
                  <w:pPr>
                    <w:widowControl/>
                    <w:adjustRightInd w:val="0"/>
                    <w:snapToGrid w:val="0"/>
                    <w:jc w:val="center"/>
                    <w:rPr>
                      <w:szCs w:val="21"/>
                    </w:rPr>
                  </w:pPr>
                  <w:r>
                    <w:rPr>
                      <w:szCs w:val="21"/>
                    </w:rPr>
                    <w:t>1.24</w:t>
                  </w:r>
                </w:p>
              </w:tc>
              <w:tc>
                <w:tcPr>
                  <w:tcW w:w="331" w:type="pct"/>
                  <w:vAlign w:val="center"/>
                </w:tcPr>
                <w:p w14:paraId="3733BF45">
                  <w:pPr>
                    <w:adjustRightInd w:val="0"/>
                    <w:snapToGrid w:val="0"/>
                    <w:jc w:val="center"/>
                    <w:rPr>
                      <w:szCs w:val="21"/>
                    </w:rPr>
                  </w:pPr>
                  <w:r>
                    <w:rPr>
                      <w:szCs w:val="21"/>
                    </w:rPr>
                    <w:t>0.52</w:t>
                  </w:r>
                </w:p>
              </w:tc>
              <w:tc>
                <w:tcPr>
                  <w:tcW w:w="1001" w:type="pct"/>
                  <w:vMerge w:val="restart"/>
                  <w:vAlign w:val="center"/>
                </w:tcPr>
                <w:p w14:paraId="459A1029">
                  <w:pPr>
                    <w:adjustRightInd w:val="0"/>
                    <w:snapToGrid w:val="0"/>
                    <w:jc w:val="center"/>
                    <w:rPr>
                      <w:szCs w:val="21"/>
                    </w:rPr>
                  </w:pPr>
                  <w:r>
                    <w:rPr>
                      <w:szCs w:val="21"/>
                    </w:rPr>
                    <w:t>整个熬制过程处于密闭状态，仅留有排烟口，管道收集；冷库及油渣暂存间密闭；生产设备全部置于车间内并在粉碎机、加热锅及压饼机上方分别安装集气罩，油脂暂存池加盖密闭微负压收集废气，生产工艺过程均为密闭管道/螺旋输送机输送；生产过程中车间密闭</w:t>
                  </w:r>
                </w:p>
              </w:tc>
              <w:tc>
                <w:tcPr>
                  <w:tcW w:w="234" w:type="pct"/>
                  <w:vMerge w:val="restart"/>
                  <w:vAlign w:val="center"/>
                </w:tcPr>
                <w:p w14:paraId="64EEAEAA">
                  <w:pPr>
                    <w:adjustRightInd w:val="0"/>
                    <w:snapToGrid w:val="0"/>
                    <w:jc w:val="center"/>
                    <w:rPr>
                      <w:spacing w:val="-8"/>
                      <w:szCs w:val="21"/>
                    </w:rPr>
                  </w:pPr>
                  <w:r>
                    <w:rPr>
                      <w:szCs w:val="21"/>
                    </w:rPr>
                    <w:t>冷凝+静电油烟净化器</w:t>
                  </w:r>
                </w:p>
              </w:tc>
              <w:tc>
                <w:tcPr>
                  <w:tcW w:w="193" w:type="pct"/>
                  <w:vMerge w:val="restart"/>
                  <w:vAlign w:val="center"/>
                </w:tcPr>
                <w:p w14:paraId="7CEAFC45">
                  <w:pPr>
                    <w:adjustRightInd w:val="0"/>
                    <w:snapToGrid w:val="0"/>
                    <w:jc w:val="center"/>
                    <w:rPr>
                      <w:spacing w:val="-8"/>
                      <w:szCs w:val="21"/>
                    </w:rPr>
                  </w:pPr>
                  <w:r>
                    <w:rPr>
                      <w:szCs w:val="21"/>
                    </w:rPr>
                    <w:t>碱液喷淋设施+除雾器+活性炭吸附设施</w:t>
                  </w:r>
                </w:p>
              </w:tc>
              <w:tc>
                <w:tcPr>
                  <w:tcW w:w="163" w:type="pct"/>
                  <w:vMerge w:val="restart"/>
                  <w:vAlign w:val="center"/>
                </w:tcPr>
                <w:p w14:paraId="4D649D50">
                  <w:pPr>
                    <w:widowControl/>
                    <w:adjustRightInd w:val="0"/>
                    <w:snapToGrid w:val="0"/>
                    <w:jc w:val="center"/>
                    <w:rPr>
                      <w:szCs w:val="21"/>
                    </w:rPr>
                  </w:pPr>
                  <w:r>
                    <w:rPr>
                      <w:rFonts w:eastAsiaTheme="majorEastAsia"/>
                      <w:kern w:val="0"/>
                      <w:szCs w:val="21"/>
                    </w:rPr>
                    <w:t>90%</w:t>
                  </w:r>
                </w:p>
              </w:tc>
              <w:tc>
                <w:tcPr>
                  <w:tcW w:w="194" w:type="pct"/>
                  <w:vAlign w:val="center"/>
                </w:tcPr>
                <w:p w14:paraId="55F2D293">
                  <w:pPr>
                    <w:widowControl/>
                    <w:adjustRightInd w:val="0"/>
                    <w:snapToGrid w:val="0"/>
                    <w:jc w:val="center"/>
                    <w:rPr>
                      <w:szCs w:val="21"/>
                    </w:rPr>
                  </w:pPr>
                  <w:r>
                    <w:rPr>
                      <w:rFonts w:eastAsiaTheme="majorEastAsia"/>
                      <w:kern w:val="0"/>
                      <w:szCs w:val="21"/>
                    </w:rPr>
                    <w:t>99%</w:t>
                  </w:r>
                </w:p>
              </w:tc>
              <w:tc>
                <w:tcPr>
                  <w:tcW w:w="341" w:type="pct"/>
                  <w:vMerge w:val="restart"/>
                  <w:vAlign w:val="center"/>
                </w:tcPr>
                <w:p w14:paraId="2B9AB140">
                  <w:pPr>
                    <w:adjustRightInd w:val="0"/>
                    <w:snapToGrid w:val="0"/>
                    <w:jc w:val="center"/>
                    <w:rPr>
                      <w:szCs w:val="21"/>
                    </w:rPr>
                  </w:pPr>
                  <w:r>
                    <w:rPr>
                      <w:szCs w:val="21"/>
                    </w:rPr>
                    <w:t>15000</w:t>
                  </w:r>
                </w:p>
              </w:tc>
              <w:tc>
                <w:tcPr>
                  <w:tcW w:w="259" w:type="pct"/>
                  <w:vMerge w:val="restart"/>
                  <w:vAlign w:val="center"/>
                </w:tcPr>
                <w:p w14:paraId="4BAF1988">
                  <w:pPr>
                    <w:widowControl/>
                    <w:adjustRightInd w:val="0"/>
                    <w:snapToGrid w:val="0"/>
                    <w:jc w:val="center"/>
                    <w:rPr>
                      <w:szCs w:val="21"/>
                    </w:rPr>
                  </w:pPr>
                  <w:r>
                    <w:rPr>
                      <w:szCs w:val="21"/>
                    </w:rPr>
                    <w:t>DA001</w:t>
                  </w:r>
                </w:p>
              </w:tc>
              <w:tc>
                <w:tcPr>
                  <w:tcW w:w="158" w:type="pct"/>
                  <w:vMerge w:val="restart"/>
                  <w:vAlign w:val="center"/>
                </w:tcPr>
                <w:p w14:paraId="628BEB86">
                  <w:pPr>
                    <w:pStyle w:val="70"/>
                    <w:adjustRightInd w:val="0"/>
                    <w:snapToGrid w:val="0"/>
                    <w:spacing w:line="240" w:lineRule="auto"/>
                    <w:ind w:firstLine="0" w:firstLineChars="0"/>
                    <w:jc w:val="center"/>
                    <w:rPr>
                      <w:color w:val="auto"/>
                      <w:kern w:val="0"/>
                      <w:sz w:val="21"/>
                      <w:szCs w:val="21"/>
                    </w:rPr>
                  </w:pPr>
                  <w:r>
                    <w:rPr>
                      <w:color w:val="auto"/>
                      <w:kern w:val="0"/>
                      <w:sz w:val="21"/>
                      <w:szCs w:val="21"/>
                    </w:rPr>
                    <w:t>15m</w:t>
                  </w:r>
                </w:p>
              </w:tc>
              <w:tc>
                <w:tcPr>
                  <w:tcW w:w="263" w:type="pct"/>
                  <w:vAlign w:val="center"/>
                </w:tcPr>
                <w:p w14:paraId="625875E7">
                  <w:pPr>
                    <w:widowControl/>
                    <w:adjustRightInd w:val="0"/>
                    <w:snapToGrid w:val="0"/>
                    <w:jc w:val="center"/>
                    <w:rPr>
                      <w:kern w:val="0"/>
                      <w:szCs w:val="21"/>
                    </w:rPr>
                  </w:pPr>
                  <w:r>
                    <w:rPr>
                      <w:kern w:val="0"/>
                      <w:szCs w:val="21"/>
                    </w:rPr>
                    <w:t>0.012</w:t>
                  </w:r>
                </w:p>
              </w:tc>
              <w:tc>
                <w:tcPr>
                  <w:tcW w:w="331" w:type="pct"/>
                  <w:vAlign w:val="center"/>
                </w:tcPr>
                <w:p w14:paraId="617A83E0">
                  <w:pPr>
                    <w:widowControl/>
                    <w:adjustRightInd w:val="0"/>
                    <w:snapToGrid w:val="0"/>
                    <w:jc w:val="center"/>
                    <w:rPr>
                      <w:kern w:val="0"/>
                      <w:szCs w:val="21"/>
                    </w:rPr>
                  </w:pPr>
                  <w:r>
                    <w:rPr>
                      <w:kern w:val="0"/>
                      <w:szCs w:val="21"/>
                    </w:rPr>
                    <w:t>0.005</w:t>
                  </w:r>
                </w:p>
              </w:tc>
              <w:tc>
                <w:tcPr>
                  <w:tcW w:w="408" w:type="pct"/>
                  <w:vAlign w:val="center"/>
                </w:tcPr>
                <w:p w14:paraId="75E67504">
                  <w:pPr>
                    <w:pStyle w:val="70"/>
                    <w:adjustRightInd w:val="0"/>
                    <w:snapToGrid w:val="0"/>
                    <w:spacing w:line="240" w:lineRule="auto"/>
                    <w:ind w:firstLine="0" w:firstLineChars="0"/>
                    <w:jc w:val="center"/>
                    <w:rPr>
                      <w:color w:val="auto"/>
                      <w:kern w:val="0"/>
                      <w:sz w:val="21"/>
                      <w:szCs w:val="21"/>
                    </w:rPr>
                  </w:pPr>
                  <w:r>
                    <w:rPr>
                      <w:color w:val="auto"/>
                      <w:kern w:val="0"/>
                      <w:sz w:val="21"/>
                      <w:szCs w:val="21"/>
                    </w:rPr>
                    <w:t>0.33</w:t>
                  </w:r>
                </w:p>
              </w:tc>
              <w:tc>
                <w:tcPr>
                  <w:tcW w:w="343" w:type="pct"/>
                  <w:vAlign w:val="center"/>
                </w:tcPr>
                <w:p w14:paraId="32039B05">
                  <w:pPr>
                    <w:widowControl/>
                    <w:adjustRightInd w:val="0"/>
                    <w:snapToGrid w:val="0"/>
                    <w:jc w:val="center"/>
                    <w:rPr>
                      <w:szCs w:val="21"/>
                    </w:rPr>
                  </w:pPr>
                  <w:r>
                    <w:rPr>
                      <w:szCs w:val="21"/>
                    </w:rPr>
                    <w:t>1.0mg/m</w:t>
                  </w:r>
                  <w:r>
                    <w:rPr>
                      <w:szCs w:val="21"/>
                      <w:vertAlign w:val="superscript"/>
                    </w:rPr>
                    <w:t>3</w:t>
                  </w:r>
                </w:p>
              </w:tc>
            </w:tr>
            <w:tr w14:paraId="6E846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82" w:hRule="atLeast"/>
                <w:jc w:val="center"/>
              </w:trPr>
              <w:tc>
                <w:tcPr>
                  <w:tcW w:w="91" w:type="pct"/>
                  <w:vMerge w:val="continue"/>
                  <w:vAlign w:val="center"/>
                </w:tcPr>
                <w:p w14:paraId="776D9881">
                  <w:pPr>
                    <w:adjustRightInd w:val="0"/>
                    <w:snapToGrid w:val="0"/>
                    <w:jc w:val="center"/>
                    <w:rPr>
                      <w:szCs w:val="21"/>
                    </w:rPr>
                  </w:pPr>
                </w:p>
              </w:tc>
              <w:tc>
                <w:tcPr>
                  <w:tcW w:w="212" w:type="pct"/>
                  <w:vMerge w:val="continue"/>
                  <w:vAlign w:val="center"/>
                </w:tcPr>
                <w:p w14:paraId="0665361E">
                  <w:pPr>
                    <w:adjustRightInd w:val="0"/>
                    <w:snapToGrid w:val="0"/>
                    <w:jc w:val="center"/>
                    <w:rPr>
                      <w:szCs w:val="21"/>
                    </w:rPr>
                  </w:pPr>
                </w:p>
              </w:tc>
              <w:tc>
                <w:tcPr>
                  <w:tcW w:w="214" w:type="pct"/>
                  <w:vAlign w:val="center"/>
                </w:tcPr>
                <w:p w14:paraId="0F45D7B2">
                  <w:pPr>
                    <w:adjustRightInd w:val="0"/>
                    <w:snapToGrid w:val="0"/>
                    <w:jc w:val="center"/>
                    <w:rPr>
                      <w:szCs w:val="21"/>
                    </w:rPr>
                  </w:pPr>
                  <w:r>
                    <w:rPr>
                      <w:szCs w:val="21"/>
                    </w:rPr>
                    <w:t>NH</w:t>
                  </w:r>
                  <w:r>
                    <w:rPr>
                      <w:szCs w:val="21"/>
                      <w:vertAlign w:val="subscript"/>
                    </w:rPr>
                    <w:t>3</w:t>
                  </w:r>
                </w:p>
              </w:tc>
              <w:tc>
                <w:tcPr>
                  <w:tcW w:w="263" w:type="pct"/>
                  <w:vAlign w:val="center"/>
                </w:tcPr>
                <w:p w14:paraId="2B25966D">
                  <w:pPr>
                    <w:widowControl/>
                    <w:adjustRightInd w:val="0"/>
                    <w:snapToGrid w:val="0"/>
                    <w:jc w:val="center"/>
                    <w:rPr>
                      <w:szCs w:val="21"/>
                    </w:rPr>
                  </w:pPr>
                  <w:r>
                    <w:rPr>
                      <w:szCs w:val="21"/>
                    </w:rPr>
                    <w:t>1.69</w:t>
                  </w:r>
                </w:p>
              </w:tc>
              <w:tc>
                <w:tcPr>
                  <w:tcW w:w="331" w:type="pct"/>
                  <w:vAlign w:val="center"/>
                </w:tcPr>
                <w:p w14:paraId="34F5FA10">
                  <w:pPr>
                    <w:adjustRightInd w:val="0"/>
                    <w:snapToGrid w:val="0"/>
                    <w:jc w:val="center"/>
                    <w:rPr>
                      <w:szCs w:val="21"/>
                    </w:rPr>
                  </w:pPr>
                  <w:r>
                    <w:rPr>
                      <w:szCs w:val="21"/>
                    </w:rPr>
                    <w:t>0.7</w:t>
                  </w:r>
                </w:p>
              </w:tc>
              <w:tc>
                <w:tcPr>
                  <w:tcW w:w="1001" w:type="pct"/>
                  <w:vMerge w:val="continue"/>
                  <w:vAlign w:val="center"/>
                </w:tcPr>
                <w:p w14:paraId="7D7D757C">
                  <w:pPr>
                    <w:adjustRightInd w:val="0"/>
                    <w:snapToGrid w:val="0"/>
                    <w:jc w:val="center"/>
                    <w:rPr>
                      <w:kern w:val="0"/>
                      <w:szCs w:val="21"/>
                    </w:rPr>
                  </w:pPr>
                </w:p>
              </w:tc>
              <w:tc>
                <w:tcPr>
                  <w:tcW w:w="234" w:type="pct"/>
                  <w:vMerge w:val="continue"/>
                  <w:vAlign w:val="center"/>
                </w:tcPr>
                <w:p w14:paraId="42432E86">
                  <w:pPr>
                    <w:adjustRightInd w:val="0"/>
                    <w:snapToGrid w:val="0"/>
                    <w:jc w:val="center"/>
                    <w:rPr>
                      <w:kern w:val="0"/>
                      <w:szCs w:val="21"/>
                    </w:rPr>
                  </w:pPr>
                </w:p>
              </w:tc>
              <w:tc>
                <w:tcPr>
                  <w:tcW w:w="193" w:type="pct"/>
                  <w:vMerge w:val="continue"/>
                  <w:vAlign w:val="center"/>
                </w:tcPr>
                <w:p w14:paraId="4B136127">
                  <w:pPr>
                    <w:adjustRightInd w:val="0"/>
                    <w:snapToGrid w:val="0"/>
                    <w:jc w:val="center"/>
                    <w:rPr>
                      <w:kern w:val="0"/>
                      <w:szCs w:val="21"/>
                    </w:rPr>
                  </w:pPr>
                </w:p>
              </w:tc>
              <w:tc>
                <w:tcPr>
                  <w:tcW w:w="163" w:type="pct"/>
                  <w:vMerge w:val="continue"/>
                  <w:vAlign w:val="center"/>
                </w:tcPr>
                <w:p w14:paraId="2387C5DF">
                  <w:pPr>
                    <w:widowControl/>
                    <w:adjustRightInd w:val="0"/>
                    <w:snapToGrid w:val="0"/>
                    <w:jc w:val="center"/>
                    <w:rPr>
                      <w:rFonts w:eastAsiaTheme="majorEastAsia"/>
                      <w:kern w:val="0"/>
                      <w:szCs w:val="21"/>
                    </w:rPr>
                  </w:pPr>
                </w:p>
              </w:tc>
              <w:tc>
                <w:tcPr>
                  <w:tcW w:w="194" w:type="pct"/>
                  <w:vAlign w:val="center"/>
                </w:tcPr>
                <w:p w14:paraId="72AF2692">
                  <w:pPr>
                    <w:widowControl/>
                    <w:adjustRightInd w:val="0"/>
                    <w:snapToGrid w:val="0"/>
                    <w:jc w:val="center"/>
                    <w:rPr>
                      <w:rFonts w:eastAsiaTheme="majorEastAsia"/>
                      <w:kern w:val="0"/>
                      <w:szCs w:val="21"/>
                    </w:rPr>
                  </w:pPr>
                  <w:r>
                    <w:rPr>
                      <w:rFonts w:eastAsiaTheme="majorEastAsia"/>
                      <w:kern w:val="0"/>
                      <w:szCs w:val="21"/>
                    </w:rPr>
                    <w:t>90%</w:t>
                  </w:r>
                </w:p>
              </w:tc>
              <w:tc>
                <w:tcPr>
                  <w:tcW w:w="341" w:type="pct"/>
                  <w:vMerge w:val="continue"/>
                  <w:vAlign w:val="center"/>
                </w:tcPr>
                <w:p w14:paraId="56B707B6">
                  <w:pPr>
                    <w:adjustRightInd w:val="0"/>
                    <w:snapToGrid w:val="0"/>
                    <w:jc w:val="center"/>
                    <w:rPr>
                      <w:szCs w:val="21"/>
                    </w:rPr>
                  </w:pPr>
                </w:p>
              </w:tc>
              <w:tc>
                <w:tcPr>
                  <w:tcW w:w="259" w:type="pct"/>
                  <w:vMerge w:val="continue"/>
                  <w:vAlign w:val="center"/>
                </w:tcPr>
                <w:p w14:paraId="25AFC777">
                  <w:pPr>
                    <w:widowControl/>
                    <w:adjustRightInd w:val="0"/>
                    <w:snapToGrid w:val="0"/>
                    <w:jc w:val="center"/>
                    <w:rPr>
                      <w:szCs w:val="21"/>
                    </w:rPr>
                  </w:pPr>
                </w:p>
              </w:tc>
              <w:tc>
                <w:tcPr>
                  <w:tcW w:w="158" w:type="pct"/>
                  <w:vMerge w:val="continue"/>
                  <w:vAlign w:val="center"/>
                </w:tcPr>
                <w:p w14:paraId="214ACC33">
                  <w:pPr>
                    <w:pStyle w:val="70"/>
                    <w:adjustRightInd w:val="0"/>
                    <w:snapToGrid w:val="0"/>
                    <w:spacing w:line="240" w:lineRule="auto"/>
                    <w:ind w:firstLine="0" w:firstLineChars="0"/>
                    <w:jc w:val="center"/>
                    <w:rPr>
                      <w:color w:val="auto"/>
                      <w:kern w:val="0"/>
                      <w:sz w:val="21"/>
                      <w:szCs w:val="21"/>
                    </w:rPr>
                  </w:pPr>
                </w:p>
              </w:tc>
              <w:tc>
                <w:tcPr>
                  <w:tcW w:w="263" w:type="pct"/>
                  <w:vAlign w:val="center"/>
                </w:tcPr>
                <w:p w14:paraId="0BCAB308">
                  <w:pPr>
                    <w:widowControl/>
                    <w:adjustRightInd w:val="0"/>
                    <w:snapToGrid w:val="0"/>
                    <w:jc w:val="center"/>
                    <w:rPr>
                      <w:szCs w:val="21"/>
                    </w:rPr>
                  </w:pPr>
                  <w:r>
                    <w:rPr>
                      <w:szCs w:val="21"/>
                    </w:rPr>
                    <w:t>0.171</w:t>
                  </w:r>
                </w:p>
              </w:tc>
              <w:tc>
                <w:tcPr>
                  <w:tcW w:w="331" w:type="pct"/>
                  <w:vAlign w:val="center"/>
                </w:tcPr>
                <w:p w14:paraId="26D5B805">
                  <w:pPr>
                    <w:widowControl/>
                    <w:adjustRightInd w:val="0"/>
                    <w:snapToGrid w:val="0"/>
                    <w:jc w:val="center"/>
                    <w:rPr>
                      <w:szCs w:val="21"/>
                    </w:rPr>
                  </w:pPr>
                  <w:r>
                    <w:rPr>
                      <w:szCs w:val="21"/>
                    </w:rPr>
                    <w:t>0.07</w:t>
                  </w:r>
                </w:p>
              </w:tc>
              <w:tc>
                <w:tcPr>
                  <w:tcW w:w="408" w:type="pct"/>
                  <w:vAlign w:val="center"/>
                </w:tcPr>
                <w:p w14:paraId="245C8847">
                  <w:pPr>
                    <w:widowControl/>
                    <w:adjustRightInd w:val="0"/>
                    <w:snapToGrid w:val="0"/>
                    <w:jc w:val="center"/>
                    <w:rPr>
                      <w:szCs w:val="21"/>
                    </w:rPr>
                  </w:pPr>
                  <w:r>
                    <w:rPr>
                      <w:szCs w:val="21"/>
                    </w:rPr>
                    <w:t>4.75</w:t>
                  </w:r>
                </w:p>
              </w:tc>
              <w:tc>
                <w:tcPr>
                  <w:tcW w:w="343" w:type="pct"/>
                  <w:vAlign w:val="center"/>
                </w:tcPr>
                <w:p w14:paraId="1DB32350">
                  <w:pPr>
                    <w:widowControl/>
                    <w:adjustRightInd w:val="0"/>
                    <w:snapToGrid w:val="0"/>
                    <w:jc w:val="center"/>
                    <w:rPr>
                      <w:szCs w:val="21"/>
                    </w:rPr>
                  </w:pPr>
                  <w:r>
                    <w:rPr>
                      <w:szCs w:val="21"/>
                    </w:rPr>
                    <w:t>4.9kg/h</w:t>
                  </w:r>
                </w:p>
              </w:tc>
            </w:tr>
            <w:tr w14:paraId="0E960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80" w:hRule="atLeast"/>
                <w:jc w:val="center"/>
              </w:trPr>
              <w:tc>
                <w:tcPr>
                  <w:tcW w:w="91" w:type="pct"/>
                  <w:vMerge w:val="continue"/>
                  <w:vAlign w:val="center"/>
                </w:tcPr>
                <w:p w14:paraId="08A67881">
                  <w:pPr>
                    <w:adjustRightInd w:val="0"/>
                    <w:snapToGrid w:val="0"/>
                    <w:jc w:val="center"/>
                    <w:rPr>
                      <w:szCs w:val="21"/>
                    </w:rPr>
                  </w:pPr>
                </w:p>
              </w:tc>
              <w:tc>
                <w:tcPr>
                  <w:tcW w:w="212" w:type="pct"/>
                  <w:vMerge w:val="continue"/>
                  <w:vAlign w:val="center"/>
                </w:tcPr>
                <w:p w14:paraId="3C52F2F2">
                  <w:pPr>
                    <w:adjustRightInd w:val="0"/>
                    <w:snapToGrid w:val="0"/>
                    <w:jc w:val="center"/>
                    <w:rPr>
                      <w:szCs w:val="21"/>
                    </w:rPr>
                  </w:pPr>
                </w:p>
              </w:tc>
              <w:tc>
                <w:tcPr>
                  <w:tcW w:w="214" w:type="pct"/>
                  <w:vAlign w:val="center"/>
                </w:tcPr>
                <w:p w14:paraId="7B1CB713">
                  <w:pPr>
                    <w:adjustRightInd w:val="0"/>
                    <w:snapToGrid w:val="0"/>
                    <w:jc w:val="center"/>
                    <w:rPr>
                      <w:szCs w:val="21"/>
                    </w:rPr>
                  </w:pPr>
                  <w:r>
                    <w:rPr>
                      <w:szCs w:val="21"/>
                    </w:rPr>
                    <w:t>H</w:t>
                  </w:r>
                  <w:r>
                    <w:rPr>
                      <w:szCs w:val="21"/>
                      <w:vertAlign w:val="subscript"/>
                    </w:rPr>
                    <w:t>2</w:t>
                  </w:r>
                  <w:r>
                    <w:rPr>
                      <w:szCs w:val="21"/>
                    </w:rPr>
                    <w:t>S</w:t>
                  </w:r>
                </w:p>
              </w:tc>
              <w:tc>
                <w:tcPr>
                  <w:tcW w:w="263" w:type="pct"/>
                  <w:vAlign w:val="center"/>
                </w:tcPr>
                <w:p w14:paraId="59B39434">
                  <w:pPr>
                    <w:widowControl/>
                    <w:adjustRightInd w:val="0"/>
                    <w:snapToGrid w:val="0"/>
                    <w:jc w:val="center"/>
                    <w:rPr>
                      <w:szCs w:val="21"/>
                    </w:rPr>
                  </w:pPr>
                  <w:r>
                    <w:rPr>
                      <w:szCs w:val="21"/>
                    </w:rPr>
                    <w:t>0.35</w:t>
                  </w:r>
                </w:p>
              </w:tc>
              <w:tc>
                <w:tcPr>
                  <w:tcW w:w="331" w:type="pct"/>
                  <w:vAlign w:val="center"/>
                </w:tcPr>
                <w:p w14:paraId="418E0059">
                  <w:pPr>
                    <w:adjustRightInd w:val="0"/>
                    <w:snapToGrid w:val="0"/>
                    <w:jc w:val="center"/>
                    <w:rPr>
                      <w:szCs w:val="21"/>
                    </w:rPr>
                  </w:pPr>
                  <w:r>
                    <w:rPr>
                      <w:szCs w:val="21"/>
                    </w:rPr>
                    <w:t>0.15</w:t>
                  </w:r>
                </w:p>
              </w:tc>
              <w:tc>
                <w:tcPr>
                  <w:tcW w:w="1001" w:type="pct"/>
                  <w:vMerge w:val="continue"/>
                  <w:vAlign w:val="center"/>
                </w:tcPr>
                <w:p w14:paraId="1D5FE336">
                  <w:pPr>
                    <w:adjustRightInd w:val="0"/>
                    <w:snapToGrid w:val="0"/>
                    <w:jc w:val="center"/>
                    <w:rPr>
                      <w:kern w:val="0"/>
                      <w:szCs w:val="21"/>
                    </w:rPr>
                  </w:pPr>
                </w:p>
              </w:tc>
              <w:tc>
                <w:tcPr>
                  <w:tcW w:w="234" w:type="pct"/>
                  <w:vMerge w:val="continue"/>
                  <w:vAlign w:val="center"/>
                </w:tcPr>
                <w:p w14:paraId="1BE9ECB5">
                  <w:pPr>
                    <w:adjustRightInd w:val="0"/>
                    <w:snapToGrid w:val="0"/>
                    <w:jc w:val="center"/>
                    <w:rPr>
                      <w:kern w:val="0"/>
                      <w:szCs w:val="21"/>
                    </w:rPr>
                  </w:pPr>
                </w:p>
              </w:tc>
              <w:tc>
                <w:tcPr>
                  <w:tcW w:w="193" w:type="pct"/>
                  <w:vMerge w:val="continue"/>
                  <w:vAlign w:val="center"/>
                </w:tcPr>
                <w:p w14:paraId="77A692DE">
                  <w:pPr>
                    <w:adjustRightInd w:val="0"/>
                    <w:snapToGrid w:val="0"/>
                    <w:jc w:val="center"/>
                    <w:rPr>
                      <w:kern w:val="0"/>
                      <w:szCs w:val="21"/>
                    </w:rPr>
                  </w:pPr>
                </w:p>
              </w:tc>
              <w:tc>
                <w:tcPr>
                  <w:tcW w:w="163" w:type="pct"/>
                  <w:vMerge w:val="continue"/>
                  <w:vAlign w:val="center"/>
                </w:tcPr>
                <w:p w14:paraId="5A13AE07">
                  <w:pPr>
                    <w:widowControl/>
                    <w:adjustRightInd w:val="0"/>
                    <w:snapToGrid w:val="0"/>
                    <w:jc w:val="center"/>
                    <w:rPr>
                      <w:rFonts w:eastAsiaTheme="majorEastAsia"/>
                      <w:kern w:val="0"/>
                      <w:szCs w:val="21"/>
                    </w:rPr>
                  </w:pPr>
                </w:p>
              </w:tc>
              <w:tc>
                <w:tcPr>
                  <w:tcW w:w="194" w:type="pct"/>
                  <w:vAlign w:val="center"/>
                </w:tcPr>
                <w:p w14:paraId="4298B0C5">
                  <w:pPr>
                    <w:widowControl/>
                    <w:adjustRightInd w:val="0"/>
                    <w:snapToGrid w:val="0"/>
                    <w:jc w:val="center"/>
                    <w:rPr>
                      <w:rFonts w:eastAsiaTheme="majorEastAsia"/>
                      <w:kern w:val="0"/>
                      <w:szCs w:val="21"/>
                    </w:rPr>
                  </w:pPr>
                  <w:r>
                    <w:rPr>
                      <w:rFonts w:eastAsiaTheme="majorEastAsia"/>
                      <w:kern w:val="0"/>
                      <w:szCs w:val="21"/>
                    </w:rPr>
                    <w:t>90%</w:t>
                  </w:r>
                </w:p>
              </w:tc>
              <w:tc>
                <w:tcPr>
                  <w:tcW w:w="341" w:type="pct"/>
                  <w:vMerge w:val="continue"/>
                  <w:vAlign w:val="center"/>
                </w:tcPr>
                <w:p w14:paraId="3A14F174">
                  <w:pPr>
                    <w:adjustRightInd w:val="0"/>
                    <w:snapToGrid w:val="0"/>
                    <w:jc w:val="center"/>
                    <w:rPr>
                      <w:szCs w:val="21"/>
                    </w:rPr>
                  </w:pPr>
                </w:p>
              </w:tc>
              <w:tc>
                <w:tcPr>
                  <w:tcW w:w="259" w:type="pct"/>
                  <w:vMerge w:val="continue"/>
                  <w:vAlign w:val="center"/>
                </w:tcPr>
                <w:p w14:paraId="44CE3241">
                  <w:pPr>
                    <w:widowControl/>
                    <w:adjustRightInd w:val="0"/>
                    <w:snapToGrid w:val="0"/>
                    <w:jc w:val="center"/>
                    <w:rPr>
                      <w:szCs w:val="21"/>
                    </w:rPr>
                  </w:pPr>
                </w:p>
              </w:tc>
              <w:tc>
                <w:tcPr>
                  <w:tcW w:w="158" w:type="pct"/>
                  <w:vMerge w:val="continue"/>
                  <w:vAlign w:val="center"/>
                </w:tcPr>
                <w:p w14:paraId="4CBC79CD">
                  <w:pPr>
                    <w:pStyle w:val="70"/>
                    <w:adjustRightInd w:val="0"/>
                    <w:snapToGrid w:val="0"/>
                    <w:spacing w:line="240" w:lineRule="auto"/>
                    <w:ind w:firstLine="0" w:firstLineChars="0"/>
                    <w:jc w:val="center"/>
                    <w:rPr>
                      <w:color w:val="auto"/>
                      <w:kern w:val="0"/>
                      <w:sz w:val="21"/>
                      <w:szCs w:val="21"/>
                    </w:rPr>
                  </w:pPr>
                </w:p>
              </w:tc>
              <w:tc>
                <w:tcPr>
                  <w:tcW w:w="263" w:type="pct"/>
                  <w:vAlign w:val="center"/>
                </w:tcPr>
                <w:p w14:paraId="1F27D27E">
                  <w:pPr>
                    <w:widowControl/>
                    <w:adjustRightInd w:val="0"/>
                    <w:snapToGrid w:val="0"/>
                    <w:jc w:val="center"/>
                    <w:rPr>
                      <w:szCs w:val="21"/>
                    </w:rPr>
                  </w:pPr>
                  <w:r>
                    <w:rPr>
                      <w:szCs w:val="21"/>
                    </w:rPr>
                    <w:t>0.035</w:t>
                  </w:r>
                </w:p>
              </w:tc>
              <w:tc>
                <w:tcPr>
                  <w:tcW w:w="331" w:type="pct"/>
                  <w:vAlign w:val="center"/>
                </w:tcPr>
                <w:p w14:paraId="55FC6A8C">
                  <w:pPr>
                    <w:widowControl/>
                    <w:adjustRightInd w:val="0"/>
                    <w:snapToGrid w:val="0"/>
                    <w:jc w:val="center"/>
                    <w:rPr>
                      <w:kern w:val="0"/>
                      <w:szCs w:val="21"/>
                    </w:rPr>
                  </w:pPr>
                  <w:r>
                    <w:rPr>
                      <w:kern w:val="0"/>
                      <w:szCs w:val="21"/>
                    </w:rPr>
                    <w:t>0.015</w:t>
                  </w:r>
                </w:p>
              </w:tc>
              <w:tc>
                <w:tcPr>
                  <w:tcW w:w="408" w:type="pct"/>
                  <w:vAlign w:val="center"/>
                </w:tcPr>
                <w:p w14:paraId="13A7338A">
                  <w:pPr>
                    <w:widowControl/>
                    <w:adjustRightInd w:val="0"/>
                    <w:snapToGrid w:val="0"/>
                    <w:jc w:val="center"/>
                    <w:rPr>
                      <w:kern w:val="0"/>
                      <w:szCs w:val="21"/>
                    </w:rPr>
                  </w:pPr>
                  <w:r>
                    <w:rPr>
                      <w:kern w:val="0"/>
                      <w:szCs w:val="21"/>
                    </w:rPr>
                    <w:t>1</w:t>
                  </w:r>
                </w:p>
              </w:tc>
              <w:tc>
                <w:tcPr>
                  <w:tcW w:w="343" w:type="pct"/>
                  <w:vAlign w:val="center"/>
                </w:tcPr>
                <w:p w14:paraId="58112538">
                  <w:pPr>
                    <w:widowControl/>
                    <w:adjustRightInd w:val="0"/>
                    <w:snapToGrid w:val="0"/>
                    <w:jc w:val="center"/>
                    <w:rPr>
                      <w:szCs w:val="21"/>
                    </w:rPr>
                  </w:pPr>
                  <w:r>
                    <w:rPr>
                      <w:szCs w:val="21"/>
                    </w:rPr>
                    <w:t>0.33kg/h</w:t>
                  </w:r>
                </w:p>
              </w:tc>
            </w:tr>
            <w:tr w14:paraId="64DAC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91" w:type="pct"/>
                  <w:vMerge w:val="continue"/>
                  <w:vAlign w:val="center"/>
                </w:tcPr>
                <w:p w14:paraId="7A72B019">
                  <w:pPr>
                    <w:adjustRightInd w:val="0"/>
                    <w:snapToGrid w:val="0"/>
                    <w:jc w:val="center"/>
                    <w:rPr>
                      <w:bCs/>
                      <w:szCs w:val="21"/>
                    </w:rPr>
                  </w:pPr>
                </w:p>
              </w:tc>
              <w:tc>
                <w:tcPr>
                  <w:tcW w:w="212" w:type="pct"/>
                  <w:vMerge w:val="restart"/>
                  <w:vAlign w:val="center"/>
                </w:tcPr>
                <w:p w14:paraId="2E76313E">
                  <w:pPr>
                    <w:adjustRightInd w:val="0"/>
                    <w:snapToGrid w:val="0"/>
                    <w:jc w:val="center"/>
                    <w:rPr>
                      <w:szCs w:val="21"/>
                    </w:rPr>
                  </w:pPr>
                  <w:r>
                    <w:rPr>
                      <w:szCs w:val="21"/>
                    </w:rPr>
                    <w:t>污水处理站</w:t>
                  </w:r>
                </w:p>
              </w:tc>
              <w:tc>
                <w:tcPr>
                  <w:tcW w:w="214" w:type="pct"/>
                  <w:vAlign w:val="center"/>
                </w:tcPr>
                <w:p w14:paraId="389C6B48">
                  <w:pPr>
                    <w:adjustRightInd w:val="0"/>
                    <w:snapToGrid w:val="0"/>
                    <w:jc w:val="center"/>
                    <w:rPr>
                      <w:szCs w:val="21"/>
                    </w:rPr>
                  </w:pPr>
                  <w:r>
                    <w:rPr>
                      <w:szCs w:val="21"/>
                    </w:rPr>
                    <w:t>NH</w:t>
                  </w:r>
                  <w:r>
                    <w:rPr>
                      <w:szCs w:val="21"/>
                      <w:vertAlign w:val="subscript"/>
                    </w:rPr>
                    <w:t>3</w:t>
                  </w:r>
                </w:p>
              </w:tc>
              <w:tc>
                <w:tcPr>
                  <w:tcW w:w="263" w:type="pct"/>
                  <w:vAlign w:val="center"/>
                </w:tcPr>
                <w:p w14:paraId="264A348A">
                  <w:pPr>
                    <w:widowControl/>
                    <w:adjustRightInd w:val="0"/>
                    <w:snapToGrid w:val="0"/>
                    <w:jc w:val="center"/>
                    <w:rPr>
                      <w:szCs w:val="21"/>
                    </w:rPr>
                  </w:pPr>
                  <w:r>
                    <w:rPr>
                      <w:szCs w:val="21"/>
                    </w:rPr>
                    <w:t>0.0216</w:t>
                  </w:r>
                </w:p>
              </w:tc>
              <w:tc>
                <w:tcPr>
                  <w:tcW w:w="331" w:type="pct"/>
                  <w:vAlign w:val="center"/>
                </w:tcPr>
                <w:p w14:paraId="76FC74DE">
                  <w:pPr>
                    <w:adjustRightInd w:val="0"/>
                    <w:snapToGrid w:val="0"/>
                    <w:jc w:val="center"/>
                    <w:rPr>
                      <w:szCs w:val="21"/>
                    </w:rPr>
                  </w:pPr>
                  <w:r>
                    <w:rPr>
                      <w:szCs w:val="21"/>
                    </w:rPr>
                    <w:t>0.003</w:t>
                  </w:r>
                </w:p>
              </w:tc>
              <w:tc>
                <w:tcPr>
                  <w:tcW w:w="1001" w:type="pct"/>
                  <w:vMerge w:val="restart"/>
                  <w:vAlign w:val="center"/>
                </w:tcPr>
                <w:p w14:paraId="4457C022">
                  <w:pPr>
                    <w:adjustRightInd w:val="0"/>
                    <w:snapToGrid w:val="0"/>
                    <w:jc w:val="center"/>
                    <w:rPr>
                      <w:szCs w:val="21"/>
                    </w:rPr>
                  </w:pPr>
                  <w:r>
                    <w:rPr>
                      <w:szCs w:val="21"/>
                    </w:rPr>
                    <w:t>污水处理站水解酸化、接触氧化等重点单元均加盖密封，微负压收集</w:t>
                  </w:r>
                </w:p>
              </w:tc>
              <w:tc>
                <w:tcPr>
                  <w:tcW w:w="234" w:type="pct"/>
                  <w:vMerge w:val="restart"/>
                  <w:vAlign w:val="center"/>
                </w:tcPr>
                <w:p w14:paraId="22C24AC0">
                  <w:pPr>
                    <w:adjustRightInd w:val="0"/>
                    <w:snapToGrid w:val="0"/>
                    <w:jc w:val="center"/>
                    <w:rPr>
                      <w:szCs w:val="21"/>
                    </w:rPr>
                  </w:pPr>
                  <w:r>
                    <w:rPr>
                      <w:szCs w:val="21"/>
                    </w:rPr>
                    <w:t>/</w:t>
                  </w:r>
                </w:p>
              </w:tc>
              <w:tc>
                <w:tcPr>
                  <w:tcW w:w="193" w:type="pct"/>
                  <w:vMerge w:val="continue"/>
                  <w:vAlign w:val="center"/>
                </w:tcPr>
                <w:p w14:paraId="34D18CD7">
                  <w:pPr>
                    <w:adjustRightInd w:val="0"/>
                    <w:snapToGrid w:val="0"/>
                    <w:jc w:val="center"/>
                    <w:rPr>
                      <w:szCs w:val="21"/>
                    </w:rPr>
                  </w:pPr>
                </w:p>
              </w:tc>
              <w:tc>
                <w:tcPr>
                  <w:tcW w:w="163" w:type="pct"/>
                  <w:vMerge w:val="restart"/>
                  <w:vAlign w:val="center"/>
                </w:tcPr>
                <w:p w14:paraId="23705133">
                  <w:pPr>
                    <w:widowControl/>
                    <w:adjustRightInd w:val="0"/>
                    <w:snapToGrid w:val="0"/>
                    <w:jc w:val="center"/>
                    <w:rPr>
                      <w:szCs w:val="21"/>
                    </w:rPr>
                  </w:pPr>
                  <w:r>
                    <w:rPr>
                      <w:rFonts w:eastAsiaTheme="majorEastAsia"/>
                      <w:kern w:val="0"/>
                      <w:szCs w:val="21"/>
                    </w:rPr>
                    <w:t>90%</w:t>
                  </w:r>
                </w:p>
              </w:tc>
              <w:tc>
                <w:tcPr>
                  <w:tcW w:w="194" w:type="pct"/>
                  <w:vAlign w:val="center"/>
                </w:tcPr>
                <w:p w14:paraId="48E40346">
                  <w:pPr>
                    <w:widowControl/>
                    <w:adjustRightInd w:val="0"/>
                    <w:snapToGrid w:val="0"/>
                    <w:jc w:val="center"/>
                    <w:rPr>
                      <w:szCs w:val="21"/>
                    </w:rPr>
                  </w:pPr>
                  <w:r>
                    <w:rPr>
                      <w:szCs w:val="21"/>
                    </w:rPr>
                    <w:t>90</w:t>
                  </w:r>
                  <w:r>
                    <w:rPr>
                      <w:rFonts w:eastAsiaTheme="majorEastAsia"/>
                      <w:kern w:val="0"/>
                      <w:szCs w:val="21"/>
                    </w:rPr>
                    <w:t>%</w:t>
                  </w:r>
                </w:p>
              </w:tc>
              <w:tc>
                <w:tcPr>
                  <w:tcW w:w="341" w:type="pct"/>
                  <w:vMerge w:val="continue"/>
                  <w:vAlign w:val="center"/>
                </w:tcPr>
                <w:p w14:paraId="1EC6A29E">
                  <w:pPr>
                    <w:widowControl/>
                    <w:adjustRightInd w:val="0"/>
                    <w:snapToGrid w:val="0"/>
                    <w:jc w:val="center"/>
                    <w:rPr>
                      <w:szCs w:val="21"/>
                    </w:rPr>
                  </w:pPr>
                </w:p>
              </w:tc>
              <w:tc>
                <w:tcPr>
                  <w:tcW w:w="259" w:type="pct"/>
                  <w:vMerge w:val="continue"/>
                  <w:vAlign w:val="center"/>
                </w:tcPr>
                <w:p w14:paraId="778E7BE2">
                  <w:pPr>
                    <w:widowControl/>
                    <w:adjustRightInd w:val="0"/>
                    <w:snapToGrid w:val="0"/>
                    <w:jc w:val="center"/>
                    <w:rPr>
                      <w:szCs w:val="21"/>
                    </w:rPr>
                  </w:pPr>
                </w:p>
              </w:tc>
              <w:tc>
                <w:tcPr>
                  <w:tcW w:w="158" w:type="pct"/>
                  <w:vMerge w:val="continue"/>
                  <w:vAlign w:val="center"/>
                </w:tcPr>
                <w:p w14:paraId="478DECAD">
                  <w:pPr>
                    <w:pStyle w:val="70"/>
                    <w:adjustRightInd w:val="0"/>
                    <w:snapToGrid w:val="0"/>
                    <w:spacing w:line="240" w:lineRule="auto"/>
                    <w:ind w:firstLine="0" w:firstLineChars="0"/>
                    <w:jc w:val="center"/>
                    <w:rPr>
                      <w:color w:val="auto"/>
                      <w:kern w:val="0"/>
                      <w:sz w:val="21"/>
                      <w:szCs w:val="21"/>
                    </w:rPr>
                  </w:pPr>
                </w:p>
              </w:tc>
              <w:tc>
                <w:tcPr>
                  <w:tcW w:w="263" w:type="pct"/>
                  <w:vAlign w:val="center"/>
                </w:tcPr>
                <w:p w14:paraId="24EF5E7B">
                  <w:pPr>
                    <w:pStyle w:val="70"/>
                    <w:adjustRightInd w:val="0"/>
                    <w:snapToGrid w:val="0"/>
                    <w:spacing w:line="240" w:lineRule="auto"/>
                    <w:ind w:firstLine="0" w:firstLineChars="0"/>
                    <w:jc w:val="center"/>
                    <w:rPr>
                      <w:color w:val="auto"/>
                      <w:kern w:val="0"/>
                      <w:sz w:val="21"/>
                      <w:szCs w:val="21"/>
                    </w:rPr>
                  </w:pPr>
                  <w:r>
                    <w:rPr>
                      <w:color w:val="auto"/>
                      <w:kern w:val="0"/>
                      <w:sz w:val="21"/>
                      <w:szCs w:val="21"/>
                    </w:rPr>
                    <w:t>/</w:t>
                  </w:r>
                </w:p>
              </w:tc>
              <w:tc>
                <w:tcPr>
                  <w:tcW w:w="331" w:type="pct"/>
                  <w:vAlign w:val="center"/>
                </w:tcPr>
                <w:p w14:paraId="42EAD1F0">
                  <w:pPr>
                    <w:pStyle w:val="70"/>
                    <w:adjustRightInd w:val="0"/>
                    <w:snapToGrid w:val="0"/>
                    <w:spacing w:line="240" w:lineRule="auto"/>
                    <w:ind w:firstLine="0" w:firstLineChars="0"/>
                    <w:jc w:val="center"/>
                    <w:rPr>
                      <w:color w:val="auto"/>
                      <w:kern w:val="0"/>
                      <w:sz w:val="21"/>
                      <w:szCs w:val="21"/>
                    </w:rPr>
                  </w:pPr>
                  <w:r>
                    <w:rPr>
                      <w:color w:val="auto"/>
                      <w:kern w:val="0"/>
                      <w:sz w:val="21"/>
                      <w:szCs w:val="21"/>
                    </w:rPr>
                    <w:t>/</w:t>
                  </w:r>
                </w:p>
              </w:tc>
              <w:tc>
                <w:tcPr>
                  <w:tcW w:w="408" w:type="pct"/>
                  <w:vAlign w:val="center"/>
                </w:tcPr>
                <w:p w14:paraId="287E4DD4">
                  <w:pPr>
                    <w:pStyle w:val="70"/>
                    <w:adjustRightInd w:val="0"/>
                    <w:snapToGrid w:val="0"/>
                    <w:spacing w:line="240" w:lineRule="auto"/>
                    <w:ind w:firstLine="0" w:firstLineChars="0"/>
                    <w:jc w:val="center"/>
                    <w:rPr>
                      <w:color w:val="auto"/>
                      <w:kern w:val="0"/>
                      <w:sz w:val="21"/>
                      <w:szCs w:val="21"/>
                    </w:rPr>
                  </w:pPr>
                  <w:r>
                    <w:rPr>
                      <w:color w:val="auto"/>
                      <w:kern w:val="0"/>
                      <w:sz w:val="21"/>
                      <w:szCs w:val="21"/>
                    </w:rPr>
                    <w:t>/</w:t>
                  </w:r>
                </w:p>
              </w:tc>
              <w:tc>
                <w:tcPr>
                  <w:tcW w:w="343" w:type="pct"/>
                  <w:vAlign w:val="center"/>
                </w:tcPr>
                <w:p w14:paraId="5C22C417">
                  <w:pPr>
                    <w:adjustRightInd w:val="0"/>
                    <w:snapToGrid w:val="0"/>
                    <w:jc w:val="center"/>
                    <w:rPr>
                      <w:szCs w:val="21"/>
                    </w:rPr>
                  </w:pPr>
                  <w:r>
                    <w:rPr>
                      <w:szCs w:val="21"/>
                    </w:rPr>
                    <w:t>/</w:t>
                  </w:r>
                </w:p>
              </w:tc>
            </w:tr>
            <w:tr w14:paraId="25EAB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91" w:type="pct"/>
                  <w:vMerge w:val="continue"/>
                  <w:vAlign w:val="center"/>
                </w:tcPr>
                <w:p w14:paraId="490DBB8A">
                  <w:pPr>
                    <w:adjustRightInd w:val="0"/>
                    <w:snapToGrid w:val="0"/>
                    <w:jc w:val="center"/>
                    <w:rPr>
                      <w:bCs/>
                      <w:szCs w:val="21"/>
                    </w:rPr>
                  </w:pPr>
                </w:p>
              </w:tc>
              <w:tc>
                <w:tcPr>
                  <w:tcW w:w="212" w:type="pct"/>
                  <w:vMerge w:val="continue"/>
                  <w:vAlign w:val="center"/>
                </w:tcPr>
                <w:p w14:paraId="7F3D6F1E">
                  <w:pPr>
                    <w:adjustRightInd w:val="0"/>
                    <w:snapToGrid w:val="0"/>
                    <w:jc w:val="center"/>
                    <w:rPr>
                      <w:szCs w:val="21"/>
                    </w:rPr>
                  </w:pPr>
                </w:p>
              </w:tc>
              <w:tc>
                <w:tcPr>
                  <w:tcW w:w="214" w:type="pct"/>
                  <w:vAlign w:val="center"/>
                </w:tcPr>
                <w:p w14:paraId="733E64F7">
                  <w:pPr>
                    <w:adjustRightInd w:val="0"/>
                    <w:snapToGrid w:val="0"/>
                    <w:jc w:val="center"/>
                    <w:rPr>
                      <w:szCs w:val="21"/>
                    </w:rPr>
                  </w:pPr>
                  <w:r>
                    <w:rPr>
                      <w:szCs w:val="21"/>
                    </w:rPr>
                    <w:t>H</w:t>
                  </w:r>
                  <w:r>
                    <w:rPr>
                      <w:szCs w:val="21"/>
                      <w:vertAlign w:val="subscript"/>
                    </w:rPr>
                    <w:t>2</w:t>
                  </w:r>
                  <w:r>
                    <w:rPr>
                      <w:szCs w:val="21"/>
                    </w:rPr>
                    <w:t>S</w:t>
                  </w:r>
                </w:p>
              </w:tc>
              <w:tc>
                <w:tcPr>
                  <w:tcW w:w="263" w:type="pct"/>
                  <w:vAlign w:val="center"/>
                </w:tcPr>
                <w:p w14:paraId="672DA291">
                  <w:pPr>
                    <w:widowControl/>
                    <w:adjustRightInd w:val="0"/>
                    <w:snapToGrid w:val="0"/>
                    <w:jc w:val="center"/>
                    <w:rPr>
                      <w:szCs w:val="21"/>
                    </w:rPr>
                  </w:pPr>
                  <w:r>
                    <w:rPr>
                      <w:szCs w:val="21"/>
                    </w:rPr>
                    <w:t>0.0008</w:t>
                  </w:r>
                </w:p>
              </w:tc>
              <w:tc>
                <w:tcPr>
                  <w:tcW w:w="331" w:type="pct"/>
                  <w:vAlign w:val="center"/>
                </w:tcPr>
                <w:p w14:paraId="5579A400">
                  <w:pPr>
                    <w:adjustRightInd w:val="0"/>
                    <w:snapToGrid w:val="0"/>
                    <w:jc w:val="center"/>
                    <w:rPr>
                      <w:szCs w:val="21"/>
                    </w:rPr>
                  </w:pPr>
                  <w:r>
                    <w:rPr>
                      <w:szCs w:val="21"/>
                    </w:rPr>
                    <w:t>0.0001</w:t>
                  </w:r>
                </w:p>
              </w:tc>
              <w:tc>
                <w:tcPr>
                  <w:tcW w:w="1001" w:type="pct"/>
                  <w:vMerge w:val="continue"/>
                  <w:vAlign w:val="center"/>
                </w:tcPr>
                <w:p w14:paraId="3AA42F10">
                  <w:pPr>
                    <w:adjustRightInd w:val="0"/>
                    <w:snapToGrid w:val="0"/>
                    <w:jc w:val="center"/>
                    <w:rPr>
                      <w:kern w:val="0"/>
                      <w:szCs w:val="21"/>
                    </w:rPr>
                  </w:pPr>
                </w:p>
              </w:tc>
              <w:tc>
                <w:tcPr>
                  <w:tcW w:w="234" w:type="pct"/>
                  <w:vMerge w:val="continue"/>
                  <w:vAlign w:val="center"/>
                </w:tcPr>
                <w:p w14:paraId="5639B7D0">
                  <w:pPr>
                    <w:adjustRightInd w:val="0"/>
                    <w:snapToGrid w:val="0"/>
                    <w:jc w:val="center"/>
                    <w:rPr>
                      <w:szCs w:val="21"/>
                    </w:rPr>
                  </w:pPr>
                </w:p>
              </w:tc>
              <w:tc>
                <w:tcPr>
                  <w:tcW w:w="193" w:type="pct"/>
                  <w:vMerge w:val="continue"/>
                  <w:vAlign w:val="center"/>
                </w:tcPr>
                <w:p w14:paraId="4A0C7586">
                  <w:pPr>
                    <w:adjustRightInd w:val="0"/>
                    <w:snapToGrid w:val="0"/>
                    <w:jc w:val="center"/>
                    <w:rPr>
                      <w:szCs w:val="21"/>
                    </w:rPr>
                  </w:pPr>
                </w:p>
              </w:tc>
              <w:tc>
                <w:tcPr>
                  <w:tcW w:w="163" w:type="pct"/>
                  <w:vMerge w:val="continue"/>
                  <w:vAlign w:val="center"/>
                </w:tcPr>
                <w:p w14:paraId="42416DD4">
                  <w:pPr>
                    <w:widowControl/>
                    <w:adjustRightInd w:val="0"/>
                    <w:snapToGrid w:val="0"/>
                    <w:jc w:val="center"/>
                    <w:rPr>
                      <w:szCs w:val="21"/>
                    </w:rPr>
                  </w:pPr>
                </w:p>
              </w:tc>
              <w:tc>
                <w:tcPr>
                  <w:tcW w:w="194" w:type="pct"/>
                  <w:vAlign w:val="center"/>
                </w:tcPr>
                <w:p w14:paraId="37866A6D">
                  <w:pPr>
                    <w:widowControl/>
                    <w:adjustRightInd w:val="0"/>
                    <w:snapToGrid w:val="0"/>
                    <w:jc w:val="center"/>
                    <w:rPr>
                      <w:szCs w:val="21"/>
                    </w:rPr>
                  </w:pPr>
                  <w:r>
                    <w:rPr>
                      <w:szCs w:val="21"/>
                    </w:rPr>
                    <w:t>90</w:t>
                  </w:r>
                  <w:r>
                    <w:rPr>
                      <w:rFonts w:eastAsiaTheme="majorEastAsia"/>
                      <w:kern w:val="0"/>
                      <w:szCs w:val="21"/>
                    </w:rPr>
                    <w:t>%</w:t>
                  </w:r>
                </w:p>
              </w:tc>
              <w:tc>
                <w:tcPr>
                  <w:tcW w:w="341" w:type="pct"/>
                  <w:vMerge w:val="continue"/>
                  <w:vAlign w:val="center"/>
                </w:tcPr>
                <w:p w14:paraId="7A1CE7C1">
                  <w:pPr>
                    <w:widowControl/>
                    <w:adjustRightInd w:val="0"/>
                    <w:snapToGrid w:val="0"/>
                    <w:jc w:val="center"/>
                    <w:rPr>
                      <w:szCs w:val="21"/>
                    </w:rPr>
                  </w:pPr>
                </w:p>
              </w:tc>
              <w:tc>
                <w:tcPr>
                  <w:tcW w:w="259" w:type="pct"/>
                  <w:vMerge w:val="continue"/>
                  <w:vAlign w:val="center"/>
                </w:tcPr>
                <w:p w14:paraId="66392F8F">
                  <w:pPr>
                    <w:widowControl/>
                    <w:adjustRightInd w:val="0"/>
                    <w:snapToGrid w:val="0"/>
                    <w:jc w:val="center"/>
                    <w:rPr>
                      <w:szCs w:val="21"/>
                    </w:rPr>
                  </w:pPr>
                </w:p>
              </w:tc>
              <w:tc>
                <w:tcPr>
                  <w:tcW w:w="158" w:type="pct"/>
                  <w:vMerge w:val="continue"/>
                  <w:vAlign w:val="center"/>
                </w:tcPr>
                <w:p w14:paraId="694D2EBD">
                  <w:pPr>
                    <w:widowControl/>
                    <w:adjustRightInd w:val="0"/>
                    <w:snapToGrid w:val="0"/>
                    <w:jc w:val="center"/>
                    <w:rPr>
                      <w:kern w:val="0"/>
                      <w:szCs w:val="21"/>
                    </w:rPr>
                  </w:pPr>
                </w:p>
              </w:tc>
              <w:tc>
                <w:tcPr>
                  <w:tcW w:w="263" w:type="pct"/>
                  <w:vAlign w:val="center"/>
                </w:tcPr>
                <w:p w14:paraId="5F2F3266">
                  <w:pPr>
                    <w:widowControl/>
                    <w:adjustRightInd w:val="0"/>
                    <w:snapToGrid w:val="0"/>
                    <w:jc w:val="center"/>
                    <w:rPr>
                      <w:kern w:val="0"/>
                      <w:szCs w:val="21"/>
                    </w:rPr>
                  </w:pPr>
                  <w:r>
                    <w:rPr>
                      <w:kern w:val="0"/>
                      <w:szCs w:val="21"/>
                    </w:rPr>
                    <w:t>/</w:t>
                  </w:r>
                </w:p>
              </w:tc>
              <w:tc>
                <w:tcPr>
                  <w:tcW w:w="331" w:type="pct"/>
                  <w:vAlign w:val="center"/>
                </w:tcPr>
                <w:p w14:paraId="2FD8358B">
                  <w:pPr>
                    <w:widowControl/>
                    <w:adjustRightInd w:val="0"/>
                    <w:snapToGrid w:val="0"/>
                    <w:jc w:val="center"/>
                    <w:rPr>
                      <w:kern w:val="0"/>
                      <w:szCs w:val="21"/>
                    </w:rPr>
                  </w:pPr>
                  <w:r>
                    <w:rPr>
                      <w:kern w:val="0"/>
                      <w:szCs w:val="21"/>
                    </w:rPr>
                    <w:t>/</w:t>
                  </w:r>
                </w:p>
              </w:tc>
              <w:tc>
                <w:tcPr>
                  <w:tcW w:w="408" w:type="pct"/>
                  <w:vAlign w:val="center"/>
                </w:tcPr>
                <w:p w14:paraId="328EA09F">
                  <w:pPr>
                    <w:widowControl/>
                    <w:adjustRightInd w:val="0"/>
                    <w:snapToGrid w:val="0"/>
                    <w:jc w:val="center"/>
                    <w:rPr>
                      <w:kern w:val="0"/>
                      <w:szCs w:val="21"/>
                    </w:rPr>
                  </w:pPr>
                  <w:r>
                    <w:rPr>
                      <w:kern w:val="0"/>
                      <w:szCs w:val="21"/>
                    </w:rPr>
                    <w:t>/</w:t>
                  </w:r>
                </w:p>
              </w:tc>
              <w:tc>
                <w:tcPr>
                  <w:tcW w:w="343" w:type="pct"/>
                  <w:vAlign w:val="center"/>
                </w:tcPr>
                <w:p w14:paraId="272A775C">
                  <w:pPr>
                    <w:widowControl/>
                    <w:adjustRightInd w:val="0"/>
                    <w:snapToGrid w:val="0"/>
                    <w:jc w:val="center"/>
                    <w:rPr>
                      <w:szCs w:val="21"/>
                    </w:rPr>
                  </w:pPr>
                  <w:r>
                    <w:rPr>
                      <w:szCs w:val="21"/>
                    </w:rPr>
                    <w:t>/</w:t>
                  </w:r>
                </w:p>
              </w:tc>
            </w:tr>
            <w:tr w14:paraId="53CA8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91" w:type="pct"/>
                  <w:vMerge w:val="continue"/>
                  <w:vAlign w:val="center"/>
                </w:tcPr>
                <w:p w14:paraId="51288973">
                  <w:pPr>
                    <w:adjustRightInd w:val="0"/>
                    <w:snapToGrid w:val="0"/>
                    <w:jc w:val="center"/>
                    <w:rPr>
                      <w:bCs/>
                      <w:szCs w:val="21"/>
                    </w:rPr>
                  </w:pPr>
                </w:p>
              </w:tc>
              <w:tc>
                <w:tcPr>
                  <w:tcW w:w="212" w:type="pct"/>
                  <w:vMerge w:val="restart"/>
                  <w:vAlign w:val="center"/>
                </w:tcPr>
                <w:p w14:paraId="2000B489">
                  <w:pPr>
                    <w:adjustRightInd w:val="0"/>
                    <w:snapToGrid w:val="0"/>
                    <w:jc w:val="center"/>
                    <w:rPr>
                      <w:szCs w:val="21"/>
                    </w:rPr>
                  </w:pPr>
                  <w:r>
                    <w:rPr>
                      <w:szCs w:val="21"/>
                    </w:rPr>
                    <w:t>2#生产车间粉碎、熬制、压饼等过程</w:t>
                  </w:r>
                </w:p>
              </w:tc>
              <w:tc>
                <w:tcPr>
                  <w:tcW w:w="214" w:type="pct"/>
                  <w:vAlign w:val="center"/>
                </w:tcPr>
                <w:p w14:paraId="4219B4E7">
                  <w:pPr>
                    <w:adjustRightInd w:val="0"/>
                    <w:snapToGrid w:val="0"/>
                    <w:jc w:val="center"/>
                    <w:rPr>
                      <w:szCs w:val="21"/>
                    </w:rPr>
                  </w:pPr>
                  <w:r>
                    <w:rPr>
                      <w:szCs w:val="21"/>
                    </w:rPr>
                    <w:t>油烟</w:t>
                  </w:r>
                </w:p>
              </w:tc>
              <w:tc>
                <w:tcPr>
                  <w:tcW w:w="263" w:type="pct"/>
                  <w:vAlign w:val="center"/>
                </w:tcPr>
                <w:p w14:paraId="58E240B0">
                  <w:pPr>
                    <w:widowControl/>
                    <w:adjustRightInd w:val="0"/>
                    <w:snapToGrid w:val="0"/>
                    <w:jc w:val="center"/>
                    <w:rPr>
                      <w:szCs w:val="21"/>
                    </w:rPr>
                  </w:pPr>
                  <w:r>
                    <w:rPr>
                      <w:szCs w:val="21"/>
                    </w:rPr>
                    <w:t>1.24</w:t>
                  </w:r>
                </w:p>
              </w:tc>
              <w:tc>
                <w:tcPr>
                  <w:tcW w:w="331" w:type="pct"/>
                  <w:vAlign w:val="center"/>
                </w:tcPr>
                <w:p w14:paraId="52E4E72D">
                  <w:pPr>
                    <w:adjustRightInd w:val="0"/>
                    <w:snapToGrid w:val="0"/>
                    <w:jc w:val="center"/>
                    <w:rPr>
                      <w:szCs w:val="21"/>
                    </w:rPr>
                  </w:pPr>
                  <w:r>
                    <w:rPr>
                      <w:szCs w:val="21"/>
                    </w:rPr>
                    <w:t>0.52</w:t>
                  </w:r>
                </w:p>
              </w:tc>
              <w:tc>
                <w:tcPr>
                  <w:tcW w:w="1001" w:type="pct"/>
                  <w:vMerge w:val="restart"/>
                  <w:vAlign w:val="center"/>
                </w:tcPr>
                <w:p w14:paraId="37916D52">
                  <w:pPr>
                    <w:adjustRightInd w:val="0"/>
                    <w:snapToGrid w:val="0"/>
                    <w:jc w:val="center"/>
                    <w:rPr>
                      <w:kern w:val="0"/>
                      <w:szCs w:val="21"/>
                    </w:rPr>
                  </w:pPr>
                  <w:r>
                    <w:rPr>
                      <w:szCs w:val="21"/>
                    </w:rPr>
                    <w:t>个熬制过程处于密闭状态，仅留有排烟口，管道收集；冷库及油渣暂存间密闭；生产设备全部置于车间内并在粉碎机、加热锅及压饼机上方分别安装集气罩，油脂暂存池加盖密闭微负压收集废气，生产工艺过程均为密闭管道/螺旋输送机输送；生产过程中车间密闭</w:t>
                  </w:r>
                </w:p>
              </w:tc>
              <w:tc>
                <w:tcPr>
                  <w:tcW w:w="427" w:type="pct"/>
                  <w:gridSpan w:val="2"/>
                  <w:vMerge w:val="restart"/>
                  <w:vAlign w:val="center"/>
                </w:tcPr>
                <w:p w14:paraId="17F2EF80">
                  <w:pPr>
                    <w:adjustRightInd w:val="0"/>
                    <w:snapToGrid w:val="0"/>
                    <w:jc w:val="center"/>
                    <w:rPr>
                      <w:szCs w:val="21"/>
                    </w:rPr>
                  </w:pPr>
                  <w:r>
                    <w:rPr>
                      <w:bCs/>
                      <w:szCs w:val="21"/>
                    </w:rPr>
                    <w:t>冷凝+静电油烟净化器</w:t>
                  </w:r>
                  <w:r>
                    <w:rPr>
                      <w:szCs w:val="21"/>
                    </w:rPr>
                    <w:t>+</w:t>
                  </w:r>
                  <w:r>
                    <w:rPr>
                      <w:bCs/>
                      <w:szCs w:val="21"/>
                    </w:rPr>
                    <w:t>碱液喷淋+除雾器+活性炭吸附设施</w:t>
                  </w:r>
                </w:p>
              </w:tc>
              <w:tc>
                <w:tcPr>
                  <w:tcW w:w="163" w:type="pct"/>
                  <w:vMerge w:val="restart"/>
                  <w:vAlign w:val="center"/>
                </w:tcPr>
                <w:p w14:paraId="3C7FF7E8">
                  <w:pPr>
                    <w:widowControl/>
                    <w:adjustRightInd w:val="0"/>
                    <w:snapToGrid w:val="0"/>
                    <w:jc w:val="center"/>
                    <w:rPr>
                      <w:szCs w:val="21"/>
                    </w:rPr>
                  </w:pPr>
                  <w:r>
                    <w:rPr>
                      <w:szCs w:val="21"/>
                    </w:rPr>
                    <w:t>90%</w:t>
                  </w:r>
                </w:p>
              </w:tc>
              <w:tc>
                <w:tcPr>
                  <w:tcW w:w="194" w:type="pct"/>
                  <w:vAlign w:val="center"/>
                </w:tcPr>
                <w:p w14:paraId="64D50ED9">
                  <w:pPr>
                    <w:widowControl/>
                    <w:adjustRightInd w:val="0"/>
                    <w:snapToGrid w:val="0"/>
                    <w:jc w:val="center"/>
                    <w:rPr>
                      <w:szCs w:val="21"/>
                    </w:rPr>
                  </w:pPr>
                  <w:r>
                    <w:rPr>
                      <w:rFonts w:eastAsiaTheme="majorEastAsia"/>
                      <w:kern w:val="0"/>
                      <w:szCs w:val="21"/>
                    </w:rPr>
                    <w:t>99%</w:t>
                  </w:r>
                </w:p>
              </w:tc>
              <w:tc>
                <w:tcPr>
                  <w:tcW w:w="341" w:type="pct"/>
                  <w:vMerge w:val="restart"/>
                  <w:vAlign w:val="center"/>
                </w:tcPr>
                <w:p w14:paraId="0E367813">
                  <w:pPr>
                    <w:widowControl/>
                    <w:adjustRightInd w:val="0"/>
                    <w:snapToGrid w:val="0"/>
                    <w:jc w:val="center"/>
                    <w:rPr>
                      <w:szCs w:val="21"/>
                    </w:rPr>
                  </w:pPr>
                  <w:r>
                    <w:rPr>
                      <w:szCs w:val="21"/>
                    </w:rPr>
                    <w:t>13000</w:t>
                  </w:r>
                </w:p>
              </w:tc>
              <w:tc>
                <w:tcPr>
                  <w:tcW w:w="259" w:type="pct"/>
                  <w:vMerge w:val="restart"/>
                  <w:vAlign w:val="center"/>
                </w:tcPr>
                <w:p w14:paraId="541AC267">
                  <w:pPr>
                    <w:adjustRightInd w:val="0"/>
                    <w:snapToGrid w:val="0"/>
                    <w:jc w:val="center"/>
                    <w:rPr>
                      <w:szCs w:val="21"/>
                    </w:rPr>
                  </w:pPr>
                  <w:r>
                    <w:rPr>
                      <w:szCs w:val="21"/>
                    </w:rPr>
                    <w:t>DA002</w:t>
                  </w:r>
                </w:p>
              </w:tc>
              <w:tc>
                <w:tcPr>
                  <w:tcW w:w="158" w:type="pct"/>
                  <w:vMerge w:val="restart"/>
                  <w:vAlign w:val="center"/>
                </w:tcPr>
                <w:p w14:paraId="7C8599E1">
                  <w:pPr>
                    <w:widowControl/>
                    <w:adjustRightInd w:val="0"/>
                    <w:snapToGrid w:val="0"/>
                    <w:jc w:val="center"/>
                    <w:rPr>
                      <w:kern w:val="0"/>
                      <w:szCs w:val="21"/>
                    </w:rPr>
                  </w:pPr>
                  <w:r>
                    <w:rPr>
                      <w:kern w:val="0"/>
                      <w:szCs w:val="21"/>
                    </w:rPr>
                    <w:t>15m</w:t>
                  </w:r>
                </w:p>
              </w:tc>
              <w:tc>
                <w:tcPr>
                  <w:tcW w:w="263" w:type="pct"/>
                  <w:vAlign w:val="center"/>
                </w:tcPr>
                <w:p w14:paraId="13AE219F">
                  <w:pPr>
                    <w:widowControl/>
                    <w:adjustRightInd w:val="0"/>
                    <w:snapToGrid w:val="0"/>
                    <w:jc w:val="center"/>
                    <w:rPr>
                      <w:kern w:val="0"/>
                      <w:szCs w:val="21"/>
                    </w:rPr>
                  </w:pPr>
                  <w:r>
                    <w:rPr>
                      <w:kern w:val="0"/>
                      <w:szCs w:val="21"/>
                    </w:rPr>
                    <w:t>0.012</w:t>
                  </w:r>
                </w:p>
              </w:tc>
              <w:tc>
                <w:tcPr>
                  <w:tcW w:w="331" w:type="pct"/>
                  <w:vAlign w:val="center"/>
                </w:tcPr>
                <w:p w14:paraId="50D0EA5E">
                  <w:pPr>
                    <w:widowControl/>
                    <w:adjustRightInd w:val="0"/>
                    <w:snapToGrid w:val="0"/>
                    <w:jc w:val="center"/>
                    <w:rPr>
                      <w:kern w:val="0"/>
                      <w:szCs w:val="21"/>
                    </w:rPr>
                  </w:pPr>
                  <w:r>
                    <w:rPr>
                      <w:kern w:val="0"/>
                      <w:szCs w:val="21"/>
                    </w:rPr>
                    <w:t>0.005</w:t>
                  </w:r>
                </w:p>
              </w:tc>
              <w:tc>
                <w:tcPr>
                  <w:tcW w:w="408" w:type="pct"/>
                  <w:vAlign w:val="center"/>
                </w:tcPr>
                <w:p w14:paraId="483BC0EA">
                  <w:pPr>
                    <w:widowControl/>
                    <w:adjustRightInd w:val="0"/>
                    <w:snapToGrid w:val="0"/>
                    <w:jc w:val="center"/>
                    <w:rPr>
                      <w:kern w:val="0"/>
                      <w:szCs w:val="21"/>
                    </w:rPr>
                  </w:pPr>
                  <w:r>
                    <w:rPr>
                      <w:kern w:val="0"/>
                      <w:szCs w:val="21"/>
                    </w:rPr>
                    <w:t>0.38</w:t>
                  </w:r>
                </w:p>
              </w:tc>
              <w:tc>
                <w:tcPr>
                  <w:tcW w:w="343" w:type="pct"/>
                  <w:vAlign w:val="center"/>
                </w:tcPr>
                <w:p w14:paraId="1F119BBB">
                  <w:pPr>
                    <w:widowControl/>
                    <w:adjustRightInd w:val="0"/>
                    <w:snapToGrid w:val="0"/>
                    <w:jc w:val="center"/>
                    <w:rPr>
                      <w:szCs w:val="21"/>
                    </w:rPr>
                  </w:pPr>
                  <w:r>
                    <w:rPr>
                      <w:szCs w:val="21"/>
                    </w:rPr>
                    <w:t>1.0mg/m</w:t>
                  </w:r>
                  <w:r>
                    <w:rPr>
                      <w:szCs w:val="21"/>
                      <w:vertAlign w:val="superscript"/>
                    </w:rPr>
                    <w:t>3</w:t>
                  </w:r>
                </w:p>
              </w:tc>
            </w:tr>
            <w:tr w14:paraId="5DA8F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39" w:hRule="atLeast"/>
                <w:jc w:val="center"/>
              </w:trPr>
              <w:tc>
                <w:tcPr>
                  <w:tcW w:w="91" w:type="pct"/>
                  <w:vMerge w:val="continue"/>
                  <w:vAlign w:val="center"/>
                </w:tcPr>
                <w:p w14:paraId="7299599C">
                  <w:pPr>
                    <w:adjustRightInd w:val="0"/>
                    <w:snapToGrid w:val="0"/>
                    <w:jc w:val="center"/>
                    <w:rPr>
                      <w:bCs/>
                      <w:szCs w:val="21"/>
                    </w:rPr>
                  </w:pPr>
                </w:p>
              </w:tc>
              <w:tc>
                <w:tcPr>
                  <w:tcW w:w="212" w:type="pct"/>
                  <w:vMerge w:val="continue"/>
                  <w:vAlign w:val="center"/>
                </w:tcPr>
                <w:p w14:paraId="106001A1">
                  <w:pPr>
                    <w:adjustRightInd w:val="0"/>
                    <w:snapToGrid w:val="0"/>
                    <w:jc w:val="center"/>
                    <w:rPr>
                      <w:szCs w:val="21"/>
                    </w:rPr>
                  </w:pPr>
                </w:p>
              </w:tc>
              <w:tc>
                <w:tcPr>
                  <w:tcW w:w="214" w:type="pct"/>
                  <w:vAlign w:val="center"/>
                </w:tcPr>
                <w:p w14:paraId="33FCF51F">
                  <w:pPr>
                    <w:adjustRightInd w:val="0"/>
                    <w:snapToGrid w:val="0"/>
                    <w:jc w:val="center"/>
                    <w:rPr>
                      <w:szCs w:val="21"/>
                    </w:rPr>
                  </w:pPr>
                  <w:r>
                    <w:rPr>
                      <w:szCs w:val="21"/>
                    </w:rPr>
                    <w:t>NH</w:t>
                  </w:r>
                  <w:r>
                    <w:rPr>
                      <w:szCs w:val="21"/>
                      <w:vertAlign w:val="subscript"/>
                    </w:rPr>
                    <w:t>3</w:t>
                  </w:r>
                </w:p>
              </w:tc>
              <w:tc>
                <w:tcPr>
                  <w:tcW w:w="263" w:type="pct"/>
                  <w:vAlign w:val="center"/>
                </w:tcPr>
                <w:p w14:paraId="74F0E7A4">
                  <w:pPr>
                    <w:widowControl/>
                    <w:adjustRightInd w:val="0"/>
                    <w:snapToGrid w:val="0"/>
                    <w:jc w:val="center"/>
                    <w:rPr>
                      <w:szCs w:val="21"/>
                    </w:rPr>
                  </w:pPr>
                  <w:r>
                    <w:rPr>
                      <w:szCs w:val="21"/>
                    </w:rPr>
                    <w:t>1.69</w:t>
                  </w:r>
                </w:p>
              </w:tc>
              <w:tc>
                <w:tcPr>
                  <w:tcW w:w="331" w:type="pct"/>
                  <w:vAlign w:val="center"/>
                </w:tcPr>
                <w:p w14:paraId="69B5C9FC">
                  <w:pPr>
                    <w:adjustRightInd w:val="0"/>
                    <w:snapToGrid w:val="0"/>
                    <w:jc w:val="center"/>
                    <w:rPr>
                      <w:szCs w:val="21"/>
                    </w:rPr>
                  </w:pPr>
                  <w:r>
                    <w:rPr>
                      <w:szCs w:val="21"/>
                    </w:rPr>
                    <w:t>0.7</w:t>
                  </w:r>
                </w:p>
              </w:tc>
              <w:tc>
                <w:tcPr>
                  <w:tcW w:w="1001" w:type="pct"/>
                  <w:vMerge w:val="continue"/>
                  <w:vAlign w:val="center"/>
                </w:tcPr>
                <w:p w14:paraId="1F722360">
                  <w:pPr>
                    <w:adjustRightInd w:val="0"/>
                    <w:snapToGrid w:val="0"/>
                    <w:jc w:val="center"/>
                    <w:rPr>
                      <w:kern w:val="0"/>
                      <w:szCs w:val="21"/>
                    </w:rPr>
                  </w:pPr>
                </w:p>
              </w:tc>
              <w:tc>
                <w:tcPr>
                  <w:tcW w:w="427" w:type="pct"/>
                  <w:gridSpan w:val="2"/>
                  <w:vMerge w:val="continue"/>
                  <w:vAlign w:val="center"/>
                </w:tcPr>
                <w:p w14:paraId="1ADD77B0">
                  <w:pPr>
                    <w:adjustRightInd w:val="0"/>
                    <w:snapToGrid w:val="0"/>
                    <w:jc w:val="center"/>
                    <w:rPr>
                      <w:szCs w:val="21"/>
                    </w:rPr>
                  </w:pPr>
                </w:p>
              </w:tc>
              <w:tc>
                <w:tcPr>
                  <w:tcW w:w="163" w:type="pct"/>
                  <w:vMerge w:val="continue"/>
                  <w:vAlign w:val="center"/>
                </w:tcPr>
                <w:p w14:paraId="10E1422B">
                  <w:pPr>
                    <w:widowControl/>
                    <w:adjustRightInd w:val="0"/>
                    <w:snapToGrid w:val="0"/>
                    <w:jc w:val="center"/>
                    <w:rPr>
                      <w:szCs w:val="21"/>
                    </w:rPr>
                  </w:pPr>
                </w:p>
              </w:tc>
              <w:tc>
                <w:tcPr>
                  <w:tcW w:w="194" w:type="pct"/>
                  <w:vAlign w:val="center"/>
                </w:tcPr>
                <w:p w14:paraId="06CF29B4">
                  <w:pPr>
                    <w:widowControl/>
                    <w:adjustRightInd w:val="0"/>
                    <w:snapToGrid w:val="0"/>
                    <w:jc w:val="center"/>
                    <w:rPr>
                      <w:rFonts w:eastAsiaTheme="majorEastAsia"/>
                      <w:kern w:val="0"/>
                      <w:szCs w:val="21"/>
                    </w:rPr>
                  </w:pPr>
                  <w:r>
                    <w:rPr>
                      <w:rFonts w:eastAsiaTheme="majorEastAsia"/>
                      <w:kern w:val="0"/>
                      <w:szCs w:val="21"/>
                    </w:rPr>
                    <w:t>90%</w:t>
                  </w:r>
                </w:p>
              </w:tc>
              <w:tc>
                <w:tcPr>
                  <w:tcW w:w="341" w:type="pct"/>
                  <w:vMerge w:val="continue"/>
                  <w:vAlign w:val="center"/>
                </w:tcPr>
                <w:p w14:paraId="6E1A2DE9">
                  <w:pPr>
                    <w:widowControl/>
                    <w:adjustRightInd w:val="0"/>
                    <w:snapToGrid w:val="0"/>
                    <w:jc w:val="center"/>
                    <w:rPr>
                      <w:szCs w:val="21"/>
                    </w:rPr>
                  </w:pPr>
                </w:p>
              </w:tc>
              <w:tc>
                <w:tcPr>
                  <w:tcW w:w="259" w:type="pct"/>
                  <w:vMerge w:val="continue"/>
                  <w:vAlign w:val="center"/>
                </w:tcPr>
                <w:p w14:paraId="1170ECAF">
                  <w:pPr>
                    <w:adjustRightInd w:val="0"/>
                    <w:snapToGrid w:val="0"/>
                    <w:jc w:val="center"/>
                    <w:rPr>
                      <w:szCs w:val="21"/>
                    </w:rPr>
                  </w:pPr>
                </w:p>
              </w:tc>
              <w:tc>
                <w:tcPr>
                  <w:tcW w:w="158" w:type="pct"/>
                  <w:vMerge w:val="continue"/>
                  <w:vAlign w:val="center"/>
                </w:tcPr>
                <w:p w14:paraId="2F053222">
                  <w:pPr>
                    <w:widowControl/>
                    <w:adjustRightInd w:val="0"/>
                    <w:snapToGrid w:val="0"/>
                    <w:jc w:val="center"/>
                    <w:rPr>
                      <w:kern w:val="0"/>
                      <w:szCs w:val="21"/>
                    </w:rPr>
                  </w:pPr>
                </w:p>
              </w:tc>
              <w:tc>
                <w:tcPr>
                  <w:tcW w:w="263" w:type="pct"/>
                  <w:vAlign w:val="center"/>
                </w:tcPr>
                <w:p w14:paraId="345C6E28">
                  <w:pPr>
                    <w:widowControl/>
                    <w:adjustRightInd w:val="0"/>
                    <w:snapToGrid w:val="0"/>
                    <w:jc w:val="center"/>
                    <w:rPr>
                      <w:kern w:val="0"/>
                      <w:szCs w:val="21"/>
                    </w:rPr>
                  </w:pPr>
                  <w:r>
                    <w:rPr>
                      <w:kern w:val="0"/>
                      <w:szCs w:val="21"/>
                    </w:rPr>
                    <w:t>0.169</w:t>
                  </w:r>
                </w:p>
              </w:tc>
              <w:tc>
                <w:tcPr>
                  <w:tcW w:w="331" w:type="pct"/>
                  <w:vAlign w:val="center"/>
                </w:tcPr>
                <w:p w14:paraId="2EB5E666">
                  <w:pPr>
                    <w:widowControl/>
                    <w:adjustRightInd w:val="0"/>
                    <w:snapToGrid w:val="0"/>
                    <w:jc w:val="center"/>
                    <w:rPr>
                      <w:kern w:val="0"/>
                      <w:szCs w:val="21"/>
                    </w:rPr>
                  </w:pPr>
                  <w:r>
                    <w:rPr>
                      <w:kern w:val="0"/>
                      <w:szCs w:val="21"/>
                    </w:rPr>
                    <w:t>0.07</w:t>
                  </w:r>
                </w:p>
              </w:tc>
              <w:tc>
                <w:tcPr>
                  <w:tcW w:w="408" w:type="pct"/>
                  <w:vAlign w:val="center"/>
                </w:tcPr>
                <w:p w14:paraId="483E09CD">
                  <w:pPr>
                    <w:widowControl/>
                    <w:adjustRightInd w:val="0"/>
                    <w:snapToGrid w:val="0"/>
                    <w:jc w:val="center"/>
                    <w:rPr>
                      <w:kern w:val="0"/>
                      <w:szCs w:val="21"/>
                    </w:rPr>
                  </w:pPr>
                  <w:r>
                    <w:rPr>
                      <w:kern w:val="0"/>
                      <w:szCs w:val="21"/>
                    </w:rPr>
                    <w:t>5.4</w:t>
                  </w:r>
                </w:p>
              </w:tc>
              <w:tc>
                <w:tcPr>
                  <w:tcW w:w="343" w:type="pct"/>
                  <w:vAlign w:val="center"/>
                </w:tcPr>
                <w:p w14:paraId="725DFB95">
                  <w:pPr>
                    <w:widowControl/>
                    <w:adjustRightInd w:val="0"/>
                    <w:snapToGrid w:val="0"/>
                    <w:jc w:val="center"/>
                    <w:rPr>
                      <w:szCs w:val="21"/>
                    </w:rPr>
                  </w:pPr>
                  <w:r>
                    <w:rPr>
                      <w:szCs w:val="21"/>
                    </w:rPr>
                    <w:t>4.9kg/h</w:t>
                  </w:r>
                </w:p>
              </w:tc>
            </w:tr>
            <w:tr w14:paraId="0503E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91" w:type="pct"/>
                  <w:vMerge w:val="continue"/>
                  <w:vAlign w:val="center"/>
                </w:tcPr>
                <w:p w14:paraId="41E2CEFF">
                  <w:pPr>
                    <w:adjustRightInd w:val="0"/>
                    <w:snapToGrid w:val="0"/>
                    <w:jc w:val="center"/>
                    <w:rPr>
                      <w:bCs/>
                      <w:szCs w:val="21"/>
                    </w:rPr>
                  </w:pPr>
                </w:p>
              </w:tc>
              <w:tc>
                <w:tcPr>
                  <w:tcW w:w="212" w:type="pct"/>
                  <w:vMerge w:val="continue"/>
                  <w:vAlign w:val="center"/>
                </w:tcPr>
                <w:p w14:paraId="34144378">
                  <w:pPr>
                    <w:adjustRightInd w:val="0"/>
                    <w:snapToGrid w:val="0"/>
                    <w:jc w:val="center"/>
                    <w:rPr>
                      <w:szCs w:val="21"/>
                    </w:rPr>
                  </w:pPr>
                </w:p>
              </w:tc>
              <w:tc>
                <w:tcPr>
                  <w:tcW w:w="214" w:type="pct"/>
                  <w:vAlign w:val="center"/>
                </w:tcPr>
                <w:p w14:paraId="0D2551BF">
                  <w:pPr>
                    <w:adjustRightInd w:val="0"/>
                    <w:snapToGrid w:val="0"/>
                    <w:jc w:val="center"/>
                    <w:rPr>
                      <w:szCs w:val="21"/>
                    </w:rPr>
                  </w:pPr>
                  <w:r>
                    <w:rPr>
                      <w:szCs w:val="21"/>
                    </w:rPr>
                    <w:t>H</w:t>
                  </w:r>
                  <w:r>
                    <w:rPr>
                      <w:szCs w:val="21"/>
                      <w:vertAlign w:val="subscript"/>
                    </w:rPr>
                    <w:t>2</w:t>
                  </w:r>
                  <w:r>
                    <w:rPr>
                      <w:szCs w:val="21"/>
                    </w:rPr>
                    <w:t>S</w:t>
                  </w:r>
                </w:p>
              </w:tc>
              <w:tc>
                <w:tcPr>
                  <w:tcW w:w="263" w:type="pct"/>
                  <w:vAlign w:val="center"/>
                </w:tcPr>
                <w:p w14:paraId="448EB24E">
                  <w:pPr>
                    <w:widowControl/>
                    <w:adjustRightInd w:val="0"/>
                    <w:snapToGrid w:val="0"/>
                    <w:jc w:val="center"/>
                    <w:rPr>
                      <w:szCs w:val="21"/>
                    </w:rPr>
                  </w:pPr>
                  <w:r>
                    <w:rPr>
                      <w:szCs w:val="21"/>
                    </w:rPr>
                    <w:t>0.35</w:t>
                  </w:r>
                </w:p>
              </w:tc>
              <w:tc>
                <w:tcPr>
                  <w:tcW w:w="331" w:type="pct"/>
                  <w:vAlign w:val="center"/>
                </w:tcPr>
                <w:p w14:paraId="7DA1D7E5">
                  <w:pPr>
                    <w:adjustRightInd w:val="0"/>
                    <w:snapToGrid w:val="0"/>
                    <w:jc w:val="center"/>
                    <w:rPr>
                      <w:szCs w:val="21"/>
                    </w:rPr>
                  </w:pPr>
                  <w:r>
                    <w:rPr>
                      <w:szCs w:val="21"/>
                    </w:rPr>
                    <w:t>0.15</w:t>
                  </w:r>
                </w:p>
              </w:tc>
              <w:tc>
                <w:tcPr>
                  <w:tcW w:w="1001" w:type="pct"/>
                  <w:vMerge w:val="continue"/>
                  <w:vAlign w:val="center"/>
                </w:tcPr>
                <w:p w14:paraId="05D5850D">
                  <w:pPr>
                    <w:adjustRightInd w:val="0"/>
                    <w:snapToGrid w:val="0"/>
                    <w:jc w:val="center"/>
                    <w:rPr>
                      <w:kern w:val="0"/>
                      <w:szCs w:val="21"/>
                    </w:rPr>
                  </w:pPr>
                </w:p>
              </w:tc>
              <w:tc>
                <w:tcPr>
                  <w:tcW w:w="427" w:type="pct"/>
                  <w:gridSpan w:val="2"/>
                  <w:vMerge w:val="continue"/>
                  <w:vAlign w:val="center"/>
                </w:tcPr>
                <w:p w14:paraId="6732F131">
                  <w:pPr>
                    <w:adjustRightInd w:val="0"/>
                    <w:snapToGrid w:val="0"/>
                    <w:jc w:val="center"/>
                    <w:rPr>
                      <w:szCs w:val="21"/>
                    </w:rPr>
                  </w:pPr>
                </w:p>
              </w:tc>
              <w:tc>
                <w:tcPr>
                  <w:tcW w:w="163" w:type="pct"/>
                  <w:vMerge w:val="continue"/>
                  <w:vAlign w:val="center"/>
                </w:tcPr>
                <w:p w14:paraId="28183FE7">
                  <w:pPr>
                    <w:widowControl/>
                    <w:adjustRightInd w:val="0"/>
                    <w:snapToGrid w:val="0"/>
                    <w:jc w:val="center"/>
                    <w:rPr>
                      <w:szCs w:val="21"/>
                    </w:rPr>
                  </w:pPr>
                </w:p>
              </w:tc>
              <w:tc>
                <w:tcPr>
                  <w:tcW w:w="194" w:type="pct"/>
                  <w:vAlign w:val="center"/>
                </w:tcPr>
                <w:p w14:paraId="3EAF034C">
                  <w:pPr>
                    <w:widowControl/>
                    <w:adjustRightInd w:val="0"/>
                    <w:snapToGrid w:val="0"/>
                    <w:jc w:val="center"/>
                    <w:rPr>
                      <w:rFonts w:eastAsiaTheme="majorEastAsia"/>
                      <w:kern w:val="0"/>
                      <w:szCs w:val="21"/>
                    </w:rPr>
                  </w:pPr>
                  <w:r>
                    <w:rPr>
                      <w:rFonts w:eastAsiaTheme="majorEastAsia"/>
                      <w:kern w:val="0"/>
                      <w:szCs w:val="21"/>
                    </w:rPr>
                    <w:t>90%</w:t>
                  </w:r>
                </w:p>
              </w:tc>
              <w:tc>
                <w:tcPr>
                  <w:tcW w:w="341" w:type="pct"/>
                  <w:vMerge w:val="continue"/>
                  <w:vAlign w:val="center"/>
                </w:tcPr>
                <w:p w14:paraId="0119F289">
                  <w:pPr>
                    <w:widowControl/>
                    <w:adjustRightInd w:val="0"/>
                    <w:snapToGrid w:val="0"/>
                    <w:jc w:val="center"/>
                    <w:rPr>
                      <w:szCs w:val="21"/>
                    </w:rPr>
                  </w:pPr>
                </w:p>
              </w:tc>
              <w:tc>
                <w:tcPr>
                  <w:tcW w:w="259" w:type="pct"/>
                  <w:vMerge w:val="continue"/>
                  <w:vAlign w:val="center"/>
                </w:tcPr>
                <w:p w14:paraId="2163D79A">
                  <w:pPr>
                    <w:widowControl/>
                    <w:adjustRightInd w:val="0"/>
                    <w:snapToGrid w:val="0"/>
                    <w:jc w:val="center"/>
                    <w:rPr>
                      <w:szCs w:val="21"/>
                    </w:rPr>
                  </w:pPr>
                </w:p>
              </w:tc>
              <w:tc>
                <w:tcPr>
                  <w:tcW w:w="158" w:type="pct"/>
                  <w:vMerge w:val="continue"/>
                  <w:vAlign w:val="center"/>
                </w:tcPr>
                <w:p w14:paraId="57485005">
                  <w:pPr>
                    <w:widowControl/>
                    <w:adjustRightInd w:val="0"/>
                    <w:snapToGrid w:val="0"/>
                    <w:jc w:val="center"/>
                    <w:rPr>
                      <w:kern w:val="0"/>
                      <w:szCs w:val="21"/>
                    </w:rPr>
                  </w:pPr>
                </w:p>
              </w:tc>
              <w:tc>
                <w:tcPr>
                  <w:tcW w:w="263" w:type="pct"/>
                  <w:vAlign w:val="center"/>
                </w:tcPr>
                <w:p w14:paraId="3B21C2DD">
                  <w:pPr>
                    <w:widowControl/>
                    <w:adjustRightInd w:val="0"/>
                    <w:snapToGrid w:val="0"/>
                    <w:jc w:val="center"/>
                    <w:rPr>
                      <w:kern w:val="0"/>
                      <w:szCs w:val="21"/>
                    </w:rPr>
                  </w:pPr>
                  <w:r>
                    <w:rPr>
                      <w:kern w:val="0"/>
                      <w:szCs w:val="21"/>
                    </w:rPr>
                    <w:t>0.035</w:t>
                  </w:r>
                </w:p>
              </w:tc>
              <w:tc>
                <w:tcPr>
                  <w:tcW w:w="331" w:type="pct"/>
                  <w:vAlign w:val="center"/>
                </w:tcPr>
                <w:p w14:paraId="16B8CEAC">
                  <w:pPr>
                    <w:widowControl/>
                    <w:adjustRightInd w:val="0"/>
                    <w:snapToGrid w:val="0"/>
                    <w:jc w:val="center"/>
                    <w:rPr>
                      <w:kern w:val="0"/>
                      <w:szCs w:val="21"/>
                    </w:rPr>
                  </w:pPr>
                  <w:r>
                    <w:rPr>
                      <w:kern w:val="0"/>
                      <w:szCs w:val="21"/>
                    </w:rPr>
                    <w:t>0.015</w:t>
                  </w:r>
                </w:p>
              </w:tc>
              <w:tc>
                <w:tcPr>
                  <w:tcW w:w="408" w:type="pct"/>
                  <w:vAlign w:val="center"/>
                </w:tcPr>
                <w:p w14:paraId="460B9959">
                  <w:pPr>
                    <w:widowControl/>
                    <w:adjustRightInd w:val="0"/>
                    <w:snapToGrid w:val="0"/>
                    <w:jc w:val="center"/>
                    <w:rPr>
                      <w:kern w:val="0"/>
                      <w:szCs w:val="21"/>
                    </w:rPr>
                  </w:pPr>
                  <w:r>
                    <w:rPr>
                      <w:kern w:val="0"/>
                      <w:szCs w:val="21"/>
                    </w:rPr>
                    <w:t>1.12</w:t>
                  </w:r>
                </w:p>
              </w:tc>
              <w:tc>
                <w:tcPr>
                  <w:tcW w:w="343" w:type="pct"/>
                  <w:vAlign w:val="center"/>
                </w:tcPr>
                <w:p w14:paraId="4E007CA8">
                  <w:pPr>
                    <w:widowControl/>
                    <w:adjustRightInd w:val="0"/>
                    <w:snapToGrid w:val="0"/>
                    <w:jc w:val="center"/>
                    <w:rPr>
                      <w:szCs w:val="21"/>
                    </w:rPr>
                  </w:pPr>
                  <w:r>
                    <w:rPr>
                      <w:szCs w:val="21"/>
                    </w:rPr>
                    <w:t>0.33kg/h</w:t>
                  </w:r>
                </w:p>
              </w:tc>
            </w:tr>
            <w:tr w14:paraId="32D6E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91" w:type="pct"/>
                  <w:vMerge w:val="continue"/>
                  <w:vAlign w:val="center"/>
                </w:tcPr>
                <w:p w14:paraId="6637C233">
                  <w:pPr>
                    <w:adjustRightInd w:val="0"/>
                    <w:snapToGrid w:val="0"/>
                    <w:jc w:val="center"/>
                    <w:rPr>
                      <w:szCs w:val="21"/>
                    </w:rPr>
                  </w:pPr>
                </w:p>
              </w:tc>
              <w:tc>
                <w:tcPr>
                  <w:tcW w:w="212" w:type="pct"/>
                  <w:vMerge w:val="restart"/>
                  <w:vAlign w:val="center"/>
                </w:tcPr>
                <w:p w14:paraId="340DCDF6">
                  <w:pPr>
                    <w:adjustRightInd w:val="0"/>
                    <w:snapToGrid w:val="0"/>
                    <w:jc w:val="center"/>
                    <w:rPr>
                      <w:szCs w:val="21"/>
                    </w:rPr>
                  </w:pPr>
                  <w:r>
                    <w:rPr>
                      <w:szCs w:val="21"/>
                    </w:rPr>
                    <w:t>天然气导热油锅炉燃烧</w:t>
                  </w:r>
                </w:p>
              </w:tc>
              <w:tc>
                <w:tcPr>
                  <w:tcW w:w="214" w:type="pct"/>
                  <w:vAlign w:val="center"/>
                </w:tcPr>
                <w:p w14:paraId="7F436374">
                  <w:pPr>
                    <w:adjustRightInd w:val="0"/>
                    <w:snapToGrid w:val="0"/>
                    <w:jc w:val="center"/>
                    <w:rPr>
                      <w:szCs w:val="21"/>
                    </w:rPr>
                  </w:pPr>
                  <w:r>
                    <w:rPr>
                      <w:szCs w:val="21"/>
                    </w:rPr>
                    <w:t>颗粒物</w:t>
                  </w:r>
                </w:p>
              </w:tc>
              <w:tc>
                <w:tcPr>
                  <w:tcW w:w="263" w:type="pct"/>
                  <w:vAlign w:val="center"/>
                </w:tcPr>
                <w:p w14:paraId="22A8D6AD">
                  <w:pPr>
                    <w:pStyle w:val="70"/>
                    <w:adjustRightInd w:val="0"/>
                    <w:snapToGrid w:val="0"/>
                    <w:spacing w:line="240" w:lineRule="auto"/>
                    <w:ind w:firstLine="0" w:firstLineChars="0"/>
                    <w:jc w:val="center"/>
                    <w:rPr>
                      <w:color w:val="auto"/>
                      <w:kern w:val="0"/>
                      <w:sz w:val="21"/>
                      <w:szCs w:val="21"/>
                    </w:rPr>
                  </w:pPr>
                  <w:r>
                    <w:rPr>
                      <w:color w:val="auto"/>
                      <w:kern w:val="0"/>
                      <w:sz w:val="21"/>
                      <w:szCs w:val="21"/>
                    </w:rPr>
                    <w:t>0.0</w:t>
                  </w:r>
                  <w:r>
                    <w:rPr>
                      <w:rFonts w:hint="eastAsia"/>
                      <w:color w:val="auto"/>
                      <w:kern w:val="0"/>
                      <w:sz w:val="21"/>
                      <w:szCs w:val="21"/>
                    </w:rPr>
                    <w:t>514</w:t>
                  </w:r>
                </w:p>
              </w:tc>
              <w:tc>
                <w:tcPr>
                  <w:tcW w:w="331" w:type="pct"/>
                  <w:vAlign w:val="center"/>
                </w:tcPr>
                <w:p w14:paraId="13AB58A1">
                  <w:pPr>
                    <w:pStyle w:val="70"/>
                    <w:adjustRightInd w:val="0"/>
                    <w:snapToGrid w:val="0"/>
                    <w:spacing w:line="240" w:lineRule="auto"/>
                    <w:ind w:firstLine="0" w:firstLineChars="0"/>
                    <w:jc w:val="center"/>
                    <w:rPr>
                      <w:color w:val="auto"/>
                      <w:kern w:val="0"/>
                      <w:sz w:val="21"/>
                      <w:szCs w:val="21"/>
                    </w:rPr>
                  </w:pPr>
                  <w:r>
                    <w:rPr>
                      <w:color w:val="auto"/>
                      <w:kern w:val="0"/>
                      <w:sz w:val="21"/>
                      <w:szCs w:val="21"/>
                    </w:rPr>
                    <w:t>0.0</w:t>
                  </w:r>
                  <w:r>
                    <w:rPr>
                      <w:rFonts w:hint="eastAsia"/>
                      <w:color w:val="auto"/>
                      <w:kern w:val="0"/>
                      <w:sz w:val="21"/>
                      <w:szCs w:val="21"/>
                    </w:rPr>
                    <w:t>21</w:t>
                  </w:r>
                </w:p>
              </w:tc>
              <w:tc>
                <w:tcPr>
                  <w:tcW w:w="1428" w:type="pct"/>
                  <w:gridSpan w:val="3"/>
                  <w:vMerge w:val="restart"/>
                  <w:vAlign w:val="center"/>
                </w:tcPr>
                <w:p w14:paraId="301BEBCB">
                  <w:pPr>
                    <w:adjustRightInd w:val="0"/>
                    <w:snapToGrid w:val="0"/>
                    <w:jc w:val="center"/>
                    <w:rPr>
                      <w:szCs w:val="21"/>
                    </w:rPr>
                  </w:pPr>
                  <w:r>
                    <w:rPr>
                      <w:szCs w:val="21"/>
                    </w:rPr>
                    <w:t>低氮燃烧+烟气循环系统</w:t>
                  </w:r>
                </w:p>
              </w:tc>
              <w:tc>
                <w:tcPr>
                  <w:tcW w:w="163" w:type="pct"/>
                  <w:vAlign w:val="center"/>
                </w:tcPr>
                <w:p w14:paraId="444A31D7">
                  <w:pPr>
                    <w:widowControl/>
                    <w:adjustRightInd w:val="0"/>
                    <w:snapToGrid w:val="0"/>
                    <w:jc w:val="center"/>
                    <w:rPr>
                      <w:szCs w:val="21"/>
                    </w:rPr>
                  </w:pPr>
                  <w:r>
                    <w:rPr>
                      <w:szCs w:val="21"/>
                    </w:rPr>
                    <w:t>/</w:t>
                  </w:r>
                </w:p>
              </w:tc>
              <w:tc>
                <w:tcPr>
                  <w:tcW w:w="194" w:type="pct"/>
                  <w:vAlign w:val="center"/>
                </w:tcPr>
                <w:p w14:paraId="6593DAA5">
                  <w:pPr>
                    <w:widowControl/>
                    <w:adjustRightInd w:val="0"/>
                    <w:snapToGrid w:val="0"/>
                    <w:jc w:val="center"/>
                    <w:rPr>
                      <w:kern w:val="0"/>
                      <w:szCs w:val="21"/>
                    </w:rPr>
                  </w:pPr>
                  <w:r>
                    <w:rPr>
                      <w:kern w:val="0"/>
                      <w:szCs w:val="21"/>
                    </w:rPr>
                    <w:t>/</w:t>
                  </w:r>
                </w:p>
              </w:tc>
              <w:tc>
                <w:tcPr>
                  <w:tcW w:w="341" w:type="pct"/>
                  <w:vMerge w:val="restart"/>
                  <w:vAlign w:val="center"/>
                </w:tcPr>
                <w:p w14:paraId="7DF11344">
                  <w:pPr>
                    <w:widowControl/>
                    <w:adjustRightInd w:val="0"/>
                    <w:snapToGrid w:val="0"/>
                    <w:jc w:val="center"/>
                    <w:rPr>
                      <w:szCs w:val="21"/>
                    </w:rPr>
                  </w:pPr>
                  <w:r>
                    <w:rPr>
                      <w:rFonts w:hint="eastAsia"/>
                      <w:szCs w:val="21"/>
                    </w:rPr>
                    <w:t>4340</w:t>
                  </w:r>
                </w:p>
              </w:tc>
              <w:tc>
                <w:tcPr>
                  <w:tcW w:w="259" w:type="pct"/>
                  <w:vMerge w:val="restart"/>
                  <w:vAlign w:val="center"/>
                </w:tcPr>
                <w:p w14:paraId="730CA58F">
                  <w:pPr>
                    <w:widowControl/>
                    <w:adjustRightInd w:val="0"/>
                    <w:snapToGrid w:val="0"/>
                    <w:jc w:val="center"/>
                    <w:rPr>
                      <w:szCs w:val="21"/>
                    </w:rPr>
                  </w:pPr>
                  <w:r>
                    <w:rPr>
                      <w:szCs w:val="21"/>
                    </w:rPr>
                    <w:t>DA003</w:t>
                  </w:r>
                </w:p>
              </w:tc>
              <w:tc>
                <w:tcPr>
                  <w:tcW w:w="158" w:type="pct"/>
                  <w:vMerge w:val="restart"/>
                  <w:vAlign w:val="center"/>
                </w:tcPr>
                <w:p w14:paraId="76A1A10B">
                  <w:pPr>
                    <w:pStyle w:val="70"/>
                    <w:adjustRightInd w:val="0"/>
                    <w:snapToGrid w:val="0"/>
                    <w:spacing w:line="240" w:lineRule="auto"/>
                    <w:ind w:firstLine="0" w:firstLineChars="0"/>
                    <w:jc w:val="center"/>
                    <w:rPr>
                      <w:color w:val="auto"/>
                      <w:kern w:val="0"/>
                      <w:sz w:val="21"/>
                      <w:szCs w:val="21"/>
                    </w:rPr>
                  </w:pPr>
                  <w:r>
                    <w:rPr>
                      <w:color w:val="auto"/>
                      <w:kern w:val="0"/>
                      <w:sz w:val="21"/>
                      <w:szCs w:val="21"/>
                    </w:rPr>
                    <w:t>8m</w:t>
                  </w:r>
                </w:p>
              </w:tc>
              <w:tc>
                <w:tcPr>
                  <w:tcW w:w="263" w:type="pct"/>
                  <w:vAlign w:val="center"/>
                </w:tcPr>
                <w:p w14:paraId="56D58A7F">
                  <w:pPr>
                    <w:pStyle w:val="70"/>
                    <w:adjustRightInd w:val="0"/>
                    <w:snapToGrid w:val="0"/>
                    <w:spacing w:line="240" w:lineRule="auto"/>
                    <w:ind w:firstLine="0" w:firstLineChars="0"/>
                    <w:jc w:val="center"/>
                    <w:rPr>
                      <w:color w:val="auto"/>
                      <w:kern w:val="0"/>
                      <w:sz w:val="21"/>
                      <w:szCs w:val="21"/>
                    </w:rPr>
                  </w:pPr>
                  <w:r>
                    <w:rPr>
                      <w:color w:val="auto"/>
                      <w:kern w:val="0"/>
                      <w:sz w:val="21"/>
                      <w:szCs w:val="21"/>
                    </w:rPr>
                    <w:t>0.0</w:t>
                  </w:r>
                  <w:r>
                    <w:rPr>
                      <w:rFonts w:hint="eastAsia"/>
                      <w:color w:val="auto"/>
                      <w:kern w:val="0"/>
                      <w:sz w:val="21"/>
                      <w:szCs w:val="21"/>
                    </w:rPr>
                    <w:t>514</w:t>
                  </w:r>
                </w:p>
              </w:tc>
              <w:tc>
                <w:tcPr>
                  <w:tcW w:w="331" w:type="pct"/>
                  <w:vAlign w:val="center"/>
                </w:tcPr>
                <w:p w14:paraId="5D866AE8">
                  <w:pPr>
                    <w:pStyle w:val="70"/>
                    <w:adjustRightInd w:val="0"/>
                    <w:snapToGrid w:val="0"/>
                    <w:spacing w:line="240" w:lineRule="auto"/>
                    <w:ind w:firstLine="0" w:firstLineChars="0"/>
                    <w:jc w:val="center"/>
                    <w:rPr>
                      <w:color w:val="auto"/>
                      <w:kern w:val="0"/>
                      <w:sz w:val="21"/>
                      <w:szCs w:val="21"/>
                    </w:rPr>
                  </w:pPr>
                  <w:r>
                    <w:rPr>
                      <w:color w:val="auto"/>
                      <w:kern w:val="0"/>
                      <w:sz w:val="21"/>
                      <w:szCs w:val="21"/>
                    </w:rPr>
                    <w:t>0.0</w:t>
                  </w:r>
                  <w:r>
                    <w:rPr>
                      <w:rFonts w:hint="eastAsia"/>
                      <w:color w:val="auto"/>
                      <w:kern w:val="0"/>
                      <w:sz w:val="21"/>
                      <w:szCs w:val="21"/>
                    </w:rPr>
                    <w:t>21</w:t>
                  </w:r>
                </w:p>
              </w:tc>
              <w:tc>
                <w:tcPr>
                  <w:tcW w:w="408" w:type="pct"/>
                  <w:vAlign w:val="center"/>
                </w:tcPr>
                <w:p w14:paraId="73A385BD">
                  <w:pPr>
                    <w:pStyle w:val="70"/>
                    <w:adjustRightInd w:val="0"/>
                    <w:snapToGrid w:val="0"/>
                    <w:spacing w:line="240" w:lineRule="auto"/>
                    <w:ind w:firstLine="0" w:firstLineChars="0"/>
                    <w:jc w:val="center"/>
                    <w:rPr>
                      <w:color w:val="auto"/>
                      <w:kern w:val="0"/>
                      <w:sz w:val="21"/>
                      <w:szCs w:val="21"/>
                    </w:rPr>
                  </w:pPr>
                  <w:r>
                    <w:rPr>
                      <w:color w:val="auto"/>
                      <w:kern w:val="0"/>
                      <w:sz w:val="21"/>
                      <w:szCs w:val="21"/>
                    </w:rPr>
                    <w:t>4.9</w:t>
                  </w:r>
                </w:p>
              </w:tc>
              <w:tc>
                <w:tcPr>
                  <w:tcW w:w="343" w:type="pct"/>
                  <w:vAlign w:val="center"/>
                </w:tcPr>
                <w:p w14:paraId="581DA066">
                  <w:pPr>
                    <w:widowControl/>
                    <w:adjustRightInd w:val="0"/>
                    <w:snapToGrid w:val="0"/>
                    <w:jc w:val="center"/>
                    <w:rPr>
                      <w:szCs w:val="21"/>
                    </w:rPr>
                  </w:pPr>
                  <w:r>
                    <w:rPr>
                      <w:szCs w:val="21"/>
                    </w:rPr>
                    <w:t>5mg/m</w:t>
                  </w:r>
                  <w:r>
                    <w:rPr>
                      <w:szCs w:val="21"/>
                      <w:vertAlign w:val="superscript"/>
                    </w:rPr>
                    <w:t>3</w:t>
                  </w:r>
                </w:p>
              </w:tc>
            </w:tr>
            <w:tr w14:paraId="2EED4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91" w:type="pct"/>
                  <w:vMerge w:val="continue"/>
                  <w:vAlign w:val="center"/>
                </w:tcPr>
                <w:p w14:paraId="48787193">
                  <w:pPr>
                    <w:adjustRightInd w:val="0"/>
                    <w:snapToGrid w:val="0"/>
                    <w:jc w:val="center"/>
                    <w:rPr>
                      <w:szCs w:val="21"/>
                    </w:rPr>
                  </w:pPr>
                </w:p>
              </w:tc>
              <w:tc>
                <w:tcPr>
                  <w:tcW w:w="212" w:type="pct"/>
                  <w:vMerge w:val="continue"/>
                  <w:vAlign w:val="center"/>
                </w:tcPr>
                <w:p w14:paraId="011B5B27">
                  <w:pPr>
                    <w:adjustRightInd w:val="0"/>
                    <w:snapToGrid w:val="0"/>
                    <w:jc w:val="center"/>
                    <w:rPr>
                      <w:szCs w:val="21"/>
                    </w:rPr>
                  </w:pPr>
                </w:p>
              </w:tc>
              <w:tc>
                <w:tcPr>
                  <w:tcW w:w="214" w:type="pct"/>
                  <w:vAlign w:val="center"/>
                </w:tcPr>
                <w:p w14:paraId="03EF2C48">
                  <w:pPr>
                    <w:adjustRightInd w:val="0"/>
                    <w:snapToGrid w:val="0"/>
                    <w:jc w:val="center"/>
                    <w:rPr>
                      <w:szCs w:val="21"/>
                    </w:rPr>
                  </w:pPr>
                  <w:r>
                    <w:rPr>
                      <w:szCs w:val="21"/>
                    </w:rPr>
                    <w:t>SO</w:t>
                  </w:r>
                  <w:r>
                    <w:rPr>
                      <w:szCs w:val="21"/>
                      <w:vertAlign w:val="subscript"/>
                    </w:rPr>
                    <w:t>2</w:t>
                  </w:r>
                </w:p>
              </w:tc>
              <w:tc>
                <w:tcPr>
                  <w:tcW w:w="263" w:type="pct"/>
                  <w:vAlign w:val="center"/>
                </w:tcPr>
                <w:p w14:paraId="06C543EB">
                  <w:pPr>
                    <w:pStyle w:val="70"/>
                    <w:adjustRightInd w:val="0"/>
                    <w:snapToGrid w:val="0"/>
                    <w:spacing w:line="240" w:lineRule="auto"/>
                    <w:ind w:firstLine="0" w:firstLineChars="0"/>
                    <w:jc w:val="center"/>
                    <w:rPr>
                      <w:color w:val="auto"/>
                      <w:kern w:val="0"/>
                      <w:sz w:val="21"/>
                      <w:szCs w:val="21"/>
                    </w:rPr>
                  </w:pPr>
                  <w:r>
                    <w:rPr>
                      <w:color w:val="auto"/>
                      <w:kern w:val="0"/>
                      <w:sz w:val="21"/>
                      <w:szCs w:val="21"/>
                    </w:rPr>
                    <w:t>0.0</w:t>
                  </w:r>
                  <w:r>
                    <w:rPr>
                      <w:rFonts w:hint="eastAsia"/>
                      <w:color w:val="auto"/>
                      <w:kern w:val="0"/>
                      <w:sz w:val="21"/>
                      <w:szCs w:val="21"/>
                    </w:rPr>
                    <w:t>387</w:t>
                  </w:r>
                </w:p>
              </w:tc>
              <w:tc>
                <w:tcPr>
                  <w:tcW w:w="331" w:type="pct"/>
                  <w:vAlign w:val="center"/>
                </w:tcPr>
                <w:p w14:paraId="23527AE5">
                  <w:pPr>
                    <w:pStyle w:val="70"/>
                    <w:adjustRightInd w:val="0"/>
                    <w:snapToGrid w:val="0"/>
                    <w:spacing w:line="240" w:lineRule="auto"/>
                    <w:ind w:firstLine="0" w:firstLineChars="0"/>
                    <w:jc w:val="center"/>
                    <w:rPr>
                      <w:color w:val="auto"/>
                      <w:kern w:val="0"/>
                      <w:sz w:val="21"/>
                      <w:szCs w:val="21"/>
                    </w:rPr>
                  </w:pPr>
                  <w:r>
                    <w:rPr>
                      <w:color w:val="auto"/>
                      <w:kern w:val="0"/>
                      <w:sz w:val="21"/>
                      <w:szCs w:val="21"/>
                    </w:rPr>
                    <w:t>0.0</w:t>
                  </w:r>
                  <w:r>
                    <w:rPr>
                      <w:rFonts w:hint="eastAsia"/>
                      <w:color w:val="auto"/>
                      <w:kern w:val="0"/>
                      <w:sz w:val="21"/>
                      <w:szCs w:val="21"/>
                    </w:rPr>
                    <w:t>16</w:t>
                  </w:r>
                </w:p>
              </w:tc>
              <w:tc>
                <w:tcPr>
                  <w:tcW w:w="1428" w:type="pct"/>
                  <w:gridSpan w:val="3"/>
                  <w:vMerge w:val="continue"/>
                  <w:vAlign w:val="center"/>
                </w:tcPr>
                <w:p w14:paraId="6572E332">
                  <w:pPr>
                    <w:adjustRightInd w:val="0"/>
                    <w:snapToGrid w:val="0"/>
                    <w:jc w:val="center"/>
                    <w:rPr>
                      <w:szCs w:val="21"/>
                    </w:rPr>
                  </w:pPr>
                </w:p>
              </w:tc>
              <w:tc>
                <w:tcPr>
                  <w:tcW w:w="163" w:type="pct"/>
                  <w:vAlign w:val="center"/>
                </w:tcPr>
                <w:p w14:paraId="0A7CADDA">
                  <w:pPr>
                    <w:widowControl/>
                    <w:adjustRightInd w:val="0"/>
                    <w:snapToGrid w:val="0"/>
                    <w:jc w:val="center"/>
                    <w:rPr>
                      <w:szCs w:val="21"/>
                    </w:rPr>
                  </w:pPr>
                  <w:r>
                    <w:rPr>
                      <w:szCs w:val="21"/>
                    </w:rPr>
                    <w:t>/</w:t>
                  </w:r>
                </w:p>
              </w:tc>
              <w:tc>
                <w:tcPr>
                  <w:tcW w:w="194" w:type="pct"/>
                  <w:vAlign w:val="center"/>
                </w:tcPr>
                <w:p w14:paraId="70FCE5E0">
                  <w:pPr>
                    <w:widowControl/>
                    <w:adjustRightInd w:val="0"/>
                    <w:snapToGrid w:val="0"/>
                    <w:jc w:val="center"/>
                    <w:rPr>
                      <w:kern w:val="0"/>
                      <w:szCs w:val="21"/>
                    </w:rPr>
                  </w:pPr>
                  <w:r>
                    <w:rPr>
                      <w:kern w:val="0"/>
                      <w:szCs w:val="21"/>
                    </w:rPr>
                    <w:t>/</w:t>
                  </w:r>
                </w:p>
              </w:tc>
              <w:tc>
                <w:tcPr>
                  <w:tcW w:w="341" w:type="pct"/>
                  <w:vMerge w:val="continue"/>
                  <w:vAlign w:val="center"/>
                </w:tcPr>
                <w:p w14:paraId="0D90707F">
                  <w:pPr>
                    <w:widowControl/>
                    <w:adjustRightInd w:val="0"/>
                    <w:snapToGrid w:val="0"/>
                    <w:jc w:val="center"/>
                    <w:rPr>
                      <w:szCs w:val="21"/>
                    </w:rPr>
                  </w:pPr>
                </w:p>
              </w:tc>
              <w:tc>
                <w:tcPr>
                  <w:tcW w:w="259" w:type="pct"/>
                  <w:vMerge w:val="continue"/>
                  <w:vAlign w:val="center"/>
                </w:tcPr>
                <w:p w14:paraId="5D56875C">
                  <w:pPr>
                    <w:widowControl/>
                    <w:adjustRightInd w:val="0"/>
                    <w:snapToGrid w:val="0"/>
                    <w:jc w:val="center"/>
                    <w:rPr>
                      <w:szCs w:val="21"/>
                    </w:rPr>
                  </w:pPr>
                </w:p>
              </w:tc>
              <w:tc>
                <w:tcPr>
                  <w:tcW w:w="158" w:type="pct"/>
                  <w:vMerge w:val="continue"/>
                  <w:vAlign w:val="center"/>
                </w:tcPr>
                <w:p w14:paraId="0DE2D8B8">
                  <w:pPr>
                    <w:pStyle w:val="70"/>
                    <w:adjustRightInd w:val="0"/>
                    <w:snapToGrid w:val="0"/>
                    <w:spacing w:line="240" w:lineRule="auto"/>
                    <w:ind w:firstLine="0" w:firstLineChars="0"/>
                    <w:jc w:val="center"/>
                    <w:rPr>
                      <w:color w:val="auto"/>
                      <w:kern w:val="0"/>
                      <w:sz w:val="21"/>
                      <w:szCs w:val="21"/>
                    </w:rPr>
                  </w:pPr>
                </w:p>
              </w:tc>
              <w:tc>
                <w:tcPr>
                  <w:tcW w:w="263" w:type="pct"/>
                  <w:vAlign w:val="center"/>
                </w:tcPr>
                <w:p w14:paraId="4D92EB30">
                  <w:pPr>
                    <w:pStyle w:val="70"/>
                    <w:adjustRightInd w:val="0"/>
                    <w:snapToGrid w:val="0"/>
                    <w:spacing w:line="240" w:lineRule="auto"/>
                    <w:ind w:firstLine="0" w:firstLineChars="0"/>
                    <w:jc w:val="center"/>
                    <w:rPr>
                      <w:color w:val="auto"/>
                      <w:kern w:val="0"/>
                      <w:sz w:val="21"/>
                      <w:szCs w:val="21"/>
                    </w:rPr>
                  </w:pPr>
                  <w:r>
                    <w:rPr>
                      <w:color w:val="auto"/>
                      <w:kern w:val="0"/>
                      <w:sz w:val="21"/>
                      <w:szCs w:val="21"/>
                    </w:rPr>
                    <w:t>0.0</w:t>
                  </w:r>
                  <w:r>
                    <w:rPr>
                      <w:rFonts w:hint="eastAsia"/>
                      <w:color w:val="auto"/>
                      <w:kern w:val="0"/>
                      <w:sz w:val="21"/>
                      <w:szCs w:val="21"/>
                    </w:rPr>
                    <w:t>387</w:t>
                  </w:r>
                </w:p>
              </w:tc>
              <w:tc>
                <w:tcPr>
                  <w:tcW w:w="331" w:type="pct"/>
                  <w:vAlign w:val="center"/>
                </w:tcPr>
                <w:p w14:paraId="70BE396A">
                  <w:pPr>
                    <w:pStyle w:val="70"/>
                    <w:adjustRightInd w:val="0"/>
                    <w:snapToGrid w:val="0"/>
                    <w:spacing w:line="240" w:lineRule="auto"/>
                    <w:ind w:firstLine="0" w:firstLineChars="0"/>
                    <w:jc w:val="center"/>
                    <w:rPr>
                      <w:color w:val="auto"/>
                      <w:kern w:val="0"/>
                      <w:sz w:val="21"/>
                      <w:szCs w:val="21"/>
                    </w:rPr>
                  </w:pPr>
                  <w:r>
                    <w:rPr>
                      <w:color w:val="auto"/>
                      <w:kern w:val="0"/>
                      <w:sz w:val="21"/>
                      <w:szCs w:val="21"/>
                    </w:rPr>
                    <w:t>0.0</w:t>
                  </w:r>
                  <w:r>
                    <w:rPr>
                      <w:rFonts w:hint="eastAsia"/>
                      <w:color w:val="auto"/>
                      <w:kern w:val="0"/>
                      <w:sz w:val="21"/>
                      <w:szCs w:val="21"/>
                    </w:rPr>
                    <w:t>16</w:t>
                  </w:r>
                </w:p>
              </w:tc>
              <w:tc>
                <w:tcPr>
                  <w:tcW w:w="408" w:type="pct"/>
                  <w:vAlign w:val="center"/>
                </w:tcPr>
                <w:p w14:paraId="1FE52A66">
                  <w:pPr>
                    <w:pStyle w:val="70"/>
                    <w:adjustRightInd w:val="0"/>
                    <w:snapToGrid w:val="0"/>
                    <w:spacing w:line="240" w:lineRule="auto"/>
                    <w:ind w:firstLine="0" w:firstLineChars="0"/>
                    <w:jc w:val="center"/>
                    <w:rPr>
                      <w:color w:val="auto"/>
                      <w:kern w:val="0"/>
                      <w:sz w:val="21"/>
                      <w:szCs w:val="21"/>
                    </w:rPr>
                  </w:pPr>
                  <w:r>
                    <w:rPr>
                      <w:color w:val="auto"/>
                      <w:kern w:val="0"/>
                      <w:sz w:val="21"/>
                      <w:szCs w:val="21"/>
                    </w:rPr>
                    <w:t>3.7</w:t>
                  </w:r>
                </w:p>
              </w:tc>
              <w:tc>
                <w:tcPr>
                  <w:tcW w:w="343" w:type="pct"/>
                  <w:vAlign w:val="center"/>
                </w:tcPr>
                <w:p w14:paraId="668267D3">
                  <w:pPr>
                    <w:widowControl/>
                    <w:adjustRightInd w:val="0"/>
                    <w:snapToGrid w:val="0"/>
                    <w:jc w:val="center"/>
                    <w:rPr>
                      <w:szCs w:val="21"/>
                    </w:rPr>
                  </w:pPr>
                  <w:r>
                    <w:rPr>
                      <w:szCs w:val="21"/>
                    </w:rPr>
                    <w:t>10mg/m</w:t>
                  </w:r>
                  <w:r>
                    <w:rPr>
                      <w:szCs w:val="21"/>
                      <w:vertAlign w:val="superscript"/>
                    </w:rPr>
                    <w:t>3</w:t>
                  </w:r>
                </w:p>
              </w:tc>
            </w:tr>
            <w:tr w14:paraId="7A483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91" w:type="pct"/>
                  <w:vMerge w:val="continue"/>
                  <w:vAlign w:val="center"/>
                </w:tcPr>
                <w:p w14:paraId="46A506F7">
                  <w:pPr>
                    <w:adjustRightInd w:val="0"/>
                    <w:snapToGrid w:val="0"/>
                    <w:jc w:val="center"/>
                    <w:rPr>
                      <w:szCs w:val="21"/>
                    </w:rPr>
                  </w:pPr>
                </w:p>
              </w:tc>
              <w:tc>
                <w:tcPr>
                  <w:tcW w:w="212" w:type="pct"/>
                  <w:vMerge w:val="continue"/>
                  <w:vAlign w:val="center"/>
                </w:tcPr>
                <w:p w14:paraId="2221116F">
                  <w:pPr>
                    <w:adjustRightInd w:val="0"/>
                    <w:snapToGrid w:val="0"/>
                    <w:jc w:val="center"/>
                    <w:rPr>
                      <w:szCs w:val="21"/>
                    </w:rPr>
                  </w:pPr>
                </w:p>
              </w:tc>
              <w:tc>
                <w:tcPr>
                  <w:tcW w:w="214" w:type="pct"/>
                  <w:vAlign w:val="center"/>
                </w:tcPr>
                <w:p w14:paraId="02EB8CC0">
                  <w:pPr>
                    <w:adjustRightInd w:val="0"/>
                    <w:snapToGrid w:val="0"/>
                    <w:jc w:val="center"/>
                    <w:rPr>
                      <w:szCs w:val="21"/>
                    </w:rPr>
                  </w:pPr>
                  <w:r>
                    <w:rPr>
                      <w:szCs w:val="21"/>
                    </w:rPr>
                    <w:t>NO</w:t>
                  </w:r>
                  <w:r>
                    <w:rPr>
                      <w:szCs w:val="21"/>
                      <w:vertAlign w:val="subscript"/>
                    </w:rPr>
                    <w:t>X</w:t>
                  </w:r>
                </w:p>
              </w:tc>
              <w:tc>
                <w:tcPr>
                  <w:tcW w:w="263" w:type="pct"/>
                  <w:vAlign w:val="center"/>
                </w:tcPr>
                <w:p w14:paraId="77E146C5">
                  <w:pPr>
                    <w:pStyle w:val="70"/>
                    <w:adjustRightInd w:val="0"/>
                    <w:snapToGrid w:val="0"/>
                    <w:spacing w:line="240" w:lineRule="auto"/>
                    <w:ind w:firstLine="0" w:firstLineChars="0"/>
                    <w:jc w:val="center"/>
                    <w:rPr>
                      <w:color w:val="auto"/>
                      <w:kern w:val="0"/>
                      <w:sz w:val="21"/>
                      <w:szCs w:val="21"/>
                    </w:rPr>
                  </w:pPr>
                  <w:r>
                    <w:rPr>
                      <w:color w:val="auto"/>
                      <w:kern w:val="0"/>
                      <w:sz w:val="21"/>
                      <w:szCs w:val="21"/>
                    </w:rPr>
                    <w:t>0.2</w:t>
                  </w:r>
                  <w:r>
                    <w:rPr>
                      <w:rFonts w:hint="eastAsia"/>
                      <w:color w:val="auto"/>
                      <w:kern w:val="0"/>
                      <w:sz w:val="21"/>
                      <w:szCs w:val="21"/>
                    </w:rPr>
                    <w:t>929</w:t>
                  </w:r>
                </w:p>
              </w:tc>
              <w:tc>
                <w:tcPr>
                  <w:tcW w:w="331" w:type="pct"/>
                  <w:vAlign w:val="center"/>
                </w:tcPr>
                <w:p w14:paraId="42F2572D">
                  <w:pPr>
                    <w:pStyle w:val="70"/>
                    <w:adjustRightInd w:val="0"/>
                    <w:snapToGrid w:val="0"/>
                    <w:spacing w:line="240" w:lineRule="auto"/>
                    <w:ind w:firstLine="0" w:firstLineChars="0"/>
                    <w:jc w:val="center"/>
                    <w:rPr>
                      <w:color w:val="auto"/>
                      <w:kern w:val="0"/>
                      <w:sz w:val="21"/>
                      <w:szCs w:val="21"/>
                    </w:rPr>
                  </w:pPr>
                  <w:r>
                    <w:rPr>
                      <w:color w:val="auto"/>
                      <w:kern w:val="0"/>
                      <w:sz w:val="21"/>
                      <w:szCs w:val="21"/>
                    </w:rPr>
                    <w:t>0.</w:t>
                  </w:r>
                  <w:r>
                    <w:rPr>
                      <w:rFonts w:hint="eastAsia"/>
                      <w:color w:val="auto"/>
                      <w:kern w:val="0"/>
                      <w:sz w:val="21"/>
                      <w:szCs w:val="21"/>
                    </w:rPr>
                    <w:t>122</w:t>
                  </w:r>
                </w:p>
              </w:tc>
              <w:tc>
                <w:tcPr>
                  <w:tcW w:w="1428" w:type="pct"/>
                  <w:gridSpan w:val="3"/>
                  <w:vMerge w:val="continue"/>
                  <w:vAlign w:val="center"/>
                </w:tcPr>
                <w:p w14:paraId="27B2D46E">
                  <w:pPr>
                    <w:adjustRightInd w:val="0"/>
                    <w:snapToGrid w:val="0"/>
                    <w:jc w:val="center"/>
                    <w:rPr>
                      <w:szCs w:val="21"/>
                    </w:rPr>
                  </w:pPr>
                </w:p>
              </w:tc>
              <w:tc>
                <w:tcPr>
                  <w:tcW w:w="163" w:type="pct"/>
                  <w:vAlign w:val="center"/>
                </w:tcPr>
                <w:p w14:paraId="328D8166">
                  <w:pPr>
                    <w:widowControl/>
                    <w:adjustRightInd w:val="0"/>
                    <w:snapToGrid w:val="0"/>
                    <w:jc w:val="center"/>
                    <w:rPr>
                      <w:szCs w:val="21"/>
                    </w:rPr>
                  </w:pPr>
                  <w:r>
                    <w:rPr>
                      <w:szCs w:val="21"/>
                    </w:rPr>
                    <w:t>/</w:t>
                  </w:r>
                </w:p>
              </w:tc>
              <w:tc>
                <w:tcPr>
                  <w:tcW w:w="194" w:type="pct"/>
                  <w:vAlign w:val="center"/>
                </w:tcPr>
                <w:p w14:paraId="48542EBE">
                  <w:pPr>
                    <w:widowControl/>
                    <w:adjustRightInd w:val="0"/>
                    <w:snapToGrid w:val="0"/>
                    <w:jc w:val="center"/>
                    <w:rPr>
                      <w:kern w:val="0"/>
                      <w:szCs w:val="21"/>
                    </w:rPr>
                  </w:pPr>
                  <w:r>
                    <w:rPr>
                      <w:kern w:val="0"/>
                      <w:szCs w:val="21"/>
                    </w:rPr>
                    <w:t>/</w:t>
                  </w:r>
                </w:p>
              </w:tc>
              <w:tc>
                <w:tcPr>
                  <w:tcW w:w="341" w:type="pct"/>
                  <w:vMerge w:val="continue"/>
                  <w:vAlign w:val="center"/>
                </w:tcPr>
                <w:p w14:paraId="4AA7F3A5">
                  <w:pPr>
                    <w:widowControl/>
                    <w:adjustRightInd w:val="0"/>
                    <w:snapToGrid w:val="0"/>
                    <w:jc w:val="center"/>
                    <w:rPr>
                      <w:szCs w:val="21"/>
                    </w:rPr>
                  </w:pPr>
                </w:p>
              </w:tc>
              <w:tc>
                <w:tcPr>
                  <w:tcW w:w="259" w:type="pct"/>
                  <w:vMerge w:val="continue"/>
                  <w:vAlign w:val="center"/>
                </w:tcPr>
                <w:p w14:paraId="206E2B7B">
                  <w:pPr>
                    <w:widowControl/>
                    <w:adjustRightInd w:val="0"/>
                    <w:snapToGrid w:val="0"/>
                    <w:jc w:val="center"/>
                    <w:rPr>
                      <w:szCs w:val="21"/>
                    </w:rPr>
                  </w:pPr>
                </w:p>
              </w:tc>
              <w:tc>
                <w:tcPr>
                  <w:tcW w:w="158" w:type="pct"/>
                  <w:vMerge w:val="continue"/>
                  <w:vAlign w:val="center"/>
                </w:tcPr>
                <w:p w14:paraId="1B1B8303">
                  <w:pPr>
                    <w:pStyle w:val="70"/>
                    <w:adjustRightInd w:val="0"/>
                    <w:snapToGrid w:val="0"/>
                    <w:spacing w:line="240" w:lineRule="auto"/>
                    <w:ind w:firstLine="0" w:firstLineChars="0"/>
                    <w:jc w:val="center"/>
                    <w:rPr>
                      <w:color w:val="auto"/>
                      <w:kern w:val="0"/>
                      <w:sz w:val="21"/>
                      <w:szCs w:val="21"/>
                    </w:rPr>
                  </w:pPr>
                </w:p>
              </w:tc>
              <w:tc>
                <w:tcPr>
                  <w:tcW w:w="263" w:type="pct"/>
                  <w:vAlign w:val="center"/>
                </w:tcPr>
                <w:p w14:paraId="55818724">
                  <w:pPr>
                    <w:pStyle w:val="70"/>
                    <w:adjustRightInd w:val="0"/>
                    <w:snapToGrid w:val="0"/>
                    <w:spacing w:line="240" w:lineRule="auto"/>
                    <w:ind w:firstLine="0" w:firstLineChars="0"/>
                    <w:jc w:val="center"/>
                    <w:rPr>
                      <w:color w:val="auto"/>
                      <w:kern w:val="0"/>
                      <w:sz w:val="21"/>
                      <w:szCs w:val="21"/>
                    </w:rPr>
                  </w:pPr>
                  <w:r>
                    <w:rPr>
                      <w:color w:val="auto"/>
                      <w:kern w:val="0"/>
                      <w:sz w:val="21"/>
                      <w:szCs w:val="21"/>
                    </w:rPr>
                    <w:t>0.2</w:t>
                  </w:r>
                  <w:r>
                    <w:rPr>
                      <w:rFonts w:hint="eastAsia"/>
                      <w:color w:val="auto"/>
                      <w:kern w:val="0"/>
                      <w:sz w:val="21"/>
                      <w:szCs w:val="21"/>
                    </w:rPr>
                    <w:t>929</w:t>
                  </w:r>
                </w:p>
              </w:tc>
              <w:tc>
                <w:tcPr>
                  <w:tcW w:w="331" w:type="pct"/>
                  <w:vAlign w:val="center"/>
                </w:tcPr>
                <w:p w14:paraId="01FA3B5E">
                  <w:pPr>
                    <w:pStyle w:val="70"/>
                    <w:adjustRightInd w:val="0"/>
                    <w:snapToGrid w:val="0"/>
                    <w:spacing w:line="240" w:lineRule="auto"/>
                    <w:ind w:firstLine="0" w:firstLineChars="0"/>
                    <w:jc w:val="center"/>
                    <w:rPr>
                      <w:color w:val="auto"/>
                      <w:kern w:val="0"/>
                      <w:sz w:val="21"/>
                      <w:szCs w:val="21"/>
                    </w:rPr>
                  </w:pPr>
                  <w:r>
                    <w:rPr>
                      <w:color w:val="auto"/>
                      <w:kern w:val="0"/>
                      <w:sz w:val="21"/>
                      <w:szCs w:val="21"/>
                    </w:rPr>
                    <w:t>0.</w:t>
                  </w:r>
                  <w:r>
                    <w:rPr>
                      <w:rFonts w:hint="eastAsia"/>
                      <w:color w:val="auto"/>
                      <w:kern w:val="0"/>
                      <w:sz w:val="21"/>
                      <w:szCs w:val="21"/>
                    </w:rPr>
                    <w:t>122</w:t>
                  </w:r>
                </w:p>
              </w:tc>
              <w:tc>
                <w:tcPr>
                  <w:tcW w:w="408" w:type="pct"/>
                  <w:vAlign w:val="center"/>
                </w:tcPr>
                <w:p w14:paraId="07EE3FB9">
                  <w:pPr>
                    <w:pStyle w:val="70"/>
                    <w:adjustRightInd w:val="0"/>
                    <w:snapToGrid w:val="0"/>
                    <w:spacing w:line="240" w:lineRule="auto"/>
                    <w:ind w:firstLine="0" w:firstLineChars="0"/>
                    <w:jc w:val="center"/>
                    <w:rPr>
                      <w:color w:val="auto"/>
                      <w:kern w:val="0"/>
                      <w:sz w:val="21"/>
                      <w:szCs w:val="21"/>
                    </w:rPr>
                  </w:pPr>
                  <w:r>
                    <w:rPr>
                      <w:color w:val="auto"/>
                      <w:kern w:val="0"/>
                      <w:sz w:val="21"/>
                      <w:szCs w:val="21"/>
                    </w:rPr>
                    <w:t>28</w:t>
                  </w:r>
                </w:p>
              </w:tc>
              <w:tc>
                <w:tcPr>
                  <w:tcW w:w="343" w:type="pct"/>
                  <w:vAlign w:val="center"/>
                </w:tcPr>
                <w:p w14:paraId="7FE2A5AE">
                  <w:pPr>
                    <w:widowControl/>
                    <w:adjustRightInd w:val="0"/>
                    <w:snapToGrid w:val="0"/>
                    <w:jc w:val="center"/>
                    <w:rPr>
                      <w:szCs w:val="21"/>
                    </w:rPr>
                  </w:pPr>
                  <w:r>
                    <w:rPr>
                      <w:szCs w:val="21"/>
                    </w:rPr>
                    <w:t>30mg/m</w:t>
                  </w:r>
                  <w:r>
                    <w:rPr>
                      <w:szCs w:val="21"/>
                      <w:vertAlign w:val="superscript"/>
                    </w:rPr>
                    <w:t>3</w:t>
                  </w:r>
                </w:p>
              </w:tc>
            </w:tr>
            <w:tr w14:paraId="3DEC6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91" w:type="pct"/>
                  <w:vMerge w:val="restart"/>
                  <w:vAlign w:val="center"/>
                </w:tcPr>
                <w:p w14:paraId="1A31ADDD">
                  <w:pPr>
                    <w:pStyle w:val="70"/>
                    <w:adjustRightInd w:val="0"/>
                    <w:snapToGrid w:val="0"/>
                    <w:spacing w:line="240" w:lineRule="auto"/>
                    <w:ind w:firstLine="0" w:firstLineChars="0"/>
                    <w:jc w:val="center"/>
                    <w:rPr>
                      <w:color w:val="auto"/>
                      <w:sz w:val="21"/>
                      <w:szCs w:val="21"/>
                    </w:rPr>
                  </w:pPr>
                  <w:r>
                    <w:rPr>
                      <w:color w:val="auto"/>
                      <w:sz w:val="21"/>
                      <w:szCs w:val="21"/>
                    </w:rPr>
                    <w:t>无</w:t>
                  </w:r>
                </w:p>
                <w:p w14:paraId="1C589900">
                  <w:pPr>
                    <w:pStyle w:val="70"/>
                    <w:adjustRightInd w:val="0"/>
                    <w:snapToGrid w:val="0"/>
                    <w:spacing w:line="240" w:lineRule="auto"/>
                    <w:ind w:firstLine="0" w:firstLineChars="0"/>
                    <w:jc w:val="center"/>
                    <w:rPr>
                      <w:color w:val="auto"/>
                      <w:sz w:val="21"/>
                      <w:szCs w:val="21"/>
                    </w:rPr>
                  </w:pPr>
                  <w:r>
                    <w:rPr>
                      <w:color w:val="auto"/>
                      <w:sz w:val="21"/>
                      <w:szCs w:val="21"/>
                    </w:rPr>
                    <w:t>组</w:t>
                  </w:r>
                </w:p>
                <w:p w14:paraId="7FCB61EC">
                  <w:pPr>
                    <w:pStyle w:val="70"/>
                    <w:adjustRightInd w:val="0"/>
                    <w:snapToGrid w:val="0"/>
                    <w:spacing w:line="240" w:lineRule="auto"/>
                    <w:ind w:firstLine="0" w:firstLineChars="0"/>
                    <w:jc w:val="center"/>
                    <w:rPr>
                      <w:bCs/>
                      <w:color w:val="auto"/>
                      <w:sz w:val="21"/>
                      <w:szCs w:val="21"/>
                    </w:rPr>
                  </w:pPr>
                  <w:r>
                    <w:rPr>
                      <w:color w:val="auto"/>
                      <w:sz w:val="21"/>
                      <w:szCs w:val="21"/>
                    </w:rPr>
                    <w:t>织</w:t>
                  </w:r>
                </w:p>
              </w:tc>
              <w:tc>
                <w:tcPr>
                  <w:tcW w:w="212" w:type="pct"/>
                  <w:vMerge w:val="restart"/>
                  <w:vAlign w:val="center"/>
                </w:tcPr>
                <w:p w14:paraId="4311B812">
                  <w:pPr>
                    <w:adjustRightInd w:val="0"/>
                    <w:snapToGrid w:val="0"/>
                    <w:jc w:val="center"/>
                    <w:rPr>
                      <w:szCs w:val="21"/>
                    </w:rPr>
                  </w:pPr>
                  <w:r>
                    <w:rPr>
                      <w:szCs w:val="21"/>
                    </w:rPr>
                    <w:t>1#生产车间</w:t>
                  </w:r>
                </w:p>
              </w:tc>
              <w:tc>
                <w:tcPr>
                  <w:tcW w:w="214" w:type="pct"/>
                  <w:vAlign w:val="center"/>
                </w:tcPr>
                <w:p w14:paraId="58248B8D">
                  <w:pPr>
                    <w:adjustRightInd w:val="0"/>
                    <w:snapToGrid w:val="0"/>
                    <w:jc w:val="center"/>
                    <w:rPr>
                      <w:szCs w:val="21"/>
                    </w:rPr>
                  </w:pPr>
                  <w:r>
                    <w:rPr>
                      <w:szCs w:val="21"/>
                    </w:rPr>
                    <w:t>油烟</w:t>
                  </w:r>
                </w:p>
              </w:tc>
              <w:tc>
                <w:tcPr>
                  <w:tcW w:w="263" w:type="pct"/>
                  <w:vAlign w:val="center"/>
                </w:tcPr>
                <w:p w14:paraId="5AE19CAC">
                  <w:pPr>
                    <w:jc w:val="center"/>
                    <w:rPr>
                      <w:szCs w:val="21"/>
                    </w:rPr>
                  </w:pPr>
                  <w:r>
                    <w:rPr>
                      <w:szCs w:val="21"/>
                    </w:rPr>
                    <w:t>0.135</w:t>
                  </w:r>
                </w:p>
              </w:tc>
              <w:tc>
                <w:tcPr>
                  <w:tcW w:w="331" w:type="pct"/>
                  <w:vAlign w:val="center"/>
                </w:tcPr>
                <w:p w14:paraId="26A8632A">
                  <w:pPr>
                    <w:pStyle w:val="70"/>
                    <w:adjustRightInd w:val="0"/>
                    <w:snapToGrid w:val="0"/>
                    <w:spacing w:line="240" w:lineRule="auto"/>
                    <w:ind w:firstLine="0" w:firstLineChars="0"/>
                    <w:jc w:val="center"/>
                    <w:rPr>
                      <w:color w:val="auto"/>
                      <w:kern w:val="0"/>
                      <w:sz w:val="21"/>
                      <w:szCs w:val="21"/>
                    </w:rPr>
                  </w:pPr>
                  <w:r>
                    <w:rPr>
                      <w:color w:val="auto"/>
                      <w:kern w:val="0"/>
                      <w:sz w:val="21"/>
                      <w:szCs w:val="21"/>
                    </w:rPr>
                    <w:t>0.06</w:t>
                  </w:r>
                </w:p>
              </w:tc>
              <w:tc>
                <w:tcPr>
                  <w:tcW w:w="1428" w:type="pct"/>
                  <w:gridSpan w:val="3"/>
                  <w:vMerge w:val="restart"/>
                  <w:vAlign w:val="center"/>
                </w:tcPr>
                <w:p w14:paraId="1805C32D">
                  <w:pPr>
                    <w:pStyle w:val="70"/>
                    <w:adjustRightInd w:val="0"/>
                    <w:snapToGrid w:val="0"/>
                    <w:spacing w:line="240" w:lineRule="auto"/>
                    <w:ind w:firstLine="0" w:firstLineChars="0"/>
                    <w:jc w:val="center"/>
                    <w:rPr>
                      <w:bCs/>
                      <w:color w:val="auto"/>
                      <w:sz w:val="21"/>
                      <w:szCs w:val="21"/>
                    </w:rPr>
                  </w:pPr>
                  <w:r>
                    <w:rPr>
                      <w:sz w:val="21"/>
                      <w:szCs w:val="21"/>
                    </w:rPr>
                    <w:t>提高有组织收集效率，同时生产车间全封闭，减少无组织排放</w:t>
                  </w:r>
                </w:p>
              </w:tc>
              <w:tc>
                <w:tcPr>
                  <w:tcW w:w="163" w:type="pct"/>
                  <w:vAlign w:val="center"/>
                </w:tcPr>
                <w:p w14:paraId="129CBC89">
                  <w:pPr>
                    <w:widowControl/>
                    <w:adjustRightInd w:val="0"/>
                    <w:snapToGrid w:val="0"/>
                    <w:jc w:val="center"/>
                    <w:rPr>
                      <w:szCs w:val="21"/>
                    </w:rPr>
                  </w:pPr>
                  <w:r>
                    <w:rPr>
                      <w:szCs w:val="21"/>
                    </w:rPr>
                    <w:t>/</w:t>
                  </w:r>
                </w:p>
              </w:tc>
              <w:tc>
                <w:tcPr>
                  <w:tcW w:w="194" w:type="pct"/>
                  <w:vAlign w:val="center"/>
                </w:tcPr>
                <w:p w14:paraId="66FA7214">
                  <w:pPr>
                    <w:widowControl/>
                    <w:adjustRightInd w:val="0"/>
                    <w:snapToGrid w:val="0"/>
                    <w:jc w:val="center"/>
                    <w:rPr>
                      <w:szCs w:val="21"/>
                    </w:rPr>
                  </w:pPr>
                  <w:r>
                    <w:rPr>
                      <w:szCs w:val="21"/>
                    </w:rPr>
                    <w:t>/</w:t>
                  </w:r>
                </w:p>
              </w:tc>
              <w:tc>
                <w:tcPr>
                  <w:tcW w:w="341" w:type="pct"/>
                  <w:vAlign w:val="center"/>
                </w:tcPr>
                <w:p w14:paraId="22017D60">
                  <w:pPr>
                    <w:widowControl/>
                    <w:adjustRightInd w:val="0"/>
                    <w:snapToGrid w:val="0"/>
                    <w:jc w:val="center"/>
                    <w:rPr>
                      <w:szCs w:val="21"/>
                    </w:rPr>
                  </w:pPr>
                  <w:r>
                    <w:rPr>
                      <w:szCs w:val="21"/>
                    </w:rPr>
                    <w:t>/</w:t>
                  </w:r>
                </w:p>
              </w:tc>
              <w:tc>
                <w:tcPr>
                  <w:tcW w:w="259" w:type="pct"/>
                  <w:vAlign w:val="center"/>
                </w:tcPr>
                <w:p w14:paraId="11CCDBC6">
                  <w:pPr>
                    <w:widowControl/>
                    <w:adjustRightInd w:val="0"/>
                    <w:snapToGrid w:val="0"/>
                    <w:jc w:val="center"/>
                    <w:rPr>
                      <w:szCs w:val="21"/>
                    </w:rPr>
                  </w:pPr>
                  <w:r>
                    <w:rPr>
                      <w:szCs w:val="21"/>
                    </w:rPr>
                    <w:t>/</w:t>
                  </w:r>
                </w:p>
              </w:tc>
              <w:tc>
                <w:tcPr>
                  <w:tcW w:w="158" w:type="pct"/>
                  <w:vAlign w:val="center"/>
                </w:tcPr>
                <w:p w14:paraId="61A1F5C4">
                  <w:pPr>
                    <w:widowControl/>
                    <w:adjustRightInd w:val="0"/>
                    <w:snapToGrid w:val="0"/>
                    <w:jc w:val="center"/>
                    <w:rPr>
                      <w:szCs w:val="21"/>
                    </w:rPr>
                  </w:pPr>
                  <w:r>
                    <w:rPr>
                      <w:szCs w:val="21"/>
                    </w:rPr>
                    <w:t>/</w:t>
                  </w:r>
                </w:p>
              </w:tc>
              <w:tc>
                <w:tcPr>
                  <w:tcW w:w="263" w:type="pct"/>
                  <w:vAlign w:val="center"/>
                </w:tcPr>
                <w:p w14:paraId="095E5C8B">
                  <w:pPr>
                    <w:jc w:val="center"/>
                    <w:rPr>
                      <w:szCs w:val="21"/>
                    </w:rPr>
                  </w:pPr>
                  <w:r>
                    <w:rPr>
                      <w:szCs w:val="21"/>
                    </w:rPr>
                    <w:t>0.135</w:t>
                  </w:r>
                </w:p>
              </w:tc>
              <w:tc>
                <w:tcPr>
                  <w:tcW w:w="331" w:type="pct"/>
                  <w:vAlign w:val="center"/>
                </w:tcPr>
                <w:p w14:paraId="404642A4">
                  <w:pPr>
                    <w:pStyle w:val="70"/>
                    <w:adjustRightInd w:val="0"/>
                    <w:snapToGrid w:val="0"/>
                    <w:spacing w:line="240" w:lineRule="auto"/>
                    <w:ind w:firstLine="0" w:firstLineChars="0"/>
                    <w:jc w:val="center"/>
                    <w:rPr>
                      <w:color w:val="auto"/>
                      <w:kern w:val="0"/>
                      <w:sz w:val="21"/>
                      <w:szCs w:val="21"/>
                    </w:rPr>
                  </w:pPr>
                  <w:r>
                    <w:rPr>
                      <w:color w:val="auto"/>
                      <w:kern w:val="0"/>
                      <w:sz w:val="21"/>
                      <w:szCs w:val="21"/>
                    </w:rPr>
                    <w:t>0.06</w:t>
                  </w:r>
                </w:p>
              </w:tc>
              <w:tc>
                <w:tcPr>
                  <w:tcW w:w="408" w:type="pct"/>
                  <w:vAlign w:val="center"/>
                </w:tcPr>
                <w:p w14:paraId="072921CD">
                  <w:pPr>
                    <w:widowControl/>
                    <w:adjustRightInd w:val="0"/>
                    <w:snapToGrid w:val="0"/>
                    <w:jc w:val="center"/>
                    <w:rPr>
                      <w:szCs w:val="21"/>
                    </w:rPr>
                  </w:pPr>
                  <w:r>
                    <w:rPr>
                      <w:szCs w:val="21"/>
                    </w:rPr>
                    <w:t>/</w:t>
                  </w:r>
                </w:p>
              </w:tc>
              <w:tc>
                <w:tcPr>
                  <w:tcW w:w="343" w:type="pct"/>
                  <w:vAlign w:val="center"/>
                </w:tcPr>
                <w:p w14:paraId="0CC9CF0C">
                  <w:pPr>
                    <w:widowControl/>
                    <w:adjustRightInd w:val="0"/>
                    <w:snapToGrid w:val="0"/>
                    <w:jc w:val="center"/>
                    <w:rPr>
                      <w:szCs w:val="21"/>
                    </w:rPr>
                  </w:pPr>
                  <w:r>
                    <w:rPr>
                      <w:szCs w:val="21"/>
                    </w:rPr>
                    <w:t>/</w:t>
                  </w:r>
                </w:p>
              </w:tc>
            </w:tr>
            <w:tr w14:paraId="5BEF4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91" w:type="pct"/>
                  <w:vMerge w:val="continue"/>
                  <w:vAlign w:val="center"/>
                </w:tcPr>
                <w:p w14:paraId="22996C77">
                  <w:pPr>
                    <w:pStyle w:val="70"/>
                    <w:adjustRightInd w:val="0"/>
                    <w:snapToGrid w:val="0"/>
                    <w:spacing w:line="240" w:lineRule="auto"/>
                    <w:ind w:firstLine="0" w:firstLineChars="0"/>
                    <w:jc w:val="center"/>
                    <w:rPr>
                      <w:color w:val="auto"/>
                      <w:sz w:val="21"/>
                      <w:szCs w:val="21"/>
                    </w:rPr>
                  </w:pPr>
                </w:p>
              </w:tc>
              <w:tc>
                <w:tcPr>
                  <w:tcW w:w="212" w:type="pct"/>
                  <w:vMerge w:val="continue"/>
                  <w:vAlign w:val="center"/>
                </w:tcPr>
                <w:p w14:paraId="0C8D0316">
                  <w:pPr>
                    <w:adjustRightInd w:val="0"/>
                    <w:snapToGrid w:val="0"/>
                    <w:jc w:val="center"/>
                    <w:rPr>
                      <w:szCs w:val="21"/>
                    </w:rPr>
                  </w:pPr>
                </w:p>
              </w:tc>
              <w:tc>
                <w:tcPr>
                  <w:tcW w:w="214" w:type="pct"/>
                  <w:vAlign w:val="center"/>
                </w:tcPr>
                <w:p w14:paraId="73C60240">
                  <w:pPr>
                    <w:adjustRightInd w:val="0"/>
                    <w:snapToGrid w:val="0"/>
                    <w:jc w:val="center"/>
                    <w:rPr>
                      <w:szCs w:val="21"/>
                    </w:rPr>
                  </w:pPr>
                  <w:r>
                    <w:rPr>
                      <w:szCs w:val="21"/>
                    </w:rPr>
                    <w:t>NH</w:t>
                  </w:r>
                  <w:r>
                    <w:rPr>
                      <w:szCs w:val="21"/>
                      <w:vertAlign w:val="subscript"/>
                    </w:rPr>
                    <w:t>3</w:t>
                  </w:r>
                </w:p>
              </w:tc>
              <w:tc>
                <w:tcPr>
                  <w:tcW w:w="263" w:type="pct"/>
                  <w:vAlign w:val="center"/>
                </w:tcPr>
                <w:p w14:paraId="6872B4BE">
                  <w:pPr>
                    <w:jc w:val="center"/>
                    <w:rPr>
                      <w:szCs w:val="21"/>
                    </w:rPr>
                  </w:pPr>
                  <w:r>
                    <w:rPr>
                      <w:szCs w:val="21"/>
                    </w:rPr>
                    <w:t>0.185</w:t>
                  </w:r>
                </w:p>
              </w:tc>
              <w:tc>
                <w:tcPr>
                  <w:tcW w:w="331" w:type="pct"/>
                  <w:vAlign w:val="center"/>
                </w:tcPr>
                <w:p w14:paraId="33780B7B">
                  <w:pPr>
                    <w:adjustRightInd w:val="0"/>
                    <w:snapToGrid w:val="0"/>
                    <w:jc w:val="center"/>
                    <w:rPr>
                      <w:szCs w:val="21"/>
                    </w:rPr>
                  </w:pPr>
                  <w:r>
                    <w:rPr>
                      <w:szCs w:val="21"/>
                    </w:rPr>
                    <w:t>0.08</w:t>
                  </w:r>
                </w:p>
              </w:tc>
              <w:tc>
                <w:tcPr>
                  <w:tcW w:w="1428" w:type="pct"/>
                  <w:gridSpan w:val="3"/>
                  <w:vMerge w:val="continue"/>
                  <w:vAlign w:val="center"/>
                </w:tcPr>
                <w:p w14:paraId="72A9E814">
                  <w:pPr>
                    <w:pStyle w:val="70"/>
                    <w:adjustRightInd w:val="0"/>
                    <w:snapToGrid w:val="0"/>
                    <w:spacing w:line="240" w:lineRule="auto"/>
                    <w:ind w:firstLine="0" w:firstLineChars="0"/>
                    <w:jc w:val="center"/>
                    <w:rPr>
                      <w:bCs/>
                      <w:color w:val="auto"/>
                      <w:sz w:val="21"/>
                      <w:szCs w:val="21"/>
                    </w:rPr>
                  </w:pPr>
                </w:p>
              </w:tc>
              <w:tc>
                <w:tcPr>
                  <w:tcW w:w="163" w:type="pct"/>
                  <w:vAlign w:val="center"/>
                </w:tcPr>
                <w:p w14:paraId="5710C331">
                  <w:pPr>
                    <w:widowControl/>
                    <w:adjustRightInd w:val="0"/>
                    <w:snapToGrid w:val="0"/>
                    <w:jc w:val="center"/>
                    <w:rPr>
                      <w:szCs w:val="21"/>
                    </w:rPr>
                  </w:pPr>
                  <w:r>
                    <w:rPr>
                      <w:szCs w:val="21"/>
                    </w:rPr>
                    <w:t>/</w:t>
                  </w:r>
                </w:p>
              </w:tc>
              <w:tc>
                <w:tcPr>
                  <w:tcW w:w="194" w:type="pct"/>
                  <w:vAlign w:val="center"/>
                </w:tcPr>
                <w:p w14:paraId="5820F127">
                  <w:pPr>
                    <w:widowControl/>
                    <w:adjustRightInd w:val="0"/>
                    <w:snapToGrid w:val="0"/>
                    <w:jc w:val="center"/>
                    <w:rPr>
                      <w:szCs w:val="21"/>
                    </w:rPr>
                  </w:pPr>
                  <w:r>
                    <w:rPr>
                      <w:szCs w:val="21"/>
                    </w:rPr>
                    <w:t>/</w:t>
                  </w:r>
                </w:p>
              </w:tc>
              <w:tc>
                <w:tcPr>
                  <w:tcW w:w="341" w:type="pct"/>
                  <w:vAlign w:val="center"/>
                </w:tcPr>
                <w:p w14:paraId="6844FD7A">
                  <w:pPr>
                    <w:widowControl/>
                    <w:adjustRightInd w:val="0"/>
                    <w:snapToGrid w:val="0"/>
                    <w:jc w:val="center"/>
                    <w:rPr>
                      <w:szCs w:val="21"/>
                    </w:rPr>
                  </w:pPr>
                  <w:r>
                    <w:rPr>
                      <w:szCs w:val="21"/>
                    </w:rPr>
                    <w:t>/</w:t>
                  </w:r>
                </w:p>
              </w:tc>
              <w:tc>
                <w:tcPr>
                  <w:tcW w:w="259" w:type="pct"/>
                  <w:vAlign w:val="center"/>
                </w:tcPr>
                <w:p w14:paraId="650AFB36">
                  <w:pPr>
                    <w:widowControl/>
                    <w:adjustRightInd w:val="0"/>
                    <w:snapToGrid w:val="0"/>
                    <w:jc w:val="center"/>
                    <w:rPr>
                      <w:szCs w:val="21"/>
                    </w:rPr>
                  </w:pPr>
                  <w:r>
                    <w:rPr>
                      <w:szCs w:val="21"/>
                    </w:rPr>
                    <w:t>/</w:t>
                  </w:r>
                </w:p>
              </w:tc>
              <w:tc>
                <w:tcPr>
                  <w:tcW w:w="158" w:type="pct"/>
                  <w:vAlign w:val="center"/>
                </w:tcPr>
                <w:p w14:paraId="11F653C9">
                  <w:pPr>
                    <w:widowControl/>
                    <w:adjustRightInd w:val="0"/>
                    <w:snapToGrid w:val="0"/>
                    <w:jc w:val="center"/>
                    <w:rPr>
                      <w:szCs w:val="21"/>
                    </w:rPr>
                  </w:pPr>
                  <w:r>
                    <w:rPr>
                      <w:szCs w:val="21"/>
                    </w:rPr>
                    <w:t>/</w:t>
                  </w:r>
                </w:p>
              </w:tc>
              <w:tc>
                <w:tcPr>
                  <w:tcW w:w="263" w:type="pct"/>
                  <w:vAlign w:val="center"/>
                </w:tcPr>
                <w:p w14:paraId="6C96225E">
                  <w:pPr>
                    <w:jc w:val="center"/>
                    <w:rPr>
                      <w:szCs w:val="21"/>
                    </w:rPr>
                  </w:pPr>
                  <w:r>
                    <w:rPr>
                      <w:szCs w:val="21"/>
                    </w:rPr>
                    <w:t>0.185</w:t>
                  </w:r>
                </w:p>
              </w:tc>
              <w:tc>
                <w:tcPr>
                  <w:tcW w:w="331" w:type="pct"/>
                  <w:vAlign w:val="center"/>
                </w:tcPr>
                <w:p w14:paraId="01F9D1E4">
                  <w:pPr>
                    <w:adjustRightInd w:val="0"/>
                    <w:snapToGrid w:val="0"/>
                    <w:jc w:val="center"/>
                    <w:rPr>
                      <w:szCs w:val="21"/>
                    </w:rPr>
                  </w:pPr>
                  <w:r>
                    <w:rPr>
                      <w:szCs w:val="21"/>
                    </w:rPr>
                    <w:t>0.08</w:t>
                  </w:r>
                </w:p>
              </w:tc>
              <w:tc>
                <w:tcPr>
                  <w:tcW w:w="408" w:type="pct"/>
                  <w:vAlign w:val="center"/>
                </w:tcPr>
                <w:p w14:paraId="200CD2FC">
                  <w:pPr>
                    <w:widowControl/>
                    <w:adjustRightInd w:val="0"/>
                    <w:snapToGrid w:val="0"/>
                    <w:jc w:val="center"/>
                    <w:rPr>
                      <w:szCs w:val="21"/>
                    </w:rPr>
                  </w:pPr>
                  <w:r>
                    <w:rPr>
                      <w:szCs w:val="21"/>
                    </w:rPr>
                    <w:t>/</w:t>
                  </w:r>
                </w:p>
              </w:tc>
              <w:tc>
                <w:tcPr>
                  <w:tcW w:w="343" w:type="pct"/>
                  <w:vAlign w:val="center"/>
                </w:tcPr>
                <w:p w14:paraId="5F1AF5E0">
                  <w:pPr>
                    <w:widowControl/>
                    <w:adjustRightInd w:val="0"/>
                    <w:snapToGrid w:val="0"/>
                    <w:jc w:val="center"/>
                    <w:rPr>
                      <w:szCs w:val="21"/>
                    </w:rPr>
                  </w:pPr>
                  <w:r>
                    <w:rPr>
                      <w:szCs w:val="21"/>
                    </w:rPr>
                    <w:t>/</w:t>
                  </w:r>
                </w:p>
              </w:tc>
            </w:tr>
            <w:tr w14:paraId="39F62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91" w:type="pct"/>
                  <w:vMerge w:val="continue"/>
                  <w:vAlign w:val="center"/>
                </w:tcPr>
                <w:p w14:paraId="240B2A1B">
                  <w:pPr>
                    <w:pStyle w:val="70"/>
                    <w:adjustRightInd w:val="0"/>
                    <w:snapToGrid w:val="0"/>
                    <w:spacing w:line="240" w:lineRule="auto"/>
                    <w:ind w:firstLine="0" w:firstLineChars="0"/>
                    <w:jc w:val="center"/>
                    <w:rPr>
                      <w:bCs/>
                      <w:color w:val="auto"/>
                      <w:kern w:val="0"/>
                      <w:sz w:val="21"/>
                      <w:szCs w:val="21"/>
                    </w:rPr>
                  </w:pPr>
                </w:p>
              </w:tc>
              <w:tc>
                <w:tcPr>
                  <w:tcW w:w="212" w:type="pct"/>
                  <w:vMerge w:val="continue"/>
                  <w:vAlign w:val="center"/>
                </w:tcPr>
                <w:p w14:paraId="0EF24EA5">
                  <w:pPr>
                    <w:pStyle w:val="70"/>
                    <w:adjustRightInd w:val="0"/>
                    <w:snapToGrid w:val="0"/>
                    <w:spacing w:line="240" w:lineRule="auto"/>
                    <w:ind w:firstLine="0" w:firstLineChars="0"/>
                    <w:jc w:val="center"/>
                    <w:rPr>
                      <w:bCs/>
                      <w:color w:val="auto"/>
                      <w:kern w:val="0"/>
                      <w:sz w:val="21"/>
                      <w:szCs w:val="21"/>
                    </w:rPr>
                  </w:pPr>
                </w:p>
              </w:tc>
              <w:tc>
                <w:tcPr>
                  <w:tcW w:w="214" w:type="pct"/>
                  <w:vAlign w:val="center"/>
                </w:tcPr>
                <w:p w14:paraId="79B6B790">
                  <w:pPr>
                    <w:adjustRightInd w:val="0"/>
                    <w:snapToGrid w:val="0"/>
                    <w:jc w:val="center"/>
                    <w:rPr>
                      <w:szCs w:val="21"/>
                    </w:rPr>
                  </w:pPr>
                  <w:r>
                    <w:rPr>
                      <w:szCs w:val="21"/>
                    </w:rPr>
                    <w:t>H</w:t>
                  </w:r>
                  <w:r>
                    <w:rPr>
                      <w:szCs w:val="21"/>
                      <w:vertAlign w:val="subscript"/>
                    </w:rPr>
                    <w:t>2</w:t>
                  </w:r>
                  <w:r>
                    <w:rPr>
                      <w:szCs w:val="21"/>
                    </w:rPr>
                    <w:t>S</w:t>
                  </w:r>
                </w:p>
              </w:tc>
              <w:tc>
                <w:tcPr>
                  <w:tcW w:w="263" w:type="pct"/>
                  <w:vAlign w:val="center"/>
                </w:tcPr>
                <w:p w14:paraId="79BFE014">
                  <w:pPr>
                    <w:jc w:val="center"/>
                    <w:rPr>
                      <w:szCs w:val="21"/>
                    </w:rPr>
                  </w:pPr>
                  <w:r>
                    <w:rPr>
                      <w:szCs w:val="21"/>
                    </w:rPr>
                    <w:t>0.0375</w:t>
                  </w:r>
                </w:p>
              </w:tc>
              <w:tc>
                <w:tcPr>
                  <w:tcW w:w="331" w:type="pct"/>
                  <w:vAlign w:val="center"/>
                </w:tcPr>
                <w:p w14:paraId="48997CCE">
                  <w:pPr>
                    <w:adjustRightInd w:val="0"/>
                    <w:snapToGrid w:val="0"/>
                    <w:jc w:val="center"/>
                    <w:rPr>
                      <w:szCs w:val="21"/>
                    </w:rPr>
                  </w:pPr>
                  <w:r>
                    <w:rPr>
                      <w:szCs w:val="21"/>
                    </w:rPr>
                    <w:t>0.016</w:t>
                  </w:r>
                </w:p>
              </w:tc>
              <w:tc>
                <w:tcPr>
                  <w:tcW w:w="1428" w:type="pct"/>
                  <w:gridSpan w:val="3"/>
                  <w:vMerge w:val="continue"/>
                  <w:vAlign w:val="center"/>
                </w:tcPr>
                <w:p w14:paraId="7A8F368B">
                  <w:pPr>
                    <w:widowControl/>
                    <w:adjustRightInd w:val="0"/>
                    <w:snapToGrid w:val="0"/>
                    <w:jc w:val="center"/>
                    <w:rPr>
                      <w:bCs/>
                      <w:szCs w:val="21"/>
                    </w:rPr>
                  </w:pPr>
                </w:p>
              </w:tc>
              <w:tc>
                <w:tcPr>
                  <w:tcW w:w="163" w:type="pct"/>
                  <w:vAlign w:val="center"/>
                </w:tcPr>
                <w:p w14:paraId="573CA26A">
                  <w:pPr>
                    <w:widowControl/>
                    <w:adjustRightInd w:val="0"/>
                    <w:snapToGrid w:val="0"/>
                    <w:jc w:val="center"/>
                    <w:rPr>
                      <w:szCs w:val="21"/>
                    </w:rPr>
                  </w:pPr>
                  <w:r>
                    <w:rPr>
                      <w:szCs w:val="21"/>
                    </w:rPr>
                    <w:t>/</w:t>
                  </w:r>
                </w:p>
              </w:tc>
              <w:tc>
                <w:tcPr>
                  <w:tcW w:w="194" w:type="pct"/>
                  <w:vAlign w:val="center"/>
                </w:tcPr>
                <w:p w14:paraId="5121145E">
                  <w:pPr>
                    <w:widowControl/>
                    <w:adjustRightInd w:val="0"/>
                    <w:snapToGrid w:val="0"/>
                    <w:jc w:val="center"/>
                    <w:rPr>
                      <w:szCs w:val="21"/>
                    </w:rPr>
                  </w:pPr>
                  <w:r>
                    <w:rPr>
                      <w:szCs w:val="21"/>
                    </w:rPr>
                    <w:t>/</w:t>
                  </w:r>
                </w:p>
              </w:tc>
              <w:tc>
                <w:tcPr>
                  <w:tcW w:w="341" w:type="pct"/>
                  <w:vAlign w:val="center"/>
                </w:tcPr>
                <w:p w14:paraId="0C5E631D">
                  <w:pPr>
                    <w:widowControl/>
                    <w:adjustRightInd w:val="0"/>
                    <w:snapToGrid w:val="0"/>
                    <w:jc w:val="center"/>
                    <w:rPr>
                      <w:szCs w:val="21"/>
                    </w:rPr>
                  </w:pPr>
                  <w:r>
                    <w:rPr>
                      <w:szCs w:val="21"/>
                    </w:rPr>
                    <w:t>/</w:t>
                  </w:r>
                </w:p>
              </w:tc>
              <w:tc>
                <w:tcPr>
                  <w:tcW w:w="259" w:type="pct"/>
                  <w:vAlign w:val="center"/>
                </w:tcPr>
                <w:p w14:paraId="51040B91">
                  <w:pPr>
                    <w:widowControl/>
                    <w:adjustRightInd w:val="0"/>
                    <w:snapToGrid w:val="0"/>
                    <w:jc w:val="center"/>
                    <w:rPr>
                      <w:szCs w:val="21"/>
                    </w:rPr>
                  </w:pPr>
                  <w:r>
                    <w:rPr>
                      <w:szCs w:val="21"/>
                    </w:rPr>
                    <w:t>/</w:t>
                  </w:r>
                </w:p>
              </w:tc>
              <w:tc>
                <w:tcPr>
                  <w:tcW w:w="158" w:type="pct"/>
                  <w:vAlign w:val="center"/>
                </w:tcPr>
                <w:p w14:paraId="3EFC44EA">
                  <w:pPr>
                    <w:widowControl/>
                    <w:adjustRightInd w:val="0"/>
                    <w:snapToGrid w:val="0"/>
                    <w:jc w:val="center"/>
                    <w:rPr>
                      <w:szCs w:val="21"/>
                    </w:rPr>
                  </w:pPr>
                  <w:r>
                    <w:rPr>
                      <w:szCs w:val="21"/>
                    </w:rPr>
                    <w:t>/</w:t>
                  </w:r>
                </w:p>
              </w:tc>
              <w:tc>
                <w:tcPr>
                  <w:tcW w:w="263" w:type="pct"/>
                  <w:vAlign w:val="center"/>
                </w:tcPr>
                <w:p w14:paraId="39A5F03E">
                  <w:pPr>
                    <w:jc w:val="center"/>
                    <w:rPr>
                      <w:szCs w:val="21"/>
                    </w:rPr>
                  </w:pPr>
                  <w:r>
                    <w:rPr>
                      <w:szCs w:val="21"/>
                    </w:rPr>
                    <w:t>0.0375</w:t>
                  </w:r>
                </w:p>
              </w:tc>
              <w:tc>
                <w:tcPr>
                  <w:tcW w:w="331" w:type="pct"/>
                  <w:vAlign w:val="center"/>
                </w:tcPr>
                <w:p w14:paraId="76B008D6">
                  <w:pPr>
                    <w:adjustRightInd w:val="0"/>
                    <w:snapToGrid w:val="0"/>
                    <w:jc w:val="center"/>
                    <w:rPr>
                      <w:szCs w:val="21"/>
                    </w:rPr>
                  </w:pPr>
                  <w:r>
                    <w:rPr>
                      <w:szCs w:val="21"/>
                    </w:rPr>
                    <w:t>0.016</w:t>
                  </w:r>
                </w:p>
              </w:tc>
              <w:tc>
                <w:tcPr>
                  <w:tcW w:w="408" w:type="pct"/>
                  <w:vAlign w:val="center"/>
                </w:tcPr>
                <w:p w14:paraId="3EB5D3FA">
                  <w:pPr>
                    <w:widowControl/>
                    <w:adjustRightInd w:val="0"/>
                    <w:snapToGrid w:val="0"/>
                    <w:jc w:val="center"/>
                    <w:rPr>
                      <w:szCs w:val="21"/>
                    </w:rPr>
                  </w:pPr>
                  <w:r>
                    <w:rPr>
                      <w:szCs w:val="21"/>
                    </w:rPr>
                    <w:t>/</w:t>
                  </w:r>
                </w:p>
              </w:tc>
              <w:tc>
                <w:tcPr>
                  <w:tcW w:w="343" w:type="pct"/>
                  <w:vAlign w:val="center"/>
                </w:tcPr>
                <w:p w14:paraId="3204613E">
                  <w:pPr>
                    <w:widowControl/>
                    <w:adjustRightInd w:val="0"/>
                    <w:snapToGrid w:val="0"/>
                    <w:jc w:val="center"/>
                    <w:rPr>
                      <w:szCs w:val="21"/>
                    </w:rPr>
                  </w:pPr>
                  <w:r>
                    <w:rPr>
                      <w:szCs w:val="21"/>
                    </w:rPr>
                    <w:t>/</w:t>
                  </w:r>
                </w:p>
              </w:tc>
            </w:tr>
            <w:tr w14:paraId="04EE7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91" w:type="pct"/>
                  <w:vMerge w:val="continue"/>
                  <w:vAlign w:val="center"/>
                </w:tcPr>
                <w:p w14:paraId="091F0B80">
                  <w:pPr>
                    <w:pStyle w:val="70"/>
                    <w:adjustRightInd w:val="0"/>
                    <w:snapToGrid w:val="0"/>
                    <w:spacing w:line="240" w:lineRule="auto"/>
                    <w:ind w:firstLine="0" w:firstLineChars="0"/>
                    <w:jc w:val="center"/>
                    <w:rPr>
                      <w:bCs/>
                      <w:color w:val="auto"/>
                      <w:kern w:val="0"/>
                      <w:sz w:val="21"/>
                      <w:szCs w:val="21"/>
                    </w:rPr>
                  </w:pPr>
                </w:p>
              </w:tc>
              <w:tc>
                <w:tcPr>
                  <w:tcW w:w="212" w:type="pct"/>
                  <w:vMerge w:val="restart"/>
                  <w:vAlign w:val="center"/>
                </w:tcPr>
                <w:p w14:paraId="1BAE2A31">
                  <w:pPr>
                    <w:pStyle w:val="70"/>
                    <w:adjustRightInd w:val="0"/>
                    <w:snapToGrid w:val="0"/>
                    <w:spacing w:line="240" w:lineRule="auto"/>
                    <w:ind w:firstLine="0" w:firstLineChars="0"/>
                    <w:jc w:val="center"/>
                    <w:rPr>
                      <w:bCs/>
                      <w:color w:val="auto"/>
                      <w:kern w:val="0"/>
                      <w:sz w:val="21"/>
                      <w:szCs w:val="21"/>
                    </w:rPr>
                  </w:pPr>
                  <w:r>
                    <w:rPr>
                      <w:sz w:val="21"/>
                      <w:szCs w:val="21"/>
                    </w:rPr>
                    <w:t>1#生产车间</w:t>
                  </w:r>
                </w:p>
              </w:tc>
              <w:tc>
                <w:tcPr>
                  <w:tcW w:w="214" w:type="pct"/>
                  <w:vAlign w:val="center"/>
                </w:tcPr>
                <w:p w14:paraId="72AEDF2A">
                  <w:pPr>
                    <w:adjustRightInd w:val="0"/>
                    <w:snapToGrid w:val="0"/>
                    <w:jc w:val="center"/>
                    <w:rPr>
                      <w:szCs w:val="21"/>
                    </w:rPr>
                  </w:pPr>
                  <w:r>
                    <w:rPr>
                      <w:szCs w:val="21"/>
                    </w:rPr>
                    <w:t>油烟</w:t>
                  </w:r>
                </w:p>
              </w:tc>
              <w:tc>
                <w:tcPr>
                  <w:tcW w:w="263" w:type="pct"/>
                  <w:vAlign w:val="center"/>
                </w:tcPr>
                <w:p w14:paraId="560C24C3">
                  <w:pPr>
                    <w:jc w:val="center"/>
                    <w:rPr>
                      <w:szCs w:val="21"/>
                    </w:rPr>
                  </w:pPr>
                  <w:r>
                    <w:rPr>
                      <w:szCs w:val="21"/>
                    </w:rPr>
                    <w:t>0.135</w:t>
                  </w:r>
                </w:p>
              </w:tc>
              <w:tc>
                <w:tcPr>
                  <w:tcW w:w="331" w:type="pct"/>
                  <w:vAlign w:val="center"/>
                </w:tcPr>
                <w:p w14:paraId="31EBD28F">
                  <w:pPr>
                    <w:pStyle w:val="70"/>
                    <w:adjustRightInd w:val="0"/>
                    <w:snapToGrid w:val="0"/>
                    <w:spacing w:line="240" w:lineRule="auto"/>
                    <w:ind w:firstLine="0" w:firstLineChars="0"/>
                    <w:jc w:val="center"/>
                    <w:rPr>
                      <w:color w:val="auto"/>
                      <w:kern w:val="0"/>
                      <w:sz w:val="21"/>
                      <w:szCs w:val="21"/>
                    </w:rPr>
                  </w:pPr>
                  <w:r>
                    <w:rPr>
                      <w:color w:val="auto"/>
                      <w:kern w:val="0"/>
                      <w:sz w:val="21"/>
                      <w:szCs w:val="21"/>
                    </w:rPr>
                    <w:t>0.06</w:t>
                  </w:r>
                </w:p>
              </w:tc>
              <w:tc>
                <w:tcPr>
                  <w:tcW w:w="1428" w:type="pct"/>
                  <w:gridSpan w:val="3"/>
                  <w:vMerge w:val="restart"/>
                  <w:vAlign w:val="center"/>
                </w:tcPr>
                <w:p w14:paraId="2A27B117">
                  <w:pPr>
                    <w:widowControl/>
                    <w:adjustRightInd w:val="0"/>
                    <w:snapToGrid w:val="0"/>
                    <w:jc w:val="center"/>
                    <w:rPr>
                      <w:bCs/>
                      <w:szCs w:val="21"/>
                    </w:rPr>
                  </w:pPr>
                  <w:r>
                    <w:rPr>
                      <w:szCs w:val="21"/>
                    </w:rPr>
                    <w:t>提高有组织收集效率，同时生产车间全封闭，减少无组织排放</w:t>
                  </w:r>
                </w:p>
              </w:tc>
              <w:tc>
                <w:tcPr>
                  <w:tcW w:w="163" w:type="pct"/>
                  <w:vAlign w:val="center"/>
                </w:tcPr>
                <w:p w14:paraId="6340500F">
                  <w:pPr>
                    <w:widowControl/>
                    <w:adjustRightInd w:val="0"/>
                    <w:snapToGrid w:val="0"/>
                    <w:jc w:val="center"/>
                    <w:rPr>
                      <w:szCs w:val="21"/>
                    </w:rPr>
                  </w:pPr>
                  <w:r>
                    <w:rPr>
                      <w:szCs w:val="21"/>
                    </w:rPr>
                    <w:t>/</w:t>
                  </w:r>
                </w:p>
              </w:tc>
              <w:tc>
                <w:tcPr>
                  <w:tcW w:w="194" w:type="pct"/>
                  <w:vAlign w:val="center"/>
                </w:tcPr>
                <w:p w14:paraId="7506ADCC">
                  <w:pPr>
                    <w:widowControl/>
                    <w:adjustRightInd w:val="0"/>
                    <w:snapToGrid w:val="0"/>
                    <w:jc w:val="center"/>
                    <w:rPr>
                      <w:szCs w:val="21"/>
                    </w:rPr>
                  </w:pPr>
                  <w:r>
                    <w:rPr>
                      <w:szCs w:val="21"/>
                    </w:rPr>
                    <w:t>/</w:t>
                  </w:r>
                </w:p>
              </w:tc>
              <w:tc>
                <w:tcPr>
                  <w:tcW w:w="341" w:type="pct"/>
                  <w:vAlign w:val="center"/>
                </w:tcPr>
                <w:p w14:paraId="66938931">
                  <w:pPr>
                    <w:widowControl/>
                    <w:adjustRightInd w:val="0"/>
                    <w:snapToGrid w:val="0"/>
                    <w:jc w:val="center"/>
                    <w:rPr>
                      <w:szCs w:val="21"/>
                    </w:rPr>
                  </w:pPr>
                  <w:r>
                    <w:rPr>
                      <w:szCs w:val="21"/>
                    </w:rPr>
                    <w:t>/</w:t>
                  </w:r>
                </w:p>
              </w:tc>
              <w:tc>
                <w:tcPr>
                  <w:tcW w:w="259" w:type="pct"/>
                  <w:vAlign w:val="center"/>
                </w:tcPr>
                <w:p w14:paraId="6C81FC78">
                  <w:pPr>
                    <w:widowControl/>
                    <w:adjustRightInd w:val="0"/>
                    <w:snapToGrid w:val="0"/>
                    <w:jc w:val="center"/>
                    <w:rPr>
                      <w:szCs w:val="21"/>
                    </w:rPr>
                  </w:pPr>
                  <w:r>
                    <w:rPr>
                      <w:szCs w:val="21"/>
                    </w:rPr>
                    <w:t>/</w:t>
                  </w:r>
                </w:p>
              </w:tc>
              <w:tc>
                <w:tcPr>
                  <w:tcW w:w="158" w:type="pct"/>
                  <w:vAlign w:val="center"/>
                </w:tcPr>
                <w:p w14:paraId="1940F847">
                  <w:pPr>
                    <w:widowControl/>
                    <w:adjustRightInd w:val="0"/>
                    <w:snapToGrid w:val="0"/>
                    <w:jc w:val="center"/>
                    <w:rPr>
                      <w:szCs w:val="21"/>
                    </w:rPr>
                  </w:pPr>
                  <w:r>
                    <w:rPr>
                      <w:szCs w:val="21"/>
                    </w:rPr>
                    <w:t>/</w:t>
                  </w:r>
                </w:p>
              </w:tc>
              <w:tc>
                <w:tcPr>
                  <w:tcW w:w="263" w:type="pct"/>
                  <w:vAlign w:val="center"/>
                </w:tcPr>
                <w:p w14:paraId="204B0D11">
                  <w:pPr>
                    <w:jc w:val="center"/>
                    <w:rPr>
                      <w:szCs w:val="21"/>
                    </w:rPr>
                  </w:pPr>
                  <w:r>
                    <w:rPr>
                      <w:szCs w:val="21"/>
                    </w:rPr>
                    <w:t>0.135</w:t>
                  </w:r>
                </w:p>
              </w:tc>
              <w:tc>
                <w:tcPr>
                  <w:tcW w:w="331" w:type="pct"/>
                  <w:vAlign w:val="center"/>
                </w:tcPr>
                <w:p w14:paraId="24AC05FE">
                  <w:pPr>
                    <w:pStyle w:val="70"/>
                    <w:adjustRightInd w:val="0"/>
                    <w:snapToGrid w:val="0"/>
                    <w:spacing w:line="240" w:lineRule="auto"/>
                    <w:ind w:firstLine="0" w:firstLineChars="0"/>
                    <w:jc w:val="center"/>
                    <w:rPr>
                      <w:color w:val="auto"/>
                      <w:kern w:val="0"/>
                      <w:sz w:val="21"/>
                      <w:szCs w:val="21"/>
                    </w:rPr>
                  </w:pPr>
                  <w:r>
                    <w:rPr>
                      <w:color w:val="auto"/>
                      <w:kern w:val="0"/>
                      <w:sz w:val="21"/>
                      <w:szCs w:val="21"/>
                    </w:rPr>
                    <w:t>0.06</w:t>
                  </w:r>
                </w:p>
              </w:tc>
              <w:tc>
                <w:tcPr>
                  <w:tcW w:w="408" w:type="pct"/>
                  <w:vAlign w:val="center"/>
                </w:tcPr>
                <w:p w14:paraId="34701F9A">
                  <w:pPr>
                    <w:widowControl/>
                    <w:adjustRightInd w:val="0"/>
                    <w:snapToGrid w:val="0"/>
                    <w:jc w:val="center"/>
                    <w:rPr>
                      <w:szCs w:val="21"/>
                    </w:rPr>
                  </w:pPr>
                  <w:r>
                    <w:rPr>
                      <w:szCs w:val="21"/>
                    </w:rPr>
                    <w:t>/</w:t>
                  </w:r>
                </w:p>
              </w:tc>
              <w:tc>
                <w:tcPr>
                  <w:tcW w:w="343" w:type="pct"/>
                  <w:vAlign w:val="center"/>
                </w:tcPr>
                <w:p w14:paraId="5883BDBC">
                  <w:pPr>
                    <w:widowControl/>
                    <w:adjustRightInd w:val="0"/>
                    <w:snapToGrid w:val="0"/>
                    <w:jc w:val="center"/>
                    <w:rPr>
                      <w:szCs w:val="21"/>
                    </w:rPr>
                  </w:pPr>
                  <w:r>
                    <w:rPr>
                      <w:szCs w:val="21"/>
                    </w:rPr>
                    <w:t>/</w:t>
                  </w:r>
                </w:p>
              </w:tc>
            </w:tr>
            <w:tr w14:paraId="138F0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91" w:type="pct"/>
                  <w:vMerge w:val="continue"/>
                  <w:vAlign w:val="center"/>
                </w:tcPr>
                <w:p w14:paraId="4ECA4223">
                  <w:pPr>
                    <w:pStyle w:val="70"/>
                    <w:adjustRightInd w:val="0"/>
                    <w:snapToGrid w:val="0"/>
                    <w:spacing w:line="240" w:lineRule="auto"/>
                    <w:ind w:firstLine="0" w:firstLineChars="0"/>
                    <w:jc w:val="center"/>
                    <w:rPr>
                      <w:bCs/>
                      <w:color w:val="auto"/>
                      <w:kern w:val="0"/>
                      <w:sz w:val="21"/>
                      <w:szCs w:val="21"/>
                    </w:rPr>
                  </w:pPr>
                </w:p>
              </w:tc>
              <w:tc>
                <w:tcPr>
                  <w:tcW w:w="212" w:type="pct"/>
                  <w:vMerge w:val="continue"/>
                  <w:vAlign w:val="center"/>
                </w:tcPr>
                <w:p w14:paraId="00A82FF1">
                  <w:pPr>
                    <w:pStyle w:val="70"/>
                    <w:adjustRightInd w:val="0"/>
                    <w:snapToGrid w:val="0"/>
                    <w:spacing w:line="240" w:lineRule="auto"/>
                    <w:ind w:firstLine="0" w:firstLineChars="0"/>
                    <w:jc w:val="center"/>
                    <w:rPr>
                      <w:bCs/>
                      <w:color w:val="auto"/>
                      <w:kern w:val="0"/>
                      <w:sz w:val="21"/>
                      <w:szCs w:val="21"/>
                    </w:rPr>
                  </w:pPr>
                </w:p>
              </w:tc>
              <w:tc>
                <w:tcPr>
                  <w:tcW w:w="214" w:type="pct"/>
                  <w:vAlign w:val="center"/>
                </w:tcPr>
                <w:p w14:paraId="1301243F">
                  <w:pPr>
                    <w:adjustRightInd w:val="0"/>
                    <w:snapToGrid w:val="0"/>
                    <w:jc w:val="center"/>
                    <w:rPr>
                      <w:szCs w:val="21"/>
                    </w:rPr>
                  </w:pPr>
                  <w:r>
                    <w:rPr>
                      <w:szCs w:val="21"/>
                    </w:rPr>
                    <w:t>NH</w:t>
                  </w:r>
                  <w:r>
                    <w:rPr>
                      <w:szCs w:val="21"/>
                      <w:vertAlign w:val="subscript"/>
                    </w:rPr>
                    <w:t>3</w:t>
                  </w:r>
                </w:p>
              </w:tc>
              <w:tc>
                <w:tcPr>
                  <w:tcW w:w="263" w:type="pct"/>
                  <w:vAlign w:val="center"/>
                </w:tcPr>
                <w:p w14:paraId="2790C75F">
                  <w:pPr>
                    <w:jc w:val="center"/>
                    <w:rPr>
                      <w:szCs w:val="21"/>
                    </w:rPr>
                  </w:pPr>
                  <w:r>
                    <w:rPr>
                      <w:szCs w:val="21"/>
                    </w:rPr>
                    <w:t>0.185</w:t>
                  </w:r>
                </w:p>
              </w:tc>
              <w:tc>
                <w:tcPr>
                  <w:tcW w:w="331" w:type="pct"/>
                  <w:vAlign w:val="center"/>
                </w:tcPr>
                <w:p w14:paraId="3A27F30E">
                  <w:pPr>
                    <w:adjustRightInd w:val="0"/>
                    <w:snapToGrid w:val="0"/>
                    <w:jc w:val="center"/>
                    <w:rPr>
                      <w:szCs w:val="21"/>
                    </w:rPr>
                  </w:pPr>
                  <w:r>
                    <w:rPr>
                      <w:szCs w:val="21"/>
                    </w:rPr>
                    <w:t>0.08</w:t>
                  </w:r>
                </w:p>
              </w:tc>
              <w:tc>
                <w:tcPr>
                  <w:tcW w:w="1428" w:type="pct"/>
                  <w:gridSpan w:val="3"/>
                  <w:vMerge w:val="continue"/>
                  <w:vAlign w:val="center"/>
                </w:tcPr>
                <w:p w14:paraId="39668F26">
                  <w:pPr>
                    <w:widowControl/>
                    <w:adjustRightInd w:val="0"/>
                    <w:snapToGrid w:val="0"/>
                    <w:jc w:val="center"/>
                    <w:rPr>
                      <w:bCs/>
                      <w:szCs w:val="21"/>
                    </w:rPr>
                  </w:pPr>
                </w:p>
              </w:tc>
              <w:tc>
                <w:tcPr>
                  <w:tcW w:w="163" w:type="pct"/>
                  <w:vAlign w:val="center"/>
                </w:tcPr>
                <w:p w14:paraId="405378B8">
                  <w:pPr>
                    <w:widowControl/>
                    <w:adjustRightInd w:val="0"/>
                    <w:snapToGrid w:val="0"/>
                    <w:jc w:val="center"/>
                    <w:rPr>
                      <w:szCs w:val="21"/>
                    </w:rPr>
                  </w:pPr>
                  <w:r>
                    <w:rPr>
                      <w:szCs w:val="21"/>
                    </w:rPr>
                    <w:t>/</w:t>
                  </w:r>
                </w:p>
              </w:tc>
              <w:tc>
                <w:tcPr>
                  <w:tcW w:w="194" w:type="pct"/>
                  <w:vAlign w:val="center"/>
                </w:tcPr>
                <w:p w14:paraId="34840E95">
                  <w:pPr>
                    <w:widowControl/>
                    <w:adjustRightInd w:val="0"/>
                    <w:snapToGrid w:val="0"/>
                    <w:jc w:val="center"/>
                    <w:rPr>
                      <w:szCs w:val="21"/>
                    </w:rPr>
                  </w:pPr>
                  <w:r>
                    <w:rPr>
                      <w:szCs w:val="21"/>
                    </w:rPr>
                    <w:t>/</w:t>
                  </w:r>
                </w:p>
              </w:tc>
              <w:tc>
                <w:tcPr>
                  <w:tcW w:w="341" w:type="pct"/>
                  <w:vAlign w:val="center"/>
                </w:tcPr>
                <w:p w14:paraId="08983408">
                  <w:pPr>
                    <w:widowControl/>
                    <w:adjustRightInd w:val="0"/>
                    <w:snapToGrid w:val="0"/>
                    <w:jc w:val="center"/>
                    <w:rPr>
                      <w:szCs w:val="21"/>
                    </w:rPr>
                  </w:pPr>
                  <w:r>
                    <w:rPr>
                      <w:szCs w:val="21"/>
                    </w:rPr>
                    <w:t>/</w:t>
                  </w:r>
                </w:p>
              </w:tc>
              <w:tc>
                <w:tcPr>
                  <w:tcW w:w="259" w:type="pct"/>
                  <w:vAlign w:val="center"/>
                </w:tcPr>
                <w:p w14:paraId="039ABF1C">
                  <w:pPr>
                    <w:widowControl/>
                    <w:adjustRightInd w:val="0"/>
                    <w:snapToGrid w:val="0"/>
                    <w:jc w:val="center"/>
                    <w:rPr>
                      <w:szCs w:val="21"/>
                    </w:rPr>
                  </w:pPr>
                  <w:r>
                    <w:rPr>
                      <w:szCs w:val="21"/>
                    </w:rPr>
                    <w:t>/</w:t>
                  </w:r>
                </w:p>
              </w:tc>
              <w:tc>
                <w:tcPr>
                  <w:tcW w:w="158" w:type="pct"/>
                  <w:vAlign w:val="center"/>
                </w:tcPr>
                <w:p w14:paraId="259D965F">
                  <w:pPr>
                    <w:widowControl/>
                    <w:adjustRightInd w:val="0"/>
                    <w:snapToGrid w:val="0"/>
                    <w:jc w:val="center"/>
                    <w:rPr>
                      <w:szCs w:val="21"/>
                    </w:rPr>
                  </w:pPr>
                  <w:r>
                    <w:rPr>
                      <w:szCs w:val="21"/>
                    </w:rPr>
                    <w:t>/</w:t>
                  </w:r>
                </w:p>
              </w:tc>
              <w:tc>
                <w:tcPr>
                  <w:tcW w:w="263" w:type="pct"/>
                  <w:vAlign w:val="center"/>
                </w:tcPr>
                <w:p w14:paraId="03D0032B">
                  <w:pPr>
                    <w:jc w:val="center"/>
                    <w:rPr>
                      <w:szCs w:val="21"/>
                    </w:rPr>
                  </w:pPr>
                  <w:r>
                    <w:rPr>
                      <w:szCs w:val="21"/>
                    </w:rPr>
                    <w:t>0.185</w:t>
                  </w:r>
                </w:p>
              </w:tc>
              <w:tc>
                <w:tcPr>
                  <w:tcW w:w="331" w:type="pct"/>
                  <w:vAlign w:val="center"/>
                </w:tcPr>
                <w:p w14:paraId="2664A33C">
                  <w:pPr>
                    <w:adjustRightInd w:val="0"/>
                    <w:snapToGrid w:val="0"/>
                    <w:jc w:val="center"/>
                    <w:rPr>
                      <w:szCs w:val="21"/>
                    </w:rPr>
                  </w:pPr>
                  <w:r>
                    <w:rPr>
                      <w:szCs w:val="21"/>
                    </w:rPr>
                    <w:t>0.08</w:t>
                  </w:r>
                </w:p>
              </w:tc>
              <w:tc>
                <w:tcPr>
                  <w:tcW w:w="408" w:type="pct"/>
                  <w:vAlign w:val="center"/>
                </w:tcPr>
                <w:p w14:paraId="64C8E133">
                  <w:pPr>
                    <w:widowControl/>
                    <w:adjustRightInd w:val="0"/>
                    <w:snapToGrid w:val="0"/>
                    <w:jc w:val="center"/>
                    <w:rPr>
                      <w:szCs w:val="21"/>
                    </w:rPr>
                  </w:pPr>
                  <w:r>
                    <w:rPr>
                      <w:szCs w:val="21"/>
                    </w:rPr>
                    <w:t>/</w:t>
                  </w:r>
                </w:p>
              </w:tc>
              <w:tc>
                <w:tcPr>
                  <w:tcW w:w="343" w:type="pct"/>
                  <w:vAlign w:val="center"/>
                </w:tcPr>
                <w:p w14:paraId="6515C4FD">
                  <w:pPr>
                    <w:widowControl/>
                    <w:adjustRightInd w:val="0"/>
                    <w:snapToGrid w:val="0"/>
                    <w:jc w:val="center"/>
                    <w:rPr>
                      <w:szCs w:val="21"/>
                    </w:rPr>
                  </w:pPr>
                  <w:r>
                    <w:rPr>
                      <w:szCs w:val="21"/>
                    </w:rPr>
                    <w:t>/</w:t>
                  </w:r>
                </w:p>
              </w:tc>
            </w:tr>
            <w:tr w14:paraId="67A74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91" w:type="pct"/>
                  <w:vMerge w:val="continue"/>
                  <w:vAlign w:val="center"/>
                </w:tcPr>
                <w:p w14:paraId="3E5AF8EB">
                  <w:pPr>
                    <w:pStyle w:val="70"/>
                    <w:adjustRightInd w:val="0"/>
                    <w:snapToGrid w:val="0"/>
                    <w:spacing w:line="240" w:lineRule="auto"/>
                    <w:ind w:firstLine="0" w:firstLineChars="0"/>
                    <w:jc w:val="center"/>
                    <w:rPr>
                      <w:bCs/>
                      <w:color w:val="auto"/>
                      <w:kern w:val="0"/>
                      <w:sz w:val="21"/>
                      <w:szCs w:val="21"/>
                    </w:rPr>
                  </w:pPr>
                </w:p>
              </w:tc>
              <w:tc>
                <w:tcPr>
                  <w:tcW w:w="212" w:type="pct"/>
                  <w:vMerge w:val="continue"/>
                  <w:vAlign w:val="center"/>
                </w:tcPr>
                <w:p w14:paraId="245A7074">
                  <w:pPr>
                    <w:pStyle w:val="70"/>
                    <w:adjustRightInd w:val="0"/>
                    <w:snapToGrid w:val="0"/>
                    <w:spacing w:line="240" w:lineRule="auto"/>
                    <w:ind w:firstLine="0" w:firstLineChars="0"/>
                    <w:jc w:val="center"/>
                    <w:rPr>
                      <w:bCs/>
                      <w:color w:val="auto"/>
                      <w:kern w:val="0"/>
                      <w:sz w:val="21"/>
                      <w:szCs w:val="21"/>
                    </w:rPr>
                  </w:pPr>
                </w:p>
              </w:tc>
              <w:tc>
                <w:tcPr>
                  <w:tcW w:w="214" w:type="pct"/>
                  <w:vAlign w:val="center"/>
                </w:tcPr>
                <w:p w14:paraId="7E3629F7">
                  <w:pPr>
                    <w:adjustRightInd w:val="0"/>
                    <w:snapToGrid w:val="0"/>
                    <w:jc w:val="center"/>
                    <w:rPr>
                      <w:szCs w:val="21"/>
                    </w:rPr>
                  </w:pPr>
                  <w:r>
                    <w:rPr>
                      <w:szCs w:val="21"/>
                    </w:rPr>
                    <w:t>H</w:t>
                  </w:r>
                  <w:r>
                    <w:rPr>
                      <w:szCs w:val="21"/>
                      <w:vertAlign w:val="subscript"/>
                    </w:rPr>
                    <w:t>2</w:t>
                  </w:r>
                  <w:r>
                    <w:rPr>
                      <w:szCs w:val="21"/>
                    </w:rPr>
                    <w:t>S</w:t>
                  </w:r>
                </w:p>
              </w:tc>
              <w:tc>
                <w:tcPr>
                  <w:tcW w:w="263" w:type="pct"/>
                  <w:vAlign w:val="center"/>
                </w:tcPr>
                <w:p w14:paraId="05F145A4">
                  <w:pPr>
                    <w:jc w:val="center"/>
                    <w:rPr>
                      <w:szCs w:val="21"/>
                    </w:rPr>
                  </w:pPr>
                  <w:r>
                    <w:rPr>
                      <w:szCs w:val="21"/>
                    </w:rPr>
                    <w:t>0.0375</w:t>
                  </w:r>
                </w:p>
              </w:tc>
              <w:tc>
                <w:tcPr>
                  <w:tcW w:w="331" w:type="pct"/>
                  <w:vAlign w:val="center"/>
                </w:tcPr>
                <w:p w14:paraId="7AFCE1A9">
                  <w:pPr>
                    <w:adjustRightInd w:val="0"/>
                    <w:snapToGrid w:val="0"/>
                    <w:jc w:val="center"/>
                    <w:rPr>
                      <w:szCs w:val="21"/>
                    </w:rPr>
                  </w:pPr>
                  <w:r>
                    <w:rPr>
                      <w:szCs w:val="21"/>
                    </w:rPr>
                    <w:t>0.016</w:t>
                  </w:r>
                </w:p>
              </w:tc>
              <w:tc>
                <w:tcPr>
                  <w:tcW w:w="1428" w:type="pct"/>
                  <w:gridSpan w:val="3"/>
                  <w:vMerge w:val="continue"/>
                  <w:vAlign w:val="center"/>
                </w:tcPr>
                <w:p w14:paraId="31D2C73A">
                  <w:pPr>
                    <w:widowControl/>
                    <w:adjustRightInd w:val="0"/>
                    <w:snapToGrid w:val="0"/>
                    <w:jc w:val="center"/>
                    <w:rPr>
                      <w:bCs/>
                      <w:szCs w:val="21"/>
                    </w:rPr>
                  </w:pPr>
                </w:p>
              </w:tc>
              <w:tc>
                <w:tcPr>
                  <w:tcW w:w="163" w:type="pct"/>
                  <w:vAlign w:val="center"/>
                </w:tcPr>
                <w:p w14:paraId="4CEFD863">
                  <w:pPr>
                    <w:widowControl/>
                    <w:adjustRightInd w:val="0"/>
                    <w:snapToGrid w:val="0"/>
                    <w:jc w:val="center"/>
                    <w:rPr>
                      <w:szCs w:val="21"/>
                    </w:rPr>
                  </w:pPr>
                  <w:r>
                    <w:rPr>
                      <w:szCs w:val="21"/>
                    </w:rPr>
                    <w:t>/</w:t>
                  </w:r>
                </w:p>
              </w:tc>
              <w:tc>
                <w:tcPr>
                  <w:tcW w:w="194" w:type="pct"/>
                  <w:vAlign w:val="center"/>
                </w:tcPr>
                <w:p w14:paraId="5E9F1D78">
                  <w:pPr>
                    <w:widowControl/>
                    <w:adjustRightInd w:val="0"/>
                    <w:snapToGrid w:val="0"/>
                    <w:jc w:val="center"/>
                    <w:rPr>
                      <w:szCs w:val="21"/>
                    </w:rPr>
                  </w:pPr>
                  <w:r>
                    <w:rPr>
                      <w:szCs w:val="21"/>
                    </w:rPr>
                    <w:t>/</w:t>
                  </w:r>
                </w:p>
              </w:tc>
              <w:tc>
                <w:tcPr>
                  <w:tcW w:w="341" w:type="pct"/>
                  <w:vAlign w:val="center"/>
                </w:tcPr>
                <w:p w14:paraId="570F7F65">
                  <w:pPr>
                    <w:widowControl/>
                    <w:adjustRightInd w:val="0"/>
                    <w:snapToGrid w:val="0"/>
                    <w:jc w:val="center"/>
                    <w:rPr>
                      <w:szCs w:val="21"/>
                    </w:rPr>
                  </w:pPr>
                  <w:r>
                    <w:rPr>
                      <w:szCs w:val="21"/>
                    </w:rPr>
                    <w:t>/</w:t>
                  </w:r>
                </w:p>
              </w:tc>
              <w:tc>
                <w:tcPr>
                  <w:tcW w:w="259" w:type="pct"/>
                  <w:vAlign w:val="center"/>
                </w:tcPr>
                <w:p w14:paraId="278C6516">
                  <w:pPr>
                    <w:widowControl/>
                    <w:adjustRightInd w:val="0"/>
                    <w:snapToGrid w:val="0"/>
                    <w:jc w:val="center"/>
                    <w:rPr>
                      <w:szCs w:val="21"/>
                    </w:rPr>
                  </w:pPr>
                  <w:r>
                    <w:rPr>
                      <w:szCs w:val="21"/>
                    </w:rPr>
                    <w:t>/</w:t>
                  </w:r>
                </w:p>
              </w:tc>
              <w:tc>
                <w:tcPr>
                  <w:tcW w:w="158" w:type="pct"/>
                  <w:vAlign w:val="center"/>
                </w:tcPr>
                <w:p w14:paraId="029ADF02">
                  <w:pPr>
                    <w:widowControl/>
                    <w:adjustRightInd w:val="0"/>
                    <w:snapToGrid w:val="0"/>
                    <w:jc w:val="center"/>
                    <w:rPr>
                      <w:szCs w:val="21"/>
                    </w:rPr>
                  </w:pPr>
                  <w:r>
                    <w:rPr>
                      <w:szCs w:val="21"/>
                    </w:rPr>
                    <w:t>/</w:t>
                  </w:r>
                </w:p>
              </w:tc>
              <w:tc>
                <w:tcPr>
                  <w:tcW w:w="263" w:type="pct"/>
                  <w:vAlign w:val="center"/>
                </w:tcPr>
                <w:p w14:paraId="74336FCC">
                  <w:pPr>
                    <w:jc w:val="center"/>
                    <w:rPr>
                      <w:szCs w:val="21"/>
                    </w:rPr>
                  </w:pPr>
                  <w:r>
                    <w:rPr>
                      <w:szCs w:val="21"/>
                    </w:rPr>
                    <w:t>0.0375</w:t>
                  </w:r>
                </w:p>
              </w:tc>
              <w:tc>
                <w:tcPr>
                  <w:tcW w:w="331" w:type="pct"/>
                  <w:vAlign w:val="center"/>
                </w:tcPr>
                <w:p w14:paraId="78EFB605">
                  <w:pPr>
                    <w:adjustRightInd w:val="0"/>
                    <w:snapToGrid w:val="0"/>
                    <w:jc w:val="center"/>
                    <w:rPr>
                      <w:szCs w:val="21"/>
                    </w:rPr>
                  </w:pPr>
                  <w:r>
                    <w:rPr>
                      <w:szCs w:val="21"/>
                    </w:rPr>
                    <w:t>0.016</w:t>
                  </w:r>
                </w:p>
              </w:tc>
              <w:tc>
                <w:tcPr>
                  <w:tcW w:w="408" w:type="pct"/>
                  <w:vAlign w:val="center"/>
                </w:tcPr>
                <w:p w14:paraId="351B5063">
                  <w:pPr>
                    <w:widowControl/>
                    <w:adjustRightInd w:val="0"/>
                    <w:snapToGrid w:val="0"/>
                    <w:jc w:val="center"/>
                    <w:rPr>
                      <w:szCs w:val="21"/>
                    </w:rPr>
                  </w:pPr>
                  <w:r>
                    <w:rPr>
                      <w:szCs w:val="21"/>
                    </w:rPr>
                    <w:t>/</w:t>
                  </w:r>
                </w:p>
              </w:tc>
              <w:tc>
                <w:tcPr>
                  <w:tcW w:w="343" w:type="pct"/>
                  <w:vAlign w:val="center"/>
                </w:tcPr>
                <w:p w14:paraId="1CF8E511">
                  <w:pPr>
                    <w:widowControl/>
                    <w:adjustRightInd w:val="0"/>
                    <w:snapToGrid w:val="0"/>
                    <w:jc w:val="center"/>
                    <w:rPr>
                      <w:szCs w:val="21"/>
                    </w:rPr>
                  </w:pPr>
                  <w:r>
                    <w:rPr>
                      <w:szCs w:val="21"/>
                    </w:rPr>
                    <w:t>/</w:t>
                  </w:r>
                </w:p>
              </w:tc>
            </w:tr>
            <w:tr w14:paraId="36E20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91" w:type="pct"/>
                  <w:vMerge w:val="continue"/>
                  <w:vAlign w:val="center"/>
                </w:tcPr>
                <w:p w14:paraId="76460D19">
                  <w:pPr>
                    <w:pStyle w:val="70"/>
                    <w:adjustRightInd w:val="0"/>
                    <w:snapToGrid w:val="0"/>
                    <w:spacing w:line="240" w:lineRule="auto"/>
                    <w:ind w:firstLine="0" w:firstLineChars="0"/>
                    <w:jc w:val="center"/>
                    <w:rPr>
                      <w:bCs/>
                      <w:color w:val="auto"/>
                      <w:spacing w:val="-10"/>
                      <w:sz w:val="21"/>
                      <w:szCs w:val="21"/>
                    </w:rPr>
                  </w:pPr>
                </w:p>
              </w:tc>
              <w:tc>
                <w:tcPr>
                  <w:tcW w:w="212" w:type="pct"/>
                  <w:vMerge w:val="restart"/>
                  <w:vAlign w:val="center"/>
                </w:tcPr>
                <w:p w14:paraId="7D90AE4F">
                  <w:pPr>
                    <w:pStyle w:val="70"/>
                    <w:adjustRightInd w:val="0"/>
                    <w:snapToGrid w:val="0"/>
                    <w:spacing w:line="240" w:lineRule="auto"/>
                    <w:ind w:firstLine="0" w:firstLineChars="0"/>
                    <w:jc w:val="center"/>
                    <w:rPr>
                      <w:bCs/>
                      <w:color w:val="auto"/>
                      <w:kern w:val="0"/>
                      <w:sz w:val="21"/>
                      <w:szCs w:val="21"/>
                    </w:rPr>
                  </w:pPr>
                  <w:r>
                    <w:rPr>
                      <w:bCs/>
                      <w:color w:val="auto"/>
                      <w:kern w:val="0"/>
                      <w:sz w:val="21"/>
                      <w:szCs w:val="21"/>
                    </w:rPr>
                    <w:t>污水处理站</w:t>
                  </w:r>
                </w:p>
              </w:tc>
              <w:tc>
                <w:tcPr>
                  <w:tcW w:w="214" w:type="pct"/>
                  <w:vAlign w:val="center"/>
                </w:tcPr>
                <w:p w14:paraId="3F6D4B81">
                  <w:pPr>
                    <w:adjustRightInd w:val="0"/>
                    <w:snapToGrid w:val="0"/>
                    <w:jc w:val="center"/>
                    <w:rPr>
                      <w:szCs w:val="21"/>
                    </w:rPr>
                  </w:pPr>
                  <w:r>
                    <w:rPr>
                      <w:szCs w:val="21"/>
                    </w:rPr>
                    <w:t>NH</w:t>
                  </w:r>
                  <w:r>
                    <w:rPr>
                      <w:szCs w:val="21"/>
                      <w:vertAlign w:val="subscript"/>
                    </w:rPr>
                    <w:t>3</w:t>
                  </w:r>
                </w:p>
              </w:tc>
              <w:tc>
                <w:tcPr>
                  <w:tcW w:w="263" w:type="pct"/>
                  <w:vAlign w:val="center"/>
                </w:tcPr>
                <w:p w14:paraId="04004DD0">
                  <w:pPr>
                    <w:pStyle w:val="70"/>
                    <w:adjustRightInd w:val="0"/>
                    <w:snapToGrid w:val="0"/>
                    <w:spacing w:line="240" w:lineRule="auto"/>
                    <w:ind w:firstLine="0" w:firstLineChars="0"/>
                    <w:jc w:val="center"/>
                    <w:rPr>
                      <w:bCs/>
                      <w:color w:val="auto"/>
                      <w:sz w:val="21"/>
                      <w:szCs w:val="21"/>
                    </w:rPr>
                  </w:pPr>
                  <w:r>
                    <w:rPr>
                      <w:bCs/>
                      <w:color w:val="auto"/>
                      <w:sz w:val="21"/>
                      <w:szCs w:val="21"/>
                    </w:rPr>
                    <w:t>0.0024</w:t>
                  </w:r>
                </w:p>
              </w:tc>
              <w:tc>
                <w:tcPr>
                  <w:tcW w:w="331" w:type="pct"/>
                  <w:vAlign w:val="center"/>
                </w:tcPr>
                <w:p w14:paraId="1848944C">
                  <w:pPr>
                    <w:pStyle w:val="70"/>
                    <w:adjustRightInd w:val="0"/>
                    <w:snapToGrid w:val="0"/>
                    <w:spacing w:line="240" w:lineRule="auto"/>
                    <w:ind w:firstLine="0" w:firstLineChars="0"/>
                    <w:jc w:val="center"/>
                    <w:rPr>
                      <w:color w:val="auto"/>
                      <w:kern w:val="0"/>
                      <w:sz w:val="21"/>
                      <w:szCs w:val="21"/>
                    </w:rPr>
                  </w:pPr>
                  <w:r>
                    <w:rPr>
                      <w:color w:val="auto"/>
                      <w:kern w:val="0"/>
                      <w:sz w:val="21"/>
                      <w:szCs w:val="21"/>
                    </w:rPr>
                    <w:t>0.0003</w:t>
                  </w:r>
                </w:p>
              </w:tc>
              <w:tc>
                <w:tcPr>
                  <w:tcW w:w="1428" w:type="pct"/>
                  <w:gridSpan w:val="3"/>
                  <w:vMerge w:val="restart"/>
                  <w:vAlign w:val="center"/>
                </w:tcPr>
                <w:p w14:paraId="3C45838A">
                  <w:pPr>
                    <w:widowControl/>
                    <w:adjustRightInd w:val="0"/>
                    <w:snapToGrid w:val="0"/>
                    <w:jc w:val="center"/>
                    <w:rPr>
                      <w:bCs/>
                      <w:szCs w:val="21"/>
                    </w:rPr>
                  </w:pPr>
                  <w:r>
                    <w:rPr>
                      <w:color w:val="000000"/>
                    </w:rPr>
                    <w:t>水解酸化、接触氧化等重点单元均加盖密封，提高有组织收集效率</w:t>
                  </w:r>
                </w:p>
              </w:tc>
              <w:tc>
                <w:tcPr>
                  <w:tcW w:w="163" w:type="pct"/>
                  <w:vAlign w:val="center"/>
                </w:tcPr>
                <w:p w14:paraId="40632E6B">
                  <w:pPr>
                    <w:widowControl/>
                    <w:adjustRightInd w:val="0"/>
                    <w:snapToGrid w:val="0"/>
                    <w:jc w:val="center"/>
                    <w:rPr>
                      <w:szCs w:val="21"/>
                    </w:rPr>
                  </w:pPr>
                  <w:r>
                    <w:rPr>
                      <w:szCs w:val="21"/>
                    </w:rPr>
                    <w:t>/</w:t>
                  </w:r>
                </w:p>
              </w:tc>
              <w:tc>
                <w:tcPr>
                  <w:tcW w:w="194" w:type="pct"/>
                  <w:vAlign w:val="center"/>
                </w:tcPr>
                <w:p w14:paraId="13B5A224">
                  <w:pPr>
                    <w:widowControl/>
                    <w:adjustRightInd w:val="0"/>
                    <w:snapToGrid w:val="0"/>
                    <w:jc w:val="center"/>
                    <w:rPr>
                      <w:szCs w:val="21"/>
                    </w:rPr>
                  </w:pPr>
                  <w:r>
                    <w:rPr>
                      <w:szCs w:val="21"/>
                    </w:rPr>
                    <w:t>/</w:t>
                  </w:r>
                </w:p>
              </w:tc>
              <w:tc>
                <w:tcPr>
                  <w:tcW w:w="341" w:type="pct"/>
                  <w:vAlign w:val="center"/>
                </w:tcPr>
                <w:p w14:paraId="22F1627F">
                  <w:pPr>
                    <w:widowControl/>
                    <w:adjustRightInd w:val="0"/>
                    <w:snapToGrid w:val="0"/>
                    <w:jc w:val="center"/>
                    <w:rPr>
                      <w:szCs w:val="21"/>
                    </w:rPr>
                  </w:pPr>
                  <w:r>
                    <w:rPr>
                      <w:szCs w:val="21"/>
                    </w:rPr>
                    <w:t>/</w:t>
                  </w:r>
                </w:p>
              </w:tc>
              <w:tc>
                <w:tcPr>
                  <w:tcW w:w="259" w:type="pct"/>
                  <w:vAlign w:val="center"/>
                </w:tcPr>
                <w:p w14:paraId="040401F6">
                  <w:pPr>
                    <w:widowControl/>
                    <w:adjustRightInd w:val="0"/>
                    <w:snapToGrid w:val="0"/>
                    <w:jc w:val="center"/>
                    <w:rPr>
                      <w:szCs w:val="21"/>
                    </w:rPr>
                  </w:pPr>
                  <w:r>
                    <w:rPr>
                      <w:szCs w:val="21"/>
                    </w:rPr>
                    <w:t>/</w:t>
                  </w:r>
                </w:p>
              </w:tc>
              <w:tc>
                <w:tcPr>
                  <w:tcW w:w="158" w:type="pct"/>
                  <w:vAlign w:val="center"/>
                </w:tcPr>
                <w:p w14:paraId="56C80EEE">
                  <w:pPr>
                    <w:widowControl/>
                    <w:adjustRightInd w:val="0"/>
                    <w:snapToGrid w:val="0"/>
                    <w:jc w:val="center"/>
                    <w:rPr>
                      <w:szCs w:val="21"/>
                    </w:rPr>
                  </w:pPr>
                  <w:r>
                    <w:rPr>
                      <w:szCs w:val="21"/>
                    </w:rPr>
                    <w:t>/</w:t>
                  </w:r>
                </w:p>
              </w:tc>
              <w:tc>
                <w:tcPr>
                  <w:tcW w:w="263" w:type="pct"/>
                  <w:vAlign w:val="center"/>
                </w:tcPr>
                <w:p w14:paraId="0BBFCAA1">
                  <w:pPr>
                    <w:pStyle w:val="70"/>
                    <w:adjustRightInd w:val="0"/>
                    <w:snapToGrid w:val="0"/>
                    <w:spacing w:line="240" w:lineRule="auto"/>
                    <w:ind w:firstLine="0" w:firstLineChars="0"/>
                    <w:jc w:val="center"/>
                    <w:rPr>
                      <w:bCs/>
                      <w:color w:val="auto"/>
                      <w:sz w:val="21"/>
                      <w:szCs w:val="21"/>
                    </w:rPr>
                  </w:pPr>
                  <w:r>
                    <w:rPr>
                      <w:bCs/>
                      <w:color w:val="auto"/>
                      <w:sz w:val="21"/>
                      <w:szCs w:val="21"/>
                    </w:rPr>
                    <w:t>0.0024</w:t>
                  </w:r>
                </w:p>
              </w:tc>
              <w:tc>
                <w:tcPr>
                  <w:tcW w:w="331" w:type="pct"/>
                  <w:vAlign w:val="center"/>
                </w:tcPr>
                <w:p w14:paraId="48582951">
                  <w:pPr>
                    <w:pStyle w:val="70"/>
                    <w:adjustRightInd w:val="0"/>
                    <w:snapToGrid w:val="0"/>
                    <w:spacing w:line="240" w:lineRule="auto"/>
                    <w:ind w:firstLine="0" w:firstLineChars="0"/>
                    <w:jc w:val="center"/>
                    <w:rPr>
                      <w:color w:val="auto"/>
                      <w:kern w:val="0"/>
                      <w:sz w:val="21"/>
                      <w:szCs w:val="21"/>
                    </w:rPr>
                  </w:pPr>
                  <w:r>
                    <w:rPr>
                      <w:color w:val="auto"/>
                      <w:kern w:val="0"/>
                      <w:sz w:val="21"/>
                      <w:szCs w:val="21"/>
                    </w:rPr>
                    <w:t>0.0003</w:t>
                  </w:r>
                </w:p>
              </w:tc>
              <w:tc>
                <w:tcPr>
                  <w:tcW w:w="408" w:type="pct"/>
                  <w:vAlign w:val="center"/>
                </w:tcPr>
                <w:p w14:paraId="6419FFCB">
                  <w:pPr>
                    <w:widowControl/>
                    <w:adjustRightInd w:val="0"/>
                    <w:snapToGrid w:val="0"/>
                    <w:jc w:val="center"/>
                    <w:rPr>
                      <w:szCs w:val="21"/>
                    </w:rPr>
                  </w:pPr>
                  <w:r>
                    <w:rPr>
                      <w:szCs w:val="21"/>
                    </w:rPr>
                    <w:t>/</w:t>
                  </w:r>
                </w:p>
              </w:tc>
              <w:tc>
                <w:tcPr>
                  <w:tcW w:w="343" w:type="pct"/>
                  <w:vAlign w:val="center"/>
                </w:tcPr>
                <w:p w14:paraId="749513D3">
                  <w:pPr>
                    <w:widowControl/>
                    <w:adjustRightInd w:val="0"/>
                    <w:snapToGrid w:val="0"/>
                    <w:jc w:val="center"/>
                    <w:rPr>
                      <w:szCs w:val="21"/>
                    </w:rPr>
                  </w:pPr>
                  <w:r>
                    <w:rPr>
                      <w:szCs w:val="21"/>
                    </w:rPr>
                    <w:t>/</w:t>
                  </w:r>
                </w:p>
              </w:tc>
            </w:tr>
            <w:tr w14:paraId="2509F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91" w:type="pct"/>
                  <w:vMerge w:val="continue"/>
                  <w:vAlign w:val="center"/>
                </w:tcPr>
                <w:p w14:paraId="567A2C5E">
                  <w:pPr>
                    <w:widowControl/>
                    <w:adjustRightInd w:val="0"/>
                    <w:snapToGrid w:val="0"/>
                    <w:jc w:val="center"/>
                    <w:rPr>
                      <w:bCs/>
                      <w:kern w:val="0"/>
                      <w:szCs w:val="21"/>
                    </w:rPr>
                  </w:pPr>
                </w:p>
              </w:tc>
              <w:tc>
                <w:tcPr>
                  <w:tcW w:w="212" w:type="pct"/>
                  <w:vMerge w:val="continue"/>
                  <w:vAlign w:val="center"/>
                </w:tcPr>
                <w:p w14:paraId="1678DE06">
                  <w:pPr>
                    <w:adjustRightInd w:val="0"/>
                    <w:snapToGrid w:val="0"/>
                    <w:jc w:val="center"/>
                    <w:rPr>
                      <w:szCs w:val="21"/>
                    </w:rPr>
                  </w:pPr>
                </w:p>
              </w:tc>
              <w:tc>
                <w:tcPr>
                  <w:tcW w:w="214" w:type="pct"/>
                  <w:vAlign w:val="center"/>
                </w:tcPr>
                <w:p w14:paraId="27724AD2">
                  <w:pPr>
                    <w:adjustRightInd w:val="0"/>
                    <w:snapToGrid w:val="0"/>
                    <w:jc w:val="center"/>
                    <w:rPr>
                      <w:szCs w:val="21"/>
                    </w:rPr>
                  </w:pPr>
                  <w:r>
                    <w:rPr>
                      <w:szCs w:val="21"/>
                    </w:rPr>
                    <w:t>H</w:t>
                  </w:r>
                  <w:r>
                    <w:rPr>
                      <w:szCs w:val="21"/>
                      <w:vertAlign w:val="subscript"/>
                    </w:rPr>
                    <w:t>2</w:t>
                  </w:r>
                  <w:r>
                    <w:rPr>
                      <w:szCs w:val="21"/>
                    </w:rPr>
                    <w:t>S</w:t>
                  </w:r>
                </w:p>
              </w:tc>
              <w:tc>
                <w:tcPr>
                  <w:tcW w:w="263" w:type="pct"/>
                  <w:vAlign w:val="center"/>
                </w:tcPr>
                <w:p w14:paraId="1EC14C71">
                  <w:pPr>
                    <w:pStyle w:val="70"/>
                    <w:adjustRightInd w:val="0"/>
                    <w:snapToGrid w:val="0"/>
                    <w:spacing w:line="240" w:lineRule="auto"/>
                    <w:ind w:firstLine="0" w:firstLineChars="0"/>
                    <w:jc w:val="center"/>
                    <w:rPr>
                      <w:bCs/>
                      <w:color w:val="auto"/>
                      <w:sz w:val="21"/>
                      <w:szCs w:val="21"/>
                    </w:rPr>
                  </w:pPr>
                  <w:r>
                    <w:rPr>
                      <w:bCs/>
                      <w:color w:val="auto"/>
                      <w:sz w:val="21"/>
                      <w:szCs w:val="21"/>
                    </w:rPr>
                    <w:t>0.0001</w:t>
                  </w:r>
                </w:p>
              </w:tc>
              <w:tc>
                <w:tcPr>
                  <w:tcW w:w="331" w:type="pct"/>
                  <w:vAlign w:val="center"/>
                </w:tcPr>
                <w:p w14:paraId="28649B51">
                  <w:pPr>
                    <w:widowControl/>
                    <w:adjustRightInd w:val="0"/>
                    <w:snapToGrid w:val="0"/>
                    <w:jc w:val="center"/>
                    <w:rPr>
                      <w:bCs/>
                      <w:szCs w:val="21"/>
                    </w:rPr>
                  </w:pPr>
                  <w:r>
                    <w:rPr>
                      <w:bCs/>
                      <w:szCs w:val="21"/>
                    </w:rPr>
                    <w:t>0.00001</w:t>
                  </w:r>
                </w:p>
              </w:tc>
              <w:tc>
                <w:tcPr>
                  <w:tcW w:w="1428" w:type="pct"/>
                  <w:gridSpan w:val="3"/>
                  <w:vMerge w:val="continue"/>
                  <w:vAlign w:val="center"/>
                </w:tcPr>
                <w:p w14:paraId="238852AC">
                  <w:pPr>
                    <w:widowControl/>
                    <w:adjustRightInd w:val="0"/>
                    <w:snapToGrid w:val="0"/>
                    <w:jc w:val="center"/>
                    <w:rPr>
                      <w:bCs/>
                      <w:szCs w:val="21"/>
                    </w:rPr>
                  </w:pPr>
                </w:p>
              </w:tc>
              <w:tc>
                <w:tcPr>
                  <w:tcW w:w="163" w:type="pct"/>
                  <w:vAlign w:val="center"/>
                </w:tcPr>
                <w:p w14:paraId="57FB9E03">
                  <w:pPr>
                    <w:widowControl/>
                    <w:adjustRightInd w:val="0"/>
                    <w:snapToGrid w:val="0"/>
                    <w:jc w:val="center"/>
                    <w:rPr>
                      <w:szCs w:val="21"/>
                    </w:rPr>
                  </w:pPr>
                  <w:r>
                    <w:rPr>
                      <w:szCs w:val="21"/>
                    </w:rPr>
                    <w:t>/</w:t>
                  </w:r>
                </w:p>
              </w:tc>
              <w:tc>
                <w:tcPr>
                  <w:tcW w:w="194" w:type="pct"/>
                  <w:vAlign w:val="center"/>
                </w:tcPr>
                <w:p w14:paraId="00A0BBA8">
                  <w:pPr>
                    <w:widowControl/>
                    <w:adjustRightInd w:val="0"/>
                    <w:snapToGrid w:val="0"/>
                    <w:jc w:val="center"/>
                    <w:rPr>
                      <w:szCs w:val="21"/>
                    </w:rPr>
                  </w:pPr>
                  <w:r>
                    <w:rPr>
                      <w:szCs w:val="21"/>
                    </w:rPr>
                    <w:t>/</w:t>
                  </w:r>
                </w:p>
              </w:tc>
              <w:tc>
                <w:tcPr>
                  <w:tcW w:w="341" w:type="pct"/>
                  <w:vAlign w:val="center"/>
                </w:tcPr>
                <w:p w14:paraId="7B202A24">
                  <w:pPr>
                    <w:widowControl/>
                    <w:adjustRightInd w:val="0"/>
                    <w:snapToGrid w:val="0"/>
                    <w:jc w:val="center"/>
                    <w:rPr>
                      <w:szCs w:val="21"/>
                    </w:rPr>
                  </w:pPr>
                  <w:r>
                    <w:rPr>
                      <w:szCs w:val="21"/>
                    </w:rPr>
                    <w:t>/</w:t>
                  </w:r>
                </w:p>
              </w:tc>
              <w:tc>
                <w:tcPr>
                  <w:tcW w:w="259" w:type="pct"/>
                  <w:vAlign w:val="center"/>
                </w:tcPr>
                <w:p w14:paraId="1B21394E">
                  <w:pPr>
                    <w:widowControl/>
                    <w:adjustRightInd w:val="0"/>
                    <w:snapToGrid w:val="0"/>
                    <w:jc w:val="center"/>
                    <w:rPr>
                      <w:szCs w:val="21"/>
                    </w:rPr>
                  </w:pPr>
                  <w:r>
                    <w:rPr>
                      <w:szCs w:val="21"/>
                    </w:rPr>
                    <w:t>/</w:t>
                  </w:r>
                </w:p>
              </w:tc>
              <w:tc>
                <w:tcPr>
                  <w:tcW w:w="158" w:type="pct"/>
                  <w:vAlign w:val="center"/>
                </w:tcPr>
                <w:p w14:paraId="347FB2B0">
                  <w:pPr>
                    <w:widowControl/>
                    <w:adjustRightInd w:val="0"/>
                    <w:snapToGrid w:val="0"/>
                    <w:jc w:val="center"/>
                    <w:rPr>
                      <w:szCs w:val="21"/>
                    </w:rPr>
                  </w:pPr>
                  <w:r>
                    <w:rPr>
                      <w:szCs w:val="21"/>
                    </w:rPr>
                    <w:t>/</w:t>
                  </w:r>
                </w:p>
              </w:tc>
              <w:tc>
                <w:tcPr>
                  <w:tcW w:w="263" w:type="pct"/>
                  <w:vAlign w:val="center"/>
                </w:tcPr>
                <w:p w14:paraId="0424884B">
                  <w:pPr>
                    <w:pStyle w:val="70"/>
                    <w:adjustRightInd w:val="0"/>
                    <w:snapToGrid w:val="0"/>
                    <w:spacing w:line="240" w:lineRule="auto"/>
                    <w:ind w:firstLine="0" w:firstLineChars="0"/>
                    <w:jc w:val="center"/>
                    <w:rPr>
                      <w:bCs/>
                      <w:color w:val="auto"/>
                      <w:sz w:val="21"/>
                      <w:szCs w:val="21"/>
                    </w:rPr>
                  </w:pPr>
                  <w:r>
                    <w:rPr>
                      <w:bCs/>
                      <w:color w:val="auto"/>
                      <w:sz w:val="21"/>
                      <w:szCs w:val="21"/>
                    </w:rPr>
                    <w:t>0.0001</w:t>
                  </w:r>
                </w:p>
              </w:tc>
              <w:tc>
                <w:tcPr>
                  <w:tcW w:w="331" w:type="pct"/>
                  <w:vAlign w:val="center"/>
                </w:tcPr>
                <w:p w14:paraId="59EE2925">
                  <w:pPr>
                    <w:widowControl/>
                    <w:adjustRightInd w:val="0"/>
                    <w:snapToGrid w:val="0"/>
                    <w:jc w:val="center"/>
                    <w:rPr>
                      <w:bCs/>
                      <w:szCs w:val="21"/>
                    </w:rPr>
                  </w:pPr>
                  <w:r>
                    <w:rPr>
                      <w:bCs/>
                      <w:szCs w:val="21"/>
                    </w:rPr>
                    <w:t>0.00001</w:t>
                  </w:r>
                </w:p>
              </w:tc>
              <w:tc>
                <w:tcPr>
                  <w:tcW w:w="408" w:type="pct"/>
                  <w:vAlign w:val="center"/>
                </w:tcPr>
                <w:p w14:paraId="579418B0">
                  <w:pPr>
                    <w:widowControl/>
                    <w:adjustRightInd w:val="0"/>
                    <w:snapToGrid w:val="0"/>
                    <w:jc w:val="center"/>
                    <w:rPr>
                      <w:szCs w:val="21"/>
                    </w:rPr>
                  </w:pPr>
                  <w:r>
                    <w:rPr>
                      <w:szCs w:val="21"/>
                    </w:rPr>
                    <w:t>/</w:t>
                  </w:r>
                </w:p>
              </w:tc>
              <w:tc>
                <w:tcPr>
                  <w:tcW w:w="343" w:type="pct"/>
                  <w:vAlign w:val="center"/>
                </w:tcPr>
                <w:p w14:paraId="0BC90901">
                  <w:pPr>
                    <w:widowControl/>
                    <w:adjustRightInd w:val="0"/>
                    <w:snapToGrid w:val="0"/>
                    <w:jc w:val="center"/>
                    <w:rPr>
                      <w:szCs w:val="21"/>
                    </w:rPr>
                  </w:pPr>
                  <w:r>
                    <w:rPr>
                      <w:szCs w:val="21"/>
                    </w:rPr>
                    <w:t>/</w:t>
                  </w:r>
                </w:p>
              </w:tc>
            </w:tr>
          </w:tbl>
          <w:p w14:paraId="4CBAE4B3">
            <w:pPr>
              <w:snapToGrid w:val="0"/>
              <w:spacing w:line="360" w:lineRule="auto"/>
              <w:rPr>
                <w:b/>
                <w:bCs/>
                <w:szCs w:val="21"/>
              </w:rPr>
            </w:pPr>
          </w:p>
          <w:p w14:paraId="548DF0A7">
            <w:pPr>
              <w:snapToGrid w:val="0"/>
              <w:spacing w:line="360" w:lineRule="auto"/>
              <w:rPr>
                <w:b/>
                <w:bCs/>
                <w:szCs w:val="21"/>
              </w:rPr>
            </w:pPr>
          </w:p>
          <w:p w14:paraId="63C52F91">
            <w:pPr>
              <w:snapToGrid w:val="0"/>
              <w:spacing w:line="360" w:lineRule="auto"/>
              <w:rPr>
                <w:b/>
                <w:bCs/>
                <w:szCs w:val="21"/>
              </w:rPr>
            </w:pPr>
          </w:p>
        </w:tc>
      </w:tr>
    </w:tbl>
    <w:p w14:paraId="20BE160A">
      <w:pPr>
        <w:pStyle w:val="25"/>
        <w:spacing w:before="0" w:beforeAutospacing="0" w:after="0" w:afterAutospacing="0"/>
        <w:rPr>
          <w:rFonts w:ascii="黑体" w:hAnsi="黑体" w:eastAsia="黑体"/>
          <w:snapToGrid w:val="0"/>
          <w:sz w:val="10"/>
          <w:szCs w:val="10"/>
        </w:rPr>
        <w:sectPr>
          <w:pgSz w:w="16840" w:h="11907" w:orient="landscape"/>
          <w:pgMar w:top="1531" w:right="1701" w:bottom="1531" w:left="2127" w:header="851" w:footer="851" w:gutter="0"/>
          <w:cols w:space="720" w:num="1"/>
          <w:docGrid w:linePitch="312" w:charSpace="0"/>
        </w:sectPr>
      </w:pPr>
    </w:p>
    <w:p w14:paraId="243F3D1E">
      <w:pPr>
        <w:pStyle w:val="25"/>
        <w:spacing w:before="0" w:beforeAutospacing="0" w:after="0" w:afterAutospacing="0"/>
        <w:rPr>
          <w:rFonts w:ascii="黑体" w:hAnsi="黑体" w:eastAsia="黑体"/>
          <w:snapToGrid w:val="0"/>
          <w:sz w:val="10"/>
          <w:szCs w:val="10"/>
        </w:rPr>
      </w:pPr>
    </w:p>
    <w:tbl>
      <w:tblPr>
        <w:tblStyle w:val="29"/>
        <w:tblW w:w="948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64"/>
        <w:gridCol w:w="9025"/>
      </w:tblGrid>
      <w:tr w14:paraId="40FA20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600" w:hRule="atLeast"/>
          <w:jc w:val="center"/>
        </w:trPr>
        <w:tc>
          <w:tcPr>
            <w:tcW w:w="464" w:type="dxa"/>
            <w:tcMar>
              <w:left w:w="28" w:type="dxa"/>
              <w:right w:w="28" w:type="dxa"/>
            </w:tcMar>
            <w:vAlign w:val="center"/>
          </w:tcPr>
          <w:p w14:paraId="1FC384AA">
            <w:pPr>
              <w:adjustRightInd w:val="0"/>
              <w:snapToGrid w:val="0"/>
              <w:jc w:val="center"/>
              <w:rPr>
                <w:bCs/>
                <w:sz w:val="24"/>
              </w:rPr>
            </w:pPr>
            <w:r>
              <w:rPr>
                <w:bCs/>
                <w:sz w:val="24"/>
              </w:rPr>
              <w:t>运营期环境影响和保护措施</w:t>
            </w:r>
          </w:p>
        </w:tc>
        <w:tc>
          <w:tcPr>
            <w:tcW w:w="9025" w:type="dxa"/>
            <w:vAlign w:val="center"/>
          </w:tcPr>
          <w:p w14:paraId="126020E4">
            <w:pPr>
              <w:pStyle w:val="28"/>
              <w:tabs>
                <w:tab w:val="left" w:pos="210"/>
              </w:tabs>
              <w:spacing w:after="0" w:line="360" w:lineRule="auto"/>
              <w:ind w:left="0" w:leftChars="0" w:firstLine="482"/>
              <w:rPr>
                <w:b/>
                <w:sz w:val="24"/>
              </w:rPr>
            </w:pPr>
            <w:r>
              <w:rPr>
                <w:rFonts w:hint="eastAsia"/>
                <w:b/>
                <w:sz w:val="24"/>
              </w:rPr>
              <w:t>项目废气污染源源强核算过程如下：</w:t>
            </w:r>
          </w:p>
          <w:p w14:paraId="5B444D1B">
            <w:pPr>
              <w:adjustRightInd w:val="0"/>
              <w:snapToGrid w:val="0"/>
              <w:spacing w:line="360" w:lineRule="auto"/>
              <w:ind w:firstLine="480" w:firstLineChars="200"/>
              <w:rPr>
                <w:bCs/>
                <w:sz w:val="24"/>
                <w:highlight w:val="green"/>
              </w:rPr>
            </w:pPr>
            <w:r>
              <w:rPr>
                <w:rFonts w:hint="eastAsia"/>
                <w:bCs/>
                <w:sz w:val="24"/>
              </w:rPr>
              <w:t>项目冷库的制冷剂在一个封闭的制冷回路中，因此无制冷剂废气排出。本项目生产过程中产生的废气主要为动物油脂堆放</w:t>
            </w:r>
            <w:r>
              <w:rPr>
                <w:rFonts w:hint="eastAsia"/>
                <w:bCs/>
                <w:color w:val="000000"/>
                <w:sz w:val="24"/>
              </w:rPr>
              <w:t>、破碎</w:t>
            </w:r>
            <w:r>
              <w:rPr>
                <w:rFonts w:hint="eastAsia"/>
                <w:bCs/>
                <w:sz w:val="24"/>
              </w:rPr>
              <w:t>及压饼等生产车间恶臭、</w:t>
            </w:r>
            <w:r>
              <w:rPr>
                <w:rFonts w:hint="eastAsia"/>
                <w:sz w:val="24"/>
              </w:rPr>
              <w:t>炼油</w:t>
            </w:r>
            <w:r>
              <w:rPr>
                <w:rFonts w:hint="eastAsia"/>
                <w:bCs/>
                <w:sz w:val="24"/>
              </w:rPr>
              <w:t>油烟及恶臭、</w:t>
            </w:r>
            <w:r>
              <w:rPr>
                <w:rFonts w:hint="eastAsia"/>
                <w:sz w:val="24"/>
              </w:rPr>
              <w:t>污水处理站恶臭</w:t>
            </w:r>
            <w:r>
              <w:rPr>
                <w:rFonts w:hint="eastAsia"/>
                <w:bCs/>
                <w:sz w:val="24"/>
              </w:rPr>
              <w:t>和</w:t>
            </w:r>
            <w:r>
              <w:rPr>
                <w:rFonts w:hint="eastAsia"/>
                <w:sz w:val="24"/>
                <w:szCs w:val="32"/>
              </w:rPr>
              <w:t>天然气燃烧废气</w:t>
            </w:r>
            <w:r>
              <w:rPr>
                <w:rFonts w:hint="eastAsia"/>
                <w:bCs/>
                <w:sz w:val="24"/>
              </w:rPr>
              <w:t>。</w:t>
            </w:r>
          </w:p>
          <w:p w14:paraId="775B65F4">
            <w:pPr>
              <w:spacing w:line="360" w:lineRule="auto"/>
              <w:ind w:firstLine="482" w:firstLineChars="200"/>
              <w:rPr>
                <w:b/>
                <w:bCs/>
                <w:sz w:val="24"/>
              </w:rPr>
            </w:pPr>
            <w:r>
              <w:rPr>
                <w:b/>
                <w:sz w:val="24"/>
              </w:rPr>
              <w:t>（1）</w:t>
            </w:r>
            <w:r>
              <w:rPr>
                <w:rFonts w:hint="eastAsia"/>
                <w:b/>
                <w:bCs/>
                <w:sz w:val="24"/>
              </w:rPr>
              <w:t>恶臭及油烟产排情况</w:t>
            </w:r>
          </w:p>
          <w:p w14:paraId="2D8877A5">
            <w:pPr>
              <w:spacing w:line="360" w:lineRule="auto"/>
              <w:ind w:firstLine="480" w:firstLineChars="200"/>
              <w:rPr>
                <w:sz w:val="24"/>
              </w:rPr>
            </w:pPr>
            <w:r>
              <w:rPr>
                <w:rFonts w:hint="eastAsia"/>
                <w:bCs/>
                <w:sz w:val="24"/>
              </w:rPr>
              <w:t>项目恶臭主要为动物油脂堆放</w:t>
            </w:r>
            <w:r>
              <w:rPr>
                <w:rFonts w:hint="eastAsia"/>
                <w:bCs/>
                <w:color w:val="000000"/>
                <w:sz w:val="24"/>
              </w:rPr>
              <w:t>、破碎、</w:t>
            </w:r>
            <w:r>
              <w:rPr>
                <w:rFonts w:hint="eastAsia"/>
                <w:sz w:val="24"/>
              </w:rPr>
              <w:t>炼油</w:t>
            </w:r>
            <w:r>
              <w:rPr>
                <w:rFonts w:hint="eastAsia"/>
                <w:bCs/>
                <w:sz w:val="24"/>
              </w:rPr>
              <w:t>及压饼过程中产生的生产车间恶臭、</w:t>
            </w:r>
            <w:r>
              <w:rPr>
                <w:rFonts w:hint="eastAsia"/>
                <w:sz w:val="24"/>
              </w:rPr>
              <w:t>及</w:t>
            </w:r>
            <w:r>
              <w:rPr>
                <w:rFonts w:hint="eastAsia"/>
                <w:bCs/>
                <w:sz w:val="24"/>
              </w:rPr>
              <w:t>污水处理站恶臭，油烟主要产生于油脂熬制、油渣分离及压饼工序。</w:t>
            </w:r>
          </w:p>
          <w:p w14:paraId="4E9658BD">
            <w:pPr>
              <w:spacing w:line="360" w:lineRule="auto"/>
              <w:ind w:firstLine="480" w:firstLineChars="200"/>
              <w:rPr>
                <w:sz w:val="24"/>
              </w:rPr>
            </w:pPr>
            <w:r>
              <w:rPr>
                <w:rFonts w:hint="eastAsia"/>
                <w:sz w:val="24"/>
              </w:rPr>
              <w:t>①</w:t>
            </w:r>
            <w:r>
              <w:rPr>
                <w:rFonts w:hint="eastAsia"/>
                <w:bCs/>
                <w:sz w:val="24"/>
              </w:rPr>
              <w:t>动物油脂堆放</w:t>
            </w:r>
            <w:r>
              <w:rPr>
                <w:rFonts w:hint="eastAsia"/>
                <w:bCs/>
                <w:color w:val="000000"/>
                <w:sz w:val="24"/>
              </w:rPr>
              <w:t>、破碎</w:t>
            </w:r>
            <w:r>
              <w:rPr>
                <w:rFonts w:hint="eastAsia"/>
                <w:bCs/>
                <w:sz w:val="24"/>
              </w:rPr>
              <w:t>等生产车间异味和</w:t>
            </w:r>
            <w:r>
              <w:rPr>
                <w:rFonts w:hint="eastAsia"/>
                <w:sz w:val="24"/>
              </w:rPr>
              <w:t>熬制、油渣分离及压饼过程</w:t>
            </w:r>
            <w:r>
              <w:rPr>
                <w:rFonts w:hint="eastAsia"/>
                <w:bCs/>
                <w:sz w:val="24"/>
              </w:rPr>
              <w:t>油烟及异味</w:t>
            </w:r>
          </w:p>
          <w:p w14:paraId="001EB732">
            <w:pPr>
              <w:spacing w:line="360" w:lineRule="auto"/>
              <w:ind w:firstLine="480" w:firstLineChars="200"/>
              <w:rPr>
                <w:sz w:val="24"/>
              </w:rPr>
            </w:pPr>
            <w:r>
              <w:rPr>
                <w:rFonts w:hint="eastAsia"/>
                <w:bCs/>
                <w:sz w:val="24"/>
              </w:rPr>
              <w:t>项目原料投加、暂存等工序产生恶臭气体较少，收集较为困难，本项目尽量按照生产计划取料、送料，实现随到随用，同时对</w:t>
            </w:r>
            <w:r>
              <w:rPr>
                <w:rFonts w:hint="eastAsia"/>
                <w:sz w:val="24"/>
              </w:rPr>
              <w:t>冷库及油渣暂存间进行封闭处理，</w:t>
            </w:r>
            <w:r>
              <w:rPr>
                <w:rFonts w:hint="eastAsia"/>
                <w:bCs/>
                <w:sz w:val="24"/>
              </w:rPr>
              <w:t>减少投料、暂存时间，减少恶臭产生。</w:t>
            </w:r>
          </w:p>
          <w:p w14:paraId="7EAB61DC">
            <w:pPr>
              <w:spacing w:line="360" w:lineRule="auto"/>
              <w:ind w:firstLine="480" w:firstLineChars="200"/>
              <w:rPr>
                <w:sz w:val="24"/>
              </w:rPr>
            </w:pPr>
            <w:r>
              <w:rPr>
                <w:rFonts w:hint="eastAsia"/>
                <w:sz w:val="24"/>
              </w:rPr>
              <w:t>项目动物油脂生产过程中会产生一定的油烟废气及恶臭气体（氨、硫化氢）。类比永城市永盛生物科技有限公司年加工饲料半成品原料、动物油脂600吨项目（与本项目工艺、设备、原料类似，故具有可比性）验收阶段实际监测数据可知，项目破碎、炼油等过程产生的废气为氨0.15kg/吨产品，硫化氢0.031kg/吨产品，油烟0.11kg/吨产品，本项目年产动物油脂25000吨，则经计算本项目NH</w:t>
            </w:r>
            <w:r>
              <w:rPr>
                <w:rFonts w:hint="eastAsia"/>
                <w:sz w:val="24"/>
                <w:vertAlign w:val="subscript"/>
              </w:rPr>
              <w:t>3</w:t>
            </w:r>
            <w:r>
              <w:rPr>
                <w:rFonts w:hint="eastAsia"/>
                <w:sz w:val="24"/>
              </w:rPr>
              <w:t>产生量约为3.75t/a，H</w:t>
            </w:r>
            <w:r>
              <w:rPr>
                <w:rFonts w:hint="eastAsia"/>
                <w:sz w:val="24"/>
                <w:vertAlign w:val="subscript"/>
              </w:rPr>
              <w:t>2</w:t>
            </w:r>
            <w:r>
              <w:rPr>
                <w:rFonts w:hint="eastAsia"/>
                <w:sz w:val="24"/>
              </w:rPr>
              <w:t>S产生量约为0.775t/a，油烟产生量约2.75t/a。</w:t>
            </w:r>
          </w:p>
          <w:p w14:paraId="06C70885">
            <w:pPr>
              <w:spacing w:line="360" w:lineRule="auto"/>
              <w:ind w:firstLine="482" w:firstLineChars="200"/>
              <w:rPr>
                <w:b/>
                <w:sz w:val="24"/>
                <w:u w:val="single"/>
              </w:rPr>
            </w:pPr>
            <w:r>
              <w:rPr>
                <w:rFonts w:hint="eastAsia"/>
                <w:b/>
                <w:sz w:val="24"/>
                <w:u w:val="single"/>
              </w:rPr>
              <w:t>项目动物油脂生产线将存放原料的冷库及油渣暂存间进行封闭处理；原料输送进熬制炉后，熬制炉关闭，待熬制完成后，熬制炉出口开启，通过输送槽（拟密闭）将油脂输送出，整个熬制过程处于密闭状态，仅留有排烟口，废气通过熬制炉上方的排烟口与管道连接进行收集；生产设备全部置于车间内并在粉碎机、加热锅及压饼机上方分别安装集气罩，油脂暂存池加盖密闭微负压收集废气，生产过程均为密闭管道/螺旋输送机输送。废气经密闭管道输送至列管冷凝器，在循环水的冷却下水蒸气被冷凝成蒸馏水收集到冷凝废水罐内，不凝气（油烟及异味）经静电油烟净化器去除油烟后，与生产车间其他工序废气一起进入“碱液喷淋塔+除雾器+活性炭吸附装置”除臭后通过1根15m高排气筒（DA001、DA002）排放。</w:t>
            </w:r>
          </w:p>
          <w:p w14:paraId="54B34331">
            <w:pPr>
              <w:spacing w:line="360" w:lineRule="auto"/>
              <w:ind w:firstLine="482" w:firstLineChars="200"/>
              <w:rPr>
                <w:b/>
                <w:sz w:val="24"/>
                <w:u w:val="single"/>
              </w:rPr>
            </w:pPr>
            <w:r>
              <w:rPr>
                <w:rFonts w:hint="eastAsia"/>
                <w:b/>
                <w:bCs/>
                <w:color w:val="000000"/>
                <w:sz w:val="24"/>
                <w:u w:val="single"/>
              </w:rPr>
              <w:t>项目1#及2#生产车间各设置一条生产线，</w:t>
            </w:r>
            <w:r>
              <w:rPr>
                <w:rFonts w:hint="eastAsia"/>
                <w:b/>
                <w:sz w:val="24"/>
                <w:u w:val="single"/>
              </w:rPr>
              <w:t>炼油废气收集效率以90%计，则有组织炼油废气产生量为NH</w:t>
            </w:r>
            <w:r>
              <w:rPr>
                <w:rFonts w:hint="eastAsia"/>
                <w:b/>
                <w:sz w:val="24"/>
                <w:u w:val="single"/>
                <w:vertAlign w:val="subscript"/>
              </w:rPr>
              <w:t>3</w:t>
            </w:r>
            <w:r>
              <w:rPr>
                <w:rFonts w:hint="eastAsia"/>
                <w:b/>
                <w:sz w:val="24"/>
                <w:u w:val="single"/>
              </w:rPr>
              <w:t>3.38t/a、H</w:t>
            </w:r>
            <w:r>
              <w:rPr>
                <w:rFonts w:hint="eastAsia"/>
                <w:b/>
                <w:sz w:val="24"/>
                <w:u w:val="single"/>
                <w:vertAlign w:val="subscript"/>
              </w:rPr>
              <w:t>2</w:t>
            </w:r>
            <w:r>
              <w:rPr>
                <w:rFonts w:hint="eastAsia"/>
                <w:b/>
                <w:sz w:val="24"/>
                <w:u w:val="single"/>
              </w:rPr>
              <w:t>S0.7t/a、油烟2.48t/a。1#生产车间有组织炼油废气产生量为NH</w:t>
            </w:r>
            <w:r>
              <w:rPr>
                <w:rFonts w:hint="eastAsia"/>
                <w:b/>
                <w:sz w:val="24"/>
                <w:u w:val="single"/>
                <w:vertAlign w:val="subscript"/>
              </w:rPr>
              <w:t>3</w:t>
            </w:r>
            <w:r>
              <w:rPr>
                <w:rFonts w:hint="eastAsia"/>
                <w:b/>
                <w:sz w:val="24"/>
                <w:u w:val="single"/>
              </w:rPr>
              <w:t>1.69t/a、H</w:t>
            </w:r>
            <w:r>
              <w:rPr>
                <w:rFonts w:hint="eastAsia"/>
                <w:b/>
                <w:sz w:val="24"/>
                <w:u w:val="single"/>
                <w:vertAlign w:val="subscript"/>
              </w:rPr>
              <w:t>2</w:t>
            </w:r>
            <w:r>
              <w:rPr>
                <w:rFonts w:hint="eastAsia"/>
                <w:b/>
                <w:sz w:val="24"/>
                <w:u w:val="single"/>
              </w:rPr>
              <w:t>S0.35t/a、油烟1.24t/a，产生速率分别为NH</w:t>
            </w:r>
            <w:r>
              <w:rPr>
                <w:rFonts w:hint="eastAsia"/>
                <w:b/>
                <w:sz w:val="24"/>
                <w:u w:val="single"/>
                <w:vertAlign w:val="subscript"/>
              </w:rPr>
              <w:t>3</w:t>
            </w:r>
            <w:r>
              <w:rPr>
                <w:rFonts w:hint="eastAsia"/>
                <w:b/>
                <w:sz w:val="24"/>
                <w:u w:val="single"/>
              </w:rPr>
              <w:t>0.7kg/h、H</w:t>
            </w:r>
            <w:r>
              <w:rPr>
                <w:rFonts w:hint="eastAsia"/>
                <w:b/>
                <w:sz w:val="24"/>
                <w:u w:val="single"/>
                <w:vertAlign w:val="subscript"/>
              </w:rPr>
              <w:t>2</w:t>
            </w:r>
            <w:r>
              <w:rPr>
                <w:rFonts w:hint="eastAsia"/>
                <w:b/>
                <w:sz w:val="24"/>
                <w:u w:val="single"/>
              </w:rPr>
              <w:t>S0.15kg/h、油烟0.52kg/h；2#生产车间有组织炼油废气产生量为NH</w:t>
            </w:r>
            <w:r>
              <w:rPr>
                <w:rFonts w:hint="eastAsia"/>
                <w:b/>
                <w:sz w:val="24"/>
                <w:u w:val="single"/>
                <w:vertAlign w:val="subscript"/>
              </w:rPr>
              <w:t>3</w:t>
            </w:r>
            <w:r>
              <w:rPr>
                <w:rFonts w:hint="eastAsia"/>
                <w:b/>
                <w:sz w:val="24"/>
                <w:u w:val="single"/>
              </w:rPr>
              <w:t>1.69t/a、H</w:t>
            </w:r>
            <w:r>
              <w:rPr>
                <w:rFonts w:hint="eastAsia"/>
                <w:b/>
                <w:sz w:val="24"/>
                <w:u w:val="single"/>
                <w:vertAlign w:val="subscript"/>
              </w:rPr>
              <w:t>2</w:t>
            </w:r>
            <w:r>
              <w:rPr>
                <w:rFonts w:hint="eastAsia"/>
                <w:b/>
                <w:sz w:val="24"/>
                <w:u w:val="single"/>
              </w:rPr>
              <w:t>S0.35t/a、油烟1.24t/a，产生速率分别为NH</w:t>
            </w:r>
            <w:r>
              <w:rPr>
                <w:rFonts w:hint="eastAsia"/>
                <w:b/>
                <w:sz w:val="24"/>
                <w:u w:val="single"/>
                <w:vertAlign w:val="subscript"/>
              </w:rPr>
              <w:t>3</w:t>
            </w:r>
            <w:r>
              <w:rPr>
                <w:rFonts w:hint="eastAsia"/>
                <w:b/>
                <w:sz w:val="24"/>
                <w:u w:val="single"/>
              </w:rPr>
              <w:t>0.7kg/h、H</w:t>
            </w:r>
            <w:r>
              <w:rPr>
                <w:rFonts w:hint="eastAsia"/>
                <w:b/>
                <w:sz w:val="24"/>
                <w:u w:val="single"/>
                <w:vertAlign w:val="subscript"/>
              </w:rPr>
              <w:t>2</w:t>
            </w:r>
            <w:r>
              <w:rPr>
                <w:rFonts w:hint="eastAsia"/>
                <w:b/>
                <w:sz w:val="24"/>
                <w:u w:val="single"/>
              </w:rPr>
              <w:t>S0.15kg/h、油烟0.52kg/h。</w:t>
            </w:r>
          </w:p>
          <w:p w14:paraId="206696D4">
            <w:pPr>
              <w:spacing w:line="360" w:lineRule="auto"/>
              <w:ind w:firstLine="480" w:firstLineChars="200"/>
              <w:rPr>
                <w:sz w:val="24"/>
              </w:rPr>
            </w:pPr>
            <w:r>
              <w:rPr>
                <w:rFonts w:hint="eastAsia"/>
                <w:sz w:val="24"/>
              </w:rPr>
              <w:t>未被收集的废气通过车间无组织排放，1#生产车间NH</w:t>
            </w:r>
            <w:r>
              <w:rPr>
                <w:rFonts w:hint="eastAsia"/>
                <w:sz w:val="24"/>
                <w:vertAlign w:val="subscript"/>
              </w:rPr>
              <w:t>3</w:t>
            </w:r>
            <w:r>
              <w:rPr>
                <w:rFonts w:hint="eastAsia"/>
                <w:sz w:val="24"/>
              </w:rPr>
              <w:t>、H</w:t>
            </w:r>
            <w:r>
              <w:rPr>
                <w:rFonts w:hint="eastAsia"/>
                <w:sz w:val="24"/>
                <w:vertAlign w:val="subscript"/>
              </w:rPr>
              <w:t>2</w:t>
            </w:r>
            <w:r>
              <w:rPr>
                <w:rFonts w:hint="eastAsia"/>
                <w:sz w:val="24"/>
              </w:rPr>
              <w:t>S、油烟无组织排放量分别为0.185t/a、0.0375t/a、0.135t/a，排放速率分别为0.08kg/h、0.016kg/h、0.06kg/h；2#生产车间NH</w:t>
            </w:r>
            <w:r>
              <w:rPr>
                <w:rFonts w:hint="eastAsia"/>
                <w:sz w:val="24"/>
                <w:vertAlign w:val="subscript"/>
              </w:rPr>
              <w:t>3</w:t>
            </w:r>
            <w:r>
              <w:rPr>
                <w:rFonts w:hint="eastAsia"/>
                <w:sz w:val="24"/>
              </w:rPr>
              <w:t>、H</w:t>
            </w:r>
            <w:r>
              <w:rPr>
                <w:rFonts w:hint="eastAsia"/>
                <w:sz w:val="24"/>
                <w:vertAlign w:val="subscript"/>
              </w:rPr>
              <w:t>2</w:t>
            </w:r>
            <w:r>
              <w:rPr>
                <w:rFonts w:hint="eastAsia"/>
                <w:sz w:val="24"/>
              </w:rPr>
              <w:t>S、油烟无组织排放量分别为0.185t/a、0.0375t/a、0.135t/a，排放速率分别为0.08kg/h、0.016kg/h、0.06kg/h。</w:t>
            </w:r>
          </w:p>
          <w:p w14:paraId="0C834462">
            <w:pPr>
              <w:spacing w:line="360" w:lineRule="auto"/>
              <w:ind w:firstLine="480" w:firstLineChars="200"/>
              <w:rPr>
                <w:sz w:val="24"/>
              </w:rPr>
            </w:pPr>
            <w:r>
              <w:rPr>
                <w:rFonts w:hint="eastAsia"/>
                <w:sz w:val="24"/>
              </w:rPr>
              <w:t>②污水处理站恶臭</w:t>
            </w:r>
          </w:p>
          <w:p w14:paraId="2BF51448">
            <w:pPr>
              <w:shd w:val="clear" w:color="auto" w:fill="FFFFFF"/>
              <w:adjustRightInd w:val="0"/>
              <w:snapToGrid w:val="0"/>
              <w:spacing w:line="360" w:lineRule="auto"/>
              <w:ind w:firstLine="480" w:firstLineChars="200"/>
              <w:rPr>
                <w:sz w:val="24"/>
              </w:rPr>
            </w:pPr>
            <w:r>
              <w:rPr>
                <w:rFonts w:hint="eastAsia"/>
                <w:sz w:val="24"/>
              </w:rPr>
              <w:t>根据《污水处理厂恶臭污染状况分析与评价》（郭静等发表于《中国给水排水》2002年18卷第2期）研究成果，污水处理厂恶臭是多种物质的混合物，其中最主要的是H</w:t>
            </w:r>
            <w:r>
              <w:rPr>
                <w:rFonts w:hint="eastAsia"/>
                <w:sz w:val="24"/>
                <w:vertAlign w:val="subscript"/>
              </w:rPr>
              <w:t>2</w:t>
            </w:r>
            <w:r>
              <w:rPr>
                <w:rFonts w:hint="eastAsia"/>
                <w:sz w:val="24"/>
              </w:rPr>
              <w:t>S和NH</w:t>
            </w:r>
            <w:r>
              <w:rPr>
                <w:rFonts w:hint="eastAsia"/>
                <w:sz w:val="24"/>
                <w:vertAlign w:val="subscript"/>
              </w:rPr>
              <w:t>3</w:t>
            </w:r>
            <w:r>
              <w:rPr>
                <w:rFonts w:hint="eastAsia"/>
                <w:sz w:val="24"/>
              </w:rPr>
              <w:t>。参照有关研究及美国EPA的研究结论可知，每处理1gBODs可产生0.0031gNH</w:t>
            </w:r>
            <w:r>
              <w:rPr>
                <w:rFonts w:hint="eastAsia"/>
                <w:sz w:val="24"/>
                <w:vertAlign w:val="subscript"/>
              </w:rPr>
              <w:t>3</w:t>
            </w:r>
            <w:r>
              <w:rPr>
                <w:rFonts w:hint="eastAsia"/>
                <w:sz w:val="24"/>
              </w:rPr>
              <w:t>、0.00012gH</w:t>
            </w:r>
            <w:r>
              <w:rPr>
                <w:rFonts w:hint="eastAsia"/>
                <w:sz w:val="24"/>
                <w:vertAlign w:val="subscript"/>
              </w:rPr>
              <w:t>2</w:t>
            </w:r>
            <w:r>
              <w:rPr>
                <w:rFonts w:hint="eastAsia"/>
                <w:sz w:val="24"/>
              </w:rPr>
              <w:t>S。本项目运营后可削减BOD</w:t>
            </w:r>
            <w:r>
              <w:rPr>
                <w:rFonts w:hint="eastAsia"/>
                <w:sz w:val="24"/>
                <w:vertAlign w:val="subscript"/>
              </w:rPr>
              <w:t>5</w:t>
            </w:r>
            <w:r>
              <w:rPr>
                <w:rFonts w:hint="eastAsia"/>
                <w:sz w:val="24"/>
              </w:rPr>
              <w:t>7.83t/a，则NH</w:t>
            </w:r>
            <w:r>
              <w:rPr>
                <w:rFonts w:hint="eastAsia"/>
                <w:sz w:val="24"/>
                <w:vertAlign w:val="subscript"/>
              </w:rPr>
              <w:t>3</w:t>
            </w:r>
            <w:r>
              <w:rPr>
                <w:rFonts w:hint="eastAsia"/>
                <w:sz w:val="24"/>
              </w:rPr>
              <w:t>和H</w:t>
            </w:r>
            <w:r>
              <w:rPr>
                <w:rFonts w:hint="eastAsia"/>
                <w:sz w:val="24"/>
                <w:vertAlign w:val="subscript"/>
              </w:rPr>
              <w:t>2</w:t>
            </w:r>
            <w:r>
              <w:rPr>
                <w:rFonts w:hint="eastAsia"/>
                <w:sz w:val="24"/>
              </w:rPr>
              <w:t>S产生量分别为0.024t/a、0.0009t/a。</w:t>
            </w:r>
          </w:p>
          <w:p w14:paraId="504E33D8">
            <w:pPr>
              <w:shd w:val="clear" w:color="auto" w:fill="FFFFFF"/>
              <w:adjustRightInd w:val="0"/>
              <w:snapToGrid w:val="0"/>
              <w:spacing w:line="360" w:lineRule="auto"/>
              <w:ind w:firstLine="480" w:firstLineChars="200"/>
              <w:rPr>
                <w:sz w:val="24"/>
              </w:rPr>
            </w:pPr>
            <w:r>
              <w:rPr>
                <w:sz w:val="24"/>
              </w:rPr>
              <w:t>项目污水处理</w:t>
            </w:r>
            <w:r>
              <w:rPr>
                <w:rFonts w:hint="eastAsia"/>
                <w:sz w:val="24"/>
              </w:rPr>
              <w:t>站</w:t>
            </w:r>
            <w:r>
              <w:rPr>
                <w:sz w:val="24"/>
              </w:rPr>
              <w:t>水解酸化、接触氧化等重点单元均加盖密封，</w:t>
            </w:r>
            <w:r>
              <w:rPr>
                <w:rFonts w:hint="eastAsia"/>
                <w:sz w:val="24"/>
              </w:rPr>
              <w:t>污水处理站产生的恶臭经管道引至1#生产车间“碱液喷淋塔+除雾器+活性炭吸附装置”处理。污水处理站废气收集效率以90%计，则污水处理站有组织废气产生量为NH</w:t>
            </w:r>
            <w:r>
              <w:rPr>
                <w:rFonts w:hint="eastAsia"/>
                <w:sz w:val="24"/>
                <w:vertAlign w:val="subscript"/>
              </w:rPr>
              <w:t>3</w:t>
            </w:r>
            <w:r>
              <w:rPr>
                <w:rFonts w:hint="eastAsia"/>
                <w:sz w:val="24"/>
              </w:rPr>
              <w:t>0.0216t/a、H</w:t>
            </w:r>
            <w:r>
              <w:rPr>
                <w:rFonts w:hint="eastAsia"/>
                <w:sz w:val="24"/>
                <w:vertAlign w:val="subscript"/>
              </w:rPr>
              <w:t>2</w:t>
            </w:r>
            <w:r>
              <w:rPr>
                <w:rFonts w:hint="eastAsia"/>
                <w:sz w:val="24"/>
              </w:rPr>
              <w:t>S0.0008t/a，产生速率分别为NH</w:t>
            </w:r>
            <w:r>
              <w:rPr>
                <w:rFonts w:hint="eastAsia"/>
                <w:sz w:val="24"/>
                <w:vertAlign w:val="subscript"/>
              </w:rPr>
              <w:t>3</w:t>
            </w:r>
            <w:r>
              <w:rPr>
                <w:rFonts w:hint="eastAsia"/>
                <w:sz w:val="24"/>
              </w:rPr>
              <w:t>0.003kg/h、H</w:t>
            </w:r>
            <w:r>
              <w:rPr>
                <w:rFonts w:hint="eastAsia"/>
                <w:sz w:val="24"/>
                <w:vertAlign w:val="subscript"/>
              </w:rPr>
              <w:t>2</w:t>
            </w:r>
            <w:r>
              <w:rPr>
                <w:rFonts w:hint="eastAsia"/>
                <w:sz w:val="24"/>
              </w:rPr>
              <w:t>S0.0001kg/h。</w:t>
            </w:r>
          </w:p>
          <w:p w14:paraId="3E3EF45E">
            <w:pPr>
              <w:spacing w:line="360" w:lineRule="auto"/>
              <w:ind w:firstLine="480" w:firstLineChars="200"/>
              <w:rPr>
                <w:sz w:val="24"/>
                <w:highlight w:val="yellow"/>
              </w:rPr>
            </w:pPr>
            <w:r>
              <w:rPr>
                <w:rFonts w:hint="eastAsia"/>
                <w:sz w:val="24"/>
              </w:rPr>
              <w:t>未被收集的废气无组织排放，NH</w:t>
            </w:r>
            <w:r>
              <w:rPr>
                <w:rFonts w:hint="eastAsia"/>
                <w:sz w:val="24"/>
                <w:vertAlign w:val="subscript"/>
              </w:rPr>
              <w:t>3</w:t>
            </w:r>
            <w:r>
              <w:rPr>
                <w:rFonts w:hint="eastAsia"/>
                <w:sz w:val="24"/>
              </w:rPr>
              <w:t>、H</w:t>
            </w:r>
            <w:r>
              <w:rPr>
                <w:rFonts w:hint="eastAsia"/>
                <w:sz w:val="24"/>
                <w:vertAlign w:val="subscript"/>
              </w:rPr>
              <w:t>2</w:t>
            </w:r>
            <w:r>
              <w:rPr>
                <w:rFonts w:hint="eastAsia"/>
                <w:sz w:val="24"/>
              </w:rPr>
              <w:t>S无组织排放量分别为0.0024t/a、0.0001t/a，排放速率分别为0.0003kg/h、0.00001kg/h。</w:t>
            </w:r>
          </w:p>
          <w:p w14:paraId="2A3F538D">
            <w:pPr>
              <w:spacing w:line="360" w:lineRule="auto"/>
              <w:ind w:firstLine="480" w:firstLineChars="200"/>
              <w:rPr>
                <w:sz w:val="24"/>
              </w:rPr>
            </w:pPr>
            <w:r>
              <w:rPr>
                <w:rFonts w:hint="eastAsia"/>
                <w:sz w:val="24"/>
              </w:rPr>
              <w:t>③项目油烟及恶臭排放情况</w:t>
            </w:r>
          </w:p>
          <w:p w14:paraId="5986287F">
            <w:pPr>
              <w:spacing w:line="360" w:lineRule="auto"/>
              <w:ind w:firstLine="482" w:firstLineChars="200"/>
              <w:rPr>
                <w:b/>
                <w:bCs/>
                <w:sz w:val="24"/>
                <w:u w:val="single"/>
              </w:rPr>
            </w:pPr>
            <w:r>
              <w:rPr>
                <w:rFonts w:hint="eastAsia"/>
                <w:b/>
                <w:bCs/>
                <w:sz w:val="24"/>
                <w:u w:val="single"/>
              </w:rPr>
              <w:t>项目</w:t>
            </w:r>
            <w:r>
              <w:rPr>
                <w:rFonts w:hint="eastAsia"/>
                <w:b/>
                <w:sz w:val="24"/>
                <w:u w:val="single"/>
              </w:rPr>
              <w:t>熬制炉排烟口与集气管道连接，粉碎机、加热锅及压饼机上方分别安装集气罩，油脂暂存池密闭微负压收集废气；同时污水处理站进行密闭微负压收集废气。</w:t>
            </w:r>
            <w:r>
              <w:rPr>
                <w:rFonts w:hint="eastAsia"/>
                <w:b/>
                <w:bCs/>
                <w:color w:val="000000"/>
                <w:sz w:val="24"/>
                <w:u w:val="single"/>
              </w:rPr>
              <w:t>1#生产车间熬制</w:t>
            </w:r>
            <w:r>
              <w:rPr>
                <w:rFonts w:hint="eastAsia"/>
                <w:b/>
                <w:sz w:val="24"/>
                <w:u w:val="single"/>
              </w:rPr>
              <w:t>过程产生的油烟、</w:t>
            </w:r>
            <w:r>
              <w:rPr>
                <w:rFonts w:hint="eastAsia"/>
                <w:b/>
                <w:bCs/>
                <w:sz w:val="24"/>
                <w:u w:val="single"/>
              </w:rPr>
              <w:t>恶臭</w:t>
            </w:r>
            <w:r>
              <w:rPr>
                <w:rFonts w:hint="eastAsia"/>
                <w:b/>
                <w:sz w:val="24"/>
                <w:u w:val="single"/>
              </w:rPr>
              <w:t>、水蒸气及粉碎机、加热锅及压饼机产生少量油烟及恶臭经</w:t>
            </w:r>
            <w:r>
              <w:rPr>
                <w:rFonts w:hint="eastAsia"/>
                <w:b/>
                <w:bCs/>
                <w:sz w:val="24"/>
                <w:u w:val="single"/>
              </w:rPr>
              <w:t>“冷凝+静电油烟净化器”</w:t>
            </w:r>
            <w:r>
              <w:rPr>
                <w:rFonts w:hint="eastAsia"/>
                <w:b/>
                <w:sz w:val="24"/>
                <w:u w:val="single"/>
              </w:rPr>
              <w:t>处理后</w:t>
            </w:r>
            <w:r>
              <w:rPr>
                <w:rFonts w:hint="eastAsia"/>
                <w:b/>
                <w:bCs/>
                <w:sz w:val="24"/>
                <w:u w:val="single"/>
              </w:rPr>
              <w:t>进入“碱液喷淋+除雾器+活性炭吸附设施”，处理后废气经15m高排气筒DA001排放；</w:t>
            </w:r>
            <w:r>
              <w:rPr>
                <w:rFonts w:hint="eastAsia"/>
                <w:b/>
                <w:sz w:val="24"/>
                <w:u w:val="single"/>
              </w:rPr>
              <w:t>2#生产车间熬制</w:t>
            </w:r>
            <w:r>
              <w:rPr>
                <w:rFonts w:hint="eastAsia"/>
                <w:b/>
                <w:bCs/>
                <w:sz w:val="24"/>
                <w:u w:val="single"/>
              </w:rPr>
              <w:t>过程产生油烟、异味与</w:t>
            </w:r>
            <w:r>
              <w:rPr>
                <w:rFonts w:hint="eastAsia"/>
                <w:b/>
                <w:sz w:val="24"/>
                <w:u w:val="single"/>
              </w:rPr>
              <w:t>粉碎机、压饼机及油脂暂存池产生的少量油烟、异味经</w:t>
            </w:r>
            <w:r>
              <w:rPr>
                <w:rFonts w:hint="eastAsia"/>
                <w:b/>
                <w:bCs/>
                <w:sz w:val="24"/>
                <w:u w:val="single"/>
              </w:rPr>
              <w:t>“冷凝+静电油烟净化器+碱液喷淋+除雾器+活性炭吸附设施”处理后经15m高排气筒DA002排放。</w:t>
            </w:r>
          </w:p>
          <w:p w14:paraId="77A1E75E">
            <w:pPr>
              <w:spacing w:line="360" w:lineRule="auto"/>
              <w:ind w:firstLine="482" w:firstLineChars="200"/>
              <w:rPr>
                <w:sz w:val="24"/>
              </w:rPr>
            </w:pPr>
            <w:r>
              <w:rPr>
                <w:rFonts w:hint="eastAsia"/>
                <w:b/>
                <w:sz w:val="24"/>
                <w:u w:val="single"/>
              </w:rPr>
              <w:t>项目废气处理设施NH</w:t>
            </w:r>
            <w:r>
              <w:rPr>
                <w:rFonts w:hint="eastAsia"/>
                <w:b/>
                <w:sz w:val="24"/>
                <w:u w:val="single"/>
                <w:vertAlign w:val="subscript"/>
              </w:rPr>
              <w:t>3</w:t>
            </w:r>
            <w:r>
              <w:rPr>
                <w:rFonts w:hint="eastAsia"/>
                <w:b/>
                <w:sz w:val="24"/>
                <w:u w:val="single"/>
              </w:rPr>
              <w:t>、H</w:t>
            </w:r>
            <w:r>
              <w:rPr>
                <w:rFonts w:hint="eastAsia"/>
                <w:b/>
                <w:sz w:val="24"/>
                <w:u w:val="single"/>
                <w:vertAlign w:val="subscript"/>
              </w:rPr>
              <w:t>2</w:t>
            </w:r>
            <w:r>
              <w:rPr>
                <w:rFonts w:hint="eastAsia"/>
                <w:b/>
                <w:sz w:val="24"/>
                <w:u w:val="single"/>
              </w:rPr>
              <w:t>S处理效率以90%计，油烟净化效率以99%计，</w:t>
            </w:r>
            <w:r>
              <w:rPr>
                <w:rFonts w:hint="eastAsia"/>
                <w:sz w:val="24"/>
              </w:rPr>
              <w:t>1#生产车间和污水处理站风机总风量为15000m</w:t>
            </w:r>
            <w:r>
              <w:rPr>
                <w:rFonts w:hint="eastAsia"/>
                <w:sz w:val="24"/>
                <w:vertAlign w:val="superscript"/>
              </w:rPr>
              <w:t>3</w:t>
            </w:r>
            <w:r>
              <w:rPr>
                <w:rFonts w:hint="eastAsia"/>
                <w:sz w:val="24"/>
              </w:rPr>
              <w:t>/h、2#生产车间风机风量为13000m</w:t>
            </w:r>
            <w:r>
              <w:rPr>
                <w:rFonts w:hint="eastAsia"/>
                <w:sz w:val="24"/>
                <w:vertAlign w:val="superscript"/>
              </w:rPr>
              <w:t>3</w:t>
            </w:r>
            <w:r>
              <w:rPr>
                <w:rFonts w:hint="eastAsia"/>
                <w:sz w:val="24"/>
              </w:rPr>
              <w:t>/h，则处理后1#生产车间及污水处理站废气NH</w:t>
            </w:r>
            <w:r>
              <w:rPr>
                <w:rFonts w:hint="eastAsia"/>
                <w:sz w:val="24"/>
                <w:vertAlign w:val="subscript"/>
              </w:rPr>
              <w:t>3</w:t>
            </w:r>
            <w:r>
              <w:rPr>
                <w:rFonts w:hint="eastAsia"/>
                <w:sz w:val="24"/>
              </w:rPr>
              <w:t>、H</w:t>
            </w:r>
            <w:r>
              <w:rPr>
                <w:rFonts w:hint="eastAsia"/>
                <w:sz w:val="24"/>
                <w:vertAlign w:val="subscript"/>
              </w:rPr>
              <w:t>2</w:t>
            </w:r>
            <w:r>
              <w:rPr>
                <w:rFonts w:hint="eastAsia"/>
                <w:sz w:val="24"/>
              </w:rPr>
              <w:t>S排放量分别为0.171t/a、0.035t/a，排放速率分别为0.07kg/h、0.015kg/h，排放浓度分别为4.75mg/m</w:t>
            </w:r>
            <w:r>
              <w:rPr>
                <w:rFonts w:hint="eastAsia"/>
                <w:sz w:val="24"/>
                <w:vertAlign w:val="superscript"/>
              </w:rPr>
              <w:t>3</w:t>
            </w:r>
            <w:r>
              <w:rPr>
                <w:rFonts w:hint="eastAsia"/>
                <w:sz w:val="24"/>
              </w:rPr>
              <w:t>、1mg/m</w:t>
            </w:r>
            <w:r>
              <w:rPr>
                <w:rFonts w:hint="eastAsia"/>
                <w:sz w:val="24"/>
                <w:vertAlign w:val="superscript"/>
              </w:rPr>
              <w:t>3</w:t>
            </w:r>
            <w:r>
              <w:rPr>
                <w:rFonts w:hint="eastAsia"/>
                <w:sz w:val="24"/>
              </w:rPr>
              <w:t>，油烟排放量为0.012t/a，排放速率为0.005kg/h，排放浓度为0.33mg/m</w:t>
            </w:r>
            <w:r>
              <w:rPr>
                <w:rFonts w:hint="eastAsia"/>
                <w:sz w:val="24"/>
                <w:vertAlign w:val="superscript"/>
              </w:rPr>
              <w:t>3</w:t>
            </w:r>
            <w:r>
              <w:rPr>
                <w:rFonts w:hint="eastAsia"/>
                <w:sz w:val="24"/>
              </w:rPr>
              <w:t>；处理后2#生产车间废气NH</w:t>
            </w:r>
            <w:r>
              <w:rPr>
                <w:rFonts w:hint="eastAsia"/>
                <w:sz w:val="24"/>
                <w:vertAlign w:val="subscript"/>
              </w:rPr>
              <w:t>3</w:t>
            </w:r>
            <w:r>
              <w:rPr>
                <w:rFonts w:hint="eastAsia"/>
                <w:sz w:val="24"/>
              </w:rPr>
              <w:t>、H</w:t>
            </w:r>
            <w:r>
              <w:rPr>
                <w:rFonts w:hint="eastAsia"/>
                <w:sz w:val="24"/>
                <w:vertAlign w:val="subscript"/>
              </w:rPr>
              <w:t>2</w:t>
            </w:r>
            <w:r>
              <w:rPr>
                <w:rFonts w:hint="eastAsia"/>
                <w:sz w:val="24"/>
              </w:rPr>
              <w:t>S排放量分别为0.169t/a、0.035t/a，排放速率分别为0.07kg/h、0.015kg/h，排放浓度分别为5.4mg/m</w:t>
            </w:r>
            <w:r>
              <w:rPr>
                <w:rFonts w:hint="eastAsia"/>
                <w:sz w:val="24"/>
                <w:vertAlign w:val="superscript"/>
              </w:rPr>
              <w:t>3</w:t>
            </w:r>
            <w:r>
              <w:rPr>
                <w:rFonts w:hint="eastAsia"/>
                <w:sz w:val="24"/>
              </w:rPr>
              <w:t>、1.12mg/m</w:t>
            </w:r>
            <w:r>
              <w:rPr>
                <w:rFonts w:hint="eastAsia"/>
                <w:sz w:val="24"/>
                <w:vertAlign w:val="superscript"/>
              </w:rPr>
              <w:t>3</w:t>
            </w:r>
            <w:r>
              <w:rPr>
                <w:rFonts w:hint="eastAsia"/>
                <w:sz w:val="24"/>
              </w:rPr>
              <w:t>，油烟排放量为0.012t/a，排放速率为0.005kg/h，排放浓度为0.38mg/m</w:t>
            </w:r>
            <w:r>
              <w:rPr>
                <w:rFonts w:hint="eastAsia"/>
                <w:sz w:val="24"/>
                <w:vertAlign w:val="superscript"/>
              </w:rPr>
              <w:t>3</w:t>
            </w:r>
            <w:r>
              <w:rPr>
                <w:rFonts w:hint="eastAsia"/>
                <w:sz w:val="24"/>
              </w:rPr>
              <w:t>。</w:t>
            </w:r>
          </w:p>
          <w:p w14:paraId="17E849D9">
            <w:pPr>
              <w:spacing w:line="360" w:lineRule="auto"/>
              <w:ind w:firstLine="723" w:firstLineChars="300"/>
              <w:rPr>
                <w:b/>
                <w:sz w:val="24"/>
                <w:u w:val="single"/>
              </w:rPr>
            </w:pPr>
            <w:r>
              <w:rPr>
                <w:rFonts w:hint="eastAsia"/>
                <w:b/>
                <w:sz w:val="24"/>
                <w:u w:val="single"/>
              </w:rPr>
              <w:t>由上述计算可知，项目处理后废气NH</w:t>
            </w:r>
            <w:r>
              <w:rPr>
                <w:rFonts w:hint="eastAsia"/>
                <w:b/>
                <w:sz w:val="24"/>
                <w:u w:val="single"/>
                <w:vertAlign w:val="subscript"/>
              </w:rPr>
              <w:t>3</w:t>
            </w:r>
            <w:r>
              <w:rPr>
                <w:rFonts w:hint="eastAsia"/>
                <w:b/>
                <w:sz w:val="24"/>
                <w:u w:val="single"/>
              </w:rPr>
              <w:t>、H</w:t>
            </w:r>
            <w:r>
              <w:rPr>
                <w:rFonts w:hint="eastAsia"/>
                <w:b/>
                <w:sz w:val="24"/>
                <w:u w:val="single"/>
                <w:vertAlign w:val="subscript"/>
              </w:rPr>
              <w:t>2</w:t>
            </w:r>
            <w:r>
              <w:rPr>
                <w:rFonts w:hint="eastAsia"/>
                <w:b/>
                <w:sz w:val="24"/>
                <w:u w:val="single"/>
              </w:rPr>
              <w:t>S排放</w:t>
            </w:r>
            <w:r>
              <w:rPr>
                <w:b/>
                <w:sz w:val="24"/>
                <w:u w:val="single"/>
              </w:rPr>
              <w:t>可满足</w:t>
            </w:r>
            <w:r>
              <w:rPr>
                <w:rFonts w:hint="eastAsia"/>
                <w:b/>
                <w:sz w:val="24"/>
                <w:u w:val="single"/>
              </w:rPr>
              <w:t>《恶臭污染物排放标准》（GB14554-93）表2标准（</w:t>
            </w:r>
            <w:r>
              <w:rPr>
                <w:b/>
                <w:sz w:val="24"/>
                <w:u w:val="single"/>
              </w:rPr>
              <w:t>即15m高排气筒</w:t>
            </w:r>
            <w:r>
              <w:rPr>
                <w:rFonts w:hint="eastAsia"/>
                <w:b/>
                <w:sz w:val="24"/>
                <w:u w:val="single"/>
              </w:rPr>
              <w:t>：</w:t>
            </w:r>
            <w:r>
              <w:rPr>
                <w:b/>
                <w:sz w:val="24"/>
                <w:u w:val="single"/>
              </w:rPr>
              <w:t>氨4.9kg/h、</w:t>
            </w:r>
            <w:r>
              <w:rPr>
                <w:rFonts w:hint="eastAsia"/>
                <w:b/>
                <w:sz w:val="24"/>
                <w:u w:val="single"/>
              </w:rPr>
              <w:t>；</w:t>
            </w:r>
            <w:r>
              <w:rPr>
                <w:b/>
                <w:sz w:val="24"/>
                <w:u w:val="single"/>
              </w:rPr>
              <w:t>硫化氢0.33kg/h）</w:t>
            </w:r>
            <w:r>
              <w:rPr>
                <w:b/>
                <w:sz w:val="24"/>
                <w:szCs w:val="20"/>
                <w:u w:val="single"/>
              </w:rPr>
              <w:t>；</w:t>
            </w:r>
            <w:r>
              <w:rPr>
                <w:rFonts w:hint="eastAsia"/>
                <w:b/>
                <w:sz w:val="24"/>
                <w:u w:val="single"/>
              </w:rPr>
              <w:t>油烟</w:t>
            </w:r>
            <w:r>
              <w:rPr>
                <w:rFonts w:hint="eastAsia"/>
                <w:b/>
                <w:color w:val="000000"/>
                <w:sz w:val="24"/>
                <w:u w:val="single"/>
              </w:rPr>
              <w:t>可</w:t>
            </w:r>
            <w:r>
              <w:rPr>
                <w:b/>
                <w:color w:val="000000"/>
                <w:sz w:val="24"/>
                <w:u w:val="single"/>
              </w:rPr>
              <w:t>满足《餐饮业油烟污染物排放标准》（DB41/1604-2018）表1中的</w:t>
            </w:r>
            <w:r>
              <w:rPr>
                <w:rFonts w:hint="eastAsia"/>
                <w:b/>
                <w:color w:val="000000"/>
                <w:sz w:val="24"/>
                <w:u w:val="single"/>
              </w:rPr>
              <w:t>大</w:t>
            </w:r>
            <w:r>
              <w:rPr>
                <w:b/>
                <w:color w:val="000000"/>
                <w:sz w:val="24"/>
                <w:u w:val="single"/>
              </w:rPr>
              <w:t>型标准（油烟1mg/m</w:t>
            </w:r>
            <w:r>
              <w:rPr>
                <w:b/>
                <w:color w:val="000000"/>
                <w:sz w:val="24"/>
                <w:u w:val="single"/>
                <w:vertAlign w:val="superscript"/>
              </w:rPr>
              <w:t>3</w:t>
            </w:r>
            <w:r>
              <w:rPr>
                <w:b/>
                <w:color w:val="000000"/>
                <w:sz w:val="24"/>
                <w:u w:val="single"/>
              </w:rPr>
              <w:t>）要求，</w:t>
            </w:r>
            <w:r>
              <w:rPr>
                <w:rFonts w:hint="eastAsia"/>
                <w:b/>
                <w:color w:val="000000"/>
                <w:sz w:val="24"/>
                <w:u w:val="single"/>
              </w:rPr>
              <w:t>可以</w:t>
            </w:r>
            <w:r>
              <w:rPr>
                <w:b/>
                <w:color w:val="000000"/>
                <w:sz w:val="24"/>
                <w:u w:val="single"/>
              </w:rPr>
              <w:t>达标排放。</w:t>
            </w:r>
          </w:p>
          <w:p w14:paraId="23DEE54D">
            <w:pPr>
              <w:autoSpaceDE w:val="0"/>
              <w:autoSpaceDN w:val="0"/>
              <w:adjustRightInd w:val="0"/>
              <w:snapToGrid w:val="0"/>
              <w:spacing w:line="360" w:lineRule="auto"/>
              <w:ind w:firstLine="482" w:firstLineChars="200"/>
              <w:rPr>
                <w:rFonts w:hAnsi="宋体"/>
                <w:b/>
                <w:kern w:val="0"/>
                <w:sz w:val="24"/>
              </w:rPr>
            </w:pPr>
            <w:r>
              <w:rPr>
                <w:rFonts w:hint="eastAsia" w:hAnsi="宋体"/>
                <w:b/>
                <w:kern w:val="0"/>
                <w:sz w:val="24"/>
              </w:rPr>
              <w:t>（2）</w:t>
            </w:r>
            <w:r>
              <w:rPr>
                <w:rFonts w:hint="eastAsia"/>
                <w:b/>
                <w:sz w:val="24"/>
              </w:rPr>
              <w:t>锅炉天然气燃烧烟气</w:t>
            </w:r>
          </w:p>
          <w:p w14:paraId="3247D604">
            <w:pPr>
              <w:snapToGrid w:val="0"/>
              <w:spacing w:line="360" w:lineRule="auto"/>
              <w:ind w:firstLine="468" w:firstLineChars="200"/>
              <w:rPr>
                <w:spacing w:val="-3"/>
                <w:sz w:val="24"/>
              </w:rPr>
            </w:pPr>
            <w:r>
              <w:rPr>
                <w:rFonts w:hint="eastAsia"/>
                <w:spacing w:val="-3"/>
                <w:sz w:val="24"/>
              </w:rPr>
              <w:t>本项目设置</w:t>
            </w:r>
            <w:r>
              <w:rPr>
                <w:rFonts w:hint="eastAsia"/>
                <w:spacing w:val="-3"/>
                <w:kern w:val="0"/>
                <w:sz w:val="24"/>
              </w:rPr>
              <w:t>1台2.1</w:t>
            </w:r>
            <w:r>
              <w:rPr>
                <w:spacing w:val="-3"/>
                <w:kern w:val="0"/>
                <w:sz w:val="24"/>
              </w:rPr>
              <w:t>MW和</w:t>
            </w:r>
            <w:r>
              <w:rPr>
                <w:rFonts w:hint="eastAsia"/>
                <w:spacing w:val="-3"/>
                <w:kern w:val="0"/>
                <w:sz w:val="24"/>
              </w:rPr>
              <w:t>1台1.4</w:t>
            </w:r>
            <w:r>
              <w:rPr>
                <w:spacing w:val="-3"/>
                <w:kern w:val="0"/>
                <w:sz w:val="24"/>
              </w:rPr>
              <w:t>MW</w:t>
            </w:r>
            <w:r>
              <w:rPr>
                <w:rFonts w:hint="eastAsia"/>
                <w:spacing w:val="-3"/>
                <w:sz w:val="24"/>
              </w:rPr>
              <w:t>导热油炉对</w:t>
            </w:r>
            <w:r>
              <w:rPr>
                <w:spacing w:val="-3"/>
                <w:sz w:val="24"/>
              </w:rPr>
              <w:t>熬制炉、</w:t>
            </w:r>
            <w:r>
              <w:rPr>
                <w:rFonts w:hint="eastAsia"/>
                <w:spacing w:val="-3"/>
                <w:sz w:val="24"/>
              </w:rPr>
              <w:t>加热锅</w:t>
            </w:r>
            <w:r>
              <w:rPr>
                <w:spacing w:val="-3"/>
                <w:sz w:val="24"/>
              </w:rPr>
              <w:t>及</w:t>
            </w:r>
            <w:r>
              <w:rPr>
                <w:rFonts w:hint="eastAsia"/>
                <w:spacing w:val="-3"/>
                <w:sz w:val="24"/>
              </w:rPr>
              <w:t>储油罐间接供热，锅炉年运行时长约2400</w:t>
            </w:r>
            <w:r>
              <w:rPr>
                <w:spacing w:val="-3"/>
                <w:sz w:val="24"/>
              </w:rPr>
              <w:t>h</w:t>
            </w:r>
            <w:r>
              <w:rPr>
                <w:rFonts w:hint="eastAsia"/>
                <w:spacing w:val="-3"/>
                <w:sz w:val="24"/>
              </w:rPr>
              <w:t>/a。根据</w:t>
            </w:r>
            <w:r>
              <w:rPr>
                <w:rFonts w:hint="eastAsia"/>
                <w:bCs/>
                <w:spacing w:val="-3"/>
                <w:sz w:val="24"/>
              </w:rPr>
              <w:t>《生态环境部关于发布＜排放源统计调查产排污核算方法和系数手册＞的公告》（公告</w:t>
            </w:r>
            <w:r>
              <w:rPr>
                <w:bCs/>
                <w:spacing w:val="-3"/>
                <w:sz w:val="24"/>
              </w:rPr>
              <w:t>2021</w:t>
            </w:r>
            <w:r>
              <w:rPr>
                <w:rFonts w:hint="eastAsia"/>
                <w:bCs/>
                <w:spacing w:val="-3"/>
                <w:sz w:val="24"/>
              </w:rPr>
              <w:t>年第</w:t>
            </w:r>
            <w:r>
              <w:rPr>
                <w:bCs/>
                <w:spacing w:val="-3"/>
                <w:sz w:val="24"/>
              </w:rPr>
              <w:t>24</w:t>
            </w:r>
            <w:r>
              <w:rPr>
                <w:rFonts w:hint="eastAsia"/>
                <w:bCs/>
                <w:spacing w:val="-3"/>
                <w:sz w:val="24"/>
              </w:rPr>
              <w:t>号）锅炉行业</w:t>
            </w:r>
            <w:r>
              <w:rPr>
                <w:rFonts w:hint="eastAsia"/>
                <w:spacing w:val="-3"/>
                <w:sz w:val="24"/>
              </w:rPr>
              <w:t>，烟气量为</w:t>
            </w:r>
            <w:r>
              <w:rPr>
                <w:spacing w:val="-3"/>
                <w:sz w:val="24"/>
              </w:rPr>
              <w:t>107753</w:t>
            </w:r>
            <w:r>
              <w:rPr>
                <w:rFonts w:hint="eastAsia"/>
                <w:spacing w:val="-3"/>
                <w:sz w:val="24"/>
              </w:rPr>
              <w:t>立方米</w:t>
            </w:r>
            <w:r>
              <w:rPr>
                <w:spacing w:val="-3"/>
                <w:sz w:val="24"/>
              </w:rPr>
              <w:t>/</w:t>
            </w:r>
            <w:r>
              <w:rPr>
                <w:rFonts w:hint="eastAsia"/>
                <w:spacing w:val="-3"/>
                <w:sz w:val="24"/>
              </w:rPr>
              <w:t>万立方米</w:t>
            </w:r>
            <w:r>
              <w:rPr>
                <w:spacing w:val="-3"/>
                <w:sz w:val="24"/>
              </w:rPr>
              <w:t>-</w:t>
            </w:r>
            <w:r>
              <w:rPr>
                <w:rFonts w:hint="eastAsia"/>
                <w:spacing w:val="-3"/>
                <w:sz w:val="24"/>
              </w:rPr>
              <w:t>原料，</w:t>
            </w:r>
            <w:r>
              <w:rPr>
                <w:spacing w:val="-3"/>
                <w:sz w:val="24"/>
              </w:rPr>
              <w:t>NO</w:t>
            </w:r>
            <w:r>
              <w:rPr>
                <w:spacing w:val="-3"/>
                <w:sz w:val="24"/>
                <w:vertAlign w:val="subscript"/>
              </w:rPr>
              <w:t>X</w:t>
            </w:r>
            <w:r>
              <w:rPr>
                <w:rFonts w:hint="eastAsia"/>
                <w:spacing w:val="-3"/>
                <w:sz w:val="24"/>
              </w:rPr>
              <w:t>产污系数为</w:t>
            </w:r>
            <w:r>
              <w:rPr>
                <w:spacing w:val="-3"/>
                <w:sz w:val="24"/>
              </w:rPr>
              <w:t>3.03</w:t>
            </w:r>
            <w:r>
              <w:rPr>
                <w:rFonts w:hint="eastAsia"/>
                <w:spacing w:val="-3"/>
                <w:sz w:val="24"/>
              </w:rPr>
              <w:t>千克</w:t>
            </w:r>
            <w:r>
              <w:rPr>
                <w:spacing w:val="-3"/>
                <w:sz w:val="24"/>
              </w:rPr>
              <w:t>/</w:t>
            </w:r>
            <w:r>
              <w:rPr>
                <w:rFonts w:hint="eastAsia"/>
                <w:spacing w:val="-3"/>
                <w:sz w:val="24"/>
              </w:rPr>
              <w:t>万立方米</w:t>
            </w:r>
            <w:r>
              <w:rPr>
                <w:spacing w:val="-3"/>
                <w:sz w:val="24"/>
              </w:rPr>
              <w:t>-</w:t>
            </w:r>
            <w:r>
              <w:rPr>
                <w:rFonts w:hint="eastAsia"/>
                <w:spacing w:val="-3"/>
                <w:sz w:val="24"/>
              </w:rPr>
              <w:t>原料（低氮燃烧</w:t>
            </w:r>
            <w:r>
              <w:rPr>
                <w:spacing w:val="-3"/>
                <w:sz w:val="24"/>
              </w:rPr>
              <w:t>-</w:t>
            </w:r>
            <w:r>
              <w:rPr>
                <w:rFonts w:hint="eastAsia"/>
                <w:spacing w:val="-3"/>
                <w:sz w:val="24"/>
              </w:rPr>
              <w:t>国际领先），</w:t>
            </w:r>
            <w:r>
              <w:rPr>
                <w:spacing w:val="-3"/>
                <w:sz w:val="24"/>
              </w:rPr>
              <w:t>SO</w:t>
            </w:r>
            <w:r>
              <w:rPr>
                <w:spacing w:val="-3"/>
                <w:sz w:val="24"/>
                <w:vertAlign w:val="subscript"/>
              </w:rPr>
              <w:t>2</w:t>
            </w:r>
            <w:r>
              <w:rPr>
                <w:rFonts w:hint="eastAsia"/>
                <w:spacing w:val="-3"/>
                <w:sz w:val="24"/>
              </w:rPr>
              <w:t>产污系数为</w:t>
            </w:r>
            <w:r>
              <w:rPr>
                <w:spacing w:val="-3"/>
                <w:sz w:val="24"/>
              </w:rPr>
              <w:t>0.02S</w:t>
            </w:r>
            <w:r>
              <w:rPr>
                <w:rFonts w:hint="eastAsia"/>
                <w:spacing w:val="-3"/>
                <w:sz w:val="24"/>
              </w:rPr>
              <w:t>千克</w:t>
            </w:r>
            <w:r>
              <w:rPr>
                <w:spacing w:val="-3"/>
                <w:sz w:val="24"/>
              </w:rPr>
              <w:t>/</w:t>
            </w:r>
            <w:r>
              <w:rPr>
                <w:rFonts w:hint="eastAsia"/>
                <w:spacing w:val="-3"/>
                <w:sz w:val="24"/>
              </w:rPr>
              <w:t>万立方米</w:t>
            </w:r>
            <w:r>
              <w:rPr>
                <w:spacing w:val="-3"/>
                <w:sz w:val="24"/>
              </w:rPr>
              <w:t>-</w:t>
            </w:r>
            <w:r>
              <w:rPr>
                <w:rFonts w:hint="eastAsia"/>
                <w:spacing w:val="-3"/>
                <w:sz w:val="24"/>
              </w:rPr>
              <w:t>原料（</w:t>
            </w:r>
            <w:r>
              <w:rPr>
                <w:spacing w:val="-3"/>
                <w:sz w:val="24"/>
              </w:rPr>
              <w:t>S</w:t>
            </w:r>
            <w:r>
              <w:rPr>
                <w:rFonts w:hint="eastAsia"/>
                <w:spacing w:val="-3"/>
                <w:sz w:val="24"/>
              </w:rPr>
              <w:t>按照《天然气》（</w:t>
            </w:r>
            <w:r>
              <w:rPr>
                <w:spacing w:val="-3"/>
                <w:sz w:val="24"/>
              </w:rPr>
              <w:t>GB17820-2018</w:t>
            </w:r>
            <w:r>
              <w:rPr>
                <w:rFonts w:hint="eastAsia"/>
                <w:spacing w:val="-3"/>
                <w:sz w:val="24"/>
              </w:rPr>
              <w:t>）一类标准最大含硫量</w:t>
            </w:r>
            <w:r>
              <w:rPr>
                <w:spacing w:val="-3"/>
                <w:sz w:val="24"/>
              </w:rPr>
              <w:t>20mg/m</w:t>
            </w:r>
            <w:r>
              <w:rPr>
                <w:spacing w:val="-3"/>
                <w:sz w:val="24"/>
                <w:vertAlign w:val="superscript"/>
              </w:rPr>
              <w:t>3</w:t>
            </w:r>
            <w:r>
              <w:rPr>
                <w:rFonts w:hint="eastAsia"/>
                <w:spacing w:val="-3"/>
                <w:sz w:val="24"/>
              </w:rPr>
              <w:t>取值），即</w:t>
            </w:r>
            <w:r>
              <w:rPr>
                <w:spacing w:val="-3"/>
                <w:sz w:val="24"/>
              </w:rPr>
              <w:t>SO</w:t>
            </w:r>
            <w:r>
              <w:rPr>
                <w:spacing w:val="-3"/>
                <w:sz w:val="24"/>
                <w:vertAlign w:val="subscript"/>
              </w:rPr>
              <w:t>2</w:t>
            </w:r>
            <w:r>
              <w:rPr>
                <w:rFonts w:hint="eastAsia"/>
                <w:spacing w:val="-3"/>
                <w:sz w:val="24"/>
              </w:rPr>
              <w:t>产污系数为</w:t>
            </w:r>
            <w:r>
              <w:rPr>
                <w:spacing w:val="-3"/>
                <w:sz w:val="24"/>
              </w:rPr>
              <w:t>0.4</w:t>
            </w:r>
            <w:r>
              <w:rPr>
                <w:rFonts w:hint="eastAsia"/>
                <w:spacing w:val="-3"/>
                <w:sz w:val="24"/>
              </w:rPr>
              <w:t>千克</w:t>
            </w:r>
            <w:r>
              <w:rPr>
                <w:spacing w:val="-3"/>
                <w:sz w:val="24"/>
              </w:rPr>
              <w:t>/</w:t>
            </w:r>
            <w:r>
              <w:rPr>
                <w:rFonts w:hint="eastAsia"/>
                <w:spacing w:val="-3"/>
                <w:sz w:val="24"/>
              </w:rPr>
              <w:t>万立方米</w:t>
            </w:r>
            <w:r>
              <w:rPr>
                <w:spacing w:val="-3"/>
                <w:sz w:val="24"/>
              </w:rPr>
              <w:t>-</w:t>
            </w:r>
            <w:r>
              <w:rPr>
                <w:rFonts w:hint="eastAsia"/>
                <w:spacing w:val="-3"/>
                <w:sz w:val="24"/>
              </w:rPr>
              <w:t>原料；烟尘参考《北京环境总体规划研究》中的数据，产污系数以</w:t>
            </w:r>
            <w:r>
              <w:rPr>
                <w:spacing w:val="-3"/>
                <w:sz w:val="24"/>
              </w:rPr>
              <w:t>0.532</w:t>
            </w:r>
            <w:r>
              <w:rPr>
                <w:rFonts w:hint="eastAsia"/>
                <w:spacing w:val="-3"/>
                <w:sz w:val="24"/>
              </w:rPr>
              <w:t>千克</w:t>
            </w:r>
            <w:r>
              <w:rPr>
                <w:spacing w:val="-3"/>
                <w:sz w:val="24"/>
              </w:rPr>
              <w:t>/</w:t>
            </w:r>
            <w:r>
              <w:rPr>
                <w:rFonts w:hint="eastAsia"/>
                <w:spacing w:val="-3"/>
                <w:sz w:val="24"/>
              </w:rPr>
              <w:t>万立方米</w:t>
            </w:r>
            <w:r>
              <w:rPr>
                <w:spacing w:val="-3"/>
                <w:sz w:val="24"/>
              </w:rPr>
              <w:t>-</w:t>
            </w:r>
            <w:r>
              <w:rPr>
                <w:rFonts w:hint="eastAsia"/>
                <w:spacing w:val="-3"/>
                <w:sz w:val="24"/>
              </w:rPr>
              <w:t>原料计算。</w:t>
            </w:r>
          </w:p>
          <w:p w14:paraId="41C751ED">
            <w:pPr>
              <w:snapToGrid w:val="0"/>
              <w:spacing w:line="360" w:lineRule="auto"/>
              <w:ind w:firstLine="480" w:firstLineChars="200"/>
              <w:rPr>
                <w:sz w:val="24"/>
              </w:rPr>
            </w:pPr>
            <w:r>
              <w:rPr>
                <w:rFonts w:hint="eastAsia" w:hAnsi="宋体"/>
                <w:sz w:val="24"/>
              </w:rPr>
              <w:t>根据企业提供资料及</w:t>
            </w:r>
            <w:r>
              <w:rPr>
                <w:rFonts w:hint="eastAsia"/>
                <w:iCs/>
                <w:spacing w:val="-6"/>
                <w:sz w:val="24"/>
              </w:rPr>
              <w:t>天然气消耗量核算</w:t>
            </w:r>
            <w:r>
              <w:rPr>
                <w:rFonts w:hint="eastAsia" w:hAnsi="宋体"/>
                <w:sz w:val="24"/>
              </w:rPr>
              <w:t>，</w:t>
            </w:r>
            <w:r>
              <w:rPr>
                <w:rFonts w:hint="eastAsia"/>
                <w:sz w:val="24"/>
              </w:rPr>
              <w:t>本项目导热油炉天然气消耗量为96.675万</w:t>
            </w:r>
            <w:r>
              <w:rPr>
                <w:sz w:val="24"/>
              </w:rPr>
              <w:t>m</w:t>
            </w:r>
            <w:r>
              <w:rPr>
                <w:sz w:val="24"/>
                <w:vertAlign w:val="superscript"/>
              </w:rPr>
              <w:t>3</w:t>
            </w:r>
            <w:r>
              <w:rPr>
                <w:sz w:val="24"/>
              </w:rPr>
              <w:t>/a（</w:t>
            </w:r>
            <w:r>
              <w:rPr>
                <w:rFonts w:hint="eastAsia"/>
                <w:sz w:val="24"/>
              </w:rPr>
              <w:t>695.5</w:t>
            </w:r>
            <w:r>
              <w:rPr>
                <w:sz w:val="24"/>
              </w:rPr>
              <w:t>t/a）</w:t>
            </w:r>
            <w:r>
              <w:rPr>
                <w:rFonts w:hint="eastAsia"/>
                <w:sz w:val="24"/>
              </w:rPr>
              <w:t>。经计算，本项目燃气锅炉烟气排放量为10417021</w:t>
            </w:r>
            <w:r>
              <w:rPr>
                <w:sz w:val="24"/>
              </w:rPr>
              <w:t>m</w:t>
            </w:r>
            <w:r>
              <w:rPr>
                <w:sz w:val="24"/>
                <w:vertAlign w:val="superscript"/>
              </w:rPr>
              <w:t>3</w:t>
            </w:r>
            <w:r>
              <w:rPr>
                <w:sz w:val="24"/>
              </w:rPr>
              <w:t>/a</w:t>
            </w:r>
            <w:r>
              <w:rPr>
                <w:rFonts w:hint="eastAsia"/>
                <w:sz w:val="24"/>
              </w:rPr>
              <w:t>，4340</w:t>
            </w:r>
            <w:r>
              <w:rPr>
                <w:sz w:val="24"/>
              </w:rPr>
              <w:t>m</w:t>
            </w:r>
            <w:r>
              <w:rPr>
                <w:sz w:val="24"/>
                <w:vertAlign w:val="superscript"/>
              </w:rPr>
              <w:t>3</w:t>
            </w:r>
            <w:r>
              <w:rPr>
                <w:sz w:val="24"/>
              </w:rPr>
              <w:t>/h</w:t>
            </w:r>
            <w:r>
              <w:rPr>
                <w:rFonts w:hint="eastAsia"/>
                <w:sz w:val="24"/>
              </w:rPr>
              <w:t>，颗粒物产生量为</w:t>
            </w:r>
            <w:r>
              <w:rPr>
                <w:sz w:val="24"/>
              </w:rPr>
              <w:t>0.0</w:t>
            </w:r>
            <w:r>
              <w:rPr>
                <w:rFonts w:hint="eastAsia"/>
                <w:sz w:val="24"/>
              </w:rPr>
              <w:t>514</w:t>
            </w:r>
            <w:r>
              <w:rPr>
                <w:sz w:val="24"/>
              </w:rPr>
              <w:t>t/a</w:t>
            </w:r>
            <w:r>
              <w:rPr>
                <w:rFonts w:hint="eastAsia"/>
                <w:sz w:val="24"/>
              </w:rPr>
              <w:t>，</w:t>
            </w:r>
            <w:r>
              <w:rPr>
                <w:sz w:val="24"/>
              </w:rPr>
              <w:t>SO</w:t>
            </w:r>
            <w:r>
              <w:rPr>
                <w:sz w:val="24"/>
                <w:vertAlign w:val="subscript"/>
              </w:rPr>
              <w:t>2</w:t>
            </w:r>
            <w:r>
              <w:rPr>
                <w:rFonts w:hint="eastAsia"/>
                <w:sz w:val="24"/>
              </w:rPr>
              <w:t>产生量为0.0387</w:t>
            </w:r>
            <w:r>
              <w:rPr>
                <w:sz w:val="24"/>
              </w:rPr>
              <w:t>t/a</w:t>
            </w:r>
            <w:r>
              <w:rPr>
                <w:rFonts w:hint="eastAsia"/>
                <w:sz w:val="24"/>
              </w:rPr>
              <w:t>，</w:t>
            </w:r>
            <w:r>
              <w:rPr>
                <w:sz w:val="24"/>
              </w:rPr>
              <w:t>NO</w:t>
            </w:r>
            <w:r>
              <w:rPr>
                <w:sz w:val="24"/>
                <w:vertAlign w:val="subscript"/>
              </w:rPr>
              <w:t>X</w:t>
            </w:r>
            <w:r>
              <w:rPr>
                <w:rFonts w:hint="eastAsia"/>
                <w:sz w:val="24"/>
              </w:rPr>
              <w:t>产生量为</w:t>
            </w:r>
            <w:r>
              <w:rPr>
                <w:sz w:val="24"/>
              </w:rPr>
              <w:t>0.</w:t>
            </w:r>
            <w:r>
              <w:rPr>
                <w:rFonts w:hint="eastAsia"/>
                <w:sz w:val="24"/>
              </w:rPr>
              <w:t>2929</w:t>
            </w:r>
            <w:r>
              <w:rPr>
                <w:sz w:val="24"/>
              </w:rPr>
              <w:t>t/a</w:t>
            </w:r>
            <w:r>
              <w:rPr>
                <w:rFonts w:hint="eastAsia"/>
                <w:sz w:val="24"/>
              </w:rPr>
              <w:t>。</w:t>
            </w:r>
            <w:r>
              <w:rPr>
                <w:rFonts w:hint="eastAsia"/>
                <w:bCs/>
                <w:sz w:val="24"/>
              </w:rPr>
              <w:t>锅炉</w:t>
            </w:r>
            <w:r>
              <w:rPr>
                <w:rFonts w:hint="eastAsia"/>
                <w:sz w:val="24"/>
              </w:rPr>
              <w:t>采用低氮燃烧+烟气循环系统，燃烧烟气经1根</w:t>
            </w:r>
            <w:r>
              <w:rPr>
                <w:sz w:val="24"/>
              </w:rPr>
              <w:t>8m</w:t>
            </w:r>
            <w:r>
              <w:rPr>
                <w:rFonts w:hint="eastAsia"/>
                <w:sz w:val="24"/>
              </w:rPr>
              <w:t>高排气筒（</w:t>
            </w:r>
            <w:r>
              <w:rPr>
                <w:sz w:val="24"/>
              </w:rPr>
              <w:t>DA0</w:t>
            </w:r>
            <w:r>
              <w:rPr>
                <w:rFonts w:hint="eastAsia"/>
                <w:sz w:val="24"/>
              </w:rPr>
              <w:t>03）排放，则颗粒物排放量为</w:t>
            </w:r>
            <w:r>
              <w:rPr>
                <w:sz w:val="24"/>
              </w:rPr>
              <w:t>0.0</w:t>
            </w:r>
            <w:r>
              <w:rPr>
                <w:rFonts w:hint="eastAsia"/>
                <w:sz w:val="24"/>
              </w:rPr>
              <w:t>514</w:t>
            </w:r>
            <w:r>
              <w:rPr>
                <w:sz w:val="24"/>
              </w:rPr>
              <w:t>t/a</w:t>
            </w:r>
            <w:r>
              <w:rPr>
                <w:rFonts w:hint="eastAsia"/>
                <w:sz w:val="24"/>
              </w:rPr>
              <w:t>，排放速率</w:t>
            </w:r>
            <w:r>
              <w:rPr>
                <w:sz w:val="24"/>
              </w:rPr>
              <w:t>0.0</w:t>
            </w:r>
            <w:r>
              <w:rPr>
                <w:rFonts w:hint="eastAsia"/>
                <w:sz w:val="24"/>
              </w:rPr>
              <w:t>21</w:t>
            </w:r>
            <w:r>
              <w:rPr>
                <w:sz w:val="24"/>
              </w:rPr>
              <w:t>kg/h</w:t>
            </w:r>
            <w:r>
              <w:rPr>
                <w:rFonts w:hint="eastAsia"/>
                <w:sz w:val="24"/>
              </w:rPr>
              <w:t>，排放浓度</w:t>
            </w:r>
            <w:r>
              <w:rPr>
                <w:sz w:val="24"/>
              </w:rPr>
              <w:t>4</w:t>
            </w:r>
            <w:r>
              <w:rPr>
                <w:rFonts w:hint="eastAsia"/>
                <w:sz w:val="24"/>
              </w:rPr>
              <w:t>.9</w:t>
            </w:r>
            <w:r>
              <w:rPr>
                <w:sz w:val="24"/>
              </w:rPr>
              <w:t>mg/m</w:t>
            </w:r>
            <w:r>
              <w:rPr>
                <w:sz w:val="24"/>
                <w:vertAlign w:val="superscript"/>
              </w:rPr>
              <w:t>3</w:t>
            </w:r>
            <w:r>
              <w:rPr>
                <w:rFonts w:hint="eastAsia"/>
                <w:sz w:val="24"/>
              </w:rPr>
              <w:t>；</w:t>
            </w:r>
            <w:r>
              <w:rPr>
                <w:sz w:val="24"/>
              </w:rPr>
              <w:t>SO</w:t>
            </w:r>
            <w:r>
              <w:rPr>
                <w:sz w:val="24"/>
                <w:vertAlign w:val="subscript"/>
              </w:rPr>
              <w:t>2</w:t>
            </w:r>
            <w:r>
              <w:rPr>
                <w:rFonts w:hint="eastAsia"/>
                <w:sz w:val="24"/>
              </w:rPr>
              <w:t>排放量为0.0387</w:t>
            </w:r>
            <w:r>
              <w:rPr>
                <w:sz w:val="24"/>
              </w:rPr>
              <w:t>t/a</w:t>
            </w:r>
            <w:r>
              <w:rPr>
                <w:rFonts w:hint="eastAsia"/>
                <w:sz w:val="24"/>
              </w:rPr>
              <w:t>，排放速率</w:t>
            </w:r>
            <w:r>
              <w:rPr>
                <w:sz w:val="24"/>
              </w:rPr>
              <w:t>0.0</w:t>
            </w:r>
            <w:r>
              <w:rPr>
                <w:rFonts w:hint="eastAsia"/>
                <w:sz w:val="24"/>
              </w:rPr>
              <w:t>16</w:t>
            </w:r>
            <w:r>
              <w:rPr>
                <w:sz w:val="24"/>
              </w:rPr>
              <w:t>kg/h</w:t>
            </w:r>
            <w:r>
              <w:rPr>
                <w:rFonts w:hint="eastAsia"/>
                <w:sz w:val="24"/>
              </w:rPr>
              <w:t>，排放浓度3.7</w:t>
            </w:r>
            <w:r>
              <w:rPr>
                <w:sz w:val="24"/>
              </w:rPr>
              <w:t>mg/m</w:t>
            </w:r>
            <w:r>
              <w:rPr>
                <w:sz w:val="24"/>
                <w:vertAlign w:val="superscript"/>
              </w:rPr>
              <w:t>3</w:t>
            </w:r>
            <w:r>
              <w:rPr>
                <w:rFonts w:hint="eastAsia"/>
                <w:sz w:val="24"/>
              </w:rPr>
              <w:t>；</w:t>
            </w:r>
            <w:r>
              <w:rPr>
                <w:sz w:val="24"/>
              </w:rPr>
              <w:t>NO</w:t>
            </w:r>
            <w:r>
              <w:rPr>
                <w:sz w:val="24"/>
                <w:vertAlign w:val="subscript"/>
              </w:rPr>
              <w:t>X</w:t>
            </w:r>
            <w:r>
              <w:rPr>
                <w:rFonts w:hint="eastAsia"/>
                <w:sz w:val="24"/>
              </w:rPr>
              <w:t>排放量为</w:t>
            </w:r>
            <w:r>
              <w:rPr>
                <w:sz w:val="24"/>
              </w:rPr>
              <w:t>0.</w:t>
            </w:r>
            <w:r>
              <w:rPr>
                <w:rFonts w:hint="eastAsia"/>
                <w:sz w:val="24"/>
              </w:rPr>
              <w:t>2929</w:t>
            </w:r>
            <w:r>
              <w:rPr>
                <w:sz w:val="24"/>
              </w:rPr>
              <w:t>t/a</w:t>
            </w:r>
            <w:r>
              <w:rPr>
                <w:rFonts w:hint="eastAsia"/>
                <w:sz w:val="24"/>
              </w:rPr>
              <w:t>，排放速率</w:t>
            </w:r>
            <w:r>
              <w:rPr>
                <w:sz w:val="24"/>
              </w:rPr>
              <w:t>0.</w:t>
            </w:r>
            <w:r>
              <w:rPr>
                <w:rFonts w:hint="eastAsia"/>
                <w:sz w:val="24"/>
              </w:rPr>
              <w:t>122</w:t>
            </w:r>
            <w:r>
              <w:rPr>
                <w:sz w:val="24"/>
              </w:rPr>
              <w:t>kg/h</w:t>
            </w:r>
            <w:r>
              <w:rPr>
                <w:rFonts w:hint="eastAsia"/>
                <w:sz w:val="24"/>
              </w:rPr>
              <w:t>，排放浓度28</w:t>
            </w:r>
            <w:r>
              <w:rPr>
                <w:sz w:val="24"/>
              </w:rPr>
              <w:t>mg/m</w:t>
            </w:r>
            <w:r>
              <w:rPr>
                <w:sz w:val="24"/>
                <w:vertAlign w:val="superscript"/>
              </w:rPr>
              <w:t>3</w:t>
            </w:r>
            <w:r>
              <w:rPr>
                <w:rFonts w:hint="eastAsia"/>
                <w:sz w:val="24"/>
              </w:rPr>
              <w:t>，能够满足《锅炉大气污染物排放标准》（</w:t>
            </w:r>
            <w:r>
              <w:rPr>
                <w:sz w:val="24"/>
              </w:rPr>
              <w:t>DB41/2089-2021</w:t>
            </w:r>
            <w:r>
              <w:rPr>
                <w:rFonts w:hint="eastAsia"/>
                <w:sz w:val="24"/>
              </w:rPr>
              <w:t>）表</w:t>
            </w:r>
            <w:r>
              <w:rPr>
                <w:sz w:val="24"/>
              </w:rPr>
              <w:t>1</w:t>
            </w:r>
            <w:r>
              <w:rPr>
                <w:rFonts w:hint="eastAsia"/>
                <w:sz w:val="24"/>
              </w:rPr>
              <w:t>燃气锅炉大气污染物排放限值（颗粒物≤</w:t>
            </w:r>
            <w:r>
              <w:rPr>
                <w:sz w:val="24"/>
              </w:rPr>
              <w:t>5mg/m</w:t>
            </w:r>
            <w:r>
              <w:rPr>
                <w:sz w:val="24"/>
                <w:vertAlign w:val="superscript"/>
              </w:rPr>
              <w:t>3</w:t>
            </w:r>
            <w:r>
              <w:rPr>
                <w:rFonts w:hint="eastAsia"/>
                <w:sz w:val="24"/>
              </w:rPr>
              <w:t>，</w:t>
            </w:r>
            <w:r>
              <w:rPr>
                <w:sz w:val="24"/>
              </w:rPr>
              <w:t>SO</w:t>
            </w:r>
            <w:r>
              <w:rPr>
                <w:sz w:val="24"/>
                <w:vertAlign w:val="subscript"/>
              </w:rPr>
              <w:t>2</w:t>
            </w:r>
            <w:r>
              <w:rPr>
                <w:rFonts w:hint="eastAsia"/>
                <w:sz w:val="24"/>
              </w:rPr>
              <w:t>≤</w:t>
            </w:r>
            <w:r>
              <w:rPr>
                <w:sz w:val="24"/>
              </w:rPr>
              <w:t>10mg/m</w:t>
            </w:r>
            <w:r>
              <w:rPr>
                <w:sz w:val="24"/>
                <w:vertAlign w:val="superscript"/>
              </w:rPr>
              <w:t>3</w:t>
            </w:r>
            <w:r>
              <w:rPr>
                <w:rFonts w:hint="eastAsia"/>
                <w:sz w:val="24"/>
              </w:rPr>
              <w:t>，</w:t>
            </w:r>
            <w:r>
              <w:rPr>
                <w:sz w:val="24"/>
              </w:rPr>
              <w:t>NO</w:t>
            </w:r>
            <w:r>
              <w:rPr>
                <w:sz w:val="24"/>
                <w:vertAlign w:val="subscript"/>
              </w:rPr>
              <w:t>X</w:t>
            </w:r>
            <w:r>
              <w:rPr>
                <w:rFonts w:hint="eastAsia"/>
                <w:sz w:val="24"/>
              </w:rPr>
              <w:t>≤</w:t>
            </w:r>
            <w:r>
              <w:rPr>
                <w:sz w:val="24"/>
              </w:rPr>
              <w:t>30mg/m</w:t>
            </w:r>
            <w:r>
              <w:rPr>
                <w:sz w:val="24"/>
                <w:vertAlign w:val="superscript"/>
              </w:rPr>
              <w:t>3</w:t>
            </w:r>
            <w:r>
              <w:rPr>
                <w:rFonts w:hint="eastAsia"/>
                <w:sz w:val="24"/>
              </w:rPr>
              <w:t>）。</w:t>
            </w:r>
          </w:p>
          <w:p w14:paraId="18D4F520">
            <w:pPr>
              <w:autoSpaceDE w:val="0"/>
              <w:autoSpaceDN w:val="0"/>
              <w:adjustRightInd w:val="0"/>
              <w:snapToGrid w:val="0"/>
              <w:spacing w:line="360" w:lineRule="auto"/>
              <w:ind w:firstLine="480" w:firstLineChars="200"/>
              <w:rPr>
                <w:kern w:val="0"/>
                <w:sz w:val="24"/>
              </w:rPr>
            </w:pPr>
            <w:r>
              <w:rPr>
                <w:rFonts w:hint="eastAsia"/>
                <w:sz w:val="24"/>
              </w:rPr>
              <w:t>（3）</w:t>
            </w:r>
            <w:r>
              <w:rPr>
                <w:rFonts w:hint="eastAsia"/>
                <w:kern w:val="0"/>
                <w:sz w:val="24"/>
              </w:rPr>
              <w:t>无组织废气</w:t>
            </w:r>
          </w:p>
          <w:p w14:paraId="2E04F1FD">
            <w:pPr>
              <w:autoSpaceDE w:val="0"/>
              <w:autoSpaceDN w:val="0"/>
              <w:adjustRightInd w:val="0"/>
              <w:snapToGrid w:val="0"/>
              <w:spacing w:line="360" w:lineRule="auto"/>
              <w:ind w:firstLine="480" w:firstLineChars="200"/>
              <w:rPr>
                <w:kern w:val="0"/>
                <w:sz w:val="24"/>
              </w:rPr>
            </w:pPr>
            <w:r>
              <w:rPr>
                <w:rFonts w:hint="eastAsia"/>
                <w:kern w:val="0"/>
                <w:sz w:val="24"/>
              </w:rPr>
              <w:t>本项目的无组织废气主要是原料在储存和生产过程中产生的无组织恶臭气体。项目在生产过程中一般采取下述措施减少无组织恶臭的产生：</w:t>
            </w:r>
          </w:p>
          <w:p w14:paraId="0B5D1611">
            <w:pPr>
              <w:autoSpaceDE w:val="0"/>
              <w:autoSpaceDN w:val="0"/>
              <w:adjustRightInd w:val="0"/>
              <w:snapToGrid w:val="0"/>
              <w:spacing w:line="360" w:lineRule="auto"/>
              <w:ind w:firstLine="480" w:firstLineChars="200"/>
              <w:rPr>
                <w:kern w:val="0"/>
                <w:sz w:val="24"/>
              </w:rPr>
            </w:pPr>
            <w:r>
              <w:rPr>
                <w:rFonts w:hint="eastAsia"/>
                <w:kern w:val="0"/>
                <w:sz w:val="24"/>
              </w:rPr>
              <w:t>①尽量减少原料在厂区内的堆放时间，做到当日来料当日加工，若有来不及加工的原料，应尽快放置入冷库存储，并尽快进入生产程序。</w:t>
            </w:r>
          </w:p>
          <w:p w14:paraId="4D3A79ED">
            <w:pPr>
              <w:autoSpaceDE w:val="0"/>
              <w:autoSpaceDN w:val="0"/>
              <w:adjustRightInd w:val="0"/>
              <w:snapToGrid w:val="0"/>
              <w:spacing w:line="360" w:lineRule="auto"/>
              <w:ind w:firstLine="480" w:firstLineChars="200"/>
              <w:rPr>
                <w:kern w:val="0"/>
                <w:sz w:val="24"/>
              </w:rPr>
            </w:pPr>
            <w:r>
              <w:rPr>
                <w:rFonts w:hint="eastAsia"/>
                <w:kern w:val="0"/>
                <w:sz w:val="24"/>
              </w:rPr>
              <w:t>②厂区应搞好卫生工作，特别是温度较高的时候，应对原料和产品均做好密封措施，减少外露的情况发生。</w:t>
            </w:r>
          </w:p>
          <w:p w14:paraId="3DA1E7A0">
            <w:pPr>
              <w:autoSpaceDE w:val="0"/>
              <w:autoSpaceDN w:val="0"/>
              <w:adjustRightInd w:val="0"/>
              <w:snapToGrid w:val="0"/>
              <w:spacing w:line="360" w:lineRule="auto"/>
              <w:ind w:firstLine="480" w:firstLineChars="200"/>
              <w:rPr>
                <w:bCs/>
                <w:kern w:val="0"/>
                <w:sz w:val="24"/>
              </w:rPr>
            </w:pPr>
            <w:r>
              <w:rPr>
                <w:rFonts w:hint="eastAsia"/>
                <w:bCs/>
                <w:kern w:val="0"/>
                <w:sz w:val="24"/>
              </w:rPr>
              <w:t>③生产车间尽可能的密封处理，易产生恶臭的设备均安装集气装置，接入废气处理总管，进入恶臭气体处理装置处理后排放。</w:t>
            </w:r>
          </w:p>
          <w:p w14:paraId="6D8B71F9">
            <w:pPr>
              <w:autoSpaceDE w:val="0"/>
              <w:autoSpaceDN w:val="0"/>
              <w:adjustRightInd w:val="0"/>
              <w:snapToGrid w:val="0"/>
              <w:spacing w:line="360" w:lineRule="auto"/>
              <w:ind w:firstLine="480" w:firstLineChars="200"/>
              <w:rPr>
                <w:bCs/>
                <w:kern w:val="0"/>
                <w:sz w:val="24"/>
              </w:rPr>
            </w:pPr>
            <w:r>
              <w:rPr>
                <w:rFonts w:hint="eastAsia"/>
                <w:bCs/>
                <w:sz w:val="24"/>
              </w:rPr>
              <w:t>④污水处理装置全密封设置，水解酸化、接触氧化池加盖密封，恶臭气体均引入处理装置。</w:t>
            </w:r>
          </w:p>
          <w:p w14:paraId="63E32B5C">
            <w:pPr>
              <w:autoSpaceDE w:val="0"/>
              <w:autoSpaceDN w:val="0"/>
              <w:adjustRightInd w:val="0"/>
              <w:snapToGrid w:val="0"/>
              <w:spacing w:line="360" w:lineRule="auto"/>
              <w:ind w:firstLine="480" w:firstLineChars="200"/>
              <w:rPr>
                <w:bCs/>
                <w:kern w:val="0"/>
                <w:sz w:val="24"/>
              </w:rPr>
            </w:pPr>
            <w:r>
              <w:rPr>
                <w:rFonts w:hint="eastAsia"/>
                <w:bCs/>
                <w:sz w:val="24"/>
              </w:rPr>
              <w:t>⑤污水处理站污泥采用全密闭式脱水机脱水后外运，污泥处理系统的恶臭气体和污水处理站恶臭气体合并通过废气管网经水喷淋吸收处理后进入恶臭处理系统进行处理。</w:t>
            </w:r>
          </w:p>
          <w:p w14:paraId="1792F4AE">
            <w:pPr>
              <w:autoSpaceDE w:val="0"/>
              <w:autoSpaceDN w:val="0"/>
              <w:adjustRightInd w:val="0"/>
              <w:snapToGrid w:val="0"/>
              <w:spacing w:line="360" w:lineRule="auto"/>
              <w:ind w:firstLine="480" w:firstLineChars="200"/>
              <w:rPr>
                <w:kern w:val="0"/>
                <w:sz w:val="24"/>
              </w:rPr>
            </w:pPr>
            <w:r>
              <w:rPr>
                <w:rFonts w:hint="eastAsia"/>
                <w:kern w:val="0"/>
                <w:sz w:val="24"/>
              </w:rPr>
              <w:t>⑥加强厂区、厂界绿化工作，多种植可以防治吸收恶臭气体的植物，净化厂区和周边环境。</w:t>
            </w:r>
          </w:p>
          <w:p w14:paraId="36D10B23">
            <w:pPr>
              <w:wordWrap w:val="0"/>
              <w:adjustRightInd w:val="0"/>
              <w:snapToGrid w:val="0"/>
              <w:spacing w:line="360" w:lineRule="auto"/>
              <w:ind w:firstLine="482" w:firstLineChars="200"/>
              <w:rPr>
                <w:b/>
                <w:sz w:val="24"/>
              </w:rPr>
            </w:pPr>
            <w:r>
              <w:rPr>
                <w:b/>
                <w:sz w:val="24"/>
              </w:rPr>
              <w:t>1.</w:t>
            </w:r>
            <w:r>
              <w:rPr>
                <w:rFonts w:hint="eastAsia"/>
                <w:b/>
                <w:sz w:val="24"/>
              </w:rPr>
              <w:t>2废气治理措施及其可行性分析</w:t>
            </w:r>
          </w:p>
          <w:p w14:paraId="1E0DC84F">
            <w:pPr>
              <w:wordWrap w:val="0"/>
              <w:adjustRightInd w:val="0"/>
              <w:snapToGrid w:val="0"/>
              <w:spacing w:line="360" w:lineRule="auto"/>
              <w:ind w:firstLine="480" w:firstLineChars="200"/>
              <w:rPr>
                <w:sz w:val="24"/>
              </w:rPr>
            </w:pPr>
            <w:r>
              <w:rPr>
                <w:rFonts w:hint="eastAsia"/>
                <w:sz w:val="24"/>
              </w:rPr>
              <w:t>（1）产品生产废气处理措施可行性分析</w:t>
            </w:r>
          </w:p>
          <w:p w14:paraId="6A64817F">
            <w:pPr>
              <w:adjustRightInd w:val="0"/>
              <w:snapToGrid w:val="0"/>
              <w:spacing w:line="360" w:lineRule="auto"/>
              <w:ind w:firstLine="480" w:firstLineChars="200"/>
              <w:rPr>
                <w:bCs/>
                <w:sz w:val="24"/>
              </w:rPr>
            </w:pPr>
            <w:r>
              <w:rPr>
                <w:rFonts w:hint="eastAsia"/>
                <w:bCs/>
                <w:sz w:val="24"/>
              </w:rPr>
              <w:t>项目</w:t>
            </w:r>
            <w:r>
              <w:rPr>
                <w:rFonts w:hint="eastAsia"/>
                <w:sz w:val="24"/>
              </w:rPr>
              <w:t>熬制炉排烟口与集气管道连接，粉碎机、加热锅及压饼机上方分别安装集气罩，油脂暂存池密闭微负压收集废气；同时污水处理站进行密闭微负压收集废气。熬制</w:t>
            </w:r>
            <w:r>
              <w:rPr>
                <w:rFonts w:hint="eastAsia"/>
                <w:bCs/>
                <w:sz w:val="24"/>
              </w:rPr>
              <w:t>过程产生油烟、异味与</w:t>
            </w:r>
            <w:r>
              <w:rPr>
                <w:rFonts w:hint="eastAsia"/>
                <w:sz w:val="24"/>
              </w:rPr>
              <w:t>粉碎机、压饼机及油脂暂存池产生的异味经</w:t>
            </w:r>
            <w:r>
              <w:rPr>
                <w:rFonts w:hint="eastAsia"/>
                <w:bCs/>
                <w:sz w:val="24"/>
              </w:rPr>
              <w:t>“冷凝+静电油烟净化器”</w:t>
            </w:r>
            <w:r>
              <w:rPr>
                <w:rFonts w:hint="eastAsia"/>
                <w:sz w:val="24"/>
              </w:rPr>
              <w:t>处理后与污水处理站恶臭一起</w:t>
            </w:r>
            <w:r>
              <w:rPr>
                <w:rFonts w:hint="eastAsia"/>
                <w:bCs/>
                <w:sz w:val="24"/>
              </w:rPr>
              <w:t>进入“碱液喷淋+除雾器+活性炭吸附”设施，处理后废气经15m高排气筒排放。</w:t>
            </w:r>
          </w:p>
          <w:p w14:paraId="24906B8F">
            <w:pPr>
              <w:adjustRightInd w:val="0"/>
              <w:snapToGrid w:val="0"/>
              <w:spacing w:line="360" w:lineRule="auto"/>
              <w:ind w:firstLine="482" w:firstLineChars="200"/>
              <w:rPr>
                <w:bCs/>
                <w:sz w:val="24"/>
              </w:rPr>
            </w:pPr>
            <w:r>
              <w:rPr>
                <w:rFonts w:hint="eastAsia"/>
                <w:b/>
                <w:bCs/>
                <w:sz w:val="24"/>
              </w:rPr>
              <w:t>列管冷凝器：</w:t>
            </w:r>
            <w:r>
              <w:rPr>
                <w:rFonts w:hint="eastAsia"/>
                <w:bCs/>
                <w:sz w:val="24"/>
              </w:rPr>
              <w:t>动物油脂</w:t>
            </w:r>
            <w:r>
              <w:rPr>
                <w:rFonts w:hint="eastAsia"/>
                <w:sz w:val="24"/>
              </w:rPr>
              <w:t>熬制</w:t>
            </w:r>
            <w:r>
              <w:rPr>
                <w:rFonts w:hint="eastAsia"/>
                <w:bCs/>
                <w:sz w:val="24"/>
              </w:rPr>
              <w:t>工序原料中蒸发的水蒸汽分子混合油烟、异味分子挥发物会从原料油脂中分离，随集气管道进入列管换热器，换热器采用冷水逆流循环降温，在冷凝作用下将水蒸气形成蒸馏水收集在冷凝废水罐内，油烟及异味进入静电油烟净化器。</w:t>
            </w:r>
          </w:p>
          <w:p w14:paraId="424A98C7">
            <w:pPr>
              <w:adjustRightInd w:val="0"/>
              <w:snapToGrid w:val="0"/>
              <w:spacing w:line="360" w:lineRule="auto"/>
              <w:ind w:firstLine="482" w:firstLineChars="200"/>
              <w:rPr>
                <w:bCs/>
                <w:sz w:val="24"/>
              </w:rPr>
            </w:pPr>
            <w:r>
              <w:rPr>
                <w:rFonts w:hint="eastAsia"/>
                <w:b/>
                <w:bCs/>
                <w:sz w:val="24"/>
              </w:rPr>
              <w:t>静电油烟净化器：</w:t>
            </w:r>
            <w:r>
              <w:rPr>
                <w:rFonts w:hint="eastAsia"/>
                <w:bCs/>
                <w:sz w:val="24"/>
              </w:rPr>
              <w:t>油烟及异味进入静电油烟净化器进行分离处理，静电式油烟净化器工作原理是利用阴极在高压电场中发射出来的电子，以及由电子碰撞空气分子而产生的负离子来捕捉烟尘粒子，使烟尘粒子带电，再利用电场的作用，使带电烟尘粒子被阳极所吸附，以达到除烟的目的。静电油烟净化器是目前净化效率最高的油烟净化器，油烟经静电油烟净化器去除后，废气进入碱液喷淋系统处理。</w:t>
            </w:r>
          </w:p>
          <w:p w14:paraId="7A783544">
            <w:pPr>
              <w:adjustRightInd w:val="0"/>
              <w:snapToGrid w:val="0"/>
              <w:spacing w:line="360" w:lineRule="auto"/>
              <w:ind w:firstLine="482" w:firstLineChars="200"/>
              <w:rPr>
                <w:bCs/>
                <w:sz w:val="24"/>
              </w:rPr>
            </w:pPr>
            <w:r>
              <w:rPr>
                <w:rFonts w:hint="eastAsia"/>
                <w:b/>
                <w:bCs/>
                <w:sz w:val="24"/>
              </w:rPr>
              <w:t>碱液喷淋系统：</w:t>
            </w:r>
            <w:r>
              <w:rPr>
                <w:rFonts w:hint="eastAsia"/>
                <w:bCs/>
                <w:sz w:val="24"/>
              </w:rPr>
              <w:t>处理废气为H</w:t>
            </w:r>
            <w:r>
              <w:rPr>
                <w:rFonts w:hint="eastAsia"/>
                <w:bCs/>
                <w:sz w:val="24"/>
                <w:vertAlign w:val="subscript"/>
              </w:rPr>
              <w:t>2</w:t>
            </w:r>
            <w:r>
              <w:rPr>
                <w:rFonts w:hint="eastAsia"/>
                <w:bCs/>
                <w:sz w:val="24"/>
              </w:rPr>
              <w:t>S、NH</w:t>
            </w:r>
            <w:r>
              <w:rPr>
                <w:rFonts w:hint="eastAsia"/>
                <w:bCs/>
                <w:sz w:val="24"/>
                <w:vertAlign w:val="subscript"/>
              </w:rPr>
              <w:t>3</w:t>
            </w:r>
            <w:r>
              <w:rPr>
                <w:rFonts w:hint="eastAsia"/>
                <w:bCs/>
                <w:sz w:val="24"/>
              </w:rPr>
              <w:t>，厂区设一套喷淋洗涤系统，去除效率可达90%以上。喷淋系统使用碱洗洗涤后排放，其作用原理如下：H</w:t>
            </w:r>
            <w:r>
              <w:rPr>
                <w:rFonts w:hint="eastAsia"/>
                <w:bCs/>
                <w:sz w:val="24"/>
                <w:vertAlign w:val="subscript"/>
              </w:rPr>
              <w:t>2</w:t>
            </w:r>
            <w:r>
              <w:rPr>
                <w:rFonts w:hint="eastAsia"/>
                <w:bCs/>
                <w:sz w:val="24"/>
              </w:rPr>
              <w:t>S+NaOH→Na</w:t>
            </w:r>
            <w:r>
              <w:rPr>
                <w:rFonts w:hint="eastAsia"/>
                <w:bCs/>
                <w:sz w:val="24"/>
                <w:vertAlign w:val="subscript"/>
              </w:rPr>
              <w:t>2</w:t>
            </w:r>
            <w:r>
              <w:rPr>
                <w:rFonts w:hint="eastAsia"/>
                <w:bCs/>
                <w:sz w:val="24"/>
              </w:rPr>
              <w:t>S+H</w:t>
            </w:r>
            <w:r>
              <w:rPr>
                <w:rFonts w:hint="eastAsia"/>
                <w:bCs/>
                <w:sz w:val="24"/>
                <w:vertAlign w:val="subscript"/>
              </w:rPr>
              <w:t>2</w:t>
            </w:r>
            <w:r>
              <w:rPr>
                <w:rFonts w:hint="eastAsia"/>
                <w:bCs/>
                <w:sz w:val="24"/>
              </w:rPr>
              <w:t>O；另外硫化氢溶于水，NH</w:t>
            </w:r>
            <w:r>
              <w:rPr>
                <w:rFonts w:hint="eastAsia"/>
                <w:bCs/>
                <w:sz w:val="24"/>
                <w:vertAlign w:val="subscript"/>
              </w:rPr>
              <w:t>3</w:t>
            </w:r>
            <w:r>
              <w:rPr>
                <w:rFonts w:hint="eastAsia"/>
                <w:bCs/>
                <w:sz w:val="24"/>
              </w:rPr>
              <w:t>极易溶于水，经喷淋系统喷淋后溶解于喷淋液中。氢氧化钠喷淋塔设有两层喷淋，内部有多个喷头保证液体均匀在塔内与废气充分接触，喷淋效率主要靠氢氧化钠循环水池的pH值控制，当喷淋氢氧化钠循环水池的pH值低于9时开始加入适量新鲜氢氧化钠。</w:t>
            </w:r>
          </w:p>
          <w:p w14:paraId="093094FB">
            <w:pPr>
              <w:spacing w:line="360" w:lineRule="auto"/>
              <w:ind w:firstLine="482" w:firstLineChars="200"/>
              <w:jc w:val="left"/>
              <w:rPr>
                <w:b/>
                <w:sz w:val="24"/>
              </w:rPr>
            </w:pPr>
            <w:r>
              <w:rPr>
                <w:rFonts w:hint="eastAsia"/>
                <w:b/>
                <w:bCs/>
                <w:sz w:val="24"/>
              </w:rPr>
              <w:t>活性炭吸附设施：</w:t>
            </w:r>
            <w:r>
              <w:rPr>
                <w:bCs/>
                <w:sz w:val="24"/>
              </w:rPr>
              <w:t>活性炭吸附是利用活性炭的多孔性，并根据吸附力的原理上而开发的。活性炭装置内采用活性炭颗粒进行填充，活性炭颗粒是一种多孔性的含炭物质，它具有高度发达的孔隙构造，活性炭的多孔结构为其提供了大量的表面积，能与有机物分子充分接触，由于所有的分子之间都具有相互引力，活性炭孔壁上的大量的分子可以产生强大的引力，从而达到将有害的杂质吸引到孔径中的目的。</w:t>
            </w:r>
            <w:r>
              <w:rPr>
                <w:rFonts w:hint="eastAsia"/>
                <w:bCs/>
                <w:sz w:val="24"/>
              </w:rPr>
              <w:t>用活性炭作为吸收剂，把废气中恶臭等有机气体吸附到固相表面进行浓缩，从而达到净化废气的方法。</w:t>
            </w:r>
          </w:p>
          <w:p w14:paraId="244CD362">
            <w:pPr>
              <w:adjustRightInd w:val="0"/>
              <w:snapToGrid w:val="0"/>
              <w:spacing w:line="360" w:lineRule="auto"/>
              <w:ind w:firstLine="480" w:firstLineChars="200"/>
              <w:rPr>
                <w:bCs/>
                <w:sz w:val="24"/>
              </w:rPr>
            </w:pPr>
            <w:r>
              <w:rPr>
                <w:rFonts w:hint="eastAsia"/>
                <w:bCs/>
                <w:sz w:val="24"/>
              </w:rPr>
              <w:t>根据《排污许可证申请与核发技术规范 农副食品加工工业—屠宰及肉类加工工业》（HJ 860.3-2018），本项目生产车间废气污染防治措施具体分析如下。</w:t>
            </w:r>
          </w:p>
          <w:p w14:paraId="7902CF6F">
            <w:pPr>
              <w:snapToGrid w:val="0"/>
              <w:jc w:val="center"/>
              <w:rPr>
                <w:b/>
                <w:sz w:val="24"/>
              </w:rPr>
            </w:pPr>
            <w:r>
              <w:rPr>
                <w:rFonts w:hint="eastAsia" w:hAnsi="宋体"/>
                <w:b/>
                <w:sz w:val="24"/>
              </w:rPr>
              <w:t>表</w:t>
            </w:r>
            <w:r>
              <w:rPr>
                <w:rFonts w:hint="eastAsia"/>
                <w:b/>
                <w:sz w:val="24"/>
              </w:rPr>
              <w:t xml:space="preserve">18 </w:t>
            </w:r>
            <w:r>
              <w:rPr>
                <w:b/>
                <w:sz w:val="24"/>
              </w:rPr>
              <w:t xml:space="preserve">   生产</w:t>
            </w:r>
            <w:r>
              <w:rPr>
                <w:rFonts w:hAnsi="宋体"/>
                <w:b/>
                <w:sz w:val="24"/>
              </w:rPr>
              <w:t>废气污染防治可行技术对比分析表</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305"/>
              <w:gridCol w:w="2126"/>
              <w:gridCol w:w="1702"/>
              <w:gridCol w:w="141"/>
              <w:gridCol w:w="2997"/>
              <w:gridCol w:w="528"/>
            </w:tblGrid>
            <w:tr w14:paraId="07242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3" w:hRule="atLeast"/>
              </w:trPr>
              <w:tc>
                <w:tcPr>
                  <w:tcW w:w="5000" w:type="pct"/>
                  <w:gridSpan w:val="6"/>
                  <w:vAlign w:val="center"/>
                </w:tcPr>
                <w:p w14:paraId="3770C196">
                  <w:pPr>
                    <w:adjustRightInd w:val="0"/>
                    <w:snapToGrid w:val="0"/>
                    <w:jc w:val="center"/>
                    <w:rPr>
                      <w:b/>
                      <w:szCs w:val="21"/>
                    </w:rPr>
                  </w:pPr>
                  <w:r>
                    <w:rPr>
                      <w:rFonts w:hint="eastAsia"/>
                      <w:b/>
                      <w:szCs w:val="21"/>
                    </w:rPr>
                    <w:t>《排污许可证申请与核发技术规范农副食品加工工业-屠宰及肉类加工工业》(HJ860.3-2018）</w:t>
                  </w:r>
                </w:p>
                <w:p w14:paraId="17D1E0E0">
                  <w:pPr>
                    <w:adjustRightInd w:val="0"/>
                    <w:snapToGrid w:val="0"/>
                    <w:jc w:val="center"/>
                    <w:rPr>
                      <w:b/>
                      <w:szCs w:val="21"/>
                    </w:rPr>
                  </w:pPr>
                  <w:r>
                    <w:rPr>
                      <w:rFonts w:hint="eastAsia"/>
                      <w:b/>
                      <w:szCs w:val="21"/>
                    </w:rPr>
                    <w:t>“表8屠宰及肉类加工工业排污单位废气治理可行技术”</w:t>
                  </w:r>
                </w:p>
              </w:tc>
            </w:tr>
            <w:tr w14:paraId="01375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3" w:hRule="atLeast"/>
              </w:trPr>
              <w:tc>
                <w:tcPr>
                  <w:tcW w:w="742" w:type="pct"/>
                  <w:vAlign w:val="center"/>
                </w:tcPr>
                <w:p w14:paraId="01F87F06">
                  <w:pPr>
                    <w:adjustRightInd w:val="0"/>
                    <w:snapToGrid w:val="0"/>
                    <w:jc w:val="center"/>
                    <w:rPr>
                      <w:szCs w:val="21"/>
                    </w:rPr>
                  </w:pPr>
                  <w:r>
                    <w:rPr>
                      <w:szCs w:val="21"/>
                    </w:rPr>
                    <w:t>产排污环节</w:t>
                  </w:r>
                </w:p>
              </w:tc>
              <w:tc>
                <w:tcPr>
                  <w:tcW w:w="1208" w:type="pct"/>
                  <w:vAlign w:val="center"/>
                </w:tcPr>
                <w:p w14:paraId="5A43B91F">
                  <w:pPr>
                    <w:adjustRightInd w:val="0"/>
                    <w:snapToGrid w:val="0"/>
                    <w:jc w:val="center"/>
                    <w:rPr>
                      <w:szCs w:val="21"/>
                    </w:rPr>
                  </w:pPr>
                  <w:r>
                    <w:rPr>
                      <w:rFonts w:hint="eastAsia"/>
                      <w:szCs w:val="21"/>
                    </w:rPr>
                    <w:t>污染控制项目</w:t>
                  </w:r>
                </w:p>
              </w:tc>
              <w:tc>
                <w:tcPr>
                  <w:tcW w:w="1047" w:type="pct"/>
                  <w:gridSpan w:val="2"/>
                  <w:vAlign w:val="center"/>
                </w:tcPr>
                <w:p w14:paraId="4CF75958">
                  <w:pPr>
                    <w:adjustRightInd w:val="0"/>
                    <w:snapToGrid w:val="0"/>
                    <w:jc w:val="center"/>
                    <w:rPr>
                      <w:szCs w:val="21"/>
                    </w:rPr>
                  </w:pPr>
                  <w:r>
                    <w:rPr>
                      <w:rFonts w:hint="eastAsia"/>
                      <w:szCs w:val="21"/>
                    </w:rPr>
                    <w:t>可行技术</w:t>
                  </w:r>
                </w:p>
              </w:tc>
              <w:tc>
                <w:tcPr>
                  <w:tcW w:w="1703" w:type="pct"/>
                  <w:vAlign w:val="center"/>
                </w:tcPr>
                <w:p w14:paraId="185FDCF4">
                  <w:pPr>
                    <w:adjustRightInd w:val="0"/>
                    <w:snapToGrid w:val="0"/>
                    <w:jc w:val="center"/>
                    <w:rPr>
                      <w:szCs w:val="21"/>
                    </w:rPr>
                  </w:pPr>
                  <w:r>
                    <w:rPr>
                      <w:rFonts w:hint="eastAsia"/>
                      <w:szCs w:val="21"/>
                    </w:rPr>
                    <w:t>本项目采取措施</w:t>
                  </w:r>
                </w:p>
              </w:tc>
              <w:tc>
                <w:tcPr>
                  <w:tcW w:w="300" w:type="pct"/>
                  <w:vAlign w:val="center"/>
                </w:tcPr>
                <w:p w14:paraId="17F39F69">
                  <w:pPr>
                    <w:adjustRightInd w:val="0"/>
                    <w:snapToGrid w:val="0"/>
                    <w:jc w:val="center"/>
                    <w:rPr>
                      <w:szCs w:val="21"/>
                    </w:rPr>
                  </w:pPr>
                  <w:r>
                    <w:rPr>
                      <w:rFonts w:hint="eastAsia"/>
                      <w:szCs w:val="21"/>
                    </w:rPr>
                    <w:t>是否可行</w:t>
                  </w:r>
                </w:p>
              </w:tc>
            </w:tr>
            <w:tr w14:paraId="064CF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3" w:hRule="atLeast"/>
              </w:trPr>
              <w:tc>
                <w:tcPr>
                  <w:tcW w:w="742" w:type="pct"/>
                  <w:vAlign w:val="center"/>
                </w:tcPr>
                <w:p w14:paraId="67FD30A4">
                  <w:pPr>
                    <w:adjustRightInd w:val="0"/>
                    <w:snapToGrid w:val="0"/>
                    <w:jc w:val="center"/>
                    <w:rPr>
                      <w:szCs w:val="21"/>
                    </w:rPr>
                  </w:pPr>
                  <w:r>
                    <w:rPr>
                      <w:rFonts w:hint="eastAsia"/>
                      <w:szCs w:val="21"/>
                    </w:rPr>
                    <w:t>畜禽油脂加工中炼油设备废气</w:t>
                  </w:r>
                </w:p>
              </w:tc>
              <w:tc>
                <w:tcPr>
                  <w:tcW w:w="1208" w:type="pct"/>
                  <w:vAlign w:val="center"/>
                </w:tcPr>
                <w:p w14:paraId="66EE25D0">
                  <w:pPr>
                    <w:adjustRightInd w:val="0"/>
                    <w:snapToGrid w:val="0"/>
                    <w:jc w:val="center"/>
                    <w:rPr>
                      <w:szCs w:val="21"/>
                    </w:rPr>
                  </w:pPr>
                  <w:r>
                    <w:rPr>
                      <w:rFonts w:hint="eastAsia"/>
                      <w:szCs w:val="21"/>
                    </w:rPr>
                    <w:t>油烟</w:t>
                  </w:r>
                </w:p>
              </w:tc>
              <w:tc>
                <w:tcPr>
                  <w:tcW w:w="1047" w:type="pct"/>
                  <w:gridSpan w:val="2"/>
                  <w:vAlign w:val="center"/>
                </w:tcPr>
                <w:p w14:paraId="52AED6A5">
                  <w:pPr>
                    <w:adjustRightInd w:val="0"/>
                    <w:snapToGrid w:val="0"/>
                    <w:jc w:val="center"/>
                    <w:rPr>
                      <w:szCs w:val="21"/>
                    </w:rPr>
                  </w:pPr>
                  <w:r>
                    <w:rPr>
                      <w:rFonts w:hint="eastAsia"/>
                      <w:szCs w:val="21"/>
                    </w:rPr>
                    <w:t>静电油烟处理技术；湿法油烟处理技术</w:t>
                  </w:r>
                </w:p>
              </w:tc>
              <w:tc>
                <w:tcPr>
                  <w:tcW w:w="1703" w:type="pct"/>
                  <w:vAlign w:val="center"/>
                </w:tcPr>
                <w:p w14:paraId="669A77BD">
                  <w:pPr>
                    <w:adjustRightInd w:val="0"/>
                    <w:snapToGrid w:val="0"/>
                    <w:jc w:val="center"/>
                    <w:rPr>
                      <w:szCs w:val="21"/>
                    </w:rPr>
                  </w:pPr>
                  <w:r>
                    <w:rPr>
                      <w:rFonts w:hint="eastAsia"/>
                      <w:szCs w:val="21"/>
                    </w:rPr>
                    <w:t>冷凝+静电油烟净化器+碱液喷淋设施+除雾器+活性炭吸附设施</w:t>
                  </w:r>
                </w:p>
              </w:tc>
              <w:tc>
                <w:tcPr>
                  <w:tcW w:w="300" w:type="pct"/>
                  <w:vAlign w:val="center"/>
                </w:tcPr>
                <w:p w14:paraId="30217639">
                  <w:pPr>
                    <w:adjustRightInd w:val="0"/>
                    <w:snapToGrid w:val="0"/>
                    <w:jc w:val="center"/>
                    <w:rPr>
                      <w:szCs w:val="21"/>
                    </w:rPr>
                  </w:pPr>
                  <w:r>
                    <w:rPr>
                      <w:rFonts w:hint="eastAsia"/>
                      <w:szCs w:val="21"/>
                    </w:rPr>
                    <w:t>可行</w:t>
                  </w:r>
                </w:p>
              </w:tc>
            </w:tr>
            <w:tr w14:paraId="2822D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3" w:hRule="atLeast"/>
              </w:trPr>
              <w:tc>
                <w:tcPr>
                  <w:tcW w:w="5000" w:type="pct"/>
                  <w:gridSpan w:val="6"/>
                  <w:vAlign w:val="center"/>
                </w:tcPr>
                <w:p w14:paraId="6F973EC1">
                  <w:pPr>
                    <w:adjustRightInd w:val="0"/>
                    <w:snapToGrid w:val="0"/>
                    <w:jc w:val="center"/>
                    <w:rPr>
                      <w:b/>
                      <w:szCs w:val="21"/>
                    </w:rPr>
                  </w:pPr>
                  <w:r>
                    <w:rPr>
                      <w:rFonts w:hint="eastAsia"/>
                      <w:b/>
                      <w:szCs w:val="21"/>
                    </w:rPr>
                    <w:t>《排污许可证申请与核发技术规范农副食品加工工业-屠宰及肉类加工工业》(HJ860.3-2018）</w:t>
                  </w:r>
                </w:p>
                <w:p w14:paraId="2F0BC9BE">
                  <w:pPr>
                    <w:adjustRightInd w:val="0"/>
                    <w:snapToGrid w:val="0"/>
                    <w:jc w:val="center"/>
                    <w:rPr>
                      <w:szCs w:val="21"/>
                    </w:rPr>
                  </w:pPr>
                  <w:r>
                    <w:rPr>
                      <w:rFonts w:hint="eastAsia"/>
                      <w:b/>
                      <w:szCs w:val="21"/>
                    </w:rPr>
                    <w:t>“表6屠宰及肉类加工工业排污单位无组织排放控制要求表”</w:t>
                  </w:r>
                </w:p>
              </w:tc>
            </w:tr>
            <w:tr w14:paraId="14CA3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3" w:hRule="atLeast"/>
              </w:trPr>
              <w:tc>
                <w:tcPr>
                  <w:tcW w:w="742" w:type="pct"/>
                  <w:vAlign w:val="center"/>
                </w:tcPr>
                <w:p w14:paraId="14605FA2">
                  <w:pPr>
                    <w:widowControl/>
                    <w:jc w:val="center"/>
                    <w:rPr>
                      <w:kern w:val="0"/>
                      <w:szCs w:val="21"/>
                    </w:rPr>
                  </w:pPr>
                  <w:r>
                    <w:rPr>
                      <w:szCs w:val="21"/>
                    </w:rPr>
                    <w:t>产排污环节</w:t>
                  </w:r>
                </w:p>
              </w:tc>
              <w:tc>
                <w:tcPr>
                  <w:tcW w:w="2175" w:type="pct"/>
                  <w:gridSpan w:val="2"/>
                  <w:vAlign w:val="center"/>
                </w:tcPr>
                <w:p w14:paraId="01022F75">
                  <w:pPr>
                    <w:widowControl/>
                    <w:jc w:val="center"/>
                    <w:rPr>
                      <w:kern w:val="0"/>
                      <w:szCs w:val="21"/>
                    </w:rPr>
                  </w:pPr>
                  <w:r>
                    <w:rPr>
                      <w:rFonts w:hint="eastAsia"/>
                      <w:kern w:val="0"/>
                      <w:szCs w:val="21"/>
                    </w:rPr>
                    <w:t>无组织排放控制要求a,b</w:t>
                  </w:r>
                </w:p>
              </w:tc>
              <w:tc>
                <w:tcPr>
                  <w:tcW w:w="1783" w:type="pct"/>
                  <w:gridSpan w:val="2"/>
                  <w:vAlign w:val="center"/>
                </w:tcPr>
                <w:p w14:paraId="7CB84144">
                  <w:pPr>
                    <w:widowControl/>
                    <w:jc w:val="center"/>
                    <w:rPr>
                      <w:kern w:val="0"/>
                      <w:szCs w:val="21"/>
                    </w:rPr>
                  </w:pPr>
                  <w:r>
                    <w:rPr>
                      <w:rFonts w:hint="eastAsia"/>
                      <w:szCs w:val="21"/>
                    </w:rPr>
                    <w:t>本项目采取措施</w:t>
                  </w:r>
                </w:p>
              </w:tc>
              <w:tc>
                <w:tcPr>
                  <w:tcW w:w="300" w:type="pct"/>
                  <w:vAlign w:val="center"/>
                </w:tcPr>
                <w:p w14:paraId="7FE71C3C">
                  <w:pPr>
                    <w:widowControl/>
                    <w:jc w:val="center"/>
                    <w:rPr>
                      <w:kern w:val="0"/>
                      <w:szCs w:val="21"/>
                    </w:rPr>
                  </w:pPr>
                  <w:r>
                    <w:rPr>
                      <w:rFonts w:hint="eastAsia"/>
                      <w:szCs w:val="21"/>
                    </w:rPr>
                    <w:t>是否可行</w:t>
                  </w:r>
                </w:p>
              </w:tc>
            </w:tr>
            <w:tr w14:paraId="4F131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3" w:hRule="atLeast"/>
              </w:trPr>
              <w:tc>
                <w:tcPr>
                  <w:tcW w:w="742" w:type="pct"/>
                  <w:vAlign w:val="center"/>
                </w:tcPr>
                <w:p w14:paraId="072C822F">
                  <w:pPr>
                    <w:widowControl/>
                    <w:jc w:val="center"/>
                    <w:rPr>
                      <w:szCs w:val="21"/>
                    </w:rPr>
                  </w:pPr>
                  <w:r>
                    <w:rPr>
                      <w:rFonts w:hint="eastAsia"/>
                      <w:szCs w:val="21"/>
                    </w:rPr>
                    <w:t>畜禽油脂加工的原料库、加工车间、包装设施</w:t>
                  </w:r>
                </w:p>
              </w:tc>
              <w:tc>
                <w:tcPr>
                  <w:tcW w:w="2175" w:type="pct"/>
                  <w:gridSpan w:val="2"/>
                  <w:vAlign w:val="center"/>
                </w:tcPr>
                <w:p w14:paraId="0D5318CA">
                  <w:pPr>
                    <w:widowControl/>
                    <w:jc w:val="center"/>
                    <w:rPr>
                      <w:kern w:val="0"/>
                      <w:szCs w:val="21"/>
                    </w:rPr>
                  </w:pPr>
                  <w:r>
                    <w:rPr>
                      <w:rFonts w:hint="eastAsia"/>
                      <w:kern w:val="0"/>
                      <w:szCs w:val="21"/>
                    </w:rPr>
                    <w:t>原料与产品不长时间储存、加强原料仓库通风并时清理、产品及时分装进入带盖收集桶、运输过程采用密闭设备；使用天然提取物除臭剂喷洒加工车间和原料仓库；集中收集恶臭气体经处理后经排气筒排放</w:t>
                  </w:r>
                </w:p>
              </w:tc>
              <w:tc>
                <w:tcPr>
                  <w:tcW w:w="1783" w:type="pct"/>
                  <w:gridSpan w:val="2"/>
                  <w:vAlign w:val="center"/>
                </w:tcPr>
                <w:p w14:paraId="78B4F7DF">
                  <w:pPr>
                    <w:widowControl/>
                    <w:adjustRightInd w:val="0"/>
                    <w:snapToGrid w:val="0"/>
                    <w:jc w:val="center"/>
                    <w:rPr>
                      <w:szCs w:val="21"/>
                    </w:rPr>
                  </w:pPr>
                  <w:r>
                    <w:rPr>
                      <w:rFonts w:hint="eastAsia"/>
                      <w:szCs w:val="21"/>
                    </w:rPr>
                    <w:t>对产臭环节进行有效收集，确保恶臭气体中氨、硫化氢收集效率，收集后进入废气处理系统处理</w:t>
                  </w:r>
                  <w:r>
                    <w:rPr>
                      <w:rFonts w:hint="eastAsia"/>
                      <w:kern w:val="0"/>
                      <w:szCs w:val="21"/>
                    </w:rPr>
                    <w:t>后经排气筒排放</w:t>
                  </w:r>
                </w:p>
              </w:tc>
              <w:tc>
                <w:tcPr>
                  <w:tcW w:w="300" w:type="pct"/>
                  <w:vAlign w:val="center"/>
                </w:tcPr>
                <w:p w14:paraId="29DA2C36">
                  <w:pPr>
                    <w:widowControl/>
                    <w:jc w:val="center"/>
                    <w:rPr>
                      <w:szCs w:val="21"/>
                    </w:rPr>
                  </w:pPr>
                  <w:r>
                    <w:rPr>
                      <w:rFonts w:hint="eastAsia"/>
                      <w:szCs w:val="21"/>
                    </w:rPr>
                    <w:t>可行</w:t>
                  </w:r>
                </w:p>
              </w:tc>
            </w:tr>
            <w:tr w14:paraId="7B267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3" w:hRule="atLeast"/>
              </w:trPr>
              <w:tc>
                <w:tcPr>
                  <w:tcW w:w="742" w:type="pct"/>
                  <w:vAlign w:val="center"/>
                </w:tcPr>
                <w:p w14:paraId="30CCAF32">
                  <w:pPr>
                    <w:widowControl/>
                    <w:jc w:val="center"/>
                    <w:rPr>
                      <w:szCs w:val="21"/>
                    </w:rPr>
                  </w:pPr>
                  <w:r>
                    <w:rPr>
                      <w:rFonts w:hint="eastAsia"/>
                      <w:szCs w:val="21"/>
                    </w:rPr>
                    <w:t>厂内综合污水处理站</w:t>
                  </w:r>
                </w:p>
              </w:tc>
              <w:tc>
                <w:tcPr>
                  <w:tcW w:w="2175" w:type="pct"/>
                  <w:gridSpan w:val="2"/>
                  <w:vAlign w:val="center"/>
                </w:tcPr>
                <w:p w14:paraId="6B79C295">
                  <w:pPr>
                    <w:widowControl/>
                    <w:jc w:val="center"/>
                    <w:rPr>
                      <w:kern w:val="0"/>
                      <w:szCs w:val="21"/>
                    </w:rPr>
                  </w:pPr>
                  <w:r>
                    <w:rPr>
                      <w:rFonts w:hint="eastAsia"/>
                      <w:kern w:val="0"/>
                      <w:szCs w:val="21"/>
                    </w:rPr>
                    <w:t>产生恶臭区域加罩或加盖；投放除臭剂；集中收集恶臭气体经处理（喷淋塔除臭、活性炭吸附、生物除臭等）处理后经排气筒排放</w:t>
                  </w:r>
                </w:p>
              </w:tc>
              <w:tc>
                <w:tcPr>
                  <w:tcW w:w="1783" w:type="pct"/>
                  <w:gridSpan w:val="2"/>
                  <w:vAlign w:val="center"/>
                </w:tcPr>
                <w:p w14:paraId="5CA261DB">
                  <w:pPr>
                    <w:widowControl/>
                    <w:jc w:val="center"/>
                    <w:rPr>
                      <w:szCs w:val="21"/>
                    </w:rPr>
                  </w:pPr>
                  <w:r>
                    <w:rPr>
                      <w:rFonts w:hint="eastAsia"/>
                      <w:szCs w:val="21"/>
                    </w:rPr>
                    <w:t>项目污水处理站水解酸化、接触氧化等重点单元均加盖密封，污水处理站产生的恶臭经收集进入废气处理系统处理</w:t>
                  </w:r>
                  <w:r>
                    <w:rPr>
                      <w:rFonts w:hint="eastAsia"/>
                      <w:kern w:val="0"/>
                      <w:szCs w:val="21"/>
                    </w:rPr>
                    <w:t>后经排气筒排放</w:t>
                  </w:r>
                </w:p>
              </w:tc>
              <w:tc>
                <w:tcPr>
                  <w:tcW w:w="300" w:type="pct"/>
                  <w:vAlign w:val="center"/>
                </w:tcPr>
                <w:p w14:paraId="0724FB92">
                  <w:pPr>
                    <w:widowControl/>
                    <w:jc w:val="center"/>
                    <w:rPr>
                      <w:szCs w:val="21"/>
                    </w:rPr>
                  </w:pPr>
                  <w:r>
                    <w:rPr>
                      <w:rFonts w:hint="eastAsia"/>
                      <w:szCs w:val="21"/>
                    </w:rPr>
                    <w:t>可行</w:t>
                  </w:r>
                </w:p>
              </w:tc>
            </w:tr>
            <w:tr w14:paraId="0E473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3" w:hRule="atLeast"/>
              </w:trPr>
              <w:tc>
                <w:tcPr>
                  <w:tcW w:w="5000" w:type="pct"/>
                  <w:gridSpan w:val="6"/>
                  <w:vAlign w:val="center"/>
                </w:tcPr>
                <w:p w14:paraId="6F7D6887">
                  <w:pPr>
                    <w:widowControl/>
                    <w:jc w:val="left"/>
                    <w:rPr>
                      <w:szCs w:val="21"/>
                    </w:rPr>
                  </w:pPr>
                  <w:r>
                    <w:rPr>
                      <w:rFonts w:hint="eastAsia"/>
                      <w:szCs w:val="21"/>
                    </w:rPr>
                    <w:t>a屠宰及肉类加工工业排污单位针对含有的废气产污环节，至少应采取表中所列的措施之一。</w:t>
                  </w:r>
                </w:p>
                <w:p w14:paraId="77866F99">
                  <w:pPr>
                    <w:widowControl/>
                    <w:jc w:val="left"/>
                    <w:rPr>
                      <w:szCs w:val="21"/>
                    </w:rPr>
                  </w:pPr>
                  <w:r>
                    <w:rPr>
                      <w:rFonts w:hint="eastAsia"/>
                      <w:szCs w:val="21"/>
                    </w:rPr>
                    <w:t>b屠宰及肉类加工工业排污单位执行严于国家标准的地方标准时，可参照执行重点地区无组织排放控制要求。</w:t>
                  </w:r>
                </w:p>
              </w:tc>
            </w:tr>
          </w:tbl>
          <w:p w14:paraId="53031C46">
            <w:pPr>
              <w:widowControl/>
              <w:spacing w:line="360" w:lineRule="auto"/>
              <w:ind w:firstLine="480" w:firstLineChars="200"/>
              <w:rPr>
                <w:sz w:val="24"/>
              </w:rPr>
            </w:pPr>
            <w:r>
              <w:rPr>
                <w:rFonts w:hint="eastAsia"/>
                <w:sz w:val="24"/>
              </w:rPr>
              <w:t>由上表可知，项目废气污染防治措施属于可行技术，且</w:t>
            </w:r>
            <w:r>
              <w:rPr>
                <w:rFonts w:hint="eastAsia"/>
                <w:bCs/>
                <w:sz w:val="24"/>
              </w:rPr>
              <w:t>生产车间恶臭（</w:t>
            </w:r>
            <w:r>
              <w:rPr>
                <w:sz w:val="24"/>
              </w:rPr>
              <w:t>氨、硫化氢</w:t>
            </w:r>
            <w:r>
              <w:rPr>
                <w:rFonts w:hint="eastAsia"/>
                <w:bCs/>
                <w:sz w:val="24"/>
              </w:rPr>
              <w:t>）排放</w:t>
            </w:r>
            <w:r>
              <w:rPr>
                <w:sz w:val="24"/>
              </w:rPr>
              <w:t>可满足</w:t>
            </w:r>
            <w:r>
              <w:rPr>
                <w:rFonts w:hint="eastAsia"/>
                <w:sz w:val="24"/>
              </w:rPr>
              <w:t>《恶臭污染物排放标准》（GB14554-93）表2标准</w:t>
            </w:r>
            <w:r>
              <w:rPr>
                <w:sz w:val="24"/>
                <w:szCs w:val="20"/>
              </w:rPr>
              <w:t>；</w:t>
            </w:r>
            <w:r>
              <w:rPr>
                <w:rFonts w:hint="eastAsia"/>
                <w:sz w:val="24"/>
              </w:rPr>
              <w:t>油烟排放</w:t>
            </w:r>
            <w:r>
              <w:rPr>
                <w:color w:val="000000"/>
                <w:sz w:val="24"/>
              </w:rPr>
              <w:t>能够满足《餐饮业油烟污染物排放标准》（DB41/1604-2018）表1中的</w:t>
            </w:r>
            <w:r>
              <w:rPr>
                <w:rFonts w:hint="eastAsia"/>
                <w:color w:val="000000"/>
                <w:sz w:val="24"/>
              </w:rPr>
              <w:t>大</w:t>
            </w:r>
            <w:r>
              <w:rPr>
                <w:color w:val="000000"/>
                <w:sz w:val="24"/>
              </w:rPr>
              <w:t>型标准要求，</w:t>
            </w:r>
            <w:r>
              <w:rPr>
                <w:rFonts w:hint="eastAsia"/>
                <w:sz w:val="24"/>
              </w:rPr>
              <w:t>因此本项目</w:t>
            </w:r>
            <w:r>
              <w:rPr>
                <w:rFonts w:hint="eastAsia"/>
                <w:bCs/>
                <w:sz w:val="24"/>
              </w:rPr>
              <w:t>生产车间废气污染防治措施</w:t>
            </w:r>
            <w:r>
              <w:rPr>
                <w:rFonts w:hint="eastAsia"/>
                <w:sz w:val="24"/>
              </w:rPr>
              <w:t>是可行的。</w:t>
            </w:r>
          </w:p>
          <w:p w14:paraId="651BAA97">
            <w:pPr>
              <w:wordWrap w:val="0"/>
              <w:adjustRightInd w:val="0"/>
              <w:snapToGrid w:val="0"/>
              <w:spacing w:line="360" w:lineRule="auto"/>
              <w:ind w:firstLine="480" w:firstLineChars="200"/>
              <w:rPr>
                <w:sz w:val="24"/>
              </w:rPr>
            </w:pPr>
            <w:r>
              <w:rPr>
                <w:rFonts w:hint="eastAsia"/>
                <w:sz w:val="24"/>
              </w:rPr>
              <w:t>（2）天然气锅炉环保措施可行性分析</w:t>
            </w:r>
          </w:p>
          <w:p w14:paraId="5F51C3B7">
            <w:pPr>
              <w:widowControl/>
              <w:spacing w:line="360" w:lineRule="auto"/>
              <w:ind w:firstLine="480" w:firstLineChars="200"/>
              <w:rPr>
                <w:sz w:val="24"/>
              </w:rPr>
            </w:pPr>
            <w:r>
              <w:rPr>
                <w:rFonts w:hint="eastAsia"/>
                <w:color w:val="000000"/>
                <w:kern w:val="0"/>
                <w:sz w:val="24"/>
              </w:rPr>
              <w:t>本项目导热油炉采用天然气作为能源，燃烧机采用国际领先的低氮燃烧器。</w:t>
            </w:r>
            <w:r>
              <w:rPr>
                <w:rFonts w:hint="eastAsia"/>
                <w:sz w:val="24"/>
              </w:rPr>
              <w:t>根据《排污许可证申请与核发技术规范</w:t>
            </w:r>
            <w:r>
              <w:rPr>
                <w:rFonts w:hint="eastAsia"/>
                <w:bCs/>
                <w:sz w:val="24"/>
              </w:rPr>
              <w:t xml:space="preserve"> </w:t>
            </w:r>
            <w:r>
              <w:rPr>
                <w:rFonts w:hint="eastAsia"/>
                <w:sz w:val="24"/>
              </w:rPr>
              <w:t>锅炉》（</w:t>
            </w:r>
            <w:r>
              <w:rPr>
                <w:sz w:val="24"/>
              </w:rPr>
              <w:t>HJ953-2018</w:t>
            </w:r>
            <w:r>
              <w:rPr>
                <w:rFonts w:hint="eastAsia"/>
                <w:sz w:val="24"/>
              </w:rPr>
              <w:t>）中表</w:t>
            </w:r>
            <w:r>
              <w:rPr>
                <w:sz w:val="24"/>
              </w:rPr>
              <w:t>7</w:t>
            </w:r>
            <w:r>
              <w:rPr>
                <w:rFonts w:hint="eastAsia"/>
                <w:sz w:val="24"/>
                <w:lang w:val="zh-CN"/>
              </w:rPr>
              <w:t>锅炉烟气污染防治可行技术，针对一般地区的天然气室燃炉，二氧化硫、颗粒物无要求，氮氧化物可采取的污染防治可行技术有低氮燃烧技术、低氮燃烧</w:t>
            </w:r>
            <w:r>
              <w:rPr>
                <w:sz w:val="24"/>
                <w:lang w:val="zh-CN"/>
              </w:rPr>
              <w:t>+SCR</w:t>
            </w:r>
            <w:r>
              <w:rPr>
                <w:rFonts w:hint="eastAsia"/>
                <w:sz w:val="24"/>
                <w:lang w:val="zh-CN"/>
              </w:rPr>
              <w:t>脱硝技术，本项目采用低氮燃烧+烟气循环系统，</w:t>
            </w:r>
            <w:r>
              <w:rPr>
                <w:rFonts w:hint="eastAsia"/>
                <w:sz w:val="24"/>
              </w:rPr>
              <w:t>属于</w:t>
            </w:r>
            <w:r>
              <w:rPr>
                <w:sz w:val="24"/>
              </w:rPr>
              <w:t>HJ953-2018</w:t>
            </w:r>
            <w:r>
              <w:rPr>
                <w:rFonts w:hint="eastAsia"/>
                <w:sz w:val="24"/>
              </w:rPr>
              <w:t>中可行技术，且天然气导热油炉燃烧废气颗粒物、二氧化硫、氮氧化物的排放浓度满足《锅炉大气污染物排放标准》（</w:t>
            </w:r>
            <w:r>
              <w:rPr>
                <w:sz w:val="24"/>
              </w:rPr>
              <w:t>DB41/2089-2021</w:t>
            </w:r>
            <w:r>
              <w:rPr>
                <w:rFonts w:hint="eastAsia"/>
                <w:sz w:val="24"/>
              </w:rPr>
              <w:t>）表</w:t>
            </w:r>
            <w:r>
              <w:rPr>
                <w:sz w:val="24"/>
              </w:rPr>
              <w:t>1</w:t>
            </w:r>
            <w:r>
              <w:rPr>
                <w:rFonts w:hint="eastAsia"/>
                <w:sz w:val="24"/>
              </w:rPr>
              <w:t>中燃气锅炉特别排放浓度限值，因此本项目天然气导热油锅炉采用国际领先的低氮燃烧+烟气循环技术是可行的。</w:t>
            </w:r>
          </w:p>
          <w:p w14:paraId="354172C7">
            <w:pPr>
              <w:pStyle w:val="11"/>
              <w:spacing w:line="360" w:lineRule="auto"/>
              <w:ind w:firstLine="466"/>
              <w:rPr>
                <w:b/>
                <w:spacing w:val="-4"/>
                <w:sz w:val="24"/>
              </w:rPr>
            </w:pPr>
            <w:r>
              <w:rPr>
                <w:rFonts w:hint="eastAsia"/>
                <w:b/>
                <w:spacing w:val="-4"/>
                <w:sz w:val="24"/>
              </w:rPr>
              <w:t>1.3大气环境影响分析</w:t>
            </w:r>
          </w:p>
          <w:p w14:paraId="0546F755">
            <w:pPr>
              <w:pStyle w:val="11"/>
              <w:spacing w:line="360" w:lineRule="auto"/>
              <w:ind w:firstLine="464"/>
              <w:rPr>
                <w:spacing w:val="-4"/>
                <w:sz w:val="24"/>
              </w:rPr>
            </w:pPr>
            <w:r>
              <w:rPr>
                <w:rFonts w:hint="eastAsia"/>
                <w:spacing w:val="-4"/>
                <w:sz w:val="24"/>
              </w:rPr>
              <w:t>本项目为</w:t>
            </w:r>
            <w:r>
              <w:rPr>
                <w:rFonts w:hint="eastAsia"/>
                <w:bCs w:val="0"/>
                <w:sz w:val="24"/>
              </w:rPr>
              <w:t>年产2.5万吨动物油脂项目，涉及的</w:t>
            </w:r>
            <w:r>
              <w:rPr>
                <w:rFonts w:hint="eastAsia"/>
                <w:spacing w:val="-4"/>
                <w:sz w:val="24"/>
              </w:rPr>
              <w:t>污染因子主要为油烟、</w:t>
            </w:r>
            <w:r>
              <w:rPr>
                <w:spacing w:val="-4"/>
                <w:sz w:val="24"/>
              </w:rPr>
              <w:t>NH</w:t>
            </w:r>
            <w:r>
              <w:rPr>
                <w:spacing w:val="-4"/>
                <w:sz w:val="24"/>
                <w:vertAlign w:val="subscript"/>
              </w:rPr>
              <w:t>3</w:t>
            </w:r>
            <w:r>
              <w:rPr>
                <w:rFonts w:hint="eastAsia"/>
                <w:spacing w:val="-4"/>
                <w:sz w:val="24"/>
              </w:rPr>
              <w:t>、</w:t>
            </w:r>
            <w:r>
              <w:rPr>
                <w:spacing w:val="-4"/>
                <w:sz w:val="24"/>
              </w:rPr>
              <w:t>H</w:t>
            </w:r>
            <w:r>
              <w:rPr>
                <w:spacing w:val="-4"/>
                <w:sz w:val="24"/>
                <w:vertAlign w:val="subscript"/>
              </w:rPr>
              <w:t>2</w:t>
            </w:r>
            <w:r>
              <w:rPr>
                <w:spacing w:val="-4"/>
                <w:sz w:val="24"/>
              </w:rPr>
              <w:t>S、</w:t>
            </w:r>
            <w:r>
              <w:rPr>
                <w:rFonts w:hint="eastAsia"/>
                <w:color w:val="000000"/>
                <w:sz w:val="24"/>
              </w:rPr>
              <w:t>臭气浓度、</w:t>
            </w:r>
            <w:r>
              <w:rPr>
                <w:rFonts w:hint="eastAsia"/>
                <w:spacing w:val="-4"/>
                <w:sz w:val="24"/>
              </w:rPr>
              <w:t>烟尘、</w:t>
            </w:r>
            <w:r>
              <w:rPr>
                <w:spacing w:val="-4"/>
                <w:sz w:val="24"/>
              </w:rPr>
              <w:t>SO</w:t>
            </w:r>
            <w:r>
              <w:rPr>
                <w:spacing w:val="-4"/>
                <w:sz w:val="24"/>
                <w:vertAlign w:val="subscript"/>
              </w:rPr>
              <w:t>2</w:t>
            </w:r>
            <w:r>
              <w:rPr>
                <w:rFonts w:hint="eastAsia"/>
                <w:spacing w:val="-4"/>
                <w:sz w:val="24"/>
              </w:rPr>
              <w:t>及</w:t>
            </w:r>
            <w:r>
              <w:rPr>
                <w:spacing w:val="-4"/>
                <w:sz w:val="24"/>
              </w:rPr>
              <w:t>NO</w:t>
            </w:r>
            <w:r>
              <w:rPr>
                <w:spacing w:val="-4"/>
                <w:sz w:val="24"/>
                <w:vertAlign w:val="subscript"/>
              </w:rPr>
              <w:t>X</w:t>
            </w:r>
            <w:r>
              <w:rPr>
                <w:rFonts w:hint="eastAsia"/>
                <w:spacing w:val="-4"/>
                <w:sz w:val="24"/>
              </w:rPr>
              <w:t>，</w:t>
            </w:r>
            <w:r>
              <w:rPr>
                <w:rFonts w:hint="eastAsia"/>
                <w:kern w:val="0"/>
                <w:sz w:val="24"/>
              </w:rPr>
              <w:t>项目车间全密闭，主要废气产生工序均设有废气收集措施及处理措施，废气经处理后可经排气筒达标排放。</w:t>
            </w:r>
            <w:r>
              <w:rPr>
                <w:spacing w:val="-4"/>
                <w:sz w:val="24"/>
              </w:rPr>
              <w:t>距离项目</w:t>
            </w:r>
            <w:r>
              <w:rPr>
                <w:rFonts w:hint="eastAsia"/>
                <w:spacing w:val="-4"/>
                <w:sz w:val="24"/>
              </w:rPr>
              <w:t>最近</w:t>
            </w:r>
            <w:r>
              <w:rPr>
                <w:spacing w:val="-4"/>
                <w:sz w:val="24"/>
              </w:rPr>
              <w:t>环境保护目标为</w:t>
            </w:r>
            <w:r>
              <w:rPr>
                <w:rFonts w:hint="eastAsia"/>
                <w:spacing w:val="-4"/>
                <w:sz w:val="24"/>
              </w:rPr>
              <w:t>厂区西南侧约430m处的张营，厂房与其之间分布有农田及林地，对其影响较小。</w:t>
            </w:r>
            <w:r>
              <w:rPr>
                <w:spacing w:val="-4"/>
                <w:sz w:val="24"/>
              </w:rPr>
              <w:t>综上可知，项目废气排放对环境影响较小。</w:t>
            </w:r>
          </w:p>
          <w:p w14:paraId="39BF5B7B">
            <w:pPr>
              <w:pStyle w:val="11"/>
              <w:spacing w:line="360" w:lineRule="auto"/>
              <w:ind w:firstLine="464"/>
              <w:rPr>
                <w:sz w:val="24"/>
              </w:rPr>
            </w:pPr>
            <w:r>
              <w:rPr>
                <w:rFonts w:hint="eastAsia"/>
                <w:spacing w:val="-4"/>
                <w:sz w:val="24"/>
              </w:rPr>
              <w:t>项目所在区域PM</w:t>
            </w:r>
            <w:r>
              <w:rPr>
                <w:rFonts w:hint="eastAsia"/>
                <w:spacing w:val="-4"/>
                <w:sz w:val="24"/>
                <w:vertAlign w:val="subscript"/>
              </w:rPr>
              <w:t>10</w:t>
            </w:r>
            <w:r>
              <w:rPr>
                <w:rFonts w:hint="eastAsia"/>
                <w:spacing w:val="-4"/>
                <w:sz w:val="24"/>
              </w:rPr>
              <w:t>、PM</w:t>
            </w:r>
            <w:r>
              <w:rPr>
                <w:rFonts w:hint="eastAsia"/>
                <w:spacing w:val="-4"/>
                <w:sz w:val="24"/>
                <w:vertAlign w:val="subscript"/>
              </w:rPr>
              <w:t>2.5</w:t>
            </w:r>
            <w:r>
              <w:rPr>
                <w:rFonts w:hint="eastAsia"/>
                <w:spacing w:val="-4"/>
                <w:sz w:val="24"/>
              </w:rPr>
              <w:t>虽未满足环境质量标准要求，但区域一直在采取各项消减措施，规划年PM</w:t>
            </w:r>
            <w:r>
              <w:rPr>
                <w:rFonts w:hint="eastAsia"/>
                <w:spacing w:val="-4"/>
                <w:sz w:val="24"/>
                <w:vertAlign w:val="subscript"/>
              </w:rPr>
              <w:t>10</w:t>
            </w:r>
            <w:r>
              <w:rPr>
                <w:rFonts w:hint="eastAsia"/>
                <w:spacing w:val="-4"/>
                <w:sz w:val="24"/>
              </w:rPr>
              <w:t>、PM</w:t>
            </w:r>
            <w:r>
              <w:rPr>
                <w:rFonts w:hint="eastAsia"/>
                <w:spacing w:val="-4"/>
                <w:sz w:val="24"/>
                <w:vertAlign w:val="subscript"/>
              </w:rPr>
              <w:t>2.5</w:t>
            </w:r>
            <w:r>
              <w:rPr>
                <w:rFonts w:hint="eastAsia"/>
                <w:spacing w:val="-4"/>
                <w:sz w:val="24"/>
              </w:rPr>
              <w:t>基本能够达到目标值，且项目废气污染物可以达标排放，</w:t>
            </w:r>
            <w:r>
              <w:rPr>
                <w:rFonts w:hint="eastAsia"/>
                <w:bCs w:val="0"/>
                <w:sz w:val="24"/>
              </w:rPr>
              <w:t>因此项目</w:t>
            </w:r>
            <w:r>
              <w:rPr>
                <w:rFonts w:hint="eastAsia"/>
                <w:sz w:val="24"/>
              </w:rPr>
              <w:t>对区域环境影响在可接受范围内。</w:t>
            </w:r>
          </w:p>
          <w:p w14:paraId="4343A7F1">
            <w:pPr>
              <w:pStyle w:val="11"/>
              <w:spacing w:line="360" w:lineRule="auto"/>
              <w:ind w:firstLine="466"/>
              <w:rPr>
                <w:b/>
                <w:spacing w:val="-4"/>
                <w:sz w:val="24"/>
              </w:rPr>
            </w:pPr>
            <w:r>
              <w:rPr>
                <w:rFonts w:hint="eastAsia"/>
                <w:b/>
                <w:spacing w:val="-4"/>
                <w:sz w:val="24"/>
              </w:rPr>
              <w:t>1.4非正常工况</w:t>
            </w:r>
          </w:p>
          <w:p w14:paraId="2A3A79B5">
            <w:pPr>
              <w:spacing w:line="360" w:lineRule="auto"/>
              <w:ind w:firstLine="480"/>
              <w:rPr>
                <w:bCs/>
                <w:sz w:val="24"/>
              </w:rPr>
            </w:pPr>
            <w:r>
              <w:rPr>
                <w:rFonts w:hint="eastAsia"/>
                <w:bCs/>
                <w:sz w:val="24"/>
              </w:rPr>
              <w:t>非正常工况指生产设施非正常工况或污染防治（控制）设施非正常状况，其中生产设施非正常工况指开停机、设备检修、工艺设备运转异常等工况，污染防治（控制）设施非正常状况指出现故障情况。本项目非正常工况废气排放量核算见表19。</w:t>
            </w:r>
          </w:p>
          <w:p w14:paraId="23361EC9">
            <w:pPr>
              <w:jc w:val="center"/>
              <w:rPr>
                <w:b/>
                <w:sz w:val="24"/>
              </w:rPr>
            </w:pPr>
            <w:r>
              <w:rPr>
                <w:rFonts w:hint="eastAsia"/>
                <w:b/>
                <w:sz w:val="24"/>
              </w:rPr>
              <w:t>表19   本项目污染源非正常工况废气排放一览表</w:t>
            </w:r>
          </w:p>
          <w:tbl>
            <w:tblPr>
              <w:tblStyle w:val="29"/>
              <w:tblW w:w="5000"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0" w:type="dxa"/>
                <w:bottom w:w="0" w:type="dxa"/>
                <w:right w:w="0" w:type="dxa"/>
              </w:tblCellMar>
            </w:tblPr>
            <w:tblGrid>
              <w:gridCol w:w="305"/>
              <w:gridCol w:w="1666"/>
              <w:gridCol w:w="926"/>
              <w:gridCol w:w="864"/>
              <w:gridCol w:w="1217"/>
              <w:gridCol w:w="1134"/>
              <w:gridCol w:w="907"/>
              <w:gridCol w:w="958"/>
              <w:gridCol w:w="826"/>
            </w:tblGrid>
            <w:tr w14:paraId="6EEA67E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0" w:hRule="atLeast"/>
                <w:jc w:val="center"/>
              </w:trPr>
              <w:tc>
                <w:tcPr>
                  <w:tcW w:w="173" w:type="pct"/>
                  <w:vAlign w:val="center"/>
                </w:tcPr>
                <w:p w14:paraId="7D899C0B">
                  <w:pPr>
                    <w:snapToGrid w:val="0"/>
                    <w:jc w:val="center"/>
                    <w:rPr>
                      <w:szCs w:val="21"/>
                    </w:rPr>
                  </w:pPr>
                  <w:r>
                    <w:rPr>
                      <w:szCs w:val="21"/>
                    </w:rPr>
                    <w:t>序号</w:t>
                  </w:r>
                </w:p>
              </w:tc>
              <w:tc>
                <w:tcPr>
                  <w:tcW w:w="946" w:type="pct"/>
                  <w:vAlign w:val="center"/>
                </w:tcPr>
                <w:p w14:paraId="2DDE0AB9">
                  <w:pPr>
                    <w:snapToGrid w:val="0"/>
                    <w:jc w:val="center"/>
                    <w:rPr>
                      <w:szCs w:val="21"/>
                    </w:rPr>
                  </w:pPr>
                  <w:r>
                    <w:rPr>
                      <w:szCs w:val="21"/>
                    </w:rPr>
                    <w:t>污染源</w:t>
                  </w:r>
                </w:p>
              </w:tc>
              <w:tc>
                <w:tcPr>
                  <w:tcW w:w="526" w:type="pct"/>
                  <w:vAlign w:val="center"/>
                </w:tcPr>
                <w:p w14:paraId="16B4CA1B">
                  <w:pPr>
                    <w:snapToGrid w:val="0"/>
                    <w:jc w:val="center"/>
                    <w:rPr>
                      <w:szCs w:val="21"/>
                    </w:rPr>
                  </w:pPr>
                  <w:r>
                    <w:rPr>
                      <w:rFonts w:hint="eastAsia"/>
                      <w:szCs w:val="21"/>
                    </w:rPr>
                    <w:t>环保装置处理效率</w:t>
                  </w:r>
                </w:p>
              </w:tc>
              <w:tc>
                <w:tcPr>
                  <w:tcW w:w="491" w:type="pct"/>
                  <w:vAlign w:val="center"/>
                </w:tcPr>
                <w:p w14:paraId="3DAF9081">
                  <w:pPr>
                    <w:snapToGrid w:val="0"/>
                    <w:jc w:val="center"/>
                    <w:rPr>
                      <w:szCs w:val="21"/>
                    </w:rPr>
                  </w:pPr>
                  <w:r>
                    <w:rPr>
                      <w:szCs w:val="21"/>
                    </w:rPr>
                    <w:t>污染物</w:t>
                  </w:r>
                </w:p>
              </w:tc>
              <w:tc>
                <w:tcPr>
                  <w:tcW w:w="691" w:type="pct"/>
                  <w:vAlign w:val="center"/>
                </w:tcPr>
                <w:p w14:paraId="7F4AE90D">
                  <w:pPr>
                    <w:snapToGrid w:val="0"/>
                    <w:jc w:val="center"/>
                    <w:rPr>
                      <w:szCs w:val="21"/>
                    </w:rPr>
                  </w:pPr>
                  <w:r>
                    <w:rPr>
                      <w:szCs w:val="21"/>
                    </w:rPr>
                    <w:t>非正常排放浓度/（mg/m</w:t>
                  </w:r>
                  <w:r>
                    <w:rPr>
                      <w:szCs w:val="21"/>
                      <w:vertAlign w:val="superscript"/>
                    </w:rPr>
                    <w:t>3</w:t>
                  </w:r>
                  <w:r>
                    <w:rPr>
                      <w:szCs w:val="21"/>
                    </w:rPr>
                    <w:t>）</w:t>
                  </w:r>
                </w:p>
              </w:tc>
              <w:tc>
                <w:tcPr>
                  <w:tcW w:w="644" w:type="pct"/>
                  <w:vAlign w:val="center"/>
                </w:tcPr>
                <w:p w14:paraId="11032A19">
                  <w:pPr>
                    <w:snapToGrid w:val="0"/>
                    <w:jc w:val="center"/>
                    <w:rPr>
                      <w:szCs w:val="21"/>
                    </w:rPr>
                  </w:pPr>
                  <w:r>
                    <w:rPr>
                      <w:szCs w:val="21"/>
                    </w:rPr>
                    <w:t>非正常排放速率/（kg/h）</w:t>
                  </w:r>
                </w:p>
              </w:tc>
              <w:tc>
                <w:tcPr>
                  <w:tcW w:w="515" w:type="pct"/>
                  <w:vAlign w:val="center"/>
                </w:tcPr>
                <w:p w14:paraId="38ED86B0">
                  <w:pPr>
                    <w:snapToGrid w:val="0"/>
                    <w:jc w:val="center"/>
                    <w:rPr>
                      <w:szCs w:val="21"/>
                    </w:rPr>
                  </w:pPr>
                  <w:r>
                    <w:rPr>
                      <w:szCs w:val="21"/>
                    </w:rPr>
                    <w:t>单次持续时间/</w:t>
                  </w:r>
                  <w:r>
                    <w:rPr>
                      <w:rFonts w:hint="eastAsia"/>
                      <w:szCs w:val="21"/>
                    </w:rPr>
                    <w:t>min</w:t>
                  </w:r>
                </w:p>
              </w:tc>
              <w:tc>
                <w:tcPr>
                  <w:tcW w:w="544" w:type="pct"/>
                  <w:vAlign w:val="center"/>
                </w:tcPr>
                <w:p w14:paraId="3B3135E9">
                  <w:pPr>
                    <w:snapToGrid w:val="0"/>
                    <w:jc w:val="center"/>
                    <w:rPr>
                      <w:szCs w:val="21"/>
                    </w:rPr>
                  </w:pPr>
                  <w:r>
                    <w:rPr>
                      <w:rFonts w:hint="eastAsia"/>
                      <w:szCs w:val="21"/>
                    </w:rPr>
                    <w:t>非正常排放量kg</w:t>
                  </w:r>
                </w:p>
              </w:tc>
              <w:tc>
                <w:tcPr>
                  <w:tcW w:w="469" w:type="pct"/>
                  <w:vAlign w:val="center"/>
                </w:tcPr>
                <w:p w14:paraId="08387093">
                  <w:pPr>
                    <w:snapToGrid w:val="0"/>
                    <w:jc w:val="center"/>
                    <w:rPr>
                      <w:szCs w:val="21"/>
                    </w:rPr>
                  </w:pPr>
                  <w:r>
                    <w:rPr>
                      <w:szCs w:val="21"/>
                    </w:rPr>
                    <w:t>年发生频次/次</w:t>
                  </w:r>
                </w:p>
              </w:tc>
            </w:tr>
            <w:tr w14:paraId="1F7946E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9" w:hRule="atLeast"/>
                <w:jc w:val="center"/>
              </w:trPr>
              <w:tc>
                <w:tcPr>
                  <w:tcW w:w="173" w:type="pct"/>
                  <w:vMerge w:val="restart"/>
                  <w:vAlign w:val="center"/>
                </w:tcPr>
                <w:p w14:paraId="02FF3642">
                  <w:pPr>
                    <w:snapToGrid w:val="0"/>
                    <w:jc w:val="center"/>
                    <w:rPr>
                      <w:szCs w:val="21"/>
                    </w:rPr>
                  </w:pPr>
                  <w:r>
                    <w:rPr>
                      <w:szCs w:val="21"/>
                    </w:rPr>
                    <w:t>1</w:t>
                  </w:r>
                </w:p>
              </w:tc>
              <w:tc>
                <w:tcPr>
                  <w:tcW w:w="946" w:type="pct"/>
                  <w:vMerge w:val="restart"/>
                  <w:vAlign w:val="center"/>
                </w:tcPr>
                <w:p w14:paraId="13FA1145">
                  <w:pPr>
                    <w:snapToGrid w:val="0"/>
                    <w:jc w:val="center"/>
                    <w:rPr>
                      <w:spacing w:val="-10"/>
                      <w:szCs w:val="21"/>
                      <w:highlight w:val="green"/>
                    </w:rPr>
                  </w:pPr>
                  <w:r>
                    <w:rPr>
                      <w:rFonts w:hint="eastAsia"/>
                      <w:color w:val="000000"/>
                      <w:spacing w:val="-10"/>
                      <w:szCs w:val="21"/>
                    </w:rPr>
                    <w:t>1#生产车间破碎、熬制、压饼、污水处理站</w:t>
                  </w:r>
                  <w:r>
                    <w:rPr>
                      <w:color w:val="000000"/>
                      <w:spacing w:val="-10"/>
                      <w:szCs w:val="21"/>
                    </w:rPr>
                    <w:t>恶臭气体</w:t>
                  </w:r>
                  <w:r>
                    <w:rPr>
                      <w:rFonts w:hint="eastAsia"/>
                      <w:color w:val="000000"/>
                      <w:spacing w:val="-10"/>
                      <w:szCs w:val="21"/>
                    </w:rPr>
                    <w:t>及熬制油烟</w:t>
                  </w:r>
                </w:p>
              </w:tc>
              <w:tc>
                <w:tcPr>
                  <w:tcW w:w="526" w:type="pct"/>
                  <w:vAlign w:val="center"/>
                </w:tcPr>
                <w:p w14:paraId="48227786">
                  <w:pPr>
                    <w:snapToGrid w:val="0"/>
                    <w:jc w:val="center"/>
                    <w:rPr>
                      <w:szCs w:val="21"/>
                    </w:rPr>
                  </w:pPr>
                  <w:r>
                    <w:rPr>
                      <w:rFonts w:hint="eastAsia"/>
                      <w:szCs w:val="21"/>
                    </w:rPr>
                    <w:t>0</w:t>
                  </w:r>
                </w:p>
              </w:tc>
              <w:tc>
                <w:tcPr>
                  <w:tcW w:w="491" w:type="pct"/>
                  <w:vAlign w:val="center"/>
                </w:tcPr>
                <w:p w14:paraId="62251E89">
                  <w:pPr>
                    <w:pStyle w:val="73"/>
                    <w:spacing w:line="240" w:lineRule="auto"/>
                    <w:ind w:firstLine="0" w:firstLineChars="0"/>
                    <w:jc w:val="center"/>
                    <w:rPr>
                      <w:color w:val="000000"/>
                      <w:spacing w:val="-10"/>
                      <w:sz w:val="21"/>
                      <w:szCs w:val="21"/>
                    </w:rPr>
                  </w:pPr>
                  <w:r>
                    <w:rPr>
                      <w:rFonts w:hint="eastAsia"/>
                      <w:color w:val="000000"/>
                      <w:spacing w:val="-10"/>
                      <w:sz w:val="21"/>
                      <w:szCs w:val="21"/>
                    </w:rPr>
                    <w:t>油烟</w:t>
                  </w:r>
                </w:p>
              </w:tc>
              <w:tc>
                <w:tcPr>
                  <w:tcW w:w="691" w:type="pct"/>
                  <w:vAlign w:val="center"/>
                </w:tcPr>
                <w:p w14:paraId="41499702">
                  <w:pPr>
                    <w:widowControl/>
                    <w:jc w:val="center"/>
                    <w:rPr>
                      <w:color w:val="000000"/>
                      <w:szCs w:val="21"/>
                    </w:rPr>
                  </w:pPr>
                  <w:r>
                    <w:rPr>
                      <w:rFonts w:hint="eastAsia"/>
                      <w:color w:val="000000"/>
                      <w:szCs w:val="21"/>
                    </w:rPr>
                    <w:t>34.67</w:t>
                  </w:r>
                </w:p>
              </w:tc>
              <w:tc>
                <w:tcPr>
                  <w:tcW w:w="644" w:type="pct"/>
                  <w:vAlign w:val="center"/>
                </w:tcPr>
                <w:p w14:paraId="0C9A2028">
                  <w:pPr>
                    <w:jc w:val="center"/>
                    <w:rPr>
                      <w:color w:val="000000"/>
                      <w:szCs w:val="21"/>
                    </w:rPr>
                  </w:pPr>
                  <w:r>
                    <w:rPr>
                      <w:color w:val="000000"/>
                      <w:szCs w:val="21"/>
                    </w:rPr>
                    <w:t>0.52</w:t>
                  </w:r>
                </w:p>
              </w:tc>
              <w:tc>
                <w:tcPr>
                  <w:tcW w:w="515" w:type="pct"/>
                  <w:vMerge w:val="restart"/>
                  <w:vAlign w:val="center"/>
                </w:tcPr>
                <w:p w14:paraId="6A2400CB">
                  <w:pPr>
                    <w:snapToGrid w:val="0"/>
                    <w:jc w:val="center"/>
                    <w:rPr>
                      <w:szCs w:val="21"/>
                    </w:rPr>
                  </w:pPr>
                  <w:r>
                    <w:rPr>
                      <w:rFonts w:hint="eastAsia"/>
                      <w:szCs w:val="21"/>
                    </w:rPr>
                    <w:t>30</w:t>
                  </w:r>
                </w:p>
              </w:tc>
              <w:tc>
                <w:tcPr>
                  <w:tcW w:w="544" w:type="pct"/>
                  <w:vAlign w:val="center"/>
                </w:tcPr>
                <w:p w14:paraId="6FD08676">
                  <w:pPr>
                    <w:jc w:val="center"/>
                    <w:rPr>
                      <w:rFonts w:ascii="宋体" w:hAnsi="宋体" w:cs="宋体"/>
                      <w:color w:val="000000"/>
                      <w:szCs w:val="21"/>
                    </w:rPr>
                  </w:pPr>
                  <w:r>
                    <w:rPr>
                      <w:rFonts w:hint="eastAsia"/>
                      <w:color w:val="000000"/>
                      <w:szCs w:val="21"/>
                    </w:rPr>
                    <w:t>0.26</w:t>
                  </w:r>
                </w:p>
              </w:tc>
              <w:tc>
                <w:tcPr>
                  <w:tcW w:w="469" w:type="pct"/>
                  <w:vMerge w:val="restart"/>
                  <w:vAlign w:val="center"/>
                </w:tcPr>
                <w:p w14:paraId="77208F2B">
                  <w:pPr>
                    <w:snapToGrid w:val="0"/>
                    <w:jc w:val="center"/>
                    <w:rPr>
                      <w:szCs w:val="21"/>
                    </w:rPr>
                  </w:pPr>
                  <w:r>
                    <w:rPr>
                      <w:rFonts w:hint="eastAsia"/>
                      <w:szCs w:val="21"/>
                    </w:rPr>
                    <w:t>1</w:t>
                  </w:r>
                </w:p>
              </w:tc>
            </w:tr>
            <w:tr w14:paraId="55BB1B6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9" w:hRule="atLeast"/>
                <w:jc w:val="center"/>
              </w:trPr>
              <w:tc>
                <w:tcPr>
                  <w:tcW w:w="173" w:type="pct"/>
                  <w:vMerge w:val="continue"/>
                  <w:vAlign w:val="center"/>
                </w:tcPr>
                <w:p w14:paraId="6E29ABE5">
                  <w:pPr>
                    <w:snapToGrid w:val="0"/>
                    <w:jc w:val="center"/>
                  </w:pPr>
                </w:p>
              </w:tc>
              <w:tc>
                <w:tcPr>
                  <w:tcW w:w="946" w:type="pct"/>
                  <w:vMerge w:val="continue"/>
                  <w:vAlign w:val="center"/>
                </w:tcPr>
                <w:p w14:paraId="28006AB3">
                  <w:pPr>
                    <w:snapToGrid w:val="0"/>
                    <w:jc w:val="center"/>
                  </w:pPr>
                </w:p>
              </w:tc>
              <w:tc>
                <w:tcPr>
                  <w:tcW w:w="526" w:type="pct"/>
                  <w:vAlign w:val="center"/>
                </w:tcPr>
                <w:p w14:paraId="69991F96">
                  <w:pPr>
                    <w:snapToGrid w:val="0"/>
                    <w:jc w:val="center"/>
                    <w:rPr>
                      <w:szCs w:val="21"/>
                    </w:rPr>
                  </w:pPr>
                  <w:r>
                    <w:rPr>
                      <w:rFonts w:hint="eastAsia"/>
                      <w:szCs w:val="21"/>
                    </w:rPr>
                    <w:t>0</w:t>
                  </w:r>
                </w:p>
              </w:tc>
              <w:tc>
                <w:tcPr>
                  <w:tcW w:w="491" w:type="pct"/>
                  <w:vAlign w:val="center"/>
                </w:tcPr>
                <w:p w14:paraId="1C9D0BE7">
                  <w:pPr>
                    <w:pStyle w:val="11"/>
                    <w:snapToGrid w:val="0"/>
                    <w:ind w:firstLine="0" w:firstLineChars="0"/>
                    <w:jc w:val="center"/>
                    <w:rPr>
                      <w:color w:val="000000"/>
                      <w:szCs w:val="21"/>
                    </w:rPr>
                  </w:pPr>
                  <w:r>
                    <w:rPr>
                      <w:rFonts w:hint="eastAsia"/>
                      <w:color w:val="000000"/>
                      <w:szCs w:val="21"/>
                    </w:rPr>
                    <w:t>NH</w:t>
                  </w:r>
                  <w:r>
                    <w:rPr>
                      <w:rFonts w:hint="eastAsia"/>
                      <w:color w:val="000000"/>
                      <w:szCs w:val="21"/>
                      <w:vertAlign w:val="subscript"/>
                    </w:rPr>
                    <w:t>3</w:t>
                  </w:r>
                </w:p>
              </w:tc>
              <w:tc>
                <w:tcPr>
                  <w:tcW w:w="691" w:type="pct"/>
                  <w:vAlign w:val="center"/>
                </w:tcPr>
                <w:p w14:paraId="43124CF7">
                  <w:pPr>
                    <w:widowControl/>
                    <w:jc w:val="center"/>
                    <w:rPr>
                      <w:color w:val="000000"/>
                      <w:szCs w:val="21"/>
                    </w:rPr>
                  </w:pPr>
                  <w:r>
                    <w:rPr>
                      <w:rFonts w:hint="eastAsia"/>
                      <w:color w:val="000000"/>
                      <w:szCs w:val="21"/>
                    </w:rPr>
                    <w:t>46.87</w:t>
                  </w:r>
                </w:p>
              </w:tc>
              <w:tc>
                <w:tcPr>
                  <w:tcW w:w="644" w:type="pct"/>
                  <w:vAlign w:val="center"/>
                </w:tcPr>
                <w:p w14:paraId="389CE3FD">
                  <w:pPr>
                    <w:jc w:val="center"/>
                    <w:rPr>
                      <w:rFonts w:ascii="宋体" w:hAnsi="宋体" w:cs="宋体"/>
                      <w:color w:val="000000"/>
                      <w:szCs w:val="21"/>
                    </w:rPr>
                  </w:pPr>
                  <w:r>
                    <w:rPr>
                      <w:rFonts w:hint="eastAsia"/>
                      <w:color w:val="000000"/>
                      <w:szCs w:val="21"/>
                    </w:rPr>
                    <w:t>0.703</w:t>
                  </w:r>
                </w:p>
              </w:tc>
              <w:tc>
                <w:tcPr>
                  <w:tcW w:w="515" w:type="pct"/>
                  <w:vMerge w:val="continue"/>
                  <w:vAlign w:val="center"/>
                </w:tcPr>
                <w:p w14:paraId="330BCD5E">
                  <w:pPr>
                    <w:snapToGrid w:val="0"/>
                    <w:jc w:val="center"/>
                    <w:rPr>
                      <w:szCs w:val="21"/>
                    </w:rPr>
                  </w:pPr>
                </w:p>
              </w:tc>
              <w:tc>
                <w:tcPr>
                  <w:tcW w:w="544" w:type="pct"/>
                  <w:vAlign w:val="center"/>
                </w:tcPr>
                <w:p w14:paraId="16EA04CA">
                  <w:pPr>
                    <w:jc w:val="center"/>
                    <w:rPr>
                      <w:rFonts w:ascii="宋体" w:hAnsi="宋体" w:cs="宋体"/>
                      <w:color w:val="000000"/>
                      <w:szCs w:val="21"/>
                    </w:rPr>
                  </w:pPr>
                  <w:r>
                    <w:rPr>
                      <w:rFonts w:hint="eastAsia"/>
                      <w:color w:val="000000"/>
                      <w:szCs w:val="21"/>
                    </w:rPr>
                    <w:t>0.3515</w:t>
                  </w:r>
                </w:p>
              </w:tc>
              <w:tc>
                <w:tcPr>
                  <w:tcW w:w="469" w:type="pct"/>
                  <w:vMerge w:val="continue"/>
                  <w:vAlign w:val="center"/>
                </w:tcPr>
                <w:p w14:paraId="190B7973">
                  <w:pPr>
                    <w:snapToGrid w:val="0"/>
                    <w:jc w:val="center"/>
                    <w:rPr>
                      <w:szCs w:val="21"/>
                    </w:rPr>
                  </w:pPr>
                </w:p>
              </w:tc>
            </w:tr>
            <w:tr w14:paraId="7F07291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9" w:hRule="atLeast"/>
                <w:jc w:val="center"/>
              </w:trPr>
              <w:tc>
                <w:tcPr>
                  <w:tcW w:w="173" w:type="pct"/>
                  <w:vMerge w:val="continue"/>
                  <w:vAlign w:val="center"/>
                </w:tcPr>
                <w:p w14:paraId="2FDBCAB1">
                  <w:pPr>
                    <w:snapToGrid w:val="0"/>
                    <w:jc w:val="center"/>
                    <w:rPr>
                      <w:szCs w:val="21"/>
                      <w:highlight w:val="green"/>
                    </w:rPr>
                  </w:pPr>
                </w:p>
              </w:tc>
              <w:tc>
                <w:tcPr>
                  <w:tcW w:w="946" w:type="pct"/>
                  <w:vMerge w:val="continue"/>
                  <w:vAlign w:val="center"/>
                </w:tcPr>
                <w:p w14:paraId="03ED79B4">
                  <w:pPr>
                    <w:snapToGrid w:val="0"/>
                    <w:jc w:val="center"/>
                    <w:rPr>
                      <w:szCs w:val="21"/>
                      <w:highlight w:val="green"/>
                    </w:rPr>
                  </w:pPr>
                </w:p>
              </w:tc>
              <w:tc>
                <w:tcPr>
                  <w:tcW w:w="526" w:type="pct"/>
                  <w:vAlign w:val="center"/>
                </w:tcPr>
                <w:p w14:paraId="1E4733E7">
                  <w:pPr>
                    <w:snapToGrid w:val="0"/>
                    <w:jc w:val="center"/>
                    <w:rPr>
                      <w:szCs w:val="21"/>
                    </w:rPr>
                  </w:pPr>
                  <w:r>
                    <w:rPr>
                      <w:rFonts w:hint="eastAsia"/>
                      <w:szCs w:val="21"/>
                    </w:rPr>
                    <w:t>0</w:t>
                  </w:r>
                </w:p>
              </w:tc>
              <w:tc>
                <w:tcPr>
                  <w:tcW w:w="491" w:type="pct"/>
                  <w:vAlign w:val="center"/>
                </w:tcPr>
                <w:p w14:paraId="075B7DAB">
                  <w:pPr>
                    <w:pStyle w:val="11"/>
                    <w:snapToGrid w:val="0"/>
                    <w:ind w:firstLine="0" w:firstLineChars="0"/>
                    <w:jc w:val="center"/>
                    <w:rPr>
                      <w:color w:val="000000"/>
                      <w:szCs w:val="21"/>
                    </w:rPr>
                  </w:pPr>
                  <w:r>
                    <w:rPr>
                      <w:rFonts w:hint="eastAsia"/>
                      <w:color w:val="000000"/>
                      <w:szCs w:val="21"/>
                    </w:rPr>
                    <w:t>H</w:t>
                  </w:r>
                  <w:r>
                    <w:rPr>
                      <w:rFonts w:hint="eastAsia"/>
                      <w:color w:val="000000"/>
                      <w:szCs w:val="21"/>
                      <w:vertAlign w:val="subscript"/>
                    </w:rPr>
                    <w:t>2</w:t>
                  </w:r>
                  <w:r>
                    <w:rPr>
                      <w:rFonts w:hint="eastAsia"/>
                      <w:color w:val="000000"/>
                      <w:szCs w:val="21"/>
                    </w:rPr>
                    <w:t>S</w:t>
                  </w:r>
                </w:p>
              </w:tc>
              <w:tc>
                <w:tcPr>
                  <w:tcW w:w="691" w:type="pct"/>
                  <w:vAlign w:val="center"/>
                </w:tcPr>
                <w:p w14:paraId="1A58F4E4">
                  <w:pPr>
                    <w:widowControl/>
                    <w:jc w:val="center"/>
                    <w:rPr>
                      <w:color w:val="000000"/>
                      <w:szCs w:val="21"/>
                    </w:rPr>
                  </w:pPr>
                  <w:r>
                    <w:rPr>
                      <w:rFonts w:hint="eastAsia"/>
                      <w:color w:val="000000"/>
                      <w:szCs w:val="21"/>
                    </w:rPr>
                    <w:t>10</w:t>
                  </w:r>
                </w:p>
              </w:tc>
              <w:tc>
                <w:tcPr>
                  <w:tcW w:w="644" w:type="pct"/>
                  <w:vAlign w:val="center"/>
                </w:tcPr>
                <w:p w14:paraId="348A4369">
                  <w:pPr>
                    <w:jc w:val="center"/>
                    <w:rPr>
                      <w:rFonts w:ascii="宋体" w:hAnsi="宋体" w:cs="宋体"/>
                      <w:color w:val="000000"/>
                      <w:szCs w:val="21"/>
                    </w:rPr>
                  </w:pPr>
                  <w:r>
                    <w:rPr>
                      <w:rFonts w:hint="eastAsia"/>
                      <w:color w:val="000000"/>
                      <w:szCs w:val="21"/>
                    </w:rPr>
                    <w:t>0.1501</w:t>
                  </w:r>
                </w:p>
              </w:tc>
              <w:tc>
                <w:tcPr>
                  <w:tcW w:w="515" w:type="pct"/>
                  <w:vMerge w:val="continue"/>
                  <w:vAlign w:val="center"/>
                </w:tcPr>
                <w:p w14:paraId="593D24FB">
                  <w:pPr>
                    <w:snapToGrid w:val="0"/>
                    <w:jc w:val="center"/>
                    <w:rPr>
                      <w:szCs w:val="21"/>
                    </w:rPr>
                  </w:pPr>
                </w:p>
              </w:tc>
              <w:tc>
                <w:tcPr>
                  <w:tcW w:w="544" w:type="pct"/>
                  <w:vAlign w:val="center"/>
                </w:tcPr>
                <w:p w14:paraId="2E702212">
                  <w:pPr>
                    <w:jc w:val="center"/>
                    <w:rPr>
                      <w:rFonts w:ascii="宋体" w:hAnsi="宋体" w:cs="宋体"/>
                      <w:color w:val="000000"/>
                      <w:szCs w:val="21"/>
                    </w:rPr>
                  </w:pPr>
                  <w:r>
                    <w:rPr>
                      <w:rFonts w:hint="eastAsia"/>
                      <w:color w:val="000000"/>
                      <w:szCs w:val="21"/>
                    </w:rPr>
                    <w:t>0.07505</w:t>
                  </w:r>
                </w:p>
              </w:tc>
              <w:tc>
                <w:tcPr>
                  <w:tcW w:w="469" w:type="pct"/>
                  <w:vMerge w:val="continue"/>
                  <w:vAlign w:val="center"/>
                </w:tcPr>
                <w:p w14:paraId="41495486">
                  <w:pPr>
                    <w:snapToGrid w:val="0"/>
                    <w:jc w:val="center"/>
                    <w:rPr>
                      <w:szCs w:val="21"/>
                    </w:rPr>
                  </w:pPr>
                </w:p>
              </w:tc>
            </w:tr>
            <w:tr w14:paraId="31A1868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9" w:hRule="atLeast"/>
                <w:jc w:val="center"/>
              </w:trPr>
              <w:tc>
                <w:tcPr>
                  <w:tcW w:w="173" w:type="pct"/>
                  <w:vMerge w:val="restart"/>
                  <w:vAlign w:val="center"/>
                </w:tcPr>
                <w:p w14:paraId="6BD8D47D">
                  <w:pPr>
                    <w:snapToGrid w:val="0"/>
                    <w:jc w:val="center"/>
                    <w:rPr>
                      <w:szCs w:val="21"/>
                      <w:highlight w:val="green"/>
                    </w:rPr>
                  </w:pPr>
                  <w:r>
                    <w:rPr>
                      <w:rFonts w:hint="eastAsia"/>
                      <w:szCs w:val="21"/>
                    </w:rPr>
                    <w:t>2</w:t>
                  </w:r>
                </w:p>
              </w:tc>
              <w:tc>
                <w:tcPr>
                  <w:tcW w:w="946" w:type="pct"/>
                  <w:vMerge w:val="restart"/>
                  <w:vAlign w:val="center"/>
                </w:tcPr>
                <w:p w14:paraId="65D3865E">
                  <w:pPr>
                    <w:snapToGrid w:val="0"/>
                    <w:jc w:val="center"/>
                    <w:rPr>
                      <w:szCs w:val="21"/>
                      <w:highlight w:val="green"/>
                    </w:rPr>
                  </w:pPr>
                  <w:r>
                    <w:rPr>
                      <w:rFonts w:hint="eastAsia"/>
                      <w:color w:val="000000"/>
                      <w:spacing w:val="-10"/>
                      <w:szCs w:val="21"/>
                    </w:rPr>
                    <w:t>2#生产车间破碎、熬制、压饼</w:t>
                  </w:r>
                  <w:r>
                    <w:rPr>
                      <w:color w:val="000000"/>
                      <w:spacing w:val="-10"/>
                      <w:szCs w:val="21"/>
                    </w:rPr>
                    <w:t>恶臭气体</w:t>
                  </w:r>
                  <w:r>
                    <w:rPr>
                      <w:rFonts w:hint="eastAsia"/>
                      <w:color w:val="000000"/>
                      <w:spacing w:val="-10"/>
                      <w:szCs w:val="21"/>
                    </w:rPr>
                    <w:t>及熬制油烟</w:t>
                  </w:r>
                </w:p>
              </w:tc>
              <w:tc>
                <w:tcPr>
                  <w:tcW w:w="526" w:type="pct"/>
                  <w:vAlign w:val="center"/>
                </w:tcPr>
                <w:p w14:paraId="672F5950">
                  <w:pPr>
                    <w:snapToGrid w:val="0"/>
                    <w:jc w:val="center"/>
                    <w:rPr>
                      <w:szCs w:val="21"/>
                    </w:rPr>
                  </w:pPr>
                  <w:r>
                    <w:rPr>
                      <w:rFonts w:hint="eastAsia"/>
                      <w:szCs w:val="21"/>
                    </w:rPr>
                    <w:t>0</w:t>
                  </w:r>
                </w:p>
              </w:tc>
              <w:tc>
                <w:tcPr>
                  <w:tcW w:w="491" w:type="pct"/>
                  <w:vAlign w:val="center"/>
                </w:tcPr>
                <w:p w14:paraId="4A50FC64">
                  <w:pPr>
                    <w:pStyle w:val="73"/>
                    <w:spacing w:line="240" w:lineRule="auto"/>
                    <w:ind w:firstLine="0" w:firstLineChars="0"/>
                    <w:jc w:val="center"/>
                    <w:rPr>
                      <w:color w:val="000000"/>
                      <w:spacing w:val="-10"/>
                      <w:sz w:val="21"/>
                      <w:szCs w:val="21"/>
                    </w:rPr>
                  </w:pPr>
                  <w:r>
                    <w:rPr>
                      <w:rFonts w:hint="eastAsia"/>
                      <w:color w:val="000000"/>
                      <w:spacing w:val="-10"/>
                      <w:sz w:val="21"/>
                      <w:szCs w:val="21"/>
                    </w:rPr>
                    <w:t>油烟</w:t>
                  </w:r>
                </w:p>
              </w:tc>
              <w:tc>
                <w:tcPr>
                  <w:tcW w:w="691" w:type="pct"/>
                  <w:vAlign w:val="center"/>
                </w:tcPr>
                <w:p w14:paraId="6904A136">
                  <w:pPr>
                    <w:widowControl/>
                    <w:jc w:val="center"/>
                    <w:rPr>
                      <w:color w:val="000000"/>
                      <w:szCs w:val="21"/>
                    </w:rPr>
                  </w:pPr>
                  <w:r>
                    <w:rPr>
                      <w:rFonts w:hint="eastAsia"/>
                      <w:color w:val="000000"/>
                      <w:szCs w:val="21"/>
                    </w:rPr>
                    <w:t>40</w:t>
                  </w:r>
                </w:p>
              </w:tc>
              <w:tc>
                <w:tcPr>
                  <w:tcW w:w="644" w:type="pct"/>
                  <w:vAlign w:val="center"/>
                </w:tcPr>
                <w:p w14:paraId="19394A17">
                  <w:pPr>
                    <w:widowControl/>
                    <w:jc w:val="center"/>
                    <w:rPr>
                      <w:color w:val="000000"/>
                      <w:szCs w:val="21"/>
                    </w:rPr>
                  </w:pPr>
                  <w:r>
                    <w:rPr>
                      <w:rFonts w:hint="eastAsia"/>
                      <w:color w:val="000000"/>
                      <w:szCs w:val="21"/>
                    </w:rPr>
                    <w:t>0.52</w:t>
                  </w:r>
                </w:p>
              </w:tc>
              <w:tc>
                <w:tcPr>
                  <w:tcW w:w="515" w:type="pct"/>
                  <w:vMerge w:val="restart"/>
                  <w:vAlign w:val="center"/>
                </w:tcPr>
                <w:p w14:paraId="2ECC6D75">
                  <w:pPr>
                    <w:snapToGrid w:val="0"/>
                    <w:jc w:val="center"/>
                    <w:rPr>
                      <w:szCs w:val="21"/>
                    </w:rPr>
                  </w:pPr>
                  <w:r>
                    <w:rPr>
                      <w:rFonts w:hint="eastAsia"/>
                      <w:szCs w:val="21"/>
                    </w:rPr>
                    <w:t>30</w:t>
                  </w:r>
                </w:p>
              </w:tc>
              <w:tc>
                <w:tcPr>
                  <w:tcW w:w="544" w:type="pct"/>
                  <w:vAlign w:val="center"/>
                </w:tcPr>
                <w:p w14:paraId="0C9ED448">
                  <w:pPr>
                    <w:jc w:val="center"/>
                    <w:rPr>
                      <w:rFonts w:ascii="宋体" w:hAnsi="宋体" w:cs="宋体"/>
                      <w:color w:val="000000"/>
                      <w:szCs w:val="21"/>
                    </w:rPr>
                  </w:pPr>
                  <w:r>
                    <w:rPr>
                      <w:rFonts w:hint="eastAsia"/>
                      <w:color w:val="000000"/>
                      <w:szCs w:val="21"/>
                    </w:rPr>
                    <w:t>0.26</w:t>
                  </w:r>
                </w:p>
              </w:tc>
              <w:tc>
                <w:tcPr>
                  <w:tcW w:w="469" w:type="pct"/>
                  <w:vMerge w:val="restart"/>
                  <w:vAlign w:val="center"/>
                </w:tcPr>
                <w:p w14:paraId="0417425A">
                  <w:pPr>
                    <w:snapToGrid w:val="0"/>
                    <w:jc w:val="center"/>
                    <w:rPr>
                      <w:szCs w:val="21"/>
                    </w:rPr>
                  </w:pPr>
                  <w:r>
                    <w:rPr>
                      <w:rFonts w:hint="eastAsia"/>
                      <w:szCs w:val="21"/>
                    </w:rPr>
                    <w:t>1</w:t>
                  </w:r>
                </w:p>
              </w:tc>
            </w:tr>
            <w:tr w14:paraId="25653A8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9" w:hRule="atLeast"/>
                <w:jc w:val="center"/>
              </w:trPr>
              <w:tc>
                <w:tcPr>
                  <w:tcW w:w="173" w:type="pct"/>
                  <w:vMerge w:val="continue"/>
                  <w:vAlign w:val="center"/>
                </w:tcPr>
                <w:p w14:paraId="3D3970E1">
                  <w:pPr>
                    <w:snapToGrid w:val="0"/>
                    <w:jc w:val="center"/>
                    <w:rPr>
                      <w:szCs w:val="21"/>
                      <w:highlight w:val="green"/>
                    </w:rPr>
                  </w:pPr>
                </w:p>
              </w:tc>
              <w:tc>
                <w:tcPr>
                  <w:tcW w:w="946" w:type="pct"/>
                  <w:vMerge w:val="continue"/>
                  <w:vAlign w:val="center"/>
                </w:tcPr>
                <w:p w14:paraId="5EF8272C">
                  <w:pPr>
                    <w:snapToGrid w:val="0"/>
                    <w:jc w:val="center"/>
                    <w:rPr>
                      <w:szCs w:val="21"/>
                      <w:highlight w:val="green"/>
                    </w:rPr>
                  </w:pPr>
                </w:p>
              </w:tc>
              <w:tc>
                <w:tcPr>
                  <w:tcW w:w="526" w:type="pct"/>
                  <w:vAlign w:val="center"/>
                </w:tcPr>
                <w:p w14:paraId="7D92EA89">
                  <w:pPr>
                    <w:snapToGrid w:val="0"/>
                    <w:jc w:val="center"/>
                    <w:rPr>
                      <w:szCs w:val="21"/>
                    </w:rPr>
                  </w:pPr>
                  <w:r>
                    <w:rPr>
                      <w:rFonts w:hint="eastAsia"/>
                      <w:szCs w:val="21"/>
                    </w:rPr>
                    <w:t>0</w:t>
                  </w:r>
                </w:p>
              </w:tc>
              <w:tc>
                <w:tcPr>
                  <w:tcW w:w="491" w:type="pct"/>
                  <w:vAlign w:val="center"/>
                </w:tcPr>
                <w:p w14:paraId="054CA8F9">
                  <w:pPr>
                    <w:pStyle w:val="11"/>
                    <w:snapToGrid w:val="0"/>
                    <w:ind w:firstLine="0" w:firstLineChars="0"/>
                    <w:jc w:val="center"/>
                    <w:rPr>
                      <w:color w:val="000000"/>
                      <w:szCs w:val="21"/>
                    </w:rPr>
                  </w:pPr>
                  <w:r>
                    <w:rPr>
                      <w:rFonts w:hint="eastAsia"/>
                      <w:color w:val="000000"/>
                      <w:szCs w:val="21"/>
                    </w:rPr>
                    <w:t>NH</w:t>
                  </w:r>
                  <w:r>
                    <w:rPr>
                      <w:rFonts w:hint="eastAsia"/>
                      <w:color w:val="000000"/>
                      <w:szCs w:val="21"/>
                      <w:vertAlign w:val="subscript"/>
                    </w:rPr>
                    <w:t>3</w:t>
                  </w:r>
                </w:p>
              </w:tc>
              <w:tc>
                <w:tcPr>
                  <w:tcW w:w="691" w:type="pct"/>
                  <w:vAlign w:val="center"/>
                </w:tcPr>
                <w:p w14:paraId="22A76A1C">
                  <w:pPr>
                    <w:widowControl/>
                    <w:jc w:val="center"/>
                    <w:rPr>
                      <w:color w:val="000000"/>
                      <w:szCs w:val="21"/>
                    </w:rPr>
                  </w:pPr>
                  <w:r>
                    <w:rPr>
                      <w:rFonts w:hint="eastAsia"/>
                      <w:color w:val="000000"/>
                      <w:szCs w:val="21"/>
                    </w:rPr>
                    <w:t>53.85</w:t>
                  </w:r>
                </w:p>
              </w:tc>
              <w:tc>
                <w:tcPr>
                  <w:tcW w:w="644" w:type="pct"/>
                  <w:vAlign w:val="center"/>
                </w:tcPr>
                <w:p w14:paraId="76E3191E">
                  <w:pPr>
                    <w:widowControl/>
                    <w:jc w:val="center"/>
                    <w:rPr>
                      <w:color w:val="000000"/>
                      <w:szCs w:val="21"/>
                    </w:rPr>
                  </w:pPr>
                  <w:r>
                    <w:rPr>
                      <w:rFonts w:hint="eastAsia"/>
                      <w:color w:val="000000"/>
                      <w:szCs w:val="21"/>
                    </w:rPr>
                    <w:t>0.7</w:t>
                  </w:r>
                </w:p>
              </w:tc>
              <w:tc>
                <w:tcPr>
                  <w:tcW w:w="515" w:type="pct"/>
                  <w:vMerge w:val="continue"/>
                  <w:vAlign w:val="center"/>
                </w:tcPr>
                <w:p w14:paraId="4BD357A4">
                  <w:pPr>
                    <w:snapToGrid w:val="0"/>
                    <w:jc w:val="center"/>
                    <w:rPr>
                      <w:szCs w:val="21"/>
                    </w:rPr>
                  </w:pPr>
                </w:p>
              </w:tc>
              <w:tc>
                <w:tcPr>
                  <w:tcW w:w="544" w:type="pct"/>
                  <w:vAlign w:val="center"/>
                </w:tcPr>
                <w:p w14:paraId="63B1E0ED">
                  <w:pPr>
                    <w:jc w:val="center"/>
                    <w:rPr>
                      <w:rFonts w:ascii="宋体" w:hAnsi="宋体" w:cs="宋体"/>
                      <w:color w:val="000000"/>
                      <w:szCs w:val="21"/>
                    </w:rPr>
                  </w:pPr>
                  <w:r>
                    <w:rPr>
                      <w:rFonts w:hint="eastAsia"/>
                      <w:color w:val="000000"/>
                      <w:szCs w:val="21"/>
                    </w:rPr>
                    <w:t>0.35</w:t>
                  </w:r>
                </w:p>
              </w:tc>
              <w:tc>
                <w:tcPr>
                  <w:tcW w:w="469" w:type="pct"/>
                  <w:vMerge w:val="continue"/>
                  <w:vAlign w:val="center"/>
                </w:tcPr>
                <w:p w14:paraId="1C64CA1A">
                  <w:pPr>
                    <w:snapToGrid w:val="0"/>
                    <w:jc w:val="center"/>
                    <w:rPr>
                      <w:szCs w:val="21"/>
                    </w:rPr>
                  </w:pPr>
                </w:p>
              </w:tc>
            </w:tr>
            <w:tr w14:paraId="16B98AA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9" w:hRule="atLeast"/>
                <w:jc w:val="center"/>
              </w:trPr>
              <w:tc>
                <w:tcPr>
                  <w:tcW w:w="173" w:type="pct"/>
                  <w:vMerge w:val="continue"/>
                  <w:vAlign w:val="center"/>
                </w:tcPr>
                <w:p w14:paraId="315C7362">
                  <w:pPr>
                    <w:snapToGrid w:val="0"/>
                    <w:jc w:val="center"/>
                    <w:rPr>
                      <w:szCs w:val="21"/>
                      <w:highlight w:val="green"/>
                    </w:rPr>
                  </w:pPr>
                </w:p>
              </w:tc>
              <w:tc>
                <w:tcPr>
                  <w:tcW w:w="946" w:type="pct"/>
                  <w:vMerge w:val="continue"/>
                  <w:vAlign w:val="center"/>
                </w:tcPr>
                <w:p w14:paraId="0441158A">
                  <w:pPr>
                    <w:snapToGrid w:val="0"/>
                    <w:jc w:val="center"/>
                    <w:rPr>
                      <w:szCs w:val="21"/>
                      <w:highlight w:val="green"/>
                    </w:rPr>
                  </w:pPr>
                </w:p>
              </w:tc>
              <w:tc>
                <w:tcPr>
                  <w:tcW w:w="526" w:type="pct"/>
                  <w:vAlign w:val="center"/>
                </w:tcPr>
                <w:p w14:paraId="28CD2D61">
                  <w:pPr>
                    <w:snapToGrid w:val="0"/>
                    <w:jc w:val="center"/>
                    <w:rPr>
                      <w:szCs w:val="21"/>
                    </w:rPr>
                  </w:pPr>
                  <w:r>
                    <w:rPr>
                      <w:rFonts w:hint="eastAsia"/>
                      <w:szCs w:val="21"/>
                    </w:rPr>
                    <w:t>0</w:t>
                  </w:r>
                </w:p>
              </w:tc>
              <w:tc>
                <w:tcPr>
                  <w:tcW w:w="491" w:type="pct"/>
                  <w:vAlign w:val="center"/>
                </w:tcPr>
                <w:p w14:paraId="6C90D937">
                  <w:pPr>
                    <w:pStyle w:val="11"/>
                    <w:snapToGrid w:val="0"/>
                    <w:ind w:firstLine="0" w:firstLineChars="0"/>
                    <w:jc w:val="center"/>
                    <w:rPr>
                      <w:color w:val="000000"/>
                      <w:szCs w:val="21"/>
                    </w:rPr>
                  </w:pPr>
                  <w:r>
                    <w:rPr>
                      <w:rFonts w:hint="eastAsia"/>
                      <w:color w:val="000000"/>
                      <w:szCs w:val="21"/>
                    </w:rPr>
                    <w:t>H</w:t>
                  </w:r>
                  <w:r>
                    <w:rPr>
                      <w:rFonts w:hint="eastAsia"/>
                      <w:color w:val="000000"/>
                      <w:szCs w:val="21"/>
                      <w:vertAlign w:val="subscript"/>
                    </w:rPr>
                    <w:t>2</w:t>
                  </w:r>
                  <w:r>
                    <w:rPr>
                      <w:rFonts w:hint="eastAsia"/>
                      <w:color w:val="000000"/>
                      <w:szCs w:val="21"/>
                    </w:rPr>
                    <w:t>S</w:t>
                  </w:r>
                </w:p>
              </w:tc>
              <w:tc>
                <w:tcPr>
                  <w:tcW w:w="691" w:type="pct"/>
                  <w:vAlign w:val="center"/>
                </w:tcPr>
                <w:p w14:paraId="7390C1CA">
                  <w:pPr>
                    <w:widowControl/>
                    <w:jc w:val="center"/>
                    <w:rPr>
                      <w:color w:val="000000"/>
                      <w:szCs w:val="21"/>
                    </w:rPr>
                  </w:pPr>
                  <w:r>
                    <w:rPr>
                      <w:rFonts w:hint="eastAsia"/>
                      <w:color w:val="000000"/>
                      <w:szCs w:val="21"/>
                    </w:rPr>
                    <w:t>11.54</w:t>
                  </w:r>
                </w:p>
              </w:tc>
              <w:tc>
                <w:tcPr>
                  <w:tcW w:w="644" w:type="pct"/>
                  <w:vAlign w:val="center"/>
                </w:tcPr>
                <w:p w14:paraId="11580CA8">
                  <w:pPr>
                    <w:widowControl/>
                    <w:jc w:val="center"/>
                    <w:rPr>
                      <w:color w:val="000000"/>
                      <w:szCs w:val="21"/>
                    </w:rPr>
                  </w:pPr>
                  <w:r>
                    <w:rPr>
                      <w:rFonts w:hint="eastAsia"/>
                      <w:color w:val="000000"/>
                      <w:szCs w:val="21"/>
                    </w:rPr>
                    <w:t>0.15</w:t>
                  </w:r>
                </w:p>
              </w:tc>
              <w:tc>
                <w:tcPr>
                  <w:tcW w:w="515" w:type="pct"/>
                  <w:vMerge w:val="continue"/>
                  <w:vAlign w:val="center"/>
                </w:tcPr>
                <w:p w14:paraId="788C95CB">
                  <w:pPr>
                    <w:snapToGrid w:val="0"/>
                    <w:jc w:val="center"/>
                    <w:rPr>
                      <w:szCs w:val="21"/>
                    </w:rPr>
                  </w:pPr>
                </w:p>
              </w:tc>
              <w:tc>
                <w:tcPr>
                  <w:tcW w:w="544" w:type="pct"/>
                  <w:vAlign w:val="center"/>
                </w:tcPr>
                <w:p w14:paraId="75EB30F7">
                  <w:pPr>
                    <w:jc w:val="center"/>
                    <w:rPr>
                      <w:rFonts w:ascii="宋体" w:hAnsi="宋体" w:cs="宋体"/>
                      <w:color w:val="000000"/>
                      <w:szCs w:val="21"/>
                    </w:rPr>
                  </w:pPr>
                  <w:r>
                    <w:rPr>
                      <w:rFonts w:hint="eastAsia"/>
                      <w:color w:val="000000"/>
                      <w:szCs w:val="21"/>
                    </w:rPr>
                    <w:t>0.075</w:t>
                  </w:r>
                </w:p>
              </w:tc>
              <w:tc>
                <w:tcPr>
                  <w:tcW w:w="469" w:type="pct"/>
                  <w:vMerge w:val="continue"/>
                  <w:vAlign w:val="center"/>
                </w:tcPr>
                <w:p w14:paraId="6C8768C0">
                  <w:pPr>
                    <w:snapToGrid w:val="0"/>
                    <w:jc w:val="center"/>
                    <w:rPr>
                      <w:szCs w:val="21"/>
                    </w:rPr>
                  </w:pPr>
                </w:p>
              </w:tc>
            </w:tr>
          </w:tbl>
          <w:p w14:paraId="79B22295">
            <w:pPr>
              <w:autoSpaceDE w:val="0"/>
              <w:autoSpaceDN w:val="0"/>
              <w:adjustRightInd w:val="0"/>
              <w:snapToGrid w:val="0"/>
              <w:spacing w:line="360" w:lineRule="auto"/>
              <w:ind w:firstLine="480" w:firstLineChars="200"/>
              <w:jc w:val="left"/>
              <w:rPr>
                <w:rFonts w:ascii="宋体" w:cs="宋体"/>
                <w:kern w:val="0"/>
                <w:sz w:val="24"/>
              </w:rPr>
            </w:pPr>
            <w:r>
              <w:rPr>
                <w:rFonts w:hint="eastAsia" w:ascii="宋体" w:cs="宋体"/>
                <w:kern w:val="0"/>
                <w:sz w:val="24"/>
              </w:rPr>
              <w:t>为杜绝废气非正常排放，应采取以下措施确保废气达标排放：</w:t>
            </w:r>
          </w:p>
          <w:p w14:paraId="716A0C95">
            <w:pPr>
              <w:autoSpaceDE w:val="0"/>
              <w:autoSpaceDN w:val="0"/>
              <w:adjustRightInd w:val="0"/>
              <w:spacing w:line="360" w:lineRule="auto"/>
              <w:ind w:firstLine="480" w:firstLineChars="200"/>
              <w:jc w:val="left"/>
              <w:rPr>
                <w:rFonts w:ascii="宋体" w:cs="宋体"/>
                <w:kern w:val="0"/>
                <w:sz w:val="24"/>
              </w:rPr>
            </w:pPr>
            <w:r>
              <w:rPr>
                <w:rFonts w:hint="eastAsia" w:ascii="宋体" w:cs="宋体"/>
                <w:kern w:val="0"/>
                <w:sz w:val="24"/>
              </w:rPr>
              <w:t>①安排专人负责环保设备的日常维护和管理，每隔固定时间检查、汇报情况，及时发现废气处理设备的隐患，确保废气处理系统正常运行；</w:t>
            </w:r>
          </w:p>
          <w:p w14:paraId="1F99E32C">
            <w:pPr>
              <w:autoSpaceDE w:val="0"/>
              <w:autoSpaceDN w:val="0"/>
              <w:adjustRightInd w:val="0"/>
              <w:spacing w:line="360" w:lineRule="auto"/>
              <w:ind w:firstLine="480" w:firstLineChars="200"/>
              <w:jc w:val="left"/>
              <w:rPr>
                <w:rFonts w:ascii="宋体" w:cs="宋体"/>
                <w:kern w:val="0"/>
                <w:sz w:val="24"/>
              </w:rPr>
            </w:pPr>
            <w:r>
              <w:rPr>
                <w:rFonts w:hint="eastAsia" w:ascii="宋体" w:cs="宋体"/>
                <w:kern w:val="0"/>
                <w:sz w:val="24"/>
              </w:rPr>
              <w:t>②建立健全的环保管理机构，对环保管理人员和技术人员进行岗位培训，委托具有专业资质的环境检测单位对项目排放的各类污染物进行定期检测；</w:t>
            </w:r>
          </w:p>
          <w:p w14:paraId="0AEECC20">
            <w:pPr>
              <w:adjustRightInd w:val="0"/>
              <w:spacing w:line="360" w:lineRule="auto"/>
              <w:ind w:firstLine="480" w:firstLineChars="200"/>
              <w:jc w:val="left"/>
              <w:rPr>
                <w:b/>
                <w:sz w:val="24"/>
              </w:rPr>
            </w:pPr>
            <w:r>
              <w:rPr>
                <w:rFonts w:hint="eastAsia" w:ascii="宋体" w:cs="宋体"/>
                <w:kern w:val="0"/>
                <w:sz w:val="24"/>
              </w:rPr>
              <w:t>③应定期维护、检修废气净化装置，以确保废气处理装置处理效率；</w:t>
            </w:r>
          </w:p>
          <w:p w14:paraId="0D352E77">
            <w:pPr>
              <w:autoSpaceDE w:val="0"/>
              <w:autoSpaceDN w:val="0"/>
              <w:adjustRightInd w:val="0"/>
              <w:spacing w:line="360" w:lineRule="auto"/>
              <w:ind w:firstLine="480" w:firstLineChars="200"/>
              <w:jc w:val="left"/>
              <w:rPr>
                <w:rFonts w:ascii="宋体" w:cs="宋体"/>
                <w:kern w:val="0"/>
                <w:sz w:val="24"/>
              </w:rPr>
            </w:pPr>
            <w:r>
              <w:rPr>
                <w:rFonts w:hint="eastAsia" w:ascii="宋体" w:cs="宋体"/>
                <w:kern w:val="0"/>
                <w:sz w:val="24"/>
              </w:rPr>
              <w:t>④每班次开工前，确认废气处理设备开启并正常运行。若有需要停产检修的情况，需要关闭生产设备一段时间后再关闭废气处理设备，不存在废气突然排放情况。</w:t>
            </w:r>
          </w:p>
          <w:p w14:paraId="482963B2">
            <w:pPr>
              <w:spacing w:line="360" w:lineRule="auto"/>
              <w:ind w:firstLine="482" w:firstLineChars="200"/>
              <w:jc w:val="left"/>
              <w:rPr>
                <w:b/>
                <w:sz w:val="24"/>
              </w:rPr>
            </w:pPr>
            <w:r>
              <w:rPr>
                <w:b/>
                <w:sz w:val="24"/>
              </w:rPr>
              <w:t>1.</w:t>
            </w:r>
            <w:r>
              <w:rPr>
                <w:rFonts w:hint="eastAsia"/>
                <w:b/>
                <w:sz w:val="24"/>
              </w:rPr>
              <w:t>5废气排放口基本情况</w:t>
            </w:r>
          </w:p>
          <w:p w14:paraId="29BC294E">
            <w:pPr>
              <w:spacing w:line="360" w:lineRule="auto"/>
              <w:ind w:firstLine="480" w:firstLineChars="200"/>
              <w:jc w:val="left"/>
              <w:rPr>
                <w:rFonts w:ascii="宋体" w:hAnsi="宋体"/>
                <w:sz w:val="24"/>
              </w:rPr>
            </w:pPr>
            <w:r>
              <w:rPr>
                <w:rFonts w:hint="eastAsia" w:ascii="宋体" w:hAnsi="宋体"/>
                <w:sz w:val="24"/>
              </w:rPr>
              <w:t>项目废气排放口基本情况见下表。</w:t>
            </w:r>
          </w:p>
          <w:p w14:paraId="3F692DCA">
            <w:pPr>
              <w:jc w:val="center"/>
              <w:rPr>
                <w:rFonts w:ascii="宋体" w:hAnsi="宋体"/>
                <w:b/>
                <w:sz w:val="24"/>
              </w:rPr>
            </w:pPr>
            <w:r>
              <w:rPr>
                <w:rFonts w:hint="eastAsia"/>
                <w:b/>
                <w:spacing w:val="-10"/>
                <w:sz w:val="24"/>
              </w:rPr>
              <w:t xml:space="preserve">表20    </w:t>
            </w:r>
            <w:r>
              <w:rPr>
                <w:rFonts w:hint="eastAsia" w:ascii="宋体" w:hAnsi="宋体"/>
                <w:b/>
                <w:sz w:val="24"/>
              </w:rPr>
              <w:t>项目废气排放口基本情况一览表</w:t>
            </w:r>
          </w:p>
          <w:tbl>
            <w:tblPr>
              <w:tblStyle w:val="29"/>
              <w:tblW w:w="5000"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0" w:type="dxa"/>
                <w:bottom w:w="0" w:type="dxa"/>
                <w:right w:w="0" w:type="dxa"/>
              </w:tblCellMar>
            </w:tblPr>
            <w:tblGrid>
              <w:gridCol w:w="227"/>
              <w:gridCol w:w="677"/>
              <w:gridCol w:w="1817"/>
              <w:gridCol w:w="1340"/>
              <w:gridCol w:w="1168"/>
              <w:gridCol w:w="1080"/>
              <w:gridCol w:w="821"/>
              <w:gridCol w:w="849"/>
              <w:gridCol w:w="814"/>
            </w:tblGrid>
            <w:tr w14:paraId="632733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139" w:hRule="atLeast"/>
              </w:trPr>
              <w:tc>
                <w:tcPr>
                  <w:tcW w:w="129" w:type="pct"/>
                  <w:vMerge w:val="restart"/>
                  <w:tcBorders>
                    <w:top w:val="single" w:color="auto" w:sz="6" w:space="0"/>
                    <w:left w:val="single" w:color="auto" w:sz="6" w:space="0"/>
                    <w:bottom w:val="single" w:color="auto" w:sz="6" w:space="0"/>
                    <w:right w:val="single" w:color="auto" w:sz="6" w:space="0"/>
                  </w:tcBorders>
                  <w:vAlign w:val="center"/>
                </w:tcPr>
                <w:p w14:paraId="4DAC1016">
                  <w:pPr>
                    <w:adjustRightInd w:val="0"/>
                    <w:snapToGrid w:val="0"/>
                    <w:jc w:val="center"/>
                    <w:textAlignment w:val="baseline"/>
                    <w:rPr>
                      <w:bCs/>
                      <w:szCs w:val="21"/>
                    </w:rPr>
                  </w:pPr>
                  <w:r>
                    <w:rPr>
                      <w:rFonts w:hint="eastAsia"/>
                      <w:szCs w:val="21"/>
                    </w:rPr>
                    <w:t>序号</w:t>
                  </w:r>
                </w:p>
              </w:tc>
              <w:tc>
                <w:tcPr>
                  <w:tcW w:w="385" w:type="pct"/>
                  <w:vMerge w:val="restart"/>
                  <w:tcBorders>
                    <w:top w:val="single" w:color="auto" w:sz="6" w:space="0"/>
                    <w:left w:val="single" w:color="auto" w:sz="6" w:space="0"/>
                    <w:bottom w:val="single" w:color="auto" w:sz="6" w:space="0"/>
                    <w:right w:val="single" w:color="auto" w:sz="6" w:space="0"/>
                  </w:tcBorders>
                  <w:vAlign w:val="center"/>
                </w:tcPr>
                <w:p w14:paraId="68478596">
                  <w:pPr>
                    <w:adjustRightInd w:val="0"/>
                    <w:snapToGrid w:val="0"/>
                    <w:jc w:val="center"/>
                    <w:textAlignment w:val="baseline"/>
                    <w:rPr>
                      <w:bCs/>
                      <w:szCs w:val="21"/>
                    </w:rPr>
                  </w:pPr>
                  <w:r>
                    <w:rPr>
                      <w:rFonts w:hint="eastAsia"/>
                      <w:szCs w:val="21"/>
                    </w:rPr>
                    <w:t>排放口编号</w:t>
                  </w:r>
                </w:p>
              </w:tc>
              <w:tc>
                <w:tcPr>
                  <w:tcW w:w="1033" w:type="pct"/>
                  <w:vMerge w:val="restart"/>
                  <w:tcBorders>
                    <w:top w:val="single" w:color="auto" w:sz="6" w:space="0"/>
                    <w:left w:val="single" w:color="auto" w:sz="6" w:space="0"/>
                    <w:bottom w:val="single" w:color="auto" w:sz="6" w:space="0"/>
                    <w:right w:val="single" w:color="auto" w:sz="6" w:space="0"/>
                  </w:tcBorders>
                  <w:vAlign w:val="center"/>
                </w:tcPr>
                <w:p w14:paraId="423E7410">
                  <w:pPr>
                    <w:adjustRightInd w:val="0"/>
                    <w:snapToGrid w:val="0"/>
                    <w:jc w:val="center"/>
                    <w:textAlignment w:val="baseline"/>
                    <w:rPr>
                      <w:bCs/>
                      <w:szCs w:val="21"/>
                    </w:rPr>
                  </w:pPr>
                  <w:r>
                    <w:rPr>
                      <w:rFonts w:hint="eastAsia"/>
                      <w:szCs w:val="21"/>
                    </w:rPr>
                    <w:t>排放口名称</w:t>
                  </w:r>
                </w:p>
              </w:tc>
              <w:tc>
                <w:tcPr>
                  <w:tcW w:w="762" w:type="pct"/>
                  <w:vMerge w:val="restart"/>
                  <w:tcBorders>
                    <w:top w:val="single" w:color="auto" w:sz="6" w:space="0"/>
                    <w:left w:val="single" w:color="auto" w:sz="6" w:space="0"/>
                    <w:bottom w:val="single" w:color="auto" w:sz="6" w:space="0"/>
                    <w:right w:val="single" w:color="auto" w:sz="6" w:space="0"/>
                  </w:tcBorders>
                  <w:vAlign w:val="center"/>
                </w:tcPr>
                <w:p w14:paraId="25D0D5BF">
                  <w:pPr>
                    <w:adjustRightInd w:val="0"/>
                    <w:snapToGrid w:val="0"/>
                    <w:jc w:val="center"/>
                    <w:textAlignment w:val="baseline"/>
                    <w:rPr>
                      <w:bCs/>
                      <w:szCs w:val="21"/>
                    </w:rPr>
                  </w:pPr>
                  <w:r>
                    <w:rPr>
                      <w:rFonts w:hint="eastAsia"/>
                      <w:szCs w:val="21"/>
                    </w:rPr>
                    <w:t>污染物</w:t>
                  </w:r>
                </w:p>
              </w:tc>
              <w:tc>
                <w:tcPr>
                  <w:tcW w:w="1278" w:type="pct"/>
                  <w:gridSpan w:val="2"/>
                  <w:tcBorders>
                    <w:top w:val="single" w:color="auto" w:sz="6" w:space="0"/>
                    <w:left w:val="single" w:color="auto" w:sz="6" w:space="0"/>
                    <w:bottom w:val="single" w:color="auto" w:sz="6" w:space="0"/>
                    <w:right w:val="single" w:color="auto" w:sz="6" w:space="0"/>
                  </w:tcBorders>
                  <w:vAlign w:val="center"/>
                </w:tcPr>
                <w:p w14:paraId="3B8FD1F3">
                  <w:pPr>
                    <w:adjustRightInd w:val="0"/>
                    <w:snapToGrid w:val="0"/>
                    <w:jc w:val="center"/>
                    <w:textAlignment w:val="baseline"/>
                    <w:rPr>
                      <w:bCs/>
                      <w:szCs w:val="21"/>
                    </w:rPr>
                  </w:pPr>
                  <w:r>
                    <w:rPr>
                      <w:rFonts w:hint="eastAsia"/>
                      <w:szCs w:val="21"/>
                    </w:rPr>
                    <w:t>排放口地理坐标</w:t>
                  </w:r>
                </w:p>
              </w:tc>
              <w:tc>
                <w:tcPr>
                  <w:tcW w:w="1412" w:type="pct"/>
                  <w:gridSpan w:val="3"/>
                  <w:tcBorders>
                    <w:top w:val="single" w:color="auto" w:sz="6" w:space="0"/>
                    <w:left w:val="single" w:color="auto" w:sz="6" w:space="0"/>
                    <w:bottom w:val="single" w:color="auto" w:sz="6" w:space="0"/>
                    <w:right w:val="single" w:color="auto" w:sz="6" w:space="0"/>
                  </w:tcBorders>
                  <w:vAlign w:val="center"/>
                </w:tcPr>
                <w:p w14:paraId="50D63E20">
                  <w:pPr>
                    <w:adjustRightInd w:val="0"/>
                    <w:snapToGrid w:val="0"/>
                    <w:jc w:val="center"/>
                    <w:textAlignment w:val="baseline"/>
                    <w:rPr>
                      <w:bCs/>
                      <w:szCs w:val="21"/>
                    </w:rPr>
                  </w:pPr>
                  <w:r>
                    <w:rPr>
                      <w:rFonts w:hint="eastAsia"/>
                      <w:bCs/>
                      <w:szCs w:val="21"/>
                    </w:rPr>
                    <w:t>排放口基本情况</w:t>
                  </w:r>
                </w:p>
              </w:tc>
            </w:tr>
            <w:tr w14:paraId="172F0E2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40" w:hRule="atLeast"/>
              </w:trPr>
              <w:tc>
                <w:tcPr>
                  <w:tcW w:w="129" w:type="pct"/>
                  <w:vMerge w:val="continue"/>
                  <w:tcBorders>
                    <w:top w:val="single" w:color="auto" w:sz="6" w:space="0"/>
                    <w:left w:val="single" w:color="auto" w:sz="6" w:space="0"/>
                    <w:bottom w:val="single" w:color="auto" w:sz="6" w:space="0"/>
                    <w:right w:val="single" w:color="auto" w:sz="6" w:space="0"/>
                  </w:tcBorders>
                  <w:vAlign w:val="center"/>
                </w:tcPr>
                <w:p w14:paraId="5FA614BF">
                  <w:pPr>
                    <w:widowControl/>
                    <w:adjustRightInd w:val="0"/>
                    <w:snapToGrid w:val="0"/>
                    <w:jc w:val="center"/>
                    <w:rPr>
                      <w:bCs/>
                      <w:szCs w:val="21"/>
                    </w:rPr>
                  </w:pPr>
                </w:p>
              </w:tc>
              <w:tc>
                <w:tcPr>
                  <w:tcW w:w="385" w:type="pct"/>
                  <w:vMerge w:val="continue"/>
                  <w:tcBorders>
                    <w:top w:val="single" w:color="auto" w:sz="6" w:space="0"/>
                    <w:left w:val="single" w:color="auto" w:sz="6" w:space="0"/>
                    <w:bottom w:val="single" w:color="auto" w:sz="6" w:space="0"/>
                    <w:right w:val="single" w:color="auto" w:sz="6" w:space="0"/>
                  </w:tcBorders>
                  <w:vAlign w:val="center"/>
                </w:tcPr>
                <w:p w14:paraId="21F0046E">
                  <w:pPr>
                    <w:widowControl/>
                    <w:adjustRightInd w:val="0"/>
                    <w:snapToGrid w:val="0"/>
                    <w:jc w:val="center"/>
                    <w:rPr>
                      <w:bCs/>
                      <w:szCs w:val="21"/>
                    </w:rPr>
                  </w:pPr>
                </w:p>
              </w:tc>
              <w:tc>
                <w:tcPr>
                  <w:tcW w:w="1033" w:type="pct"/>
                  <w:vMerge w:val="continue"/>
                  <w:tcBorders>
                    <w:top w:val="single" w:color="auto" w:sz="6" w:space="0"/>
                    <w:left w:val="single" w:color="auto" w:sz="6" w:space="0"/>
                    <w:bottom w:val="single" w:color="auto" w:sz="6" w:space="0"/>
                    <w:right w:val="single" w:color="auto" w:sz="6" w:space="0"/>
                  </w:tcBorders>
                  <w:vAlign w:val="center"/>
                </w:tcPr>
                <w:p w14:paraId="797AFBC6">
                  <w:pPr>
                    <w:widowControl/>
                    <w:adjustRightInd w:val="0"/>
                    <w:snapToGrid w:val="0"/>
                    <w:jc w:val="center"/>
                    <w:rPr>
                      <w:bCs/>
                      <w:szCs w:val="21"/>
                    </w:rPr>
                  </w:pPr>
                </w:p>
              </w:tc>
              <w:tc>
                <w:tcPr>
                  <w:tcW w:w="762" w:type="pct"/>
                  <w:vMerge w:val="continue"/>
                  <w:tcBorders>
                    <w:top w:val="single" w:color="auto" w:sz="6" w:space="0"/>
                    <w:left w:val="single" w:color="auto" w:sz="6" w:space="0"/>
                    <w:bottom w:val="single" w:color="auto" w:sz="6" w:space="0"/>
                    <w:right w:val="single" w:color="auto" w:sz="6" w:space="0"/>
                  </w:tcBorders>
                  <w:vAlign w:val="center"/>
                </w:tcPr>
                <w:p w14:paraId="5011D7AD">
                  <w:pPr>
                    <w:widowControl/>
                    <w:adjustRightInd w:val="0"/>
                    <w:snapToGrid w:val="0"/>
                    <w:jc w:val="center"/>
                    <w:rPr>
                      <w:bCs/>
                      <w:szCs w:val="21"/>
                    </w:rPr>
                  </w:pPr>
                </w:p>
              </w:tc>
              <w:tc>
                <w:tcPr>
                  <w:tcW w:w="664" w:type="pct"/>
                  <w:tcBorders>
                    <w:top w:val="single" w:color="auto" w:sz="6" w:space="0"/>
                    <w:left w:val="single" w:color="auto" w:sz="6" w:space="0"/>
                    <w:bottom w:val="single" w:color="auto" w:sz="6" w:space="0"/>
                    <w:right w:val="single" w:color="auto" w:sz="6" w:space="0"/>
                  </w:tcBorders>
                  <w:vAlign w:val="center"/>
                </w:tcPr>
                <w:p w14:paraId="59C9831A">
                  <w:pPr>
                    <w:adjustRightInd w:val="0"/>
                    <w:snapToGrid w:val="0"/>
                    <w:jc w:val="center"/>
                    <w:textAlignment w:val="baseline"/>
                    <w:rPr>
                      <w:bCs/>
                      <w:szCs w:val="21"/>
                    </w:rPr>
                  </w:pPr>
                  <w:r>
                    <w:rPr>
                      <w:rFonts w:hint="eastAsia"/>
                      <w:szCs w:val="21"/>
                    </w:rPr>
                    <w:t>经度</w:t>
                  </w:r>
                </w:p>
              </w:tc>
              <w:tc>
                <w:tcPr>
                  <w:tcW w:w="614" w:type="pct"/>
                  <w:tcBorders>
                    <w:top w:val="single" w:color="auto" w:sz="6" w:space="0"/>
                    <w:left w:val="single" w:color="auto" w:sz="6" w:space="0"/>
                    <w:bottom w:val="single" w:color="auto" w:sz="6" w:space="0"/>
                    <w:right w:val="single" w:color="auto" w:sz="6" w:space="0"/>
                  </w:tcBorders>
                  <w:vAlign w:val="center"/>
                </w:tcPr>
                <w:p w14:paraId="5A9FB1DA">
                  <w:pPr>
                    <w:adjustRightInd w:val="0"/>
                    <w:snapToGrid w:val="0"/>
                    <w:jc w:val="center"/>
                    <w:textAlignment w:val="baseline"/>
                    <w:rPr>
                      <w:bCs/>
                      <w:kern w:val="0"/>
                      <w:szCs w:val="21"/>
                    </w:rPr>
                  </w:pPr>
                  <w:r>
                    <w:rPr>
                      <w:rFonts w:hint="eastAsia"/>
                      <w:szCs w:val="21"/>
                    </w:rPr>
                    <w:t>纬度</w:t>
                  </w:r>
                </w:p>
              </w:tc>
              <w:tc>
                <w:tcPr>
                  <w:tcW w:w="467" w:type="pct"/>
                  <w:tcBorders>
                    <w:top w:val="single" w:color="auto" w:sz="6" w:space="0"/>
                    <w:left w:val="single" w:color="auto" w:sz="6" w:space="0"/>
                    <w:bottom w:val="single" w:color="auto" w:sz="6" w:space="0"/>
                    <w:right w:val="single" w:color="auto" w:sz="6" w:space="0"/>
                  </w:tcBorders>
                  <w:vAlign w:val="center"/>
                </w:tcPr>
                <w:p w14:paraId="6E470CF2">
                  <w:pPr>
                    <w:adjustRightInd w:val="0"/>
                    <w:snapToGrid w:val="0"/>
                    <w:jc w:val="center"/>
                    <w:textAlignment w:val="baseline"/>
                    <w:rPr>
                      <w:bCs/>
                      <w:szCs w:val="21"/>
                    </w:rPr>
                  </w:pPr>
                  <w:r>
                    <w:rPr>
                      <w:rFonts w:hint="eastAsia"/>
                      <w:szCs w:val="21"/>
                    </w:rPr>
                    <w:t>排气筒高度（m）</w:t>
                  </w:r>
                </w:p>
              </w:tc>
              <w:tc>
                <w:tcPr>
                  <w:tcW w:w="483" w:type="pct"/>
                  <w:tcBorders>
                    <w:left w:val="single" w:color="auto" w:sz="6" w:space="0"/>
                    <w:bottom w:val="single" w:color="auto" w:sz="6" w:space="0"/>
                    <w:right w:val="single" w:color="auto" w:sz="6" w:space="0"/>
                  </w:tcBorders>
                  <w:vAlign w:val="center"/>
                </w:tcPr>
                <w:p w14:paraId="62EBDE66">
                  <w:pPr>
                    <w:adjustRightInd w:val="0"/>
                    <w:snapToGrid w:val="0"/>
                    <w:jc w:val="center"/>
                    <w:textAlignment w:val="baseline"/>
                    <w:rPr>
                      <w:szCs w:val="21"/>
                    </w:rPr>
                  </w:pPr>
                  <w:r>
                    <w:rPr>
                      <w:rFonts w:hint="eastAsia"/>
                      <w:szCs w:val="21"/>
                    </w:rPr>
                    <w:t>排气筒内径（m）</w:t>
                  </w:r>
                </w:p>
              </w:tc>
              <w:tc>
                <w:tcPr>
                  <w:tcW w:w="463" w:type="pct"/>
                  <w:tcBorders>
                    <w:left w:val="single" w:color="auto" w:sz="6" w:space="0"/>
                    <w:bottom w:val="single" w:color="auto" w:sz="6" w:space="0"/>
                    <w:right w:val="single" w:color="auto" w:sz="6" w:space="0"/>
                  </w:tcBorders>
                  <w:vAlign w:val="center"/>
                </w:tcPr>
                <w:p w14:paraId="54D25468">
                  <w:pPr>
                    <w:adjustRightInd w:val="0"/>
                    <w:snapToGrid w:val="0"/>
                    <w:jc w:val="center"/>
                    <w:textAlignment w:val="baseline"/>
                    <w:rPr>
                      <w:szCs w:val="21"/>
                    </w:rPr>
                  </w:pPr>
                  <w:r>
                    <w:rPr>
                      <w:rFonts w:hint="eastAsia"/>
                      <w:szCs w:val="21"/>
                    </w:rPr>
                    <w:t>排气温度（</w:t>
                  </w:r>
                  <w:r>
                    <w:rPr>
                      <w:rFonts w:hint="eastAsia" w:ascii="宋体" w:hAnsi="宋体" w:cs="宋体"/>
                      <w:szCs w:val="21"/>
                    </w:rPr>
                    <w:t>℃</w:t>
                  </w:r>
                  <w:r>
                    <w:rPr>
                      <w:rFonts w:hint="eastAsia"/>
                      <w:szCs w:val="21"/>
                    </w:rPr>
                    <w:t>）</w:t>
                  </w:r>
                </w:p>
              </w:tc>
            </w:tr>
            <w:tr w14:paraId="101706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1037" w:hRule="atLeast"/>
              </w:trPr>
              <w:tc>
                <w:tcPr>
                  <w:tcW w:w="129" w:type="pct"/>
                  <w:tcBorders>
                    <w:top w:val="single" w:color="auto" w:sz="6" w:space="0"/>
                    <w:left w:val="single" w:color="auto" w:sz="6" w:space="0"/>
                    <w:bottom w:val="single" w:color="auto" w:sz="6" w:space="0"/>
                    <w:right w:val="single" w:color="auto" w:sz="6" w:space="0"/>
                  </w:tcBorders>
                  <w:vAlign w:val="center"/>
                </w:tcPr>
                <w:p w14:paraId="2CA2A13E">
                  <w:pPr>
                    <w:adjustRightInd w:val="0"/>
                    <w:snapToGrid w:val="0"/>
                    <w:jc w:val="center"/>
                    <w:textAlignment w:val="baseline"/>
                    <w:rPr>
                      <w:bCs/>
                      <w:szCs w:val="21"/>
                    </w:rPr>
                  </w:pPr>
                  <w:r>
                    <w:rPr>
                      <w:szCs w:val="21"/>
                    </w:rPr>
                    <w:t>1</w:t>
                  </w:r>
                </w:p>
              </w:tc>
              <w:tc>
                <w:tcPr>
                  <w:tcW w:w="385" w:type="pct"/>
                  <w:tcBorders>
                    <w:top w:val="single" w:color="auto" w:sz="6" w:space="0"/>
                    <w:left w:val="single" w:color="auto" w:sz="6" w:space="0"/>
                    <w:bottom w:val="single" w:color="auto" w:sz="6" w:space="0"/>
                    <w:right w:val="single" w:color="auto" w:sz="6" w:space="0"/>
                  </w:tcBorders>
                  <w:vAlign w:val="center"/>
                </w:tcPr>
                <w:p w14:paraId="340B8134">
                  <w:pPr>
                    <w:pStyle w:val="75"/>
                    <w:adjustRightInd w:val="0"/>
                    <w:snapToGrid w:val="0"/>
                    <w:spacing w:line="240" w:lineRule="auto"/>
                    <w:rPr>
                      <w:kern w:val="2"/>
                      <w:sz w:val="21"/>
                      <w:szCs w:val="21"/>
                    </w:rPr>
                  </w:pPr>
                  <w:r>
                    <w:rPr>
                      <w:rFonts w:hint="eastAsia"/>
                      <w:kern w:val="2"/>
                      <w:sz w:val="21"/>
                      <w:szCs w:val="21"/>
                    </w:rPr>
                    <w:t>DA001</w:t>
                  </w:r>
                </w:p>
              </w:tc>
              <w:tc>
                <w:tcPr>
                  <w:tcW w:w="1033" w:type="pct"/>
                  <w:tcBorders>
                    <w:top w:val="single" w:color="auto" w:sz="6" w:space="0"/>
                    <w:left w:val="single" w:color="auto" w:sz="6" w:space="0"/>
                    <w:bottom w:val="single" w:color="auto" w:sz="6" w:space="0"/>
                    <w:right w:val="single" w:color="auto" w:sz="6" w:space="0"/>
                  </w:tcBorders>
                  <w:vAlign w:val="center"/>
                </w:tcPr>
                <w:p w14:paraId="0CD99897">
                  <w:pPr>
                    <w:adjustRightInd w:val="0"/>
                    <w:snapToGrid w:val="0"/>
                    <w:jc w:val="center"/>
                    <w:rPr>
                      <w:szCs w:val="21"/>
                    </w:rPr>
                  </w:pPr>
                  <w:r>
                    <w:rPr>
                      <w:rFonts w:hint="eastAsia"/>
                      <w:color w:val="000000"/>
                      <w:szCs w:val="21"/>
                    </w:rPr>
                    <w:t>1#生产车间破碎、熬制、压饼、污水处理站</w:t>
                  </w:r>
                  <w:r>
                    <w:rPr>
                      <w:color w:val="000000"/>
                      <w:szCs w:val="21"/>
                    </w:rPr>
                    <w:t>恶臭气体</w:t>
                  </w:r>
                  <w:r>
                    <w:rPr>
                      <w:rFonts w:hint="eastAsia"/>
                      <w:color w:val="000000"/>
                      <w:szCs w:val="21"/>
                    </w:rPr>
                    <w:t>及熬制油烟</w:t>
                  </w:r>
                  <w:r>
                    <w:rPr>
                      <w:rFonts w:hint="eastAsia"/>
                      <w:szCs w:val="21"/>
                    </w:rPr>
                    <w:t>排气筒</w:t>
                  </w:r>
                </w:p>
              </w:tc>
              <w:tc>
                <w:tcPr>
                  <w:tcW w:w="762" w:type="pct"/>
                  <w:tcBorders>
                    <w:top w:val="single" w:color="auto" w:sz="6" w:space="0"/>
                    <w:left w:val="single" w:color="auto" w:sz="6" w:space="0"/>
                    <w:bottom w:val="single" w:color="auto" w:sz="6" w:space="0"/>
                    <w:right w:val="single" w:color="auto" w:sz="6" w:space="0"/>
                  </w:tcBorders>
                  <w:vAlign w:val="center"/>
                </w:tcPr>
                <w:p w14:paraId="7F705372">
                  <w:pPr>
                    <w:widowControl/>
                    <w:adjustRightInd w:val="0"/>
                    <w:snapToGrid w:val="0"/>
                    <w:jc w:val="center"/>
                    <w:rPr>
                      <w:szCs w:val="21"/>
                    </w:rPr>
                  </w:pPr>
                  <w:r>
                    <w:rPr>
                      <w:rFonts w:hint="eastAsia"/>
                      <w:spacing w:val="-4"/>
                      <w:szCs w:val="21"/>
                    </w:rPr>
                    <w:t>油烟、</w:t>
                  </w:r>
                  <w:r>
                    <w:rPr>
                      <w:spacing w:val="-4"/>
                      <w:szCs w:val="21"/>
                    </w:rPr>
                    <w:t>NH</w:t>
                  </w:r>
                  <w:r>
                    <w:rPr>
                      <w:spacing w:val="-4"/>
                      <w:szCs w:val="21"/>
                      <w:vertAlign w:val="subscript"/>
                    </w:rPr>
                    <w:t>3</w:t>
                  </w:r>
                  <w:r>
                    <w:rPr>
                      <w:rFonts w:hint="eastAsia"/>
                      <w:spacing w:val="-4"/>
                      <w:szCs w:val="21"/>
                    </w:rPr>
                    <w:t>、</w:t>
                  </w:r>
                  <w:r>
                    <w:rPr>
                      <w:spacing w:val="-4"/>
                      <w:szCs w:val="21"/>
                    </w:rPr>
                    <w:t>H</w:t>
                  </w:r>
                  <w:r>
                    <w:rPr>
                      <w:spacing w:val="-4"/>
                      <w:szCs w:val="21"/>
                      <w:vertAlign w:val="subscript"/>
                    </w:rPr>
                    <w:t>2</w:t>
                  </w:r>
                  <w:r>
                    <w:rPr>
                      <w:spacing w:val="-4"/>
                      <w:szCs w:val="21"/>
                    </w:rPr>
                    <w:t>S、</w:t>
                  </w:r>
                  <w:r>
                    <w:rPr>
                      <w:rFonts w:hint="eastAsia"/>
                      <w:color w:val="000000"/>
                      <w:szCs w:val="21"/>
                    </w:rPr>
                    <w:t>臭气浓度</w:t>
                  </w:r>
                </w:p>
              </w:tc>
              <w:tc>
                <w:tcPr>
                  <w:tcW w:w="664" w:type="pct"/>
                  <w:tcBorders>
                    <w:top w:val="single" w:color="auto" w:sz="6" w:space="0"/>
                    <w:left w:val="single" w:color="auto" w:sz="6" w:space="0"/>
                    <w:bottom w:val="single" w:color="auto" w:sz="6" w:space="0"/>
                    <w:right w:val="single" w:color="auto" w:sz="6" w:space="0"/>
                  </w:tcBorders>
                  <w:vAlign w:val="center"/>
                </w:tcPr>
                <w:p w14:paraId="1D6C1181">
                  <w:pPr>
                    <w:adjustRightInd w:val="0"/>
                    <w:snapToGrid w:val="0"/>
                    <w:jc w:val="center"/>
                    <w:textAlignment w:val="baseline"/>
                    <w:rPr>
                      <w:bCs/>
                      <w:spacing w:val="-4"/>
                      <w:szCs w:val="21"/>
                      <w:highlight w:val="yellow"/>
                    </w:rPr>
                  </w:pPr>
                  <w:r>
                    <w:rPr>
                      <w:bCs/>
                      <w:spacing w:val="-4"/>
                      <w:szCs w:val="21"/>
                    </w:rPr>
                    <w:t>115.33560424</w:t>
                  </w:r>
                </w:p>
              </w:tc>
              <w:tc>
                <w:tcPr>
                  <w:tcW w:w="614" w:type="pct"/>
                  <w:tcBorders>
                    <w:top w:val="single" w:color="auto" w:sz="6" w:space="0"/>
                    <w:left w:val="single" w:color="auto" w:sz="6" w:space="0"/>
                    <w:bottom w:val="single" w:color="auto" w:sz="6" w:space="0"/>
                    <w:right w:val="single" w:color="auto" w:sz="6" w:space="0"/>
                  </w:tcBorders>
                  <w:vAlign w:val="center"/>
                </w:tcPr>
                <w:p w14:paraId="23FA1919">
                  <w:pPr>
                    <w:adjustRightInd w:val="0"/>
                    <w:snapToGrid w:val="0"/>
                    <w:jc w:val="center"/>
                    <w:textAlignment w:val="baseline"/>
                    <w:rPr>
                      <w:bCs/>
                      <w:spacing w:val="-4"/>
                      <w:szCs w:val="21"/>
                      <w:highlight w:val="yellow"/>
                    </w:rPr>
                  </w:pPr>
                  <w:r>
                    <w:rPr>
                      <w:bCs/>
                      <w:spacing w:val="-4"/>
                      <w:szCs w:val="21"/>
                    </w:rPr>
                    <w:t>34.84162041</w:t>
                  </w:r>
                </w:p>
              </w:tc>
              <w:tc>
                <w:tcPr>
                  <w:tcW w:w="467" w:type="pct"/>
                  <w:tcBorders>
                    <w:top w:val="single" w:color="auto" w:sz="6" w:space="0"/>
                    <w:left w:val="single" w:color="auto" w:sz="6" w:space="0"/>
                    <w:bottom w:val="single" w:color="auto" w:sz="6" w:space="0"/>
                    <w:right w:val="single" w:color="auto" w:sz="6" w:space="0"/>
                  </w:tcBorders>
                  <w:vAlign w:val="center"/>
                </w:tcPr>
                <w:p w14:paraId="32D45AEB">
                  <w:pPr>
                    <w:adjustRightInd w:val="0"/>
                    <w:snapToGrid w:val="0"/>
                    <w:jc w:val="center"/>
                    <w:rPr>
                      <w:bCs/>
                      <w:szCs w:val="21"/>
                    </w:rPr>
                  </w:pPr>
                  <w:r>
                    <w:rPr>
                      <w:rFonts w:hint="eastAsia"/>
                      <w:bCs/>
                      <w:szCs w:val="21"/>
                    </w:rPr>
                    <w:t>15</w:t>
                  </w:r>
                </w:p>
              </w:tc>
              <w:tc>
                <w:tcPr>
                  <w:tcW w:w="483" w:type="pct"/>
                  <w:tcBorders>
                    <w:top w:val="single" w:color="auto" w:sz="6" w:space="0"/>
                    <w:left w:val="single" w:color="auto" w:sz="6" w:space="0"/>
                    <w:bottom w:val="single" w:color="auto" w:sz="6" w:space="0"/>
                    <w:right w:val="single" w:color="auto" w:sz="6" w:space="0"/>
                  </w:tcBorders>
                  <w:vAlign w:val="center"/>
                </w:tcPr>
                <w:p w14:paraId="5F940222">
                  <w:pPr>
                    <w:adjustRightInd w:val="0"/>
                    <w:snapToGrid w:val="0"/>
                    <w:jc w:val="center"/>
                    <w:rPr>
                      <w:bCs/>
                      <w:szCs w:val="21"/>
                    </w:rPr>
                  </w:pPr>
                  <w:r>
                    <w:rPr>
                      <w:rFonts w:hint="eastAsia"/>
                      <w:bCs/>
                      <w:szCs w:val="21"/>
                    </w:rPr>
                    <w:t>0.6</w:t>
                  </w:r>
                </w:p>
              </w:tc>
              <w:tc>
                <w:tcPr>
                  <w:tcW w:w="463" w:type="pct"/>
                  <w:tcBorders>
                    <w:top w:val="single" w:color="auto" w:sz="6" w:space="0"/>
                    <w:left w:val="single" w:color="auto" w:sz="6" w:space="0"/>
                    <w:bottom w:val="single" w:color="auto" w:sz="6" w:space="0"/>
                    <w:right w:val="single" w:color="auto" w:sz="6" w:space="0"/>
                  </w:tcBorders>
                  <w:vAlign w:val="center"/>
                </w:tcPr>
                <w:p w14:paraId="5D1D2CA2">
                  <w:pPr>
                    <w:adjustRightInd w:val="0"/>
                    <w:snapToGrid w:val="0"/>
                    <w:jc w:val="center"/>
                    <w:rPr>
                      <w:bCs/>
                      <w:szCs w:val="21"/>
                    </w:rPr>
                  </w:pPr>
                  <w:r>
                    <w:rPr>
                      <w:rFonts w:hint="eastAsia"/>
                      <w:bCs/>
                      <w:szCs w:val="21"/>
                    </w:rPr>
                    <w:t>25</w:t>
                  </w:r>
                </w:p>
              </w:tc>
            </w:tr>
            <w:tr w14:paraId="5CD469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129" w:type="pct"/>
                  <w:tcBorders>
                    <w:top w:val="single" w:color="auto" w:sz="6" w:space="0"/>
                    <w:left w:val="single" w:color="auto" w:sz="6" w:space="0"/>
                    <w:bottom w:val="single" w:color="auto" w:sz="6" w:space="0"/>
                    <w:right w:val="single" w:color="auto" w:sz="6" w:space="0"/>
                  </w:tcBorders>
                  <w:vAlign w:val="center"/>
                </w:tcPr>
                <w:p w14:paraId="712CDF77">
                  <w:pPr>
                    <w:adjustRightInd w:val="0"/>
                    <w:snapToGrid w:val="0"/>
                    <w:jc w:val="center"/>
                    <w:textAlignment w:val="baseline"/>
                    <w:rPr>
                      <w:szCs w:val="21"/>
                    </w:rPr>
                  </w:pPr>
                  <w:r>
                    <w:rPr>
                      <w:rFonts w:hint="eastAsia"/>
                      <w:szCs w:val="21"/>
                    </w:rPr>
                    <w:t>2</w:t>
                  </w:r>
                </w:p>
              </w:tc>
              <w:tc>
                <w:tcPr>
                  <w:tcW w:w="385" w:type="pct"/>
                  <w:tcBorders>
                    <w:top w:val="single" w:color="auto" w:sz="6" w:space="0"/>
                    <w:left w:val="single" w:color="auto" w:sz="6" w:space="0"/>
                    <w:bottom w:val="single" w:color="auto" w:sz="6" w:space="0"/>
                    <w:right w:val="single" w:color="auto" w:sz="6" w:space="0"/>
                  </w:tcBorders>
                  <w:vAlign w:val="center"/>
                </w:tcPr>
                <w:p w14:paraId="38F03F43">
                  <w:pPr>
                    <w:pStyle w:val="75"/>
                    <w:adjustRightInd w:val="0"/>
                    <w:snapToGrid w:val="0"/>
                    <w:spacing w:line="240" w:lineRule="auto"/>
                    <w:rPr>
                      <w:kern w:val="2"/>
                      <w:sz w:val="21"/>
                      <w:szCs w:val="21"/>
                    </w:rPr>
                  </w:pPr>
                  <w:r>
                    <w:rPr>
                      <w:rFonts w:hint="eastAsia"/>
                      <w:kern w:val="2"/>
                      <w:sz w:val="21"/>
                      <w:szCs w:val="21"/>
                    </w:rPr>
                    <w:t>DA002</w:t>
                  </w:r>
                </w:p>
              </w:tc>
              <w:tc>
                <w:tcPr>
                  <w:tcW w:w="1033" w:type="pct"/>
                  <w:tcBorders>
                    <w:top w:val="single" w:color="auto" w:sz="6" w:space="0"/>
                    <w:left w:val="single" w:color="auto" w:sz="6" w:space="0"/>
                    <w:bottom w:val="single" w:color="auto" w:sz="6" w:space="0"/>
                    <w:right w:val="single" w:color="auto" w:sz="6" w:space="0"/>
                  </w:tcBorders>
                  <w:vAlign w:val="center"/>
                </w:tcPr>
                <w:p w14:paraId="2E182EB1">
                  <w:pPr>
                    <w:adjustRightInd w:val="0"/>
                    <w:snapToGrid w:val="0"/>
                    <w:jc w:val="center"/>
                    <w:rPr>
                      <w:color w:val="000000"/>
                      <w:szCs w:val="21"/>
                    </w:rPr>
                  </w:pPr>
                  <w:r>
                    <w:rPr>
                      <w:rFonts w:hint="eastAsia"/>
                      <w:color w:val="000000"/>
                      <w:szCs w:val="21"/>
                    </w:rPr>
                    <w:t>2#生产车间破碎、熬制、压饼</w:t>
                  </w:r>
                  <w:r>
                    <w:rPr>
                      <w:color w:val="000000"/>
                      <w:szCs w:val="21"/>
                    </w:rPr>
                    <w:t>恶臭气体</w:t>
                  </w:r>
                  <w:r>
                    <w:rPr>
                      <w:rFonts w:hint="eastAsia"/>
                      <w:color w:val="000000"/>
                      <w:szCs w:val="21"/>
                    </w:rPr>
                    <w:t>及熬制油烟</w:t>
                  </w:r>
                </w:p>
              </w:tc>
              <w:tc>
                <w:tcPr>
                  <w:tcW w:w="762" w:type="pct"/>
                  <w:tcBorders>
                    <w:top w:val="single" w:color="auto" w:sz="6" w:space="0"/>
                    <w:left w:val="single" w:color="auto" w:sz="6" w:space="0"/>
                    <w:bottom w:val="single" w:color="auto" w:sz="6" w:space="0"/>
                    <w:right w:val="single" w:color="auto" w:sz="6" w:space="0"/>
                  </w:tcBorders>
                  <w:vAlign w:val="center"/>
                </w:tcPr>
                <w:p w14:paraId="1C5732EB">
                  <w:pPr>
                    <w:widowControl/>
                    <w:adjustRightInd w:val="0"/>
                    <w:snapToGrid w:val="0"/>
                    <w:jc w:val="center"/>
                    <w:rPr>
                      <w:spacing w:val="-4"/>
                      <w:szCs w:val="21"/>
                    </w:rPr>
                  </w:pPr>
                  <w:r>
                    <w:rPr>
                      <w:rFonts w:hint="eastAsia"/>
                      <w:spacing w:val="-4"/>
                      <w:szCs w:val="21"/>
                    </w:rPr>
                    <w:t>油烟、</w:t>
                  </w:r>
                  <w:r>
                    <w:rPr>
                      <w:spacing w:val="-4"/>
                      <w:szCs w:val="21"/>
                    </w:rPr>
                    <w:t>NH</w:t>
                  </w:r>
                  <w:r>
                    <w:rPr>
                      <w:spacing w:val="-4"/>
                      <w:szCs w:val="21"/>
                      <w:vertAlign w:val="subscript"/>
                    </w:rPr>
                    <w:t>3</w:t>
                  </w:r>
                  <w:r>
                    <w:rPr>
                      <w:rFonts w:hint="eastAsia"/>
                      <w:spacing w:val="-4"/>
                      <w:szCs w:val="21"/>
                    </w:rPr>
                    <w:t>、</w:t>
                  </w:r>
                  <w:r>
                    <w:rPr>
                      <w:spacing w:val="-4"/>
                      <w:szCs w:val="21"/>
                    </w:rPr>
                    <w:t>H</w:t>
                  </w:r>
                  <w:r>
                    <w:rPr>
                      <w:spacing w:val="-4"/>
                      <w:szCs w:val="21"/>
                      <w:vertAlign w:val="subscript"/>
                    </w:rPr>
                    <w:t>2</w:t>
                  </w:r>
                  <w:r>
                    <w:rPr>
                      <w:spacing w:val="-4"/>
                      <w:szCs w:val="21"/>
                    </w:rPr>
                    <w:t>S、</w:t>
                  </w:r>
                  <w:r>
                    <w:rPr>
                      <w:rFonts w:hint="eastAsia"/>
                      <w:color w:val="000000"/>
                      <w:szCs w:val="21"/>
                    </w:rPr>
                    <w:t>臭气浓度</w:t>
                  </w:r>
                </w:p>
              </w:tc>
              <w:tc>
                <w:tcPr>
                  <w:tcW w:w="664" w:type="pct"/>
                  <w:tcBorders>
                    <w:top w:val="single" w:color="auto" w:sz="6" w:space="0"/>
                    <w:left w:val="single" w:color="auto" w:sz="6" w:space="0"/>
                    <w:bottom w:val="single" w:color="auto" w:sz="6" w:space="0"/>
                    <w:right w:val="single" w:color="auto" w:sz="6" w:space="0"/>
                  </w:tcBorders>
                  <w:vAlign w:val="center"/>
                </w:tcPr>
                <w:p w14:paraId="56FC1AE1">
                  <w:pPr>
                    <w:adjustRightInd w:val="0"/>
                    <w:snapToGrid w:val="0"/>
                    <w:jc w:val="center"/>
                    <w:textAlignment w:val="baseline"/>
                    <w:rPr>
                      <w:bCs/>
                      <w:spacing w:val="-4"/>
                      <w:szCs w:val="21"/>
                    </w:rPr>
                  </w:pPr>
                  <w:r>
                    <w:rPr>
                      <w:bCs/>
                      <w:spacing w:val="-4"/>
                      <w:szCs w:val="21"/>
                    </w:rPr>
                    <w:t>115.33566323</w:t>
                  </w:r>
                </w:p>
              </w:tc>
              <w:tc>
                <w:tcPr>
                  <w:tcW w:w="614" w:type="pct"/>
                  <w:tcBorders>
                    <w:top w:val="single" w:color="auto" w:sz="6" w:space="0"/>
                    <w:left w:val="single" w:color="auto" w:sz="6" w:space="0"/>
                    <w:bottom w:val="single" w:color="auto" w:sz="6" w:space="0"/>
                    <w:right w:val="single" w:color="auto" w:sz="6" w:space="0"/>
                  </w:tcBorders>
                  <w:vAlign w:val="center"/>
                </w:tcPr>
                <w:p w14:paraId="2D36B430">
                  <w:pPr>
                    <w:adjustRightInd w:val="0"/>
                    <w:snapToGrid w:val="0"/>
                    <w:jc w:val="center"/>
                    <w:textAlignment w:val="baseline"/>
                    <w:rPr>
                      <w:bCs/>
                      <w:spacing w:val="-4"/>
                      <w:szCs w:val="21"/>
                    </w:rPr>
                  </w:pPr>
                  <w:r>
                    <w:rPr>
                      <w:bCs/>
                      <w:spacing w:val="-4"/>
                      <w:szCs w:val="21"/>
                    </w:rPr>
                    <w:t>34.84101511</w:t>
                  </w:r>
                </w:p>
              </w:tc>
              <w:tc>
                <w:tcPr>
                  <w:tcW w:w="467" w:type="pct"/>
                  <w:tcBorders>
                    <w:top w:val="single" w:color="auto" w:sz="6" w:space="0"/>
                    <w:left w:val="single" w:color="auto" w:sz="6" w:space="0"/>
                    <w:bottom w:val="single" w:color="auto" w:sz="6" w:space="0"/>
                    <w:right w:val="single" w:color="auto" w:sz="6" w:space="0"/>
                  </w:tcBorders>
                  <w:vAlign w:val="center"/>
                </w:tcPr>
                <w:p w14:paraId="7F73DDE5">
                  <w:pPr>
                    <w:adjustRightInd w:val="0"/>
                    <w:snapToGrid w:val="0"/>
                    <w:jc w:val="center"/>
                    <w:rPr>
                      <w:bCs/>
                      <w:szCs w:val="21"/>
                    </w:rPr>
                  </w:pPr>
                  <w:r>
                    <w:rPr>
                      <w:rFonts w:hint="eastAsia"/>
                      <w:bCs/>
                      <w:szCs w:val="21"/>
                    </w:rPr>
                    <w:t>15</w:t>
                  </w:r>
                </w:p>
              </w:tc>
              <w:tc>
                <w:tcPr>
                  <w:tcW w:w="483" w:type="pct"/>
                  <w:tcBorders>
                    <w:top w:val="single" w:color="auto" w:sz="6" w:space="0"/>
                    <w:left w:val="single" w:color="auto" w:sz="6" w:space="0"/>
                    <w:bottom w:val="single" w:color="auto" w:sz="6" w:space="0"/>
                    <w:right w:val="single" w:color="auto" w:sz="6" w:space="0"/>
                  </w:tcBorders>
                  <w:vAlign w:val="center"/>
                </w:tcPr>
                <w:p w14:paraId="55AD46ED">
                  <w:pPr>
                    <w:adjustRightInd w:val="0"/>
                    <w:snapToGrid w:val="0"/>
                    <w:jc w:val="center"/>
                    <w:rPr>
                      <w:bCs/>
                      <w:szCs w:val="21"/>
                    </w:rPr>
                  </w:pPr>
                  <w:r>
                    <w:rPr>
                      <w:rFonts w:hint="eastAsia"/>
                      <w:bCs/>
                      <w:szCs w:val="21"/>
                    </w:rPr>
                    <w:t>0.6</w:t>
                  </w:r>
                </w:p>
              </w:tc>
              <w:tc>
                <w:tcPr>
                  <w:tcW w:w="463" w:type="pct"/>
                  <w:tcBorders>
                    <w:top w:val="single" w:color="auto" w:sz="6" w:space="0"/>
                    <w:left w:val="single" w:color="auto" w:sz="6" w:space="0"/>
                    <w:bottom w:val="single" w:color="auto" w:sz="6" w:space="0"/>
                    <w:right w:val="single" w:color="auto" w:sz="6" w:space="0"/>
                  </w:tcBorders>
                  <w:vAlign w:val="center"/>
                </w:tcPr>
                <w:p w14:paraId="1BA4BEF3">
                  <w:pPr>
                    <w:adjustRightInd w:val="0"/>
                    <w:snapToGrid w:val="0"/>
                    <w:jc w:val="center"/>
                    <w:rPr>
                      <w:bCs/>
                      <w:szCs w:val="21"/>
                    </w:rPr>
                  </w:pPr>
                  <w:r>
                    <w:rPr>
                      <w:rFonts w:hint="eastAsia"/>
                      <w:bCs/>
                      <w:szCs w:val="21"/>
                    </w:rPr>
                    <w:t>25</w:t>
                  </w:r>
                </w:p>
              </w:tc>
            </w:tr>
            <w:tr w14:paraId="7240B4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38" w:hRule="atLeast"/>
              </w:trPr>
              <w:tc>
                <w:tcPr>
                  <w:tcW w:w="129" w:type="pct"/>
                  <w:tcBorders>
                    <w:top w:val="single" w:color="auto" w:sz="6" w:space="0"/>
                    <w:left w:val="single" w:color="auto" w:sz="6" w:space="0"/>
                    <w:bottom w:val="single" w:color="auto" w:sz="6" w:space="0"/>
                    <w:right w:val="single" w:color="auto" w:sz="6" w:space="0"/>
                  </w:tcBorders>
                  <w:vAlign w:val="center"/>
                </w:tcPr>
                <w:p w14:paraId="2CDC4A0D">
                  <w:pPr>
                    <w:adjustRightInd w:val="0"/>
                    <w:snapToGrid w:val="0"/>
                    <w:jc w:val="center"/>
                    <w:textAlignment w:val="baseline"/>
                    <w:rPr>
                      <w:szCs w:val="21"/>
                    </w:rPr>
                  </w:pPr>
                  <w:r>
                    <w:rPr>
                      <w:rFonts w:hint="eastAsia"/>
                      <w:szCs w:val="21"/>
                    </w:rPr>
                    <w:t>3</w:t>
                  </w:r>
                </w:p>
              </w:tc>
              <w:tc>
                <w:tcPr>
                  <w:tcW w:w="385" w:type="pct"/>
                  <w:tcBorders>
                    <w:top w:val="single" w:color="auto" w:sz="6" w:space="0"/>
                    <w:left w:val="single" w:color="auto" w:sz="6" w:space="0"/>
                    <w:bottom w:val="single" w:color="auto" w:sz="6" w:space="0"/>
                    <w:right w:val="single" w:color="auto" w:sz="6" w:space="0"/>
                  </w:tcBorders>
                  <w:vAlign w:val="center"/>
                </w:tcPr>
                <w:p w14:paraId="3B187534">
                  <w:pPr>
                    <w:pStyle w:val="75"/>
                    <w:adjustRightInd w:val="0"/>
                    <w:snapToGrid w:val="0"/>
                    <w:spacing w:line="240" w:lineRule="auto"/>
                    <w:rPr>
                      <w:kern w:val="2"/>
                      <w:sz w:val="21"/>
                      <w:szCs w:val="21"/>
                    </w:rPr>
                  </w:pPr>
                  <w:r>
                    <w:rPr>
                      <w:rFonts w:hint="eastAsia"/>
                      <w:kern w:val="2"/>
                      <w:sz w:val="21"/>
                      <w:szCs w:val="21"/>
                    </w:rPr>
                    <w:t>DA003</w:t>
                  </w:r>
                </w:p>
              </w:tc>
              <w:tc>
                <w:tcPr>
                  <w:tcW w:w="1033" w:type="pct"/>
                  <w:tcBorders>
                    <w:top w:val="single" w:color="auto" w:sz="6" w:space="0"/>
                    <w:left w:val="single" w:color="auto" w:sz="6" w:space="0"/>
                    <w:bottom w:val="single" w:color="auto" w:sz="6" w:space="0"/>
                    <w:right w:val="single" w:color="auto" w:sz="6" w:space="0"/>
                  </w:tcBorders>
                  <w:vAlign w:val="center"/>
                </w:tcPr>
                <w:p w14:paraId="0EDABFE1">
                  <w:pPr>
                    <w:adjustRightInd w:val="0"/>
                    <w:snapToGrid w:val="0"/>
                    <w:jc w:val="center"/>
                    <w:rPr>
                      <w:color w:val="000000"/>
                      <w:spacing w:val="-10"/>
                      <w:szCs w:val="21"/>
                    </w:rPr>
                  </w:pPr>
                  <w:r>
                    <w:rPr>
                      <w:rFonts w:hint="eastAsia"/>
                      <w:color w:val="000000"/>
                      <w:spacing w:val="-10"/>
                      <w:szCs w:val="21"/>
                    </w:rPr>
                    <w:t>锅炉废气排气筒</w:t>
                  </w:r>
                </w:p>
              </w:tc>
              <w:tc>
                <w:tcPr>
                  <w:tcW w:w="762" w:type="pct"/>
                  <w:tcBorders>
                    <w:top w:val="single" w:color="auto" w:sz="6" w:space="0"/>
                    <w:left w:val="single" w:color="auto" w:sz="6" w:space="0"/>
                    <w:bottom w:val="single" w:color="auto" w:sz="6" w:space="0"/>
                    <w:right w:val="single" w:color="auto" w:sz="6" w:space="0"/>
                  </w:tcBorders>
                  <w:vAlign w:val="center"/>
                </w:tcPr>
                <w:p w14:paraId="6C81735B">
                  <w:pPr>
                    <w:widowControl/>
                    <w:adjustRightInd w:val="0"/>
                    <w:snapToGrid w:val="0"/>
                    <w:jc w:val="center"/>
                    <w:rPr>
                      <w:szCs w:val="21"/>
                    </w:rPr>
                  </w:pPr>
                  <w:r>
                    <w:rPr>
                      <w:rFonts w:hint="eastAsia"/>
                      <w:spacing w:val="-4"/>
                      <w:szCs w:val="21"/>
                    </w:rPr>
                    <w:t>烟尘、</w:t>
                  </w:r>
                  <w:r>
                    <w:rPr>
                      <w:spacing w:val="-4"/>
                      <w:szCs w:val="21"/>
                    </w:rPr>
                    <w:t>SO</w:t>
                  </w:r>
                  <w:r>
                    <w:rPr>
                      <w:spacing w:val="-4"/>
                      <w:szCs w:val="21"/>
                      <w:vertAlign w:val="subscript"/>
                    </w:rPr>
                    <w:t>2</w:t>
                  </w:r>
                  <w:r>
                    <w:rPr>
                      <w:rFonts w:hint="eastAsia"/>
                      <w:spacing w:val="-4"/>
                      <w:szCs w:val="21"/>
                    </w:rPr>
                    <w:t>及</w:t>
                  </w:r>
                  <w:r>
                    <w:rPr>
                      <w:spacing w:val="-4"/>
                      <w:szCs w:val="21"/>
                    </w:rPr>
                    <w:t>NO</w:t>
                  </w:r>
                  <w:r>
                    <w:rPr>
                      <w:spacing w:val="-4"/>
                      <w:szCs w:val="21"/>
                      <w:vertAlign w:val="subscript"/>
                    </w:rPr>
                    <w:t>X</w:t>
                  </w:r>
                  <w:r>
                    <w:rPr>
                      <w:spacing w:val="-4"/>
                      <w:szCs w:val="21"/>
                    </w:rPr>
                    <w:t>、</w:t>
                  </w:r>
                  <w:r>
                    <w:rPr>
                      <w:rFonts w:hint="eastAsia"/>
                      <w:szCs w:val="21"/>
                    </w:rPr>
                    <w:t>烟气黑度</w:t>
                  </w:r>
                </w:p>
              </w:tc>
              <w:tc>
                <w:tcPr>
                  <w:tcW w:w="664" w:type="pct"/>
                  <w:tcBorders>
                    <w:top w:val="single" w:color="auto" w:sz="6" w:space="0"/>
                    <w:left w:val="single" w:color="auto" w:sz="6" w:space="0"/>
                    <w:bottom w:val="single" w:color="auto" w:sz="6" w:space="0"/>
                    <w:right w:val="single" w:color="auto" w:sz="6" w:space="0"/>
                  </w:tcBorders>
                  <w:vAlign w:val="center"/>
                </w:tcPr>
                <w:p w14:paraId="12962AA6">
                  <w:pPr>
                    <w:adjustRightInd w:val="0"/>
                    <w:snapToGrid w:val="0"/>
                    <w:jc w:val="center"/>
                    <w:textAlignment w:val="baseline"/>
                    <w:rPr>
                      <w:bCs/>
                      <w:spacing w:val="-4"/>
                      <w:szCs w:val="21"/>
                    </w:rPr>
                  </w:pPr>
                  <w:r>
                    <w:rPr>
                      <w:bCs/>
                      <w:spacing w:val="-4"/>
                      <w:szCs w:val="21"/>
                    </w:rPr>
                    <w:t>115.33586772</w:t>
                  </w:r>
                </w:p>
              </w:tc>
              <w:tc>
                <w:tcPr>
                  <w:tcW w:w="614" w:type="pct"/>
                  <w:tcBorders>
                    <w:top w:val="single" w:color="auto" w:sz="6" w:space="0"/>
                    <w:left w:val="single" w:color="auto" w:sz="6" w:space="0"/>
                    <w:bottom w:val="single" w:color="auto" w:sz="6" w:space="0"/>
                    <w:right w:val="single" w:color="auto" w:sz="6" w:space="0"/>
                  </w:tcBorders>
                  <w:vAlign w:val="center"/>
                </w:tcPr>
                <w:p w14:paraId="683F8E09">
                  <w:pPr>
                    <w:adjustRightInd w:val="0"/>
                    <w:snapToGrid w:val="0"/>
                    <w:jc w:val="center"/>
                    <w:textAlignment w:val="baseline"/>
                    <w:rPr>
                      <w:bCs/>
                      <w:spacing w:val="-4"/>
                      <w:szCs w:val="21"/>
                    </w:rPr>
                  </w:pPr>
                  <w:r>
                    <w:rPr>
                      <w:bCs/>
                      <w:spacing w:val="-4"/>
                      <w:szCs w:val="21"/>
                    </w:rPr>
                    <w:t>34.84161210</w:t>
                  </w:r>
                </w:p>
              </w:tc>
              <w:tc>
                <w:tcPr>
                  <w:tcW w:w="467" w:type="pct"/>
                  <w:tcBorders>
                    <w:top w:val="single" w:color="auto" w:sz="6" w:space="0"/>
                    <w:left w:val="single" w:color="auto" w:sz="6" w:space="0"/>
                    <w:bottom w:val="single" w:color="auto" w:sz="6" w:space="0"/>
                    <w:right w:val="single" w:color="auto" w:sz="6" w:space="0"/>
                  </w:tcBorders>
                  <w:vAlign w:val="center"/>
                </w:tcPr>
                <w:p w14:paraId="169EEDB6">
                  <w:pPr>
                    <w:adjustRightInd w:val="0"/>
                    <w:snapToGrid w:val="0"/>
                    <w:jc w:val="center"/>
                    <w:rPr>
                      <w:bCs/>
                      <w:szCs w:val="21"/>
                    </w:rPr>
                  </w:pPr>
                  <w:r>
                    <w:rPr>
                      <w:rFonts w:hint="eastAsia"/>
                      <w:bCs/>
                      <w:szCs w:val="21"/>
                    </w:rPr>
                    <w:t>15</w:t>
                  </w:r>
                </w:p>
              </w:tc>
              <w:tc>
                <w:tcPr>
                  <w:tcW w:w="483" w:type="pct"/>
                  <w:tcBorders>
                    <w:top w:val="single" w:color="auto" w:sz="6" w:space="0"/>
                    <w:left w:val="single" w:color="auto" w:sz="6" w:space="0"/>
                    <w:bottom w:val="single" w:color="auto" w:sz="6" w:space="0"/>
                    <w:right w:val="single" w:color="auto" w:sz="6" w:space="0"/>
                  </w:tcBorders>
                  <w:vAlign w:val="center"/>
                </w:tcPr>
                <w:p w14:paraId="3FAE8151">
                  <w:pPr>
                    <w:adjustRightInd w:val="0"/>
                    <w:snapToGrid w:val="0"/>
                    <w:jc w:val="center"/>
                    <w:rPr>
                      <w:bCs/>
                      <w:szCs w:val="21"/>
                    </w:rPr>
                  </w:pPr>
                  <w:r>
                    <w:rPr>
                      <w:rFonts w:hint="eastAsia"/>
                      <w:bCs/>
                      <w:szCs w:val="21"/>
                    </w:rPr>
                    <w:t>0.3</w:t>
                  </w:r>
                </w:p>
              </w:tc>
              <w:tc>
                <w:tcPr>
                  <w:tcW w:w="463" w:type="pct"/>
                  <w:tcBorders>
                    <w:top w:val="single" w:color="auto" w:sz="6" w:space="0"/>
                    <w:left w:val="single" w:color="auto" w:sz="6" w:space="0"/>
                    <w:bottom w:val="single" w:color="auto" w:sz="6" w:space="0"/>
                    <w:right w:val="single" w:color="auto" w:sz="6" w:space="0"/>
                  </w:tcBorders>
                  <w:vAlign w:val="center"/>
                </w:tcPr>
                <w:p w14:paraId="09B2AE92">
                  <w:pPr>
                    <w:adjustRightInd w:val="0"/>
                    <w:snapToGrid w:val="0"/>
                    <w:jc w:val="center"/>
                    <w:rPr>
                      <w:bCs/>
                      <w:szCs w:val="21"/>
                    </w:rPr>
                  </w:pPr>
                  <w:r>
                    <w:rPr>
                      <w:rFonts w:hint="eastAsia"/>
                      <w:bCs/>
                      <w:szCs w:val="21"/>
                    </w:rPr>
                    <w:t>50</w:t>
                  </w:r>
                </w:p>
              </w:tc>
            </w:tr>
          </w:tbl>
          <w:p w14:paraId="76E116D2">
            <w:pPr>
              <w:spacing w:line="360" w:lineRule="auto"/>
              <w:ind w:firstLine="482" w:firstLineChars="200"/>
              <w:jc w:val="left"/>
              <w:rPr>
                <w:b/>
                <w:sz w:val="24"/>
              </w:rPr>
            </w:pPr>
            <w:r>
              <w:rPr>
                <w:b/>
                <w:sz w:val="24"/>
              </w:rPr>
              <w:t>1.</w:t>
            </w:r>
            <w:r>
              <w:rPr>
                <w:rFonts w:hint="eastAsia"/>
                <w:b/>
                <w:sz w:val="24"/>
              </w:rPr>
              <w:t>6废气监测方案</w:t>
            </w:r>
          </w:p>
          <w:p w14:paraId="151560CB">
            <w:pPr>
              <w:spacing w:line="360" w:lineRule="auto"/>
              <w:ind w:firstLine="480" w:firstLineChars="200"/>
              <w:jc w:val="left"/>
              <w:rPr>
                <w:bCs/>
                <w:spacing w:val="-2"/>
                <w:sz w:val="24"/>
              </w:rPr>
            </w:pPr>
            <w:r>
              <w:rPr>
                <w:rFonts w:hint="eastAsia"/>
                <w:bCs/>
                <w:sz w:val="24"/>
              </w:rPr>
              <w:t>结合</w:t>
            </w:r>
            <w:r>
              <w:rPr>
                <w:rFonts w:hint="eastAsia"/>
                <w:bCs/>
                <w:spacing w:val="-2"/>
                <w:sz w:val="24"/>
              </w:rPr>
              <w:t>《排污单位自行监测技术指南 农副食品加工业》（</w:t>
            </w:r>
            <w:r>
              <w:rPr>
                <w:bCs/>
                <w:spacing w:val="-2"/>
                <w:sz w:val="24"/>
              </w:rPr>
              <w:t>HJ986-2018</w:t>
            </w:r>
            <w:r>
              <w:rPr>
                <w:rFonts w:hint="eastAsia"/>
                <w:bCs/>
                <w:spacing w:val="-2"/>
                <w:sz w:val="24"/>
              </w:rPr>
              <w:t>）及</w:t>
            </w:r>
            <w:r>
              <w:rPr>
                <w:rFonts w:hint="eastAsia"/>
                <w:sz w:val="24"/>
              </w:rPr>
              <w:t>《</w:t>
            </w:r>
            <w:r>
              <w:rPr>
                <w:rFonts w:hint="eastAsia"/>
                <w:bCs/>
                <w:sz w:val="24"/>
              </w:rPr>
              <w:t>排污单位自行监测技术指南 火力发电及锅炉</w:t>
            </w:r>
            <w:r>
              <w:rPr>
                <w:rFonts w:hint="eastAsia"/>
                <w:bCs/>
                <w:spacing w:val="-2"/>
                <w:sz w:val="24"/>
              </w:rPr>
              <w:t>》（</w:t>
            </w:r>
            <w:r>
              <w:rPr>
                <w:bCs/>
                <w:spacing w:val="-2"/>
                <w:sz w:val="24"/>
              </w:rPr>
              <w:t>HJ820-2017</w:t>
            </w:r>
            <w:r>
              <w:rPr>
                <w:rFonts w:hint="eastAsia"/>
                <w:bCs/>
                <w:spacing w:val="-2"/>
                <w:sz w:val="24"/>
              </w:rPr>
              <w:t>）</w:t>
            </w:r>
            <w:r>
              <w:rPr>
                <w:rFonts w:hint="eastAsia"/>
                <w:bCs/>
                <w:sz w:val="24"/>
              </w:rPr>
              <w:t>，</w:t>
            </w:r>
            <w:r>
              <w:rPr>
                <w:rFonts w:hint="eastAsia" w:ascii="宋体" w:hAnsi="宋体"/>
                <w:sz w:val="24"/>
              </w:rPr>
              <w:t>项目废气监测方案见下表。</w:t>
            </w:r>
          </w:p>
          <w:p w14:paraId="4195E8D6">
            <w:pPr>
              <w:adjustRightInd w:val="0"/>
              <w:snapToGrid w:val="0"/>
              <w:jc w:val="center"/>
              <w:rPr>
                <w:b/>
                <w:color w:val="000000"/>
                <w:spacing w:val="-2"/>
                <w:sz w:val="24"/>
              </w:rPr>
            </w:pPr>
            <w:r>
              <w:rPr>
                <w:rFonts w:hint="eastAsia"/>
                <w:b/>
                <w:color w:val="000000"/>
                <w:sz w:val="24"/>
              </w:rPr>
              <w:t xml:space="preserve">表21 </w:t>
            </w:r>
            <w:r>
              <w:rPr>
                <w:b/>
                <w:color w:val="000000"/>
                <w:sz w:val="24"/>
              </w:rPr>
              <w:t xml:space="preserve">  </w:t>
            </w:r>
            <w:r>
              <w:rPr>
                <w:rFonts w:hint="eastAsia"/>
                <w:b/>
                <w:color w:val="000000"/>
                <w:sz w:val="24"/>
              </w:rPr>
              <w:t>本项目营运期废气监测一览表</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453"/>
              <w:gridCol w:w="2129"/>
              <w:gridCol w:w="1559"/>
              <w:gridCol w:w="1133"/>
              <w:gridCol w:w="3525"/>
            </w:tblGrid>
            <w:tr w14:paraId="7493F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467" w:type="pct"/>
                  <w:gridSpan w:val="2"/>
                  <w:tcBorders>
                    <w:top w:val="single" w:color="auto" w:sz="4" w:space="0"/>
                    <w:left w:val="single" w:color="auto" w:sz="4" w:space="0"/>
                    <w:bottom w:val="single" w:color="auto" w:sz="4" w:space="0"/>
                    <w:right w:val="single" w:color="auto" w:sz="4" w:space="0"/>
                  </w:tcBorders>
                  <w:vAlign w:val="center"/>
                </w:tcPr>
                <w:p w14:paraId="157E2095">
                  <w:pPr>
                    <w:jc w:val="center"/>
                    <w:textAlignment w:val="baseline"/>
                    <w:rPr>
                      <w:bCs/>
                      <w:color w:val="000000"/>
                      <w:szCs w:val="21"/>
                    </w:rPr>
                  </w:pPr>
                  <w:r>
                    <w:rPr>
                      <w:rFonts w:hint="eastAsia"/>
                      <w:color w:val="000000"/>
                      <w:szCs w:val="21"/>
                    </w:rPr>
                    <w:t>监测点位</w:t>
                  </w:r>
                </w:p>
              </w:tc>
              <w:tc>
                <w:tcPr>
                  <w:tcW w:w="886" w:type="pct"/>
                  <w:tcBorders>
                    <w:top w:val="single" w:color="auto" w:sz="4" w:space="0"/>
                    <w:left w:val="single" w:color="auto" w:sz="4" w:space="0"/>
                    <w:bottom w:val="single" w:color="auto" w:sz="4" w:space="0"/>
                    <w:right w:val="single" w:color="auto" w:sz="4" w:space="0"/>
                  </w:tcBorders>
                  <w:vAlign w:val="center"/>
                </w:tcPr>
                <w:p w14:paraId="0ADBD3AE">
                  <w:pPr>
                    <w:jc w:val="center"/>
                    <w:textAlignment w:val="baseline"/>
                    <w:rPr>
                      <w:color w:val="000000"/>
                      <w:szCs w:val="21"/>
                    </w:rPr>
                  </w:pPr>
                  <w:r>
                    <w:rPr>
                      <w:rFonts w:hint="eastAsia"/>
                      <w:color w:val="000000"/>
                      <w:szCs w:val="21"/>
                    </w:rPr>
                    <w:t>监测项目</w:t>
                  </w:r>
                </w:p>
              </w:tc>
              <w:tc>
                <w:tcPr>
                  <w:tcW w:w="644" w:type="pct"/>
                  <w:tcBorders>
                    <w:top w:val="single" w:color="auto" w:sz="4" w:space="0"/>
                    <w:left w:val="single" w:color="auto" w:sz="4" w:space="0"/>
                    <w:bottom w:val="single" w:color="auto" w:sz="4" w:space="0"/>
                    <w:right w:val="single" w:color="auto" w:sz="4" w:space="0"/>
                  </w:tcBorders>
                  <w:vAlign w:val="center"/>
                </w:tcPr>
                <w:p w14:paraId="161336E8">
                  <w:pPr>
                    <w:jc w:val="center"/>
                    <w:textAlignment w:val="baseline"/>
                    <w:rPr>
                      <w:color w:val="000000"/>
                      <w:szCs w:val="21"/>
                    </w:rPr>
                  </w:pPr>
                  <w:r>
                    <w:rPr>
                      <w:rFonts w:hint="eastAsia"/>
                      <w:color w:val="000000"/>
                      <w:szCs w:val="21"/>
                    </w:rPr>
                    <w:t>监测频次</w:t>
                  </w:r>
                </w:p>
              </w:tc>
              <w:tc>
                <w:tcPr>
                  <w:tcW w:w="2003" w:type="pct"/>
                  <w:tcBorders>
                    <w:top w:val="single" w:color="auto" w:sz="4" w:space="0"/>
                    <w:left w:val="single" w:color="auto" w:sz="4" w:space="0"/>
                    <w:bottom w:val="single" w:color="auto" w:sz="4" w:space="0"/>
                    <w:right w:val="single" w:color="auto" w:sz="4" w:space="0"/>
                  </w:tcBorders>
                  <w:vAlign w:val="center"/>
                </w:tcPr>
                <w:p w14:paraId="502D907A">
                  <w:pPr>
                    <w:jc w:val="center"/>
                    <w:textAlignment w:val="baseline"/>
                    <w:rPr>
                      <w:color w:val="000000"/>
                      <w:szCs w:val="21"/>
                    </w:rPr>
                  </w:pPr>
                  <w:r>
                    <w:rPr>
                      <w:rFonts w:hint="eastAsia"/>
                      <w:color w:val="000000"/>
                      <w:szCs w:val="21"/>
                    </w:rPr>
                    <w:t>执行标准</w:t>
                  </w:r>
                </w:p>
              </w:tc>
            </w:tr>
            <w:tr w14:paraId="11313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57" w:type="pct"/>
                  <w:vMerge w:val="restart"/>
                  <w:tcBorders>
                    <w:top w:val="single" w:color="auto" w:sz="4" w:space="0"/>
                    <w:left w:val="single" w:color="auto" w:sz="4" w:space="0"/>
                    <w:right w:val="single" w:color="auto" w:sz="4" w:space="0"/>
                  </w:tcBorders>
                  <w:vAlign w:val="center"/>
                </w:tcPr>
                <w:p w14:paraId="2E7733CB">
                  <w:pPr>
                    <w:jc w:val="center"/>
                    <w:textAlignment w:val="baseline"/>
                    <w:rPr>
                      <w:bCs/>
                      <w:color w:val="000000"/>
                      <w:szCs w:val="21"/>
                    </w:rPr>
                  </w:pPr>
                  <w:r>
                    <w:rPr>
                      <w:rFonts w:hint="eastAsia"/>
                      <w:bCs/>
                      <w:color w:val="000000"/>
                      <w:szCs w:val="21"/>
                    </w:rPr>
                    <w:t>有组织</w:t>
                  </w:r>
                </w:p>
              </w:tc>
              <w:tc>
                <w:tcPr>
                  <w:tcW w:w="1210" w:type="pct"/>
                  <w:tcBorders>
                    <w:top w:val="single" w:color="auto" w:sz="4" w:space="0"/>
                    <w:left w:val="single" w:color="auto" w:sz="4" w:space="0"/>
                    <w:bottom w:val="single" w:color="auto" w:sz="4" w:space="0"/>
                    <w:right w:val="single" w:color="auto" w:sz="4" w:space="0"/>
                  </w:tcBorders>
                  <w:vAlign w:val="center"/>
                </w:tcPr>
                <w:p w14:paraId="07E9E4C5">
                  <w:pPr>
                    <w:adjustRightInd w:val="0"/>
                    <w:snapToGrid w:val="0"/>
                    <w:jc w:val="center"/>
                    <w:rPr>
                      <w:szCs w:val="21"/>
                    </w:rPr>
                  </w:pPr>
                  <w:r>
                    <w:rPr>
                      <w:rFonts w:hint="eastAsia"/>
                      <w:color w:val="000000"/>
                      <w:szCs w:val="21"/>
                    </w:rPr>
                    <w:t>1#生产车间破碎、熬制、压饼、污水处理站</w:t>
                  </w:r>
                  <w:r>
                    <w:rPr>
                      <w:color w:val="000000"/>
                      <w:szCs w:val="21"/>
                    </w:rPr>
                    <w:t>恶臭气体</w:t>
                  </w:r>
                  <w:r>
                    <w:rPr>
                      <w:rFonts w:hint="eastAsia"/>
                      <w:color w:val="000000"/>
                      <w:szCs w:val="21"/>
                    </w:rPr>
                    <w:t>及熬制油烟</w:t>
                  </w:r>
                  <w:r>
                    <w:rPr>
                      <w:rFonts w:hint="eastAsia"/>
                      <w:szCs w:val="21"/>
                    </w:rPr>
                    <w:t>排气筒DA001</w:t>
                  </w:r>
                </w:p>
              </w:tc>
              <w:tc>
                <w:tcPr>
                  <w:tcW w:w="886" w:type="pct"/>
                  <w:tcBorders>
                    <w:top w:val="single" w:color="auto" w:sz="4" w:space="0"/>
                    <w:left w:val="single" w:color="auto" w:sz="4" w:space="0"/>
                    <w:bottom w:val="single" w:color="auto" w:sz="4" w:space="0"/>
                    <w:right w:val="single" w:color="auto" w:sz="4" w:space="0"/>
                  </w:tcBorders>
                  <w:vAlign w:val="center"/>
                </w:tcPr>
                <w:p w14:paraId="7E4E555E">
                  <w:pPr>
                    <w:widowControl/>
                    <w:adjustRightInd w:val="0"/>
                    <w:snapToGrid w:val="0"/>
                    <w:jc w:val="center"/>
                    <w:rPr>
                      <w:szCs w:val="21"/>
                    </w:rPr>
                  </w:pPr>
                  <w:r>
                    <w:rPr>
                      <w:rFonts w:hint="eastAsia"/>
                      <w:spacing w:val="-4"/>
                      <w:szCs w:val="21"/>
                    </w:rPr>
                    <w:t>油烟、</w:t>
                  </w:r>
                  <w:r>
                    <w:rPr>
                      <w:spacing w:val="-4"/>
                      <w:szCs w:val="21"/>
                    </w:rPr>
                    <w:t>NH</w:t>
                  </w:r>
                  <w:r>
                    <w:rPr>
                      <w:spacing w:val="-4"/>
                      <w:szCs w:val="21"/>
                      <w:vertAlign w:val="subscript"/>
                    </w:rPr>
                    <w:t>3</w:t>
                  </w:r>
                  <w:r>
                    <w:rPr>
                      <w:rFonts w:hint="eastAsia"/>
                      <w:spacing w:val="-4"/>
                      <w:szCs w:val="21"/>
                    </w:rPr>
                    <w:t>、</w:t>
                  </w:r>
                  <w:r>
                    <w:rPr>
                      <w:spacing w:val="-4"/>
                      <w:szCs w:val="21"/>
                    </w:rPr>
                    <w:t>H</w:t>
                  </w:r>
                  <w:r>
                    <w:rPr>
                      <w:spacing w:val="-4"/>
                      <w:szCs w:val="21"/>
                      <w:vertAlign w:val="subscript"/>
                    </w:rPr>
                    <w:t>2</w:t>
                  </w:r>
                  <w:r>
                    <w:rPr>
                      <w:spacing w:val="-4"/>
                      <w:szCs w:val="21"/>
                    </w:rPr>
                    <w:t>S、</w:t>
                  </w:r>
                  <w:r>
                    <w:rPr>
                      <w:rFonts w:hint="eastAsia"/>
                      <w:color w:val="000000"/>
                      <w:szCs w:val="21"/>
                    </w:rPr>
                    <w:t>臭气浓度</w:t>
                  </w:r>
                </w:p>
              </w:tc>
              <w:tc>
                <w:tcPr>
                  <w:tcW w:w="644" w:type="pct"/>
                  <w:tcBorders>
                    <w:top w:val="single" w:color="auto" w:sz="4" w:space="0"/>
                    <w:left w:val="single" w:color="auto" w:sz="4" w:space="0"/>
                    <w:bottom w:val="single" w:color="auto" w:sz="4" w:space="0"/>
                    <w:right w:val="single" w:color="auto" w:sz="4" w:space="0"/>
                  </w:tcBorders>
                  <w:vAlign w:val="center"/>
                </w:tcPr>
                <w:p w14:paraId="66D157FD">
                  <w:pPr>
                    <w:jc w:val="center"/>
                    <w:textAlignment w:val="baseline"/>
                    <w:rPr>
                      <w:szCs w:val="21"/>
                    </w:rPr>
                  </w:pPr>
                  <w:r>
                    <w:rPr>
                      <w:rFonts w:hint="eastAsia"/>
                      <w:bCs/>
                      <w:szCs w:val="21"/>
                    </w:rPr>
                    <w:t>1次/半年</w:t>
                  </w:r>
                </w:p>
              </w:tc>
              <w:tc>
                <w:tcPr>
                  <w:tcW w:w="2003" w:type="pct"/>
                  <w:vMerge w:val="restart"/>
                  <w:tcBorders>
                    <w:top w:val="single" w:color="auto" w:sz="4" w:space="0"/>
                    <w:left w:val="single" w:color="auto" w:sz="4" w:space="0"/>
                    <w:right w:val="single" w:color="auto" w:sz="4" w:space="0"/>
                  </w:tcBorders>
                  <w:vAlign w:val="center"/>
                </w:tcPr>
                <w:p w14:paraId="37A4F271">
                  <w:pPr>
                    <w:jc w:val="center"/>
                    <w:textAlignment w:val="baseline"/>
                    <w:rPr>
                      <w:bCs/>
                      <w:spacing w:val="-10"/>
                      <w:szCs w:val="21"/>
                    </w:rPr>
                  </w:pPr>
                  <w:r>
                    <w:rPr>
                      <w:rFonts w:hint="eastAsia"/>
                      <w:szCs w:val="21"/>
                    </w:rPr>
                    <w:t>《恶臭污染物排放标准》（GB14554-93）及</w:t>
                  </w:r>
                  <w:r>
                    <w:rPr>
                      <w:bCs/>
                      <w:szCs w:val="21"/>
                    </w:rPr>
                    <w:t>《餐饮业油烟污染物排放标准》（DB41/1604-2018）</w:t>
                  </w:r>
                </w:p>
              </w:tc>
            </w:tr>
            <w:tr w14:paraId="4F4C9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57" w:type="pct"/>
                  <w:vMerge w:val="continue"/>
                  <w:tcBorders>
                    <w:top w:val="single" w:color="auto" w:sz="4" w:space="0"/>
                    <w:left w:val="single" w:color="auto" w:sz="4" w:space="0"/>
                    <w:right w:val="single" w:color="auto" w:sz="4" w:space="0"/>
                  </w:tcBorders>
                  <w:vAlign w:val="center"/>
                </w:tcPr>
                <w:p w14:paraId="519B40EC">
                  <w:pPr>
                    <w:jc w:val="center"/>
                    <w:textAlignment w:val="baseline"/>
                    <w:rPr>
                      <w:bCs/>
                      <w:color w:val="000000"/>
                      <w:szCs w:val="21"/>
                    </w:rPr>
                  </w:pPr>
                </w:p>
              </w:tc>
              <w:tc>
                <w:tcPr>
                  <w:tcW w:w="1210" w:type="pct"/>
                  <w:tcBorders>
                    <w:top w:val="single" w:color="auto" w:sz="4" w:space="0"/>
                    <w:left w:val="single" w:color="auto" w:sz="4" w:space="0"/>
                    <w:bottom w:val="single" w:color="auto" w:sz="4" w:space="0"/>
                    <w:right w:val="single" w:color="auto" w:sz="4" w:space="0"/>
                  </w:tcBorders>
                  <w:vAlign w:val="center"/>
                </w:tcPr>
                <w:p w14:paraId="00AF05FC">
                  <w:pPr>
                    <w:adjustRightInd w:val="0"/>
                    <w:snapToGrid w:val="0"/>
                    <w:jc w:val="center"/>
                    <w:rPr>
                      <w:color w:val="000000"/>
                      <w:szCs w:val="21"/>
                    </w:rPr>
                  </w:pPr>
                  <w:r>
                    <w:rPr>
                      <w:rFonts w:hint="eastAsia"/>
                      <w:color w:val="000000"/>
                      <w:szCs w:val="21"/>
                    </w:rPr>
                    <w:t>2#生产车间破碎、熬制、压饼</w:t>
                  </w:r>
                  <w:r>
                    <w:rPr>
                      <w:color w:val="000000"/>
                      <w:szCs w:val="21"/>
                    </w:rPr>
                    <w:t>恶臭气体</w:t>
                  </w:r>
                  <w:r>
                    <w:rPr>
                      <w:rFonts w:hint="eastAsia"/>
                      <w:color w:val="000000"/>
                      <w:szCs w:val="21"/>
                    </w:rPr>
                    <w:t>及熬制油烟</w:t>
                  </w:r>
                  <w:r>
                    <w:rPr>
                      <w:rFonts w:hint="eastAsia"/>
                      <w:szCs w:val="21"/>
                    </w:rPr>
                    <w:t>DA002</w:t>
                  </w:r>
                </w:p>
              </w:tc>
              <w:tc>
                <w:tcPr>
                  <w:tcW w:w="886" w:type="pct"/>
                  <w:tcBorders>
                    <w:top w:val="single" w:color="auto" w:sz="4" w:space="0"/>
                    <w:left w:val="single" w:color="auto" w:sz="4" w:space="0"/>
                    <w:bottom w:val="single" w:color="auto" w:sz="4" w:space="0"/>
                    <w:right w:val="single" w:color="auto" w:sz="4" w:space="0"/>
                  </w:tcBorders>
                  <w:vAlign w:val="center"/>
                </w:tcPr>
                <w:p w14:paraId="21A62C71">
                  <w:pPr>
                    <w:widowControl/>
                    <w:adjustRightInd w:val="0"/>
                    <w:snapToGrid w:val="0"/>
                    <w:jc w:val="center"/>
                    <w:rPr>
                      <w:szCs w:val="21"/>
                    </w:rPr>
                  </w:pPr>
                  <w:r>
                    <w:rPr>
                      <w:rFonts w:hint="eastAsia"/>
                      <w:spacing w:val="-4"/>
                      <w:szCs w:val="21"/>
                    </w:rPr>
                    <w:t>油烟、</w:t>
                  </w:r>
                  <w:r>
                    <w:rPr>
                      <w:spacing w:val="-4"/>
                      <w:szCs w:val="21"/>
                    </w:rPr>
                    <w:t>NH</w:t>
                  </w:r>
                  <w:r>
                    <w:rPr>
                      <w:spacing w:val="-4"/>
                      <w:szCs w:val="21"/>
                      <w:vertAlign w:val="subscript"/>
                    </w:rPr>
                    <w:t>3</w:t>
                  </w:r>
                  <w:r>
                    <w:rPr>
                      <w:rFonts w:hint="eastAsia"/>
                      <w:spacing w:val="-4"/>
                      <w:szCs w:val="21"/>
                    </w:rPr>
                    <w:t>、</w:t>
                  </w:r>
                  <w:r>
                    <w:rPr>
                      <w:spacing w:val="-4"/>
                      <w:szCs w:val="21"/>
                    </w:rPr>
                    <w:t>H</w:t>
                  </w:r>
                  <w:r>
                    <w:rPr>
                      <w:spacing w:val="-4"/>
                      <w:szCs w:val="21"/>
                      <w:vertAlign w:val="subscript"/>
                    </w:rPr>
                    <w:t>2</w:t>
                  </w:r>
                  <w:r>
                    <w:rPr>
                      <w:spacing w:val="-4"/>
                      <w:szCs w:val="21"/>
                    </w:rPr>
                    <w:t>S、</w:t>
                  </w:r>
                  <w:r>
                    <w:rPr>
                      <w:rFonts w:hint="eastAsia"/>
                      <w:color w:val="000000"/>
                      <w:szCs w:val="21"/>
                    </w:rPr>
                    <w:t>臭气浓度</w:t>
                  </w:r>
                </w:p>
              </w:tc>
              <w:tc>
                <w:tcPr>
                  <w:tcW w:w="644" w:type="pct"/>
                  <w:tcBorders>
                    <w:top w:val="single" w:color="auto" w:sz="4" w:space="0"/>
                    <w:left w:val="single" w:color="auto" w:sz="4" w:space="0"/>
                    <w:bottom w:val="single" w:color="auto" w:sz="4" w:space="0"/>
                    <w:right w:val="single" w:color="auto" w:sz="4" w:space="0"/>
                  </w:tcBorders>
                  <w:vAlign w:val="center"/>
                </w:tcPr>
                <w:p w14:paraId="50F59CF6">
                  <w:pPr>
                    <w:jc w:val="center"/>
                    <w:textAlignment w:val="baseline"/>
                    <w:rPr>
                      <w:szCs w:val="21"/>
                    </w:rPr>
                  </w:pPr>
                  <w:r>
                    <w:rPr>
                      <w:rFonts w:hint="eastAsia"/>
                      <w:bCs/>
                      <w:szCs w:val="21"/>
                    </w:rPr>
                    <w:t>1次/半年</w:t>
                  </w:r>
                </w:p>
              </w:tc>
              <w:tc>
                <w:tcPr>
                  <w:tcW w:w="2003" w:type="pct"/>
                  <w:vMerge w:val="continue"/>
                  <w:tcBorders>
                    <w:left w:val="single" w:color="auto" w:sz="4" w:space="0"/>
                    <w:bottom w:val="single" w:color="auto" w:sz="4" w:space="0"/>
                    <w:right w:val="single" w:color="auto" w:sz="4" w:space="0"/>
                  </w:tcBorders>
                  <w:vAlign w:val="center"/>
                </w:tcPr>
                <w:p w14:paraId="51BF90D2">
                  <w:pPr>
                    <w:jc w:val="center"/>
                    <w:textAlignment w:val="baseline"/>
                    <w:rPr>
                      <w:szCs w:val="21"/>
                    </w:rPr>
                  </w:pPr>
                </w:p>
              </w:tc>
            </w:tr>
            <w:tr w14:paraId="48510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57" w:type="pct"/>
                  <w:vMerge w:val="continue"/>
                  <w:tcBorders>
                    <w:left w:val="single" w:color="auto" w:sz="4" w:space="0"/>
                    <w:right w:val="single" w:color="auto" w:sz="4" w:space="0"/>
                  </w:tcBorders>
                  <w:vAlign w:val="center"/>
                </w:tcPr>
                <w:p w14:paraId="69AB8E69">
                  <w:pPr>
                    <w:jc w:val="center"/>
                    <w:textAlignment w:val="baseline"/>
                    <w:rPr>
                      <w:bCs/>
                      <w:color w:val="000000"/>
                      <w:szCs w:val="21"/>
                    </w:rPr>
                  </w:pPr>
                </w:p>
              </w:tc>
              <w:tc>
                <w:tcPr>
                  <w:tcW w:w="1210" w:type="pct"/>
                  <w:vMerge w:val="restart"/>
                  <w:tcBorders>
                    <w:top w:val="single" w:color="auto" w:sz="4" w:space="0"/>
                    <w:left w:val="single" w:color="auto" w:sz="4" w:space="0"/>
                    <w:right w:val="single" w:color="auto" w:sz="4" w:space="0"/>
                  </w:tcBorders>
                  <w:vAlign w:val="center"/>
                </w:tcPr>
                <w:p w14:paraId="42DA9040">
                  <w:pPr>
                    <w:adjustRightInd w:val="0"/>
                    <w:snapToGrid w:val="0"/>
                    <w:jc w:val="center"/>
                    <w:rPr>
                      <w:color w:val="000000"/>
                      <w:spacing w:val="-10"/>
                      <w:szCs w:val="21"/>
                    </w:rPr>
                  </w:pPr>
                  <w:r>
                    <w:rPr>
                      <w:rFonts w:hint="eastAsia"/>
                      <w:color w:val="000000"/>
                      <w:spacing w:val="-10"/>
                      <w:szCs w:val="21"/>
                    </w:rPr>
                    <w:t>锅炉废气排气筒</w:t>
                  </w:r>
                  <w:r>
                    <w:rPr>
                      <w:rFonts w:hint="eastAsia"/>
                      <w:szCs w:val="21"/>
                    </w:rPr>
                    <w:t>DA003</w:t>
                  </w:r>
                </w:p>
              </w:tc>
              <w:tc>
                <w:tcPr>
                  <w:tcW w:w="886" w:type="pct"/>
                  <w:tcBorders>
                    <w:top w:val="single" w:color="auto" w:sz="4" w:space="0"/>
                    <w:left w:val="single" w:color="auto" w:sz="4" w:space="0"/>
                    <w:bottom w:val="single" w:color="auto" w:sz="4" w:space="0"/>
                    <w:right w:val="single" w:color="auto" w:sz="4" w:space="0"/>
                  </w:tcBorders>
                  <w:vAlign w:val="center"/>
                </w:tcPr>
                <w:p w14:paraId="16E8102E">
                  <w:pPr>
                    <w:widowControl/>
                    <w:adjustRightInd w:val="0"/>
                    <w:snapToGrid w:val="0"/>
                    <w:jc w:val="center"/>
                    <w:rPr>
                      <w:szCs w:val="21"/>
                    </w:rPr>
                  </w:pPr>
                  <w:r>
                    <w:rPr>
                      <w:rFonts w:hint="eastAsia"/>
                      <w:spacing w:val="-4"/>
                      <w:szCs w:val="21"/>
                    </w:rPr>
                    <w:t>烟尘、</w:t>
                  </w:r>
                  <w:r>
                    <w:rPr>
                      <w:spacing w:val="-4"/>
                      <w:szCs w:val="21"/>
                    </w:rPr>
                    <w:t>SO</w:t>
                  </w:r>
                  <w:r>
                    <w:rPr>
                      <w:spacing w:val="-4"/>
                      <w:szCs w:val="21"/>
                      <w:vertAlign w:val="subscript"/>
                    </w:rPr>
                    <w:t>2</w:t>
                  </w:r>
                  <w:r>
                    <w:rPr>
                      <w:rFonts w:hint="eastAsia"/>
                      <w:spacing w:val="-4"/>
                      <w:szCs w:val="21"/>
                    </w:rPr>
                    <w:t>及</w:t>
                  </w:r>
                  <w:r>
                    <w:rPr>
                      <w:rFonts w:hint="eastAsia"/>
                      <w:szCs w:val="21"/>
                    </w:rPr>
                    <w:t>烟气黑度</w:t>
                  </w:r>
                </w:p>
              </w:tc>
              <w:tc>
                <w:tcPr>
                  <w:tcW w:w="644" w:type="pct"/>
                  <w:tcBorders>
                    <w:top w:val="single" w:color="auto" w:sz="4" w:space="0"/>
                    <w:left w:val="single" w:color="auto" w:sz="4" w:space="0"/>
                    <w:bottom w:val="single" w:color="auto" w:sz="4" w:space="0"/>
                    <w:right w:val="single" w:color="auto" w:sz="4" w:space="0"/>
                  </w:tcBorders>
                  <w:vAlign w:val="center"/>
                </w:tcPr>
                <w:p w14:paraId="4975F295">
                  <w:pPr>
                    <w:jc w:val="center"/>
                    <w:textAlignment w:val="baseline"/>
                    <w:rPr>
                      <w:szCs w:val="21"/>
                    </w:rPr>
                  </w:pPr>
                  <w:r>
                    <w:rPr>
                      <w:rFonts w:hint="eastAsia"/>
                      <w:szCs w:val="21"/>
                    </w:rPr>
                    <w:t>一次/年</w:t>
                  </w:r>
                </w:p>
              </w:tc>
              <w:tc>
                <w:tcPr>
                  <w:tcW w:w="2003" w:type="pct"/>
                  <w:vMerge w:val="restart"/>
                  <w:tcBorders>
                    <w:top w:val="single" w:color="auto" w:sz="4" w:space="0"/>
                    <w:left w:val="single" w:color="auto" w:sz="4" w:space="0"/>
                    <w:right w:val="single" w:color="auto" w:sz="4" w:space="0"/>
                  </w:tcBorders>
                  <w:vAlign w:val="center"/>
                </w:tcPr>
                <w:p w14:paraId="79D95EF5">
                  <w:pPr>
                    <w:jc w:val="center"/>
                    <w:textAlignment w:val="baseline"/>
                    <w:rPr>
                      <w:color w:val="000000"/>
                      <w:szCs w:val="21"/>
                    </w:rPr>
                  </w:pPr>
                  <w:r>
                    <w:t>《锅炉大气污染物排放标准》（DB41/2089-2021）及</w:t>
                  </w:r>
                  <w:r>
                    <w:rPr>
                      <w:rFonts w:hint="eastAsia"/>
                      <w:szCs w:val="21"/>
                    </w:rPr>
                    <w:t>《河南省重污染天气通用行业应急减排措施制定技术指南》（2024年修订版）涉炉窑企业A级企业要求</w:t>
                  </w:r>
                </w:p>
              </w:tc>
            </w:tr>
            <w:tr w14:paraId="2BBFA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4" w:hRule="atLeast"/>
              </w:trPr>
              <w:tc>
                <w:tcPr>
                  <w:tcW w:w="257" w:type="pct"/>
                  <w:vMerge w:val="continue"/>
                  <w:tcBorders>
                    <w:left w:val="single" w:color="auto" w:sz="4" w:space="0"/>
                    <w:right w:val="single" w:color="auto" w:sz="4" w:space="0"/>
                  </w:tcBorders>
                  <w:vAlign w:val="center"/>
                </w:tcPr>
                <w:p w14:paraId="11DCB0F5">
                  <w:pPr>
                    <w:jc w:val="center"/>
                    <w:textAlignment w:val="baseline"/>
                    <w:rPr>
                      <w:bCs/>
                      <w:color w:val="000000"/>
                      <w:szCs w:val="21"/>
                    </w:rPr>
                  </w:pPr>
                </w:p>
              </w:tc>
              <w:tc>
                <w:tcPr>
                  <w:tcW w:w="1210" w:type="pct"/>
                  <w:vMerge w:val="continue"/>
                  <w:tcBorders>
                    <w:left w:val="single" w:color="auto" w:sz="4" w:space="0"/>
                    <w:bottom w:val="single" w:color="auto" w:sz="4" w:space="0"/>
                    <w:right w:val="single" w:color="auto" w:sz="4" w:space="0"/>
                  </w:tcBorders>
                  <w:vAlign w:val="center"/>
                </w:tcPr>
                <w:p w14:paraId="73BD1F50">
                  <w:pPr>
                    <w:adjustRightInd w:val="0"/>
                    <w:snapToGrid w:val="0"/>
                    <w:jc w:val="center"/>
                    <w:rPr>
                      <w:color w:val="000000"/>
                      <w:spacing w:val="-10"/>
                      <w:szCs w:val="21"/>
                    </w:rPr>
                  </w:pPr>
                </w:p>
              </w:tc>
              <w:tc>
                <w:tcPr>
                  <w:tcW w:w="886" w:type="pct"/>
                  <w:tcBorders>
                    <w:top w:val="single" w:color="auto" w:sz="4" w:space="0"/>
                    <w:left w:val="single" w:color="auto" w:sz="4" w:space="0"/>
                    <w:bottom w:val="single" w:color="auto" w:sz="4" w:space="0"/>
                    <w:right w:val="single" w:color="auto" w:sz="4" w:space="0"/>
                  </w:tcBorders>
                  <w:vAlign w:val="center"/>
                </w:tcPr>
                <w:p w14:paraId="54FA8A41">
                  <w:pPr>
                    <w:widowControl/>
                    <w:adjustRightInd w:val="0"/>
                    <w:snapToGrid w:val="0"/>
                    <w:jc w:val="center"/>
                    <w:rPr>
                      <w:spacing w:val="-4"/>
                      <w:szCs w:val="21"/>
                    </w:rPr>
                  </w:pPr>
                  <w:r>
                    <w:rPr>
                      <w:spacing w:val="-4"/>
                      <w:szCs w:val="21"/>
                    </w:rPr>
                    <w:t>NO</w:t>
                  </w:r>
                  <w:r>
                    <w:rPr>
                      <w:spacing w:val="-4"/>
                      <w:szCs w:val="21"/>
                      <w:vertAlign w:val="subscript"/>
                    </w:rPr>
                    <w:t>X</w:t>
                  </w:r>
                </w:p>
              </w:tc>
              <w:tc>
                <w:tcPr>
                  <w:tcW w:w="644" w:type="pct"/>
                  <w:tcBorders>
                    <w:top w:val="single" w:color="auto" w:sz="4" w:space="0"/>
                    <w:left w:val="single" w:color="auto" w:sz="4" w:space="0"/>
                    <w:bottom w:val="single" w:color="auto" w:sz="4" w:space="0"/>
                    <w:right w:val="single" w:color="auto" w:sz="4" w:space="0"/>
                  </w:tcBorders>
                  <w:vAlign w:val="center"/>
                </w:tcPr>
                <w:p w14:paraId="4E4185B8">
                  <w:pPr>
                    <w:jc w:val="center"/>
                    <w:textAlignment w:val="baseline"/>
                    <w:rPr>
                      <w:kern w:val="0"/>
                      <w:szCs w:val="21"/>
                    </w:rPr>
                  </w:pPr>
                  <w:r>
                    <w:rPr>
                      <w:bCs/>
                      <w:szCs w:val="21"/>
                    </w:rPr>
                    <w:t>一次/</w:t>
                  </w:r>
                  <w:r>
                    <w:rPr>
                      <w:rFonts w:hint="eastAsia"/>
                      <w:bCs/>
                      <w:szCs w:val="21"/>
                    </w:rPr>
                    <w:t>月</w:t>
                  </w:r>
                </w:p>
              </w:tc>
              <w:tc>
                <w:tcPr>
                  <w:tcW w:w="2003" w:type="pct"/>
                  <w:vMerge w:val="continue"/>
                  <w:tcBorders>
                    <w:left w:val="single" w:color="auto" w:sz="4" w:space="0"/>
                    <w:bottom w:val="single" w:color="auto" w:sz="4" w:space="0"/>
                    <w:right w:val="single" w:color="auto" w:sz="4" w:space="0"/>
                  </w:tcBorders>
                  <w:vAlign w:val="center"/>
                </w:tcPr>
                <w:p w14:paraId="471696FD">
                  <w:pPr>
                    <w:jc w:val="center"/>
                    <w:textAlignment w:val="baseline"/>
                  </w:pPr>
                </w:p>
              </w:tc>
            </w:tr>
            <w:tr w14:paraId="182A8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4" w:hRule="atLeast"/>
              </w:trPr>
              <w:tc>
                <w:tcPr>
                  <w:tcW w:w="257" w:type="pct"/>
                  <w:tcBorders>
                    <w:top w:val="single" w:color="auto" w:sz="4" w:space="0"/>
                    <w:left w:val="single" w:color="auto" w:sz="4" w:space="0"/>
                    <w:bottom w:val="single" w:color="auto" w:sz="4" w:space="0"/>
                    <w:right w:val="single" w:color="auto" w:sz="4" w:space="0"/>
                  </w:tcBorders>
                  <w:vAlign w:val="center"/>
                </w:tcPr>
                <w:p w14:paraId="237DD510">
                  <w:pPr>
                    <w:jc w:val="center"/>
                    <w:textAlignment w:val="baseline"/>
                    <w:rPr>
                      <w:bCs/>
                      <w:color w:val="000000"/>
                      <w:szCs w:val="21"/>
                    </w:rPr>
                  </w:pPr>
                  <w:r>
                    <w:rPr>
                      <w:rFonts w:hint="eastAsia"/>
                      <w:bCs/>
                      <w:color w:val="000000"/>
                      <w:szCs w:val="21"/>
                    </w:rPr>
                    <w:t>无组织</w:t>
                  </w:r>
                </w:p>
              </w:tc>
              <w:tc>
                <w:tcPr>
                  <w:tcW w:w="1210" w:type="pct"/>
                  <w:tcBorders>
                    <w:top w:val="single" w:color="auto" w:sz="4" w:space="0"/>
                    <w:left w:val="single" w:color="auto" w:sz="4" w:space="0"/>
                    <w:bottom w:val="single" w:color="auto" w:sz="4" w:space="0"/>
                    <w:right w:val="single" w:color="auto" w:sz="4" w:space="0"/>
                  </w:tcBorders>
                  <w:vAlign w:val="center"/>
                </w:tcPr>
                <w:p w14:paraId="7DA1CA01">
                  <w:pPr>
                    <w:jc w:val="center"/>
                    <w:textAlignment w:val="baseline"/>
                    <w:rPr>
                      <w:bCs/>
                      <w:color w:val="000000"/>
                      <w:szCs w:val="21"/>
                    </w:rPr>
                  </w:pPr>
                  <w:r>
                    <w:rPr>
                      <w:rFonts w:hint="eastAsia"/>
                      <w:bCs/>
                      <w:color w:val="000000"/>
                      <w:szCs w:val="21"/>
                    </w:rPr>
                    <w:t>厂界上风向布设</w:t>
                  </w:r>
                  <w:r>
                    <w:rPr>
                      <w:bCs/>
                      <w:color w:val="000000"/>
                      <w:szCs w:val="21"/>
                    </w:rPr>
                    <w:t>1</w:t>
                  </w:r>
                  <w:r>
                    <w:rPr>
                      <w:rFonts w:hint="eastAsia"/>
                      <w:bCs/>
                      <w:color w:val="000000"/>
                      <w:szCs w:val="21"/>
                    </w:rPr>
                    <w:t>个参照点，厂界下风向</w:t>
                  </w:r>
                  <w:r>
                    <w:rPr>
                      <w:bCs/>
                      <w:color w:val="000000"/>
                      <w:szCs w:val="21"/>
                    </w:rPr>
                    <w:t>10</w:t>
                  </w:r>
                  <w:r>
                    <w:rPr>
                      <w:rFonts w:hint="eastAsia"/>
                      <w:bCs/>
                      <w:color w:val="000000"/>
                      <w:szCs w:val="21"/>
                    </w:rPr>
                    <w:t>米内布设3个监控点</w:t>
                  </w:r>
                </w:p>
              </w:tc>
              <w:tc>
                <w:tcPr>
                  <w:tcW w:w="886" w:type="pct"/>
                  <w:tcBorders>
                    <w:top w:val="single" w:color="auto" w:sz="4" w:space="0"/>
                    <w:left w:val="single" w:color="auto" w:sz="4" w:space="0"/>
                    <w:bottom w:val="single" w:color="auto" w:sz="4" w:space="0"/>
                    <w:right w:val="single" w:color="auto" w:sz="4" w:space="0"/>
                  </w:tcBorders>
                  <w:vAlign w:val="center"/>
                </w:tcPr>
                <w:p w14:paraId="106141C1">
                  <w:pPr>
                    <w:jc w:val="center"/>
                    <w:textAlignment w:val="baseline"/>
                    <w:rPr>
                      <w:bCs/>
                      <w:color w:val="000000"/>
                      <w:szCs w:val="21"/>
                    </w:rPr>
                  </w:pPr>
                  <w:r>
                    <w:rPr>
                      <w:spacing w:val="-4"/>
                      <w:szCs w:val="21"/>
                    </w:rPr>
                    <w:t>NH</w:t>
                  </w:r>
                  <w:r>
                    <w:rPr>
                      <w:spacing w:val="-4"/>
                      <w:szCs w:val="21"/>
                      <w:vertAlign w:val="subscript"/>
                    </w:rPr>
                    <w:t>3</w:t>
                  </w:r>
                  <w:r>
                    <w:rPr>
                      <w:rFonts w:hint="eastAsia"/>
                      <w:spacing w:val="-4"/>
                      <w:szCs w:val="21"/>
                    </w:rPr>
                    <w:t>、</w:t>
                  </w:r>
                  <w:r>
                    <w:rPr>
                      <w:spacing w:val="-4"/>
                      <w:szCs w:val="21"/>
                    </w:rPr>
                    <w:t>H</w:t>
                  </w:r>
                  <w:r>
                    <w:rPr>
                      <w:spacing w:val="-4"/>
                      <w:szCs w:val="21"/>
                      <w:vertAlign w:val="subscript"/>
                    </w:rPr>
                    <w:t>2</w:t>
                  </w:r>
                  <w:r>
                    <w:rPr>
                      <w:spacing w:val="-4"/>
                      <w:szCs w:val="21"/>
                    </w:rPr>
                    <w:t>S、</w:t>
                  </w:r>
                  <w:r>
                    <w:rPr>
                      <w:rFonts w:hint="eastAsia"/>
                      <w:color w:val="000000"/>
                      <w:szCs w:val="21"/>
                    </w:rPr>
                    <w:t>臭气浓度</w:t>
                  </w:r>
                </w:p>
              </w:tc>
              <w:tc>
                <w:tcPr>
                  <w:tcW w:w="644" w:type="pct"/>
                  <w:tcBorders>
                    <w:left w:val="single" w:color="auto" w:sz="4" w:space="0"/>
                    <w:right w:val="single" w:color="auto" w:sz="4" w:space="0"/>
                  </w:tcBorders>
                  <w:vAlign w:val="center"/>
                </w:tcPr>
                <w:p w14:paraId="4BE59C0E">
                  <w:pPr>
                    <w:jc w:val="center"/>
                    <w:textAlignment w:val="baseline"/>
                    <w:rPr>
                      <w:bCs/>
                      <w:color w:val="000000"/>
                      <w:szCs w:val="21"/>
                    </w:rPr>
                  </w:pPr>
                  <w:r>
                    <w:rPr>
                      <w:rFonts w:hint="eastAsia"/>
                      <w:bCs/>
                      <w:szCs w:val="21"/>
                    </w:rPr>
                    <w:t>1次/半年</w:t>
                  </w:r>
                </w:p>
              </w:tc>
              <w:tc>
                <w:tcPr>
                  <w:tcW w:w="2003" w:type="pct"/>
                  <w:tcBorders>
                    <w:left w:val="single" w:color="auto" w:sz="4" w:space="0"/>
                    <w:right w:val="single" w:color="auto" w:sz="4" w:space="0"/>
                  </w:tcBorders>
                  <w:vAlign w:val="center"/>
                </w:tcPr>
                <w:p w14:paraId="0E0A3C6E">
                  <w:pPr>
                    <w:jc w:val="center"/>
                    <w:textAlignment w:val="baseline"/>
                    <w:rPr>
                      <w:bCs/>
                      <w:color w:val="000000"/>
                      <w:szCs w:val="21"/>
                    </w:rPr>
                  </w:pPr>
                  <w:r>
                    <w:rPr>
                      <w:rFonts w:hint="eastAsia"/>
                      <w:szCs w:val="21"/>
                    </w:rPr>
                    <w:t>《恶臭污染物排放标准》（GB14554-93）</w:t>
                  </w:r>
                </w:p>
              </w:tc>
            </w:tr>
          </w:tbl>
          <w:p w14:paraId="55893421">
            <w:pPr>
              <w:spacing w:line="360" w:lineRule="auto"/>
              <w:ind w:firstLine="482" w:firstLineChars="200"/>
              <w:jc w:val="left"/>
              <w:rPr>
                <w:rFonts w:eastAsia="黑体"/>
                <w:b/>
                <w:sz w:val="24"/>
              </w:rPr>
            </w:pPr>
            <w:r>
              <w:rPr>
                <w:rFonts w:eastAsia="黑体"/>
                <w:b/>
                <w:sz w:val="24"/>
              </w:rPr>
              <w:t>2、废水</w:t>
            </w:r>
          </w:p>
          <w:p w14:paraId="6B355C9A">
            <w:pPr>
              <w:pStyle w:val="17"/>
              <w:adjustRightInd w:val="0"/>
              <w:snapToGrid w:val="0"/>
              <w:spacing w:line="360" w:lineRule="auto"/>
              <w:ind w:left="0" w:right="0" w:firstLine="480" w:firstLineChars="200"/>
              <w:rPr>
                <w:color w:val="000000"/>
                <w:sz w:val="24"/>
              </w:rPr>
            </w:pPr>
            <w:r>
              <w:rPr>
                <w:rFonts w:hint="eastAsia"/>
                <w:sz w:val="24"/>
              </w:rPr>
              <w:t>项目废水主要包括熬制冷凝废水、</w:t>
            </w:r>
            <w:r>
              <w:rPr>
                <w:color w:val="000000"/>
                <w:sz w:val="24"/>
              </w:rPr>
              <w:t>设备清洗</w:t>
            </w:r>
            <w:r>
              <w:rPr>
                <w:rFonts w:hint="eastAsia"/>
                <w:sz w:val="24"/>
              </w:rPr>
              <w:t>废</w:t>
            </w:r>
            <w:r>
              <w:rPr>
                <w:color w:val="000000"/>
                <w:sz w:val="24"/>
              </w:rPr>
              <w:t>水、</w:t>
            </w:r>
            <w:r>
              <w:rPr>
                <w:rFonts w:hint="eastAsia"/>
                <w:color w:val="000000"/>
                <w:sz w:val="24"/>
              </w:rPr>
              <w:t>废气</w:t>
            </w:r>
            <w:r>
              <w:rPr>
                <w:color w:val="000000"/>
                <w:sz w:val="24"/>
              </w:rPr>
              <w:t>喷淋系统废水、地面</w:t>
            </w:r>
            <w:r>
              <w:rPr>
                <w:rFonts w:hint="eastAsia"/>
                <w:sz w:val="24"/>
              </w:rPr>
              <w:t>清洗废水、</w:t>
            </w:r>
            <w:r>
              <w:rPr>
                <w:color w:val="000000"/>
                <w:sz w:val="24"/>
              </w:rPr>
              <w:t>循环冷却水</w:t>
            </w:r>
            <w:r>
              <w:rPr>
                <w:rFonts w:hint="eastAsia"/>
                <w:color w:val="000000"/>
                <w:sz w:val="24"/>
              </w:rPr>
              <w:t>系统排水</w:t>
            </w:r>
            <w:r>
              <w:rPr>
                <w:rFonts w:hint="eastAsia"/>
                <w:sz w:val="24"/>
              </w:rPr>
              <w:t>及职工生活污水。</w:t>
            </w:r>
          </w:p>
          <w:p w14:paraId="60B61BB4">
            <w:pPr>
              <w:spacing w:line="360" w:lineRule="auto"/>
              <w:ind w:firstLine="482" w:firstLineChars="200"/>
              <w:jc w:val="left"/>
              <w:rPr>
                <w:b/>
                <w:bCs/>
                <w:sz w:val="24"/>
              </w:rPr>
            </w:pPr>
            <w:r>
              <w:rPr>
                <w:rFonts w:hint="eastAsia"/>
                <w:b/>
                <w:bCs/>
                <w:sz w:val="24"/>
              </w:rPr>
              <w:t>2.1循环冷却水系统排水情况</w:t>
            </w:r>
          </w:p>
          <w:p w14:paraId="5E0E3F8E">
            <w:pPr>
              <w:spacing w:line="360" w:lineRule="auto"/>
              <w:ind w:firstLine="480" w:firstLineChars="200"/>
              <w:rPr>
                <w:color w:val="000000"/>
                <w:sz w:val="24"/>
              </w:rPr>
            </w:pPr>
            <w:r>
              <w:rPr>
                <w:color w:val="000000"/>
                <w:sz w:val="24"/>
              </w:rPr>
              <w:t>本项目</w:t>
            </w:r>
            <w:r>
              <w:rPr>
                <w:sz w:val="24"/>
              </w:rPr>
              <w:t>油脂熬制工序废气冷凝系统</w:t>
            </w:r>
            <w:r>
              <w:rPr>
                <w:color w:val="000000"/>
                <w:sz w:val="24"/>
              </w:rPr>
              <w:t>采用循环水进行间接冷却降温，</w:t>
            </w:r>
            <w:r>
              <w:rPr>
                <w:rFonts w:hint="eastAsia"/>
                <w:color w:val="000000"/>
                <w:sz w:val="24"/>
              </w:rPr>
              <w:t>循环冷却水在间接冷却的过程中会有一定量的蒸发，不断的蒸发会使冷却水中钙、镁离子的浓度升高，容易导致冷却水管道内壁结垢，因此定期的补水和排水是十分必要的。根据建设单位提供资料，项目</w:t>
            </w:r>
            <w:r>
              <w:rPr>
                <w:color w:val="000000"/>
                <w:sz w:val="24"/>
              </w:rPr>
              <w:t>循环冷却水</w:t>
            </w:r>
            <w:r>
              <w:rPr>
                <w:rFonts w:hint="eastAsia"/>
                <w:color w:val="000000"/>
                <w:sz w:val="24"/>
              </w:rPr>
              <w:t>系统</w:t>
            </w:r>
            <w:r>
              <w:rPr>
                <w:color w:val="000000"/>
                <w:sz w:val="24"/>
              </w:rPr>
              <w:t>循环水量为</w:t>
            </w:r>
            <w:r>
              <w:rPr>
                <w:rFonts w:hint="eastAsia"/>
                <w:color w:val="000000"/>
                <w:sz w:val="24"/>
              </w:rPr>
              <w:t>50</w:t>
            </w:r>
            <w:r>
              <w:rPr>
                <w:color w:val="000000"/>
                <w:sz w:val="24"/>
              </w:rPr>
              <w:t>m</w:t>
            </w:r>
            <w:r>
              <w:rPr>
                <w:color w:val="000000"/>
                <w:sz w:val="24"/>
                <w:vertAlign w:val="superscript"/>
              </w:rPr>
              <w:t>3</w:t>
            </w:r>
            <w:r>
              <w:rPr>
                <w:color w:val="000000"/>
                <w:sz w:val="24"/>
              </w:rPr>
              <w:t>/</w:t>
            </w:r>
            <w:r>
              <w:rPr>
                <w:rFonts w:hint="eastAsia"/>
                <w:color w:val="000000"/>
                <w:sz w:val="24"/>
              </w:rPr>
              <w:t>h。冷却水系统</w:t>
            </w:r>
            <w:r>
              <w:rPr>
                <w:color w:val="000000"/>
                <w:sz w:val="24"/>
              </w:rPr>
              <w:t>排水量为</w:t>
            </w:r>
            <w:r>
              <w:rPr>
                <w:rFonts w:hint="eastAsia"/>
                <w:color w:val="000000"/>
                <w:sz w:val="24"/>
              </w:rPr>
              <w:t>0.15</w:t>
            </w:r>
            <w:r>
              <w:rPr>
                <w:color w:val="000000"/>
                <w:sz w:val="24"/>
              </w:rPr>
              <w:t>m</w:t>
            </w:r>
            <w:r>
              <w:rPr>
                <w:color w:val="000000"/>
                <w:sz w:val="24"/>
                <w:vertAlign w:val="superscript"/>
              </w:rPr>
              <w:t>3</w:t>
            </w:r>
            <w:r>
              <w:rPr>
                <w:color w:val="000000"/>
                <w:sz w:val="24"/>
              </w:rPr>
              <w:t>/</w:t>
            </w:r>
            <w:r>
              <w:rPr>
                <w:rFonts w:hint="eastAsia"/>
                <w:color w:val="000000"/>
                <w:sz w:val="24"/>
              </w:rPr>
              <w:t>h（2.4</w:t>
            </w:r>
            <w:r>
              <w:rPr>
                <w:color w:val="000000"/>
                <w:sz w:val="24"/>
              </w:rPr>
              <w:t>m</w:t>
            </w:r>
            <w:r>
              <w:rPr>
                <w:color w:val="000000"/>
                <w:sz w:val="24"/>
                <w:vertAlign w:val="superscript"/>
              </w:rPr>
              <w:t>3</w:t>
            </w:r>
            <w:r>
              <w:rPr>
                <w:color w:val="000000"/>
                <w:sz w:val="24"/>
              </w:rPr>
              <w:t>/d</w:t>
            </w:r>
            <w:r>
              <w:rPr>
                <w:rFonts w:hint="eastAsia"/>
                <w:color w:val="000000"/>
                <w:sz w:val="24"/>
              </w:rPr>
              <w:t>）</w:t>
            </w:r>
            <w:r>
              <w:rPr>
                <w:color w:val="000000"/>
                <w:sz w:val="24"/>
              </w:rPr>
              <w:t>。该废水污染物为COD50mg/L、SS50mg/L，</w:t>
            </w:r>
            <w:r>
              <w:rPr>
                <w:sz w:val="24"/>
              </w:rPr>
              <w:t>这部分水属于清下水，部分作为</w:t>
            </w:r>
            <w:r>
              <w:rPr>
                <w:color w:val="000000"/>
                <w:sz w:val="24"/>
              </w:rPr>
              <w:t>地面清洗</w:t>
            </w:r>
            <w:r>
              <w:rPr>
                <w:rFonts w:hint="eastAsia"/>
                <w:sz w:val="24"/>
              </w:rPr>
              <w:t>水及设备清洗水，剩余部分用于厂区及厂外道路洒水抑尘</w:t>
            </w:r>
            <w:r>
              <w:rPr>
                <w:rFonts w:hint="eastAsia"/>
                <w:color w:val="000000"/>
                <w:sz w:val="24"/>
              </w:rPr>
              <w:t>。</w:t>
            </w:r>
          </w:p>
          <w:p w14:paraId="783BA81B">
            <w:pPr>
              <w:spacing w:line="360" w:lineRule="auto"/>
              <w:ind w:firstLine="482" w:firstLineChars="200"/>
              <w:jc w:val="left"/>
              <w:rPr>
                <w:b/>
                <w:bCs/>
                <w:sz w:val="24"/>
              </w:rPr>
            </w:pPr>
            <w:r>
              <w:rPr>
                <w:rFonts w:hint="eastAsia"/>
                <w:b/>
                <w:bCs/>
                <w:sz w:val="24"/>
              </w:rPr>
              <w:t>2.2</w:t>
            </w:r>
            <w:r>
              <w:rPr>
                <w:rFonts w:hint="eastAsia"/>
                <w:b/>
                <w:sz w:val="24"/>
              </w:rPr>
              <w:t>生活污水产排情况</w:t>
            </w:r>
          </w:p>
          <w:p w14:paraId="048BECFE">
            <w:pPr>
              <w:spacing w:line="348" w:lineRule="auto"/>
              <w:ind w:firstLine="480" w:firstLineChars="200"/>
              <w:rPr>
                <w:bCs/>
                <w:sz w:val="24"/>
              </w:rPr>
            </w:pPr>
            <w:r>
              <w:rPr>
                <w:rFonts w:hint="eastAsia"/>
                <w:sz w:val="24"/>
              </w:rPr>
              <w:t>项目厂区设置水冲厕，根据《</w:t>
            </w:r>
            <w:r>
              <w:rPr>
                <w:rFonts w:hint="eastAsia"/>
                <w:bCs/>
                <w:sz w:val="24"/>
              </w:rPr>
              <w:t>工业与城镇生活用水定额</w:t>
            </w:r>
            <w:r>
              <w:rPr>
                <w:rFonts w:hint="eastAsia"/>
                <w:sz w:val="24"/>
              </w:rPr>
              <w:t>》（</w:t>
            </w:r>
            <w:r>
              <w:rPr>
                <w:sz w:val="24"/>
              </w:rPr>
              <w:t>DB41/T385-20</w:t>
            </w:r>
            <w:r>
              <w:rPr>
                <w:rFonts w:hint="eastAsia"/>
                <w:sz w:val="24"/>
              </w:rPr>
              <w:t>20）标准，</w:t>
            </w:r>
            <w:r>
              <w:rPr>
                <w:rFonts w:hint="eastAsia"/>
                <w:bCs/>
                <w:sz w:val="24"/>
              </w:rPr>
              <w:t>生活用水</w:t>
            </w:r>
            <w:r>
              <w:rPr>
                <w:rFonts w:hint="eastAsia"/>
                <w:sz w:val="24"/>
              </w:rPr>
              <w:t>量按50</w:t>
            </w:r>
            <w:r>
              <w:rPr>
                <w:sz w:val="24"/>
              </w:rPr>
              <w:t>L/</w:t>
            </w:r>
            <w:r>
              <w:rPr>
                <w:rFonts w:hint="eastAsia"/>
                <w:sz w:val="24"/>
              </w:rPr>
              <w:t>人</w:t>
            </w:r>
            <w:r>
              <w:rPr>
                <w:sz w:val="24"/>
              </w:rPr>
              <w:t>•d</w:t>
            </w:r>
            <w:r>
              <w:rPr>
                <w:rFonts w:hint="eastAsia"/>
                <w:sz w:val="24"/>
              </w:rPr>
              <w:t>计，项目劳动定员10人，则</w:t>
            </w:r>
            <w:r>
              <w:rPr>
                <w:rFonts w:hint="eastAsia"/>
                <w:bCs/>
                <w:sz w:val="24"/>
                <w:lang w:val="en-GB"/>
              </w:rPr>
              <w:t>生活</w:t>
            </w:r>
            <w:r>
              <w:rPr>
                <w:rFonts w:hint="eastAsia"/>
                <w:sz w:val="24"/>
              </w:rPr>
              <w:t>用水量为0.5</w:t>
            </w:r>
            <w:r>
              <w:rPr>
                <w:bCs/>
                <w:sz w:val="24"/>
                <w:lang w:val="en-GB"/>
              </w:rPr>
              <w:t>m</w:t>
            </w:r>
            <w:r>
              <w:rPr>
                <w:bCs/>
                <w:sz w:val="24"/>
                <w:vertAlign w:val="superscript"/>
                <w:lang w:val="en-GB"/>
              </w:rPr>
              <w:t>3</w:t>
            </w:r>
            <w:r>
              <w:rPr>
                <w:bCs/>
                <w:sz w:val="24"/>
                <w:lang w:val="en-GB"/>
              </w:rPr>
              <w:t>/d</w:t>
            </w:r>
            <w:r>
              <w:rPr>
                <w:rFonts w:hint="eastAsia"/>
                <w:bCs/>
                <w:sz w:val="24"/>
              </w:rPr>
              <w:t>，150</w:t>
            </w:r>
            <w:r>
              <w:rPr>
                <w:bCs/>
                <w:sz w:val="24"/>
              </w:rPr>
              <w:t>m</w:t>
            </w:r>
            <w:r>
              <w:rPr>
                <w:bCs/>
                <w:sz w:val="24"/>
                <w:vertAlign w:val="superscript"/>
              </w:rPr>
              <w:t>3</w:t>
            </w:r>
            <w:r>
              <w:rPr>
                <w:bCs/>
                <w:sz w:val="24"/>
              </w:rPr>
              <w:t>/a</w:t>
            </w:r>
            <w:r>
              <w:rPr>
                <w:rFonts w:hint="eastAsia"/>
                <w:bCs/>
                <w:sz w:val="24"/>
              </w:rPr>
              <w:t>，排放系数按</w:t>
            </w:r>
            <w:r>
              <w:rPr>
                <w:bCs/>
                <w:sz w:val="24"/>
              </w:rPr>
              <w:t>0.8</w:t>
            </w:r>
            <w:r>
              <w:rPr>
                <w:rFonts w:hint="eastAsia"/>
                <w:bCs/>
                <w:sz w:val="24"/>
              </w:rPr>
              <w:t>计，则生活废水产生量为0.4</w:t>
            </w:r>
            <w:r>
              <w:rPr>
                <w:bCs/>
                <w:sz w:val="24"/>
                <w:lang w:val="en-GB"/>
              </w:rPr>
              <w:t>m</w:t>
            </w:r>
            <w:r>
              <w:rPr>
                <w:bCs/>
                <w:sz w:val="24"/>
                <w:vertAlign w:val="superscript"/>
                <w:lang w:val="en-GB"/>
              </w:rPr>
              <w:t>3</w:t>
            </w:r>
            <w:r>
              <w:rPr>
                <w:bCs/>
                <w:sz w:val="24"/>
                <w:lang w:val="en-GB"/>
              </w:rPr>
              <w:t>/d</w:t>
            </w:r>
            <w:r>
              <w:rPr>
                <w:rFonts w:hint="eastAsia"/>
                <w:bCs/>
                <w:sz w:val="24"/>
              </w:rPr>
              <w:t>，120</w:t>
            </w:r>
            <w:r>
              <w:rPr>
                <w:bCs/>
                <w:sz w:val="24"/>
              </w:rPr>
              <w:t>m</w:t>
            </w:r>
            <w:r>
              <w:rPr>
                <w:bCs/>
                <w:sz w:val="24"/>
                <w:vertAlign w:val="superscript"/>
              </w:rPr>
              <w:t>3</w:t>
            </w:r>
            <w:r>
              <w:rPr>
                <w:bCs/>
                <w:sz w:val="24"/>
              </w:rPr>
              <w:t>/a，</w:t>
            </w:r>
            <w:r>
              <w:rPr>
                <w:rFonts w:hint="eastAsia"/>
                <w:bCs/>
                <w:sz w:val="24"/>
              </w:rPr>
              <w:t>生活污水主要污染物含量约为COD300</w:t>
            </w:r>
            <w:r>
              <w:rPr>
                <w:sz w:val="24"/>
              </w:rPr>
              <w:t>mg/L</w:t>
            </w:r>
            <w:r>
              <w:rPr>
                <w:rFonts w:hint="eastAsia"/>
                <w:bCs/>
                <w:sz w:val="24"/>
              </w:rPr>
              <w:t>、BOD</w:t>
            </w:r>
            <w:r>
              <w:rPr>
                <w:rFonts w:hint="eastAsia"/>
                <w:bCs/>
                <w:sz w:val="24"/>
                <w:vertAlign w:val="subscript"/>
              </w:rPr>
              <w:t>5</w:t>
            </w:r>
            <w:r>
              <w:rPr>
                <w:rFonts w:hint="eastAsia"/>
                <w:bCs/>
                <w:sz w:val="24"/>
              </w:rPr>
              <w:t>200</w:t>
            </w:r>
            <w:r>
              <w:rPr>
                <w:sz w:val="24"/>
              </w:rPr>
              <w:t>mg/L</w:t>
            </w:r>
            <w:r>
              <w:rPr>
                <w:rFonts w:hint="eastAsia"/>
                <w:bCs/>
                <w:sz w:val="24"/>
              </w:rPr>
              <w:t>、SS200</w:t>
            </w:r>
            <w:r>
              <w:rPr>
                <w:sz w:val="24"/>
              </w:rPr>
              <w:t>mg/L</w:t>
            </w:r>
            <w:r>
              <w:rPr>
                <w:rFonts w:hint="eastAsia"/>
                <w:bCs/>
                <w:sz w:val="24"/>
              </w:rPr>
              <w:t>、氨氮20</w:t>
            </w:r>
            <w:r>
              <w:rPr>
                <w:sz w:val="24"/>
              </w:rPr>
              <w:t>mg/L</w:t>
            </w:r>
            <w:r>
              <w:rPr>
                <w:rFonts w:hint="eastAsia"/>
                <w:bCs/>
                <w:sz w:val="24"/>
              </w:rPr>
              <w:t>。职工生活废水经厂区化粪池（20</w:t>
            </w:r>
            <w:r>
              <w:rPr>
                <w:bCs/>
                <w:sz w:val="24"/>
                <w:lang w:val="en-GB"/>
              </w:rPr>
              <w:t>m</w:t>
            </w:r>
            <w:r>
              <w:rPr>
                <w:bCs/>
                <w:sz w:val="24"/>
                <w:vertAlign w:val="superscript"/>
                <w:lang w:val="en-GB"/>
              </w:rPr>
              <w:t>3</w:t>
            </w:r>
            <w:r>
              <w:rPr>
                <w:rFonts w:hint="eastAsia"/>
                <w:bCs/>
                <w:sz w:val="24"/>
              </w:rPr>
              <w:t>）暂存后交由周边居民外运肥田</w:t>
            </w:r>
            <w:r>
              <w:rPr>
                <w:rFonts w:hint="eastAsia"/>
                <w:sz w:val="24"/>
              </w:rPr>
              <w:t>。</w:t>
            </w:r>
          </w:p>
          <w:p w14:paraId="49C67148">
            <w:pPr>
              <w:spacing w:line="360" w:lineRule="auto"/>
              <w:ind w:firstLine="480" w:firstLineChars="200"/>
              <w:rPr>
                <w:sz w:val="24"/>
              </w:rPr>
            </w:pPr>
            <w:r>
              <w:rPr>
                <w:rFonts w:hint="eastAsia"/>
                <w:bCs/>
                <w:sz w:val="24"/>
              </w:rPr>
              <w:t>根据企业提供资料，项目厂区职工人数为10人，生活废水产生量约为0.4m</w:t>
            </w:r>
            <w:r>
              <w:rPr>
                <w:rFonts w:hint="eastAsia"/>
                <w:bCs/>
                <w:sz w:val="24"/>
                <w:vertAlign w:val="superscript"/>
              </w:rPr>
              <w:t>3</w:t>
            </w:r>
            <w:r>
              <w:rPr>
                <w:rFonts w:hint="eastAsia"/>
                <w:bCs/>
                <w:sz w:val="24"/>
              </w:rPr>
              <w:t>/d，厂区化粪池体积约为20m</w:t>
            </w:r>
            <w:r>
              <w:rPr>
                <w:rFonts w:hint="eastAsia"/>
                <w:bCs/>
                <w:sz w:val="24"/>
                <w:vertAlign w:val="superscript"/>
              </w:rPr>
              <w:t>3</w:t>
            </w:r>
            <w:r>
              <w:rPr>
                <w:rFonts w:hint="eastAsia"/>
                <w:bCs/>
                <w:sz w:val="24"/>
              </w:rPr>
              <w:t>，约50d需清理一次。由此可见，本项目生活废水排入化粪池暂存可行</w:t>
            </w:r>
            <w:r>
              <w:rPr>
                <w:bCs/>
                <w:sz w:val="24"/>
              </w:rPr>
              <w:t>。</w:t>
            </w:r>
          </w:p>
          <w:p w14:paraId="170C297C">
            <w:pPr>
              <w:spacing w:line="360" w:lineRule="auto"/>
              <w:ind w:firstLine="482" w:firstLineChars="200"/>
              <w:jc w:val="left"/>
              <w:rPr>
                <w:b/>
                <w:bCs/>
                <w:sz w:val="24"/>
              </w:rPr>
            </w:pPr>
            <w:r>
              <w:rPr>
                <w:rFonts w:hint="eastAsia"/>
                <w:b/>
                <w:bCs/>
                <w:sz w:val="24"/>
              </w:rPr>
              <w:t>2.3生产废水产排情况</w:t>
            </w:r>
          </w:p>
          <w:p w14:paraId="052CC491">
            <w:pPr>
              <w:adjustRightInd w:val="0"/>
              <w:snapToGrid w:val="0"/>
              <w:spacing w:line="360" w:lineRule="auto"/>
              <w:ind w:firstLine="480" w:firstLineChars="200"/>
              <w:rPr>
                <w:rFonts w:hAnsiTheme="majorEastAsia" w:eastAsiaTheme="majorEastAsia"/>
                <w:sz w:val="24"/>
                <w:lang w:val="en-GB"/>
              </w:rPr>
            </w:pPr>
            <w:r>
              <w:rPr>
                <w:rFonts w:hint="eastAsia" w:hAnsiTheme="majorEastAsia" w:eastAsiaTheme="majorEastAsia"/>
                <w:sz w:val="24"/>
                <w:lang w:val="en-GB"/>
              </w:rPr>
              <w:t>（1）生产废水产生情况</w:t>
            </w:r>
          </w:p>
          <w:p w14:paraId="65688B33">
            <w:pPr>
              <w:pStyle w:val="17"/>
              <w:adjustRightInd w:val="0"/>
              <w:snapToGrid w:val="0"/>
              <w:spacing w:line="360" w:lineRule="auto"/>
              <w:ind w:left="0" w:right="0" w:firstLine="480" w:firstLineChars="200"/>
              <w:jc w:val="both"/>
              <w:rPr>
                <w:sz w:val="24"/>
              </w:rPr>
            </w:pPr>
            <w:r>
              <w:rPr>
                <w:rFonts w:hint="eastAsia"/>
                <w:sz w:val="24"/>
              </w:rPr>
              <w:t>项目生产废水主要包括熬制冷凝废水、</w:t>
            </w:r>
            <w:r>
              <w:rPr>
                <w:color w:val="000000"/>
                <w:sz w:val="24"/>
              </w:rPr>
              <w:t>设备清洗</w:t>
            </w:r>
            <w:r>
              <w:rPr>
                <w:rFonts w:hint="eastAsia"/>
                <w:sz w:val="24"/>
              </w:rPr>
              <w:t>废</w:t>
            </w:r>
            <w:r>
              <w:rPr>
                <w:color w:val="000000"/>
                <w:sz w:val="24"/>
              </w:rPr>
              <w:t>水、</w:t>
            </w:r>
            <w:r>
              <w:rPr>
                <w:rFonts w:hint="eastAsia"/>
                <w:color w:val="000000"/>
                <w:sz w:val="24"/>
              </w:rPr>
              <w:t>废气</w:t>
            </w:r>
            <w:r>
              <w:rPr>
                <w:color w:val="000000"/>
                <w:sz w:val="24"/>
              </w:rPr>
              <w:t>喷淋系统废水、地面</w:t>
            </w:r>
            <w:r>
              <w:rPr>
                <w:rFonts w:hint="eastAsia"/>
                <w:sz w:val="24"/>
              </w:rPr>
              <w:t>清洗废水，</w:t>
            </w:r>
            <w:r>
              <w:rPr>
                <w:rFonts w:hint="eastAsia"/>
                <w:color w:val="000000"/>
                <w:sz w:val="24"/>
              </w:rPr>
              <w:t>废水主要污染物为COD、氨氮、BOD</w:t>
            </w:r>
            <w:r>
              <w:rPr>
                <w:rFonts w:hint="eastAsia"/>
                <w:color w:val="000000"/>
                <w:sz w:val="24"/>
                <w:vertAlign w:val="subscript"/>
              </w:rPr>
              <w:t>5</w:t>
            </w:r>
            <w:r>
              <w:rPr>
                <w:rFonts w:hint="eastAsia"/>
                <w:color w:val="000000"/>
                <w:sz w:val="24"/>
              </w:rPr>
              <w:t>、SS、动植物油类。</w:t>
            </w:r>
          </w:p>
          <w:p w14:paraId="68191E91">
            <w:pPr>
              <w:adjustRightInd w:val="0"/>
              <w:snapToGrid w:val="0"/>
              <w:spacing w:line="360" w:lineRule="auto"/>
              <w:ind w:firstLine="480" w:firstLineChars="200"/>
              <w:rPr>
                <w:color w:val="000000"/>
                <w:sz w:val="24"/>
              </w:rPr>
            </w:pPr>
            <w:r>
              <w:rPr>
                <w:rFonts w:hint="eastAsia" w:ascii="宋体" w:hAnsi="宋体" w:cs="宋体"/>
                <w:color w:val="000000"/>
                <w:sz w:val="24"/>
              </w:rPr>
              <w:t>①</w:t>
            </w:r>
            <w:r>
              <w:rPr>
                <w:rFonts w:hint="eastAsia"/>
                <w:sz w:val="24"/>
              </w:rPr>
              <w:t>熬制冷凝废水</w:t>
            </w:r>
          </w:p>
          <w:p w14:paraId="046D9560">
            <w:pPr>
              <w:pStyle w:val="17"/>
              <w:adjustRightInd w:val="0"/>
              <w:snapToGrid w:val="0"/>
              <w:spacing w:line="360" w:lineRule="auto"/>
              <w:ind w:left="0" w:right="0" w:firstLine="480" w:firstLineChars="200"/>
              <w:jc w:val="both"/>
              <w:rPr>
                <w:sz w:val="24"/>
              </w:rPr>
            </w:pPr>
            <w:r>
              <w:rPr>
                <w:rFonts w:hint="eastAsia"/>
                <w:sz w:val="24"/>
              </w:rPr>
              <w:t>油脂熬制</w:t>
            </w:r>
            <w:r>
              <w:rPr>
                <w:rFonts w:hint="eastAsia"/>
                <w:color w:val="000000"/>
                <w:sz w:val="24"/>
              </w:rPr>
              <w:t>过程中，脂肪内水分部分以水蒸气的形式与油烟一同进入冷凝系统，冷凝过程水蒸气冷凝成污冷凝水</w:t>
            </w:r>
            <w:r>
              <w:rPr>
                <w:color w:val="000000"/>
                <w:sz w:val="24"/>
              </w:rPr>
              <w:t>。</w:t>
            </w:r>
            <w:r>
              <w:rPr>
                <w:rFonts w:hint="eastAsia" w:hAnsi="宋体"/>
                <w:color w:val="000000"/>
                <w:sz w:val="24"/>
              </w:rPr>
              <w:t>项目熬制冷凝废水产生量为8675t/a（28.92t/d）</w:t>
            </w:r>
            <w:r>
              <w:rPr>
                <w:rFonts w:hint="eastAsia"/>
                <w:sz w:val="24"/>
              </w:rPr>
              <w:t>。</w:t>
            </w:r>
            <w:r>
              <w:rPr>
                <w:rFonts w:hint="eastAsia" w:hAnsi="宋体"/>
                <w:color w:val="000000"/>
                <w:sz w:val="24"/>
              </w:rPr>
              <w:t>熬制冷凝废水</w:t>
            </w:r>
            <w:r>
              <w:rPr>
                <w:rFonts w:hint="eastAsia" w:ascii="宋体" w:cs="宋体"/>
                <w:kern w:val="0"/>
                <w:sz w:val="24"/>
              </w:rPr>
              <w:t>进入厂区污水处理站处理。</w:t>
            </w:r>
          </w:p>
          <w:p w14:paraId="6F510DB0">
            <w:pPr>
              <w:adjustRightInd w:val="0"/>
              <w:snapToGrid w:val="0"/>
              <w:spacing w:line="360" w:lineRule="auto"/>
              <w:ind w:left="420"/>
              <w:rPr>
                <w:color w:val="000000"/>
                <w:sz w:val="24"/>
              </w:rPr>
            </w:pPr>
            <w:r>
              <w:rPr>
                <w:rFonts w:hint="eastAsia" w:ascii="宋体" w:hAnsi="宋体" w:cs="宋体"/>
                <w:color w:val="000000"/>
                <w:sz w:val="24"/>
              </w:rPr>
              <w:t>②</w:t>
            </w:r>
            <w:r>
              <w:rPr>
                <w:color w:val="000000"/>
                <w:sz w:val="24"/>
              </w:rPr>
              <w:t>设备清洗废水</w:t>
            </w:r>
          </w:p>
          <w:p w14:paraId="5BB585C1">
            <w:pPr>
              <w:adjustRightInd w:val="0"/>
              <w:snapToGrid w:val="0"/>
              <w:spacing w:line="360" w:lineRule="auto"/>
              <w:ind w:firstLine="480" w:firstLineChars="200"/>
              <w:rPr>
                <w:color w:val="000000"/>
                <w:sz w:val="24"/>
              </w:rPr>
            </w:pPr>
            <w:r>
              <w:rPr>
                <w:rFonts w:hint="eastAsia"/>
                <w:color w:val="000000"/>
                <w:sz w:val="24"/>
              </w:rPr>
              <w:t>项目油脂熬制炉、加热锅等设备在工作中会附着一定量的油脂等物质，在项目检修期间，需要对设备进行清洗。项目设备清洗废水产生量为64.8m</w:t>
            </w:r>
            <w:r>
              <w:rPr>
                <w:rFonts w:hint="eastAsia"/>
                <w:color w:val="000000"/>
                <w:sz w:val="24"/>
                <w:vertAlign w:val="superscript"/>
              </w:rPr>
              <w:t>3</w:t>
            </w:r>
            <w:r>
              <w:rPr>
                <w:rFonts w:hint="eastAsia"/>
                <w:color w:val="000000"/>
                <w:sz w:val="24"/>
              </w:rPr>
              <w:t>/a（0.216m</w:t>
            </w:r>
            <w:r>
              <w:rPr>
                <w:rFonts w:hint="eastAsia"/>
                <w:color w:val="000000"/>
                <w:sz w:val="24"/>
                <w:vertAlign w:val="superscript"/>
              </w:rPr>
              <w:t>3</w:t>
            </w:r>
            <w:r>
              <w:rPr>
                <w:rFonts w:hint="eastAsia"/>
                <w:color w:val="000000"/>
                <w:sz w:val="24"/>
              </w:rPr>
              <w:t>/d），经收集后由厂区污水处理站处理。</w:t>
            </w:r>
          </w:p>
          <w:p w14:paraId="1E43CF88">
            <w:pPr>
              <w:pStyle w:val="17"/>
              <w:adjustRightInd w:val="0"/>
              <w:snapToGrid w:val="0"/>
              <w:spacing w:line="360" w:lineRule="auto"/>
              <w:ind w:left="0" w:right="0" w:firstLine="480" w:firstLineChars="200"/>
              <w:jc w:val="both"/>
              <w:rPr>
                <w:color w:val="000000"/>
                <w:sz w:val="24"/>
              </w:rPr>
            </w:pPr>
            <w:r>
              <w:rPr>
                <w:rFonts w:hint="eastAsia" w:ascii="宋体" w:hAnsi="宋体" w:cs="宋体"/>
                <w:color w:val="000000"/>
                <w:sz w:val="24"/>
              </w:rPr>
              <w:t>③</w:t>
            </w:r>
            <w:r>
              <w:rPr>
                <w:rFonts w:hint="eastAsia"/>
                <w:color w:val="000000"/>
                <w:sz w:val="24"/>
              </w:rPr>
              <w:t>废气</w:t>
            </w:r>
            <w:r>
              <w:rPr>
                <w:color w:val="000000"/>
                <w:sz w:val="24"/>
              </w:rPr>
              <w:t>喷淋系统废水</w:t>
            </w:r>
          </w:p>
          <w:p w14:paraId="533657DB">
            <w:pPr>
              <w:adjustRightInd w:val="0"/>
              <w:snapToGrid w:val="0"/>
              <w:spacing w:line="360" w:lineRule="auto"/>
              <w:ind w:firstLine="480" w:firstLineChars="200"/>
              <w:rPr>
                <w:color w:val="000000"/>
                <w:sz w:val="24"/>
                <w:highlight w:val="yellow"/>
              </w:rPr>
            </w:pPr>
            <w:r>
              <w:rPr>
                <w:rFonts w:hint="eastAsia"/>
                <w:color w:val="000000"/>
                <w:sz w:val="24"/>
              </w:rPr>
              <w:t>项目废气喷淋设施采用碱液喷淋工艺，这部分用水循环利用，定期更换。碱液</w:t>
            </w:r>
            <w:r>
              <w:rPr>
                <w:color w:val="000000"/>
                <w:sz w:val="24"/>
              </w:rPr>
              <w:t>喷淋系统</w:t>
            </w:r>
            <w:r>
              <w:rPr>
                <w:rFonts w:hint="eastAsia"/>
                <w:color w:val="000000"/>
                <w:sz w:val="24"/>
              </w:rPr>
              <w:t>废水产生</w:t>
            </w:r>
            <w:r>
              <w:rPr>
                <w:color w:val="000000"/>
                <w:sz w:val="24"/>
              </w:rPr>
              <w:t>量为</w:t>
            </w:r>
            <w:r>
              <w:rPr>
                <w:rFonts w:hint="eastAsia"/>
                <w:color w:val="000000"/>
                <w:sz w:val="24"/>
              </w:rPr>
              <w:t>36m</w:t>
            </w:r>
            <w:r>
              <w:rPr>
                <w:rFonts w:hint="eastAsia"/>
                <w:color w:val="000000"/>
                <w:sz w:val="24"/>
                <w:vertAlign w:val="superscript"/>
              </w:rPr>
              <w:t>3</w:t>
            </w:r>
            <w:r>
              <w:rPr>
                <w:rFonts w:hint="eastAsia"/>
                <w:color w:val="000000"/>
                <w:sz w:val="24"/>
              </w:rPr>
              <w:t>/a（0.12m</w:t>
            </w:r>
            <w:r>
              <w:rPr>
                <w:rFonts w:hint="eastAsia"/>
                <w:color w:val="000000"/>
                <w:sz w:val="24"/>
                <w:vertAlign w:val="superscript"/>
              </w:rPr>
              <w:t>3</w:t>
            </w:r>
            <w:r>
              <w:rPr>
                <w:rFonts w:hint="eastAsia"/>
                <w:color w:val="000000"/>
                <w:sz w:val="24"/>
              </w:rPr>
              <w:t>/d），更换废水收集于厂区污水处理站处理。</w:t>
            </w:r>
          </w:p>
          <w:p w14:paraId="73B61F81">
            <w:pPr>
              <w:adjustRightInd w:val="0"/>
              <w:snapToGrid w:val="0"/>
              <w:spacing w:line="360" w:lineRule="auto"/>
              <w:ind w:firstLine="480" w:firstLineChars="200"/>
              <w:rPr>
                <w:color w:val="000000"/>
                <w:sz w:val="24"/>
              </w:rPr>
            </w:pPr>
            <w:r>
              <w:rPr>
                <w:rFonts w:hint="eastAsia" w:ascii="宋体" w:hAnsi="宋体" w:cs="宋体"/>
                <w:color w:val="000000"/>
                <w:sz w:val="24"/>
              </w:rPr>
              <w:t>④</w:t>
            </w:r>
            <w:r>
              <w:rPr>
                <w:color w:val="000000"/>
                <w:sz w:val="24"/>
              </w:rPr>
              <w:t>地面清洗</w:t>
            </w:r>
            <w:r>
              <w:rPr>
                <w:rFonts w:hint="eastAsia"/>
                <w:sz w:val="24"/>
              </w:rPr>
              <w:t>废水</w:t>
            </w:r>
          </w:p>
          <w:p w14:paraId="4C85499D">
            <w:pPr>
              <w:autoSpaceDE w:val="0"/>
              <w:autoSpaceDN w:val="0"/>
              <w:adjustRightInd w:val="0"/>
              <w:snapToGrid w:val="0"/>
              <w:spacing w:line="360" w:lineRule="auto"/>
              <w:ind w:firstLine="480" w:firstLineChars="200"/>
              <w:rPr>
                <w:kern w:val="0"/>
                <w:sz w:val="24"/>
              </w:rPr>
            </w:pPr>
            <w:r>
              <w:rPr>
                <w:kern w:val="0"/>
                <w:sz w:val="24"/>
              </w:rPr>
              <w:t>该项目生产</w:t>
            </w:r>
            <w:r>
              <w:rPr>
                <w:rFonts w:hint="eastAsia"/>
                <w:kern w:val="0"/>
                <w:sz w:val="24"/>
              </w:rPr>
              <w:t>区域</w:t>
            </w:r>
            <w:r>
              <w:rPr>
                <w:kern w:val="0"/>
                <w:sz w:val="24"/>
              </w:rPr>
              <w:t>需进行地面清洗，项目</w:t>
            </w:r>
            <w:r>
              <w:rPr>
                <w:rFonts w:hint="eastAsia"/>
                <w:sz w:val="24"/>
              </w:rPr>
              <w:t>地面清洗废水产生量共计</w:t>
            </w:r>
            <w:r>
              <w:rPr>
                <w:rFonts w:hint="eastAsia" w:eastAsia="TimesNewRomanPSMT"/>
                <w:kern w:val="0"/>
                <w:sz w:val="24"/>
              </w:rPr>
              <w:t>47.6</w:t>
            </w:r>
            <w:r>
              <w:rPr>
                <w:rFonts w:eastAsia="TimesNewRomanPSMT"/>
                <w:kern w:val="0"/>
                <w:sz w:val="24"/>
              </w:rPr>
              <w:t>m</w:t>
            </w:r>
            <w:r>
              <w:rPr>
                <w:rFonts w:eastAsia="TimesNewRomanPSMT"/>
                <w:kern w:val="0"/>
                <w:sz w:val="24"/>
                <w:vertAlign w:val="superscript"/>
              </w:rPr>
              <w:t>3</w:t>
            </w:r>
            <w:r>
              <w:rPr>
                <w:rFonts w:eastAsia="TimesNewRomanPSMT"/>
                <w:kern w:val="0"/>
                <w:sz w:val="24"/>
              </w:rPr>
              <w:t>/a</w:t>
            </w:r>
            <w:r>
              <w:rPr>
                <w:rFonts w:hint="eastAsia"/>
                <w:sz w:val="24"/>
              </w:rPr>
              <w:t>（0.16</w:t>
            </w:r>
            <w:r>
              <w:rPr>
                <w:sz w:val="24"/>
              </w:rPr>
              <w:t>m</w:t>
            </w:r>
            <w:r>
              <w:rPr>
                <w:sz w:val="24"/>
                <w:vertAlign w:val="superscript"/>
              </w:rPr>
              <w:t>3</w:t>
            </w:r>
            <w:r>
              <w:rPr>
                <w:sz w:val="24"/>
              </w:rPr>
              <w:t>/d</w:t>
            </w:r>
            <w:r>
              <w:rPr>
                <w:rFonts w:hint="eastAsia"/>
                <w:sz w:val="24"/>
              </w:rPr>
              <w:t>）</w:t>
            </w:r>
            <w:r>
              <w:rPr>
                <w:sz w:val="24"/>
              </w:rPr>
              <w:t>，</w:t>
            </w:r>
            <w:r>
              <w:rPr>
                <w:kern w:val="0"/>
                <w:sz w:val="24"/>
              </w:rPr>
              <w:t>车间设置沟槽</w:t>
            </w:r>
            <w:r>
              <w:rPr>
                <w:rFonts w:hint="eastAsia"/>
                <w:kern w:val="0"/>
                <w:sz w:val="24"/>
              </w:rPr>
              <w:t>将</w:t>
            </w:r>
            <w:r>
              <w:rPr>
                <w:color w:val="000000"/>
                <w:sz w:val="24"/>
              </w:rPr>
              <w:t>地面清洗</w:t>
            </w:r>
            <w:r>
              <w:rPr>
                <w:rFonts w:hint="eastAsia"/>
                <w:sz w:val="24"/>
              </w:rPr>
              <w:t>废水</w:t>
            </w:r>
            <w:r>
              <w:rPr>
                <w:kern w:val="0"/>
                <w:sz w:val="24"/>
              </w:rPr>
              <w:t>引流收集至污水处理站进行处理。</w:t>
            </w:r>
          </w:p>
          <w:p w14:paraId="78B247A2">
            <w:pPr>
              <w:pStyle w:val="65"/>
              <w:spacing w:line="360" w:lineRule="auto"/>
              <w:ind w:firstLine="482" w:firstLineChars="200"/>
              <w:rPr>
                <w:rFonts w:ascii="Times New Roman" w:cs="Times New Roman"/>
                <w:b/>
                <w:color w:val="auto"/>
                <w:kern w:val="2"/>
                <w:u w:val="single"/>
              </w:rPr>
            </w:pPr>
            <w:r>
              <w:rPr>
                <w:rFonts w:hint="eastAsia" w:hAnsi="宋体"/>
                <w:b/>
                <w:u w:val="single"/>
              </w:rPr>
              <w:t>⑤生产废水总产生量及源强确定</w:t>
            </w:r>
          </w:p>
          <w:p w14:paraId="3A1F949F">
            <w:pPr>
              <w:pStyle w:val="65"/>
              <w:autoSpaceDE/>
              <w:autoSpaceDN/>
              <w:spacing w:line="360" w:lineRule="auto"/>
              <w:ind w:firstLine="482" w:firstLineChars="200"/>
              <w:rPr>
                <w:rFonts w:ascii="Times New Roman" w:cs="Times New Roman"/>
                <w:b/>
                <w:color w:val="auto"/>
                <w:kern w:val="2"/>
                <w:u w:val="single"/>
              </w:rPr>
            </w:pPr>
            <w:r>
              <w:rPr>
                <w:rFonts w:hint="eastAsia" w:ascii="Times New Roman" w:cs="Times New Roman"/>
                <w:b/>
                <w:color w:val="auto"/>
                <w:kern w:val="2"/>
                <w:u w:val="single"/>
              </w:rPr>
              <w:t>根据上述计算，项目</w:t>
            </w:r>
            <w:r>
              <w:rPr>
                <w:rFonts w:hint="eastAsia"/>
                <w:b/>
                <w:u w:val="single"/>
              </w:rPr>
              <w:t>熬制冷凝废水、</w:t>
            </w:r>
            <w:r>
              <w:rPr>
                <w:rFonts w:ascii="Times New Roman" w:cs="Times New Roman"/>
                <w:b/>
                <w:u w:val="single"/>
              </w:rPr>
              <w:t>设备清洗</w:t>
            </w:r>
            <w:r>
              <w:rPr>
                <w:rFonts w:hint="eastAsia"/>
                <w:b/>
                <w:u w:val="single"/>
              </w:rPr>
              <w:t>废</w:t>
            </w:r>
            <w:r>
              <w:rPr>
                <w:rFonts w:ascii="Times New Roman" w:cs="Times New Roman"/>
                <w:b/>
                <w:u w:val="single"/>
              </w:rPr>
              <w:t>水</w:t>
            </w:r>
            <w:r>
              <w:rPr>
                <w:b/>
                <w:u w:val="single"/>
              </w:rPr>
              <w:t>、</w:t>
            </w:r>
            <w:r>
              <w:rPr>
                <w:rFonts w:hint="eastAsia" w:ascii="Times New Roman" w:cs="Times New Roman"/>
                <w:b/>
                <w:u w:val="single"/>
              </w:rPr>
              <w:t>废气</w:t>
            </w:r>
            <w:r>
              <w:rPr>
                <w:rFonts w:ascii="Times New Roman" w:cs="Times New Roman"/>
                <w:b/>
                <w:u w:val="single"/>
              </w:rPr>
              <w:t>喷淋系统废水</w:t>
            </w:r>
            <w:r>
              <w:rPr>
                <w:rFonts w:hint="eastAsia"/>
                <w:b/>
                <w:u w:val="single"/>
              </w:rPr>
              <w:t>及</w:t>
            </w:r>
            <w:r>
              <w:rPr>
                <w:rFonts w:ascii="Times New Roman" w:cs="Times New Roman"/>
                <w:b/>
                <w:u w:val="single"/>
              </w:rPr>
              <w:t>地面</w:t>
            </w:r>
            <w:r>
              <w:rPr>
                <w:rFonts w:hint="eastAsia"/>
                <w:b/>
                <w:color w:val="auto"/>
                <w:u w:val="single"/>
              </w:rPr>
              <w:t>清洗废水</w:t>
            </w:r>
            <w:r>
              <w:rPr>
                <w:rFonts w:hint="eastAsia" w:ascii="Times New Roman" w:cs="Times New Roman"/>
                <w:b/>
                <w:color w:val="auto"/>
                <w:kern w:val="2"/>
                <w:u w:val="single"/>
              </w:rPr>
              <w:t>总产生量为29.416</w:t>
            </w:r>
            <w:r>
              <w:rPr>
                <w:rFonts w:hint="eastAsia" w:ascii="Times New Roman" w:hAnsi="宋体" w:cs="Times New Roman"/>
                <w:b/>
                <w:color w:val="auto"/>
                <w:u w:val="single"/>
                <w:lang w:val="en-GB"/>
              </w:rPr>
              <w:t>m</w:t>
            </w:r>
            <w:r>
              <w:rPr>
                <w:rFonts w:hint="eastAsia" w:ascii="Times New Roman" w:hAnsi="宋体" w:cs="Times New Roman"/>
                <w:b/>
                <w:color w:val="auto"/>
                <w:u w:val="single"/>
                <w:vertAlign w:val="superscript"/>
                <w:lang w:val="en-GB"/>
              </w:rPr>
              <w:t>3</w:t>
            </w:r>
            <w:r>
              <w:rPr>
                <w:rFonts w:hint="eastAsia" w:ascii="Times New Roman" w:hAnsi="宋体" w:cs="Times New Roman"/>
                <w:b/>
                <w:color w:val="auto"/>
                <w:u w:val="single"/>
                <w:lang w:val="en-GB"/>
              </w:rPr>
              <w:t>/d</w:t>
            </w:r>
            <w:r>
              <w:rPr>
                <w:rFonts w:hint="eastAsia" w:ascii="Times New Roman" w:hAnsi="宋体" w:cs="Times New Roman"/>
                <w:b/>
                <w:color w:val="auto"/>
                <w:u w:val="single"/>
              </w:rPr>
              <w:t>，8824.8m</w:t>
            </w:r>
            <w:r>
              <w:rPr>
                <w:rFonts w:hint="eastAsia" w:ascii="Times New Roman" w:hAnsi="宋体" w:cs="Times New Roman"/>
                <w:b/>
                <w:color w:val="auto"/>
                <w:u w:val="single"/>
                <w:vertAlign w:val="superscript"/>
              </w:rPr>
              <w:t>3</w:t>
            </w:r>
            <w:r>
              <w:rPr>
                <w:rFonts w:hint="eastAsia" w:ascii="Times New Roman" w:hAnsi="宋体" w:cs="Times New Roman"/>
                <w:b/>
                <w:color w:val="auto"/>
                <w:u w:val="single"/>
              </w:rPr>
              <w:t>/a，废水源强数据参考《屠宰与肉类加工废水治理工程技术规范》（HJ2004-2010）表4肉类加工废水水质设计取值上限，污水中主要污染物及浓度取值COD2000mg/L、BOD</w:t>
            </w:r>
            <w:r>
              <w:rPr>
                <w:rFonts w:hint="eastAsia" w:ascii="Times New Roman" w:hAnsi="宋体" w:cs="Times New Roman"/>
                <w:b/>
                <w:color w:val="auto"/>
                <w:u w:val="single"/>
                <w:vertAlign w:val="subscript"/>
              </w:rPr>
              <w:t>5</w:t>
            </w:r>
            <w:r>
              <w:rPr>
                <w:rFonts w:hint="eastAsia" w:ascii="Times New Roman" w:hAnsi="宋体" w:cs="Times New Roman"/>
                <w:b/>
                <w:color w:val="auto"/>
                <w:u w:val="single"/>
              </w:rPr>
              <w:t>1000mg/L、SS1000mg/L、氨氮70mg/L、动植物油100mg/L、pH6.5-7.5（无量纲）。</w:t>
            </w:r>
          </w:p>
          <w:p w14:paraId="30795351">
            <w:pPr>
              <w:adjustRightInd w:val="0"/>
              <w:snapToGrid w:val="0"/>
              <w:spacing w:line="360" w:lineRule="auto"/>
              <w:ind w:firstLine="482" w:firstLineChars="200"/>
              <w:rPr>
                <w:b/>
                <w:sz w:val="24"/>
                <w:u w:val="single"/>
              </w:rPr>
            </w:pPr>
            <w:r>
              <w:rPr>
                <w:rFonts w:hint="eastAsia"/>
                <w:b/>
                <w:sz w:val="24"/>
                <w:u w:val="single"/>
              </w:rPr>
              <w:t>（2）生产废水处理措施及排放情况</w:t>
            </w:r>
          </w:p>
          <w:p w14:paraId="4552FB4B">
            <w:pPr>
              <w:pStyle w:val="65"/>
              <w:autoSpaceDE/>
              <w:autoSpaceDN/>
              <w:spacing w:line="360" w:lineRule="auto"/>
              <w:ind w:firstLine="482" w:firstLineChars="200"/>
              <w:rPr>
                <w:rFonts w:ascii="Times New Roman" w:cs="Times New Roman"/>
                <w:b/>
                <w:color w:val="auto"/>
                <w:kern w:val="2"/>
                <w:u w:val="single"/>
              </w:rPr>
            </w:pPr>
            <w:r>
              <w:rPr>
                <w:rFonts w:hint="eastAsia" w:ascii="Times New Roman" w:cs="Times New Roman"/>
                <w:b/>
                <w:color w:val="auto"/>
                <w:kern w:val="2"/>
                <w:u w:val="single"/>
              </w:rPr>
              <w:t>结合本项目实际情况，本次评价要求建设单位在厂区生产车间外东北侧建设综合污水处理设施，处理本项目产生的生产废水，污水处理站设计规模为30m</w:t>
            </w:r>
            <w:r>
              <w:rPr>
                <w:rFonts w:hint="eastAsia" w:ascii="Times New Roman" w:cs="Times New Roman"/>
                <w:b/>
                <w:color w:val="auto"/>
                <w:kern w:val="2"/>
                <w:u w:val="single"/>
                <w:vertAlign w:val="superscript"/>
              </w:rPr>
              <w:t>3</w:t>
            </w:r>
            <w:r>
              <w:rPr>
                <w:rFonts w:hint="eastAsia" w:ascii="Times New Roman" w:cs="Times New Roman"/>
                <w:b/>
                <w:color w:val="auto"/>
                <w:kern w:val="2"/>
                <w:u w:val="single"/>
              </w:rPr>
              <w:t>/d，污水处理站采取“隔油+气浮+水解酸化+接触氧化+沉淀”的处理工艺对工程废水进行处理。废水处理工艺流程情况见图4。</w:t>
            </w:r>
          </w:p>
          <w:p w14:paraId="3DF9F78E">
            <w:pPr>
              <w:pStyle w:val="65"/>
              <w:autoSpaceDE/>
              <w:autoSpaceDN/>
              <w:spacing w:afterLines="50"/>
              <w:jc w:val="center"/>
              <w:rPr>
                <w:rFonts w:ascii="Times New Roman" w:cs="Times New Roman"/>
                <w:color w:val="auto"/>
                <w:kern w:val="2"/>
              </w:rPr>
            </w:pPr>
            <w:r>
              <mc:AlternateContent>
                <mc:Choice Requires="wps">
                  <w:drawing>
                    <wp:anchor distT="0" distB="0" distL="114300" distR="114300" simplePos="0" relativeHeight="251664384" behindDoc="0" locked="0" layoutInCell="1" allowOverlap="1">
                      <wp:simplePos x="0" y="0"/>
                      <wp:positionH relativeFrom="column">
                        <wp:posOffset>1174115</wp:posOffset>
                      </wp:positionH>
                      <wp:positionV relativeFrom="paragraph">
                        <wp:posOffset>3741420</wp:posOffset>
                      </wp:positionV>
                      <wp:extent cx="3696335" cy="339090"/>
                      <wp:effectExtent l="0" t="0" r="0" b="0"/>
                      <wp:wrapNone/>
                      <wp:docPr id="37" name="文本框 266"/>
                      <wp:cNvGraphicFramePr/>
                      <a:graphic xmlns:a="http://schemas.openxmlformats.org/drawingml/2006/main">
                        <a:graphicData uri="http://schemas.microsoft.com/office/word/2010/wordprocessingShape">
                          <wps:wsp>
                            <wps:cNvSpPr txBox="1"/>
                            <wps:spPr>
                              <a:xfrm>
                                <a:off x="0" y="0"/>
                                <a:ext cx="3696335" cy="339090"/>
                              </a:xfrm>
                              <a:prstGeom prst="rect">
                                <a:avLst/>
                              </a:prstGeom>
                              <a:noFill/>
                              <a:ln>
                                <a:noFill/>
                              </a:ln>
                            </wps:spPr>
                            <wps:txbx>
                              <w:txbxContent>
                                <w:p w14:paraId="7ECD87E6">
                                  <w:pPr>
                                    <w:jc w:val="center"/>
                                    <w:rPr>
                                      <w:b/>
                                      <w:sz w:val="24"/>
                                    </w:rPr>
                                  </w:pPr>
                                  <w:r>
                                    <w:rPr>
                                      <w:b/>
                                      <w:sz w:val="24"/>
                                    </w:rPr>
                                    <w:t>表</w:t>
                                  </w:r>
                                  <w:r>
                                    <w:rPr>
                                      <w:rFonts w:hint="eastAsia"/>
                                      <w:b/>
                                      <w:sz w:val="24"/>
                                    </w:rPr>
                                    <w:t>4     本项目废水处理工艺</w:t>
                                  </w:r>
                                </w:p>
                              </w:txbxContent>
                            </wps:txbx>
                            <wps:bodyPr upright="1"/>
                          </wps:wsp>
                        </a:graphicData>
                      </a:graphic>
                    </wp:anchor>
                  </w:drawing>
                </mc:Choice>
                <mc:Fallback>
                  <w:pict>
                    <v:shape id="文本框 266" o:spid="_x0000_s1026" o:spt="202" type="#_x0000_t202" style="position:absolute;left:0pt;margin-left:92.45pt;margin-top:294.6pt;height:26.7pt;width:291.05pt;z-index:251664384;mso-width-relative:page;mso-height-relative:page;" filled="f" stroked="f" coordsize="21600,21600" o:gfxdata="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J6g&#10;HCXYAAAACwEAAA8AAAAAAAAAAQAgAAAAIgAAAGRycy9kb3ducmV2LnhtbFBLAQIUABQAAAAIAIdO&#10;4kAzBTCRsQEAAFEDAAAOAAAAAAAAAAEAIAAAACcBAABkcnMvZTJvRG9jLnhtbFBLBQYAAAAABgAG&#10;AFkBAABKBQAAAAA=&#10;">
                      <v:fill on="f" focussize="0,0"/>
                      <v:stroke on="f"/>
                      <v:imagedata o:title=""/>
                      <o:lock v:ext="edit" aspectratio="f"/>
                      <v:textbox>
                        <w:txbxContent>
                          <w:p w14:paraId="7ECD87E6">
                            <w:pPr>
                              <w:jc w:val="center"/>
                              <w:rPr>
                                <w:b/>
                                <w:sz w:val="24"/>
                              </w:rPr>
                            </w:pPr>
                            <w:r>
                              <w:rPr>
                                <w:b/>
                                <w:sz w:val="24"/>
                              </w:rPr>
                              <w:t>表</w:t>
                            </w:r>
                            <w:r>
                              <w:rPr>
                                <w:rFonts w:hint="eastAsia"/>
                                <w:b/>
                                <w:sz w:val="24"/>
                              </w:rPr>
                              <w:t>4     本项目废水处理工艺</w:t>
                            </w:r>
                          </w:p>
                        </w:txbxContent>
                      </v:textbox>
                    </v:shape>
                  </w:pict>
                </mc:Fallback>
              </mc:AlternateContent>
            </w:r>
            <w:r>
              <w:object>
                <v:shape id="_x0000_i1026" o:spt="75" type="#_x0000_t75" style="height:308.4pt;width:235.7pt;" o:ole="t" filled="f" o:preferrelative="t" stroked="f" coordsize="21600,21600">
                  <v:path/>
                  <v:fill on="f" focussize="0,0"/>
                  <v:stroke on="f" joinstyle="miter"/>
                  <v:imagedata r:id="rId10" o:title=""/>
                  <o:lock v:ext="edit" aspectratio="t"/>
                  <w10:wrap type="none"/>
                  <w10:anchorlock/>
                </v:shape>
                <o:OLEObject Type="Embed" ProgID="Visio.Drawing.11" ShapeID="_x0000_i1026" DrawAspect="Content" ObjectID="_1468075727" r:id="rId9">
                  <o:LockedField>false</o:LockedField>
                </o:OLEObject>
              </w:object>
            </w:r>
          </w:p>
          <w:p w14:paraId="221F83DE">
            <w:pPr>
              <w:adjustRightInd w:val="0"/>
              <w:snapToGrid w:val="0"/>
              <w:spacing w:beforeLines="100" w:line="360" w:lineRule="auto"/>
              <w:rPr>
                <w:b/>
                <w:sz w:val="24"/>
              </w:rPr>
            </w:pPr>
            <w:r>
              <w:rPr>
                <w:rFonts w:hint="eastAsia"/>
                <w:b/>
                <w:sz w:val="24"/>
              </w:rPr>
              <w:t>项目废水工艺简述：</w:t>
            </w:r>
          </w:p>
          <w:p w14:paraId="7D7CADE9">
            <w:pPr>
              <w:autoSpaceDE w:val="0"/>
              <w:autoSpaceDN w:val="0"/>
              <w:adjustRightInd w:val="0"/>
              <w:snapToGrid w:val="0"/>
              <w:spacing w:line="360" w:lineRule="auto"/>
              <w:ind w:firstLine="640" w:firstLineChars="267"/>
              <w:jc w:val="left"/>
              <w:rPr>
                <w:bCs/>
                <w:color w:val="000000"/>
                <w:sz w:val="24"/>
              </w:rPr>
            </w:pPr>
            <w:r>
              <w:rPr>
                <w:rFonts w:hint="eastAsia" w:ascii="宋体" w:hAnsi="宋体" w:cs="宋体"/>
                <w:bCs/>
                <w:color w:val="000000"/>
                <w:sz w:val="24"/>
              </w:rPr>
              <w:t>①</w:t>
            </w:r>
            <w:r>
              <w:rPr>
                <w:bCs/>
                <w:color w:val="000000"/>
                <w:sz w:val="24"/>
              </w:rPr>
              <w:t>生产废水经人工格栅自流入调节池中进行水质水量的均质均量。</w:t>
            </w:r>
          </w:p>
          <w:p w14:paraId="502D0A0F">
            <w:pPr>
              <w:autoSpaceDE w:val="0"/>
              <w:autoSpaceDN w:val="0"/>
              <w:adjustRightInd w:val="0"/>
              <w:snapToGrid w:val="0"/>
              <w:spacing w:line="360" w:lineRule="auto"/>
              <w:ind w:firstLine="640" w:firstLineChars="267"/>
              <w:jc w:val="left"/>
              <w:rPr>
                <w:bCs/>
                <w:sz w:val="24"/>
              </w:rPr>
            </w:pPr>
            <w:r>
              <w:rPr>
                <w:rFonts w:hint="eastAsia" w:ascii="宋体" w:hAnsi="宋体" w:cs="宋体"/>
                <w:bCs/>
                <w:color w:val="000000"/>
                <w:sz w:val="24"/>
              </w:rPr>
              <w:t>②</w:t>
            </w:r>
            <w:r>
              <w:rPr>
                <w:bCs/>
                <w:color w:val="000000"/>
                <w:sz w:val="24"/>
              </w:rPr>
              <w:t>调节池中废水经提升泵进入溶气气浮机将动植物油和悬浮物大部分去除，为后续工序减轻负荷；气浮出水</w:t>
            </w:r>
            <w:r>
              <w:rPr>
                <w:rFonts w:hint="eastAsia"/>
                <w:bCs/>
                <w:color w:val="000000"/>
                <w:sz w:val="24"/>
              </w:rPr>
              <w:t>进入</w:t>
            </w:r>
            <w:r>
              <w:rPr>
                <w:bCs/>
                <w:color w:val="000000"/>
                <w:sz w:val="24"/>
              </w:rPr>
              <w:t>水解酸化+接触氧化的主体生化处理工艺，首先通过水解酸化去除废水中的大分子有机物，进一步提高生化性，再进入缺氧段，靠兼氧微生物将污水中难溶解有机物转化为可溶解性有机物，将大分子有机物水解成小分子有机物，以利于后道生物处理池进一步氧化分解，同时通过回流的硝炭氮在硝化菌的作用下，可进行部分硝化和反硝化，有效的去除氨氮，最后经过常规接触氧化工艺对废水中的有机物进行脱除。</w:t>
            </w:r>
          </w:p>
          <w:p w14:paraId="6478DAD8">
            <w:pPr>
              <w:autoSpaceDE w:val="0"/>
              <w:autoSpaceDN w:val="0"/>
              <w:adjustRightInd w:val="0"/>
              <w:snapToGrid w:val="0"/>
              <w:spacing w:line="360" w:lineRule="auto"/>
              <w:ind w:firstLine="640" w:firstLineChars="267"/>
              <w:jc w:val="left"/>
              <w:rPr>
                <w:bCs/>
                <w:color w:val="000000"/>
                <w:sz w:val="24"/>
              </w:rPr>
            </w:pPr>
            <w:r>
              <w:rPr>
                <w:rFonts w:hint="eastAsia" w:ascii="宋体" w:hAnsi="宋体" w:cs="宋体"/>
                <w:bCs/>
                <w:color w:val="000000"/>
                <w:sz w:val="24"/>
              </w:rPr>
              <w:t>③</w:t>
            </w:r>
            <w:r>
              <w:rPr>
                <w:bCs/>
                <w:color w:val="000000"/>
                <w:sz w:val="24"/>
              </w:rPr>
              <w:t>水解酸化+接触氧化</w:t>
            </w:r>
            <w:r>
              <w:rPr>
                <w:rFonts w:hint="eastAsia"/>
                <w:bCs/>
                <w:color w:val="000000"/>
                <w:sz w:val="24"/>
              </w:rPr>
              <w:t>池</w:t>
            </w:r>
            <w:r>
              <w:rPr>
                <w:bCs/>
                <w:color w:val="000000"/>
                <w:sz w:val="24"/>
              </w:rPr>
              <w:t>出水</w:t>
            </w:r>
            <w:r>
              <w:rPr>
                <w:rFonts w:hint="eastAsia"/>
                <w:bCs/>
                <w:color w:val="000000"/>
                <w:sz w:val="24"/>
              </w:rPr>
              <w:t>经沉淀池沉淀后</w:t>
            </w:r>
            <w:r>
              <w:rPr>
                <w:bCs/>
                <w:color w:val="000000"/>
                <w:sz w:val="24"/>
              </w:rPr>
              <w:t>，出水进入</w:t>
            </w:r>
            <w:r>
              <w:rPr>
                <w:rFonts w:hint="eastAsia"/>
                <w:bCs/>
                <w:color w:val="000000"/>
                <w:sz w:val="24"/>
              </w:rPr>
              <w:t>清水池暂存后排入北关镇污水处理厂处理</w:t>
            </w:r>
            <w:r>
              <w:rPr>
                <w:bCs/>
                <w:color w:val="000000"/>
                <w:sz w:val="24"/>
              </w:rPr>
              <w:t>。</w:t>
            </w:r>
          </w:p>
          <w:p w14:paraId="0C18CA44">
            <w:pPr>
              <w:adjustRightInd w:val="0"/>
              <w:snapToGrid w:val="0"/>
              <w:spacing w:line="360" w:lineRule="auto"/>
              <w:ind w:firstLine="480" w:firstLineChars="200"/>
              <w:textAlignment w:val="baseline"/>
              <w:rPr>
                <w:bCs/>
                <w:sz w:val="24"/>
              </w:rPr>
            </w:pPr>
            <w:r>
              <w:rPr>
                <w:rFonts w:hint="eastAsia" w:ascii="宋体" w:hAnsi="宋体" w:cs="宋体"/>
                <w:bCs/>
                <w:color w:val="000000"/>
                <w:sz w:val="24"/>
              </w:rPr>
              <w:t>④</w:t>
            </w:r>
            <w:r>
              <w:rPr>
                <w:bCs/>
                <w:color w:val="000000"/>
                <w:sz w:val="24"/>
              </w:rPr>
              <w:t>剩余污泥至污泥池进行脱水干化处理，污泥外运安全处理。</w:t>
            </w:r>
          </w:p>
          <w:p w14:paraId="39311DB0">
            <w:pPr>
              <w:adjustRightInd w:val="0"/>
              <w:snapToGrid w:val="0"/>
              <w:spacing w:line="360" w:lineRule="auto"/>
              <w:ind w:firstLine="482" w:firstLineChars="200"/>
              <w:rPr>
                <w:b/>
                <w:sz w:val="24"/>
                <w:u w:val="single"/>
              </w:rPr>
            </w:pPr>
            <w:r>
              <w:rPr>
                <w:rFonts w:hint="eastAsia"/>
                <w:b/>
                <w:sz w:val="24"/>
                <w:u w:val="single"/>
              </w:rPr>
              <w:t>（3）污水处理设施处理效率</w:t>
            </w:r>
          </w:p>
          <w:p w14:paraId="077A4309">
            <w:pPr>
              <w:autoSpaceDE w:val="0"/>
              <w:autoSpaceDN w:val="0"/>
              <w:adjustRightInd w:val="0"/>
              <w:snapToGrid w:val="0"/>
              <w:spacing w:line="360" w:lineRule="auto"/>
              <w:ind w:firstLine="482" w:firstLineChars="200"/>
              <w:rPr>
                <w:b/>
                <w:kern w:val="0"/>
                <w:sz w:val="24"/>
                <w:u w:val="single"/>
              </w:rPr>
            </w:pPr>
            <w:r>
              <w:rPr>
                <w:b/>
                <w:bCs/>
                <w:sz w:val="24"/>
                <w:u w:val="single"/>
              </w:rPr>
              <w:t>根据分析，本项目废水属于高浓度易生化的有机废水，项目废水经污水处理站处理后</w:t>
            </w:r>
            <w:r>
              <w:rPr>
                <w:rFonts w:hint="eastAsia"/>
                <w:b/>
                <w:bCs/>
                <w:sz w:val="24"/>
                <w:u w:val="single"/>
              </w:rPr>
              <w:t>进入北关</w:t>
            </w:r>
            <w:r>
              <w:rPr>
                <w:b/>
                <w:bCs/>
                <w:sz w:val="24"/>
                <w:u w:val="single"/>
              </w:rPr>
              <w:t>镇污水处理厂进一步处理。</w:t>
            </w:r>
            <w:r>
              <w:rPr>
                <w:b/>
                <w:kern w:val="0"/>
                <w:sz w:val="24"/>
                <w:u w:val="single"/>
              </w:rPr>
              <w:t>污水处理站各处理单元处理效率参考《屠宰及肉类加工业污染防治可行技术指南》（</w:t>
            </w:r>
            <w:r>
              <w:rPr>
                <w:rFonts w:eastAsia="TimesNewRomanPSMT"/>
                <w:b/>
                <w:kern w:val="0"/>
                <w:sz w:val="24"/>
                <w:u w:val="single"/>
              </w:rPr>
              <w:t>HJ 1285</w:t>
            </w:r>
            <w:r>
              <w:rPr>
                <w:rFonts w:hint="eastAsia"/>
                <w:b/>
                <w:kern w:val="0"/>
                <w:sz w:val="24"/>
                <w:u w:val="single"/>
              </w:rPr>
              <w:t>-</w:t>
            </w:r>
            <w:r>
              <w:rPr>
                <w:rFonts w:eastAsia="TimesNewRomanPSMT"/>
                <w:b/>
                <w:kern w:val="0"/>
                <w:sz w:val="24"/>
                <w:u w:val="single"/>
              </w:rPr>
              <w:t>2023</w:t>
            </w:r>
            <w:r>
              <w:rPr>
                <w:b/>
                <w:kern w:val="0"/>
                <w:sz w:val="24"/>
                <w:u w:val="single"/>
              </w:rPr>
              <w:t>）、《屠宰与肉类加工废水治理工程技术规范》（</w:t>
            </w:r>
            <w:r>
              <w:rPr>
                <w:rFonts w:eastAsia="TimesNewRomanPSMT"/>
                <w:b/>
                <w:kern w:val="0"/>
                <w:sz w:val="24"/>
                <w:u w:val="single"/>
              </w:rPr>
              <w:t>HJ 2004</w:t>
            </w:r>
            <w:r>
              <w:rPr>
                <w:rFonts w:hint="eastAsia"/>
                <w:b/>
                <w:kern w:val="0"/>
                <w:sz w:val="24"/>
                <w:u w:val="single"/>
              </w:rPr>
              <w:t>-</w:t>
            </w:r>
            <w:r>
              <w:rPr>
                <w:rFonts w:eastAsia="TimesNewRomanPSMT"/>
                <w:b/>
                <w:kern w:val="0"/>
                <w:sz w:val="24"/>
                <w:u w:val="single"/>
              </w:rPr>
              <w:t>2010</w:t>
            </w:r>
            <w:r>
              <w:rPr>
                <w:b/>
                <w:kern w:val="0"/>
                <w:sz w:val="24"/>
                <w:u w:val="single"/>
              </w:rPr>
              <w:t>）以及企业提供的污水处理工艺设计资料数据，本项目污水处理各单元对废水污染物的处理效率及总处理效率详见下表</w:t>
            </w:r>
            <w:r>
              <w:rPr>
                <w:rFonts w:hint="eastAsia"/>
                <w:b/>
                <w:kern w:val="0"/>
                <w:sz w:val="24"/>
                <w:u w:val="single"/>
              </w:rPr>
              <w:t>。</w:t>
            </w:r>
          </w:p>
          <w:p w14:paraId="00079489">
            <w:pPr>
              <w:adjustRightInd w:val="0"/>
              <w:snapToGrid w:val="0"/>
              <w:jc w:val="center"/>
              <w:rPr>
                <w:b/>
                <w:color w:val="000000"/>
                <w:sz w:val="24"/>
              </w:rPr>
            </w:pPr>
            <w:r>
              <w:rPr>
                <w:rFonts w:hint="eastAsia"/>
                <w:b/>
                <w:color w:val="000000"/>
                <w:sz w:val="24"/>
              </w:rPr>
              <w:t>表22      项目生产废水处理效果一览表</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066"/>
              <w:gridCol w:w="2081"/>
              <w:gridCol w:w="993"/>
              <w:gridCol w:w="992"/>
              <w:gridCol w:w="992"/>
              <w:gridCol w:w="851"/>
              <w:gridCol w:w="992"/>
              <w:gridCol w:w="832"/>
            </w:tblGrid>
            <w:tr w14:paraId="0C371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47" w:type="dxa"/>
                  <w:gridSpan w:val="2"/>
                  <w:vMerge w:val="restart"/>
                  <w:vAlign w:val="center"/>
                </w:tcPr>
                <w:p w14:paraId="14B5EA62">
                  <w:pPr>
                    <w:widowControl/>
                    <w:jc w:val="center"/>
                    <w:rPr>
                      <w:b/>
                      <w:bCs/>
                      <w:color w:val="000000"/>
                      <w:kern w:val="0"/>
                      <w:u w:val="single"/>
                    </w:rPr>
                  </w:pPr>
                  <w:r>
                    <w:rPr>
                      <w:rFonts w:hint="eastAsia" w:hAnsi="宋体"/>
                      <w:b/>
                      <w:bCs/>
                      <w:color w:val="000000"/>
                      <w:kern w:val="0"/>
                      <w:szCs w:val="21"/>
                      <w:u w:val="single"/>
                    </w:rPr>
                    <w:t>处理单元</w:t>
                  </w:r>
                </w:p>
              </w:tc>
              <w:tc>
                <w:tcPr>
                  <w:tcW w:w="993" w:type="dxa"/>
                  <w:vAlign w:val="center"/>
                </w:tcPr>
                <w:p w14:paraId="1220A247">
                  <w:pPr>
                    <w:widowControl/>
                    <w:jc w:val="center"/>
                    <w:rPr>
                      <w:b/>
                      <w:bCs/>
                      <w:color w:val="000000"/>
                      <w:kern w:val="0"/>
                      <w:u w:val="single"/>
                    </w:rPr>
                  </w:pPr>
                  <w:r>
                    <w:rPr>
                      <w:rFonts w:hint="eastAsia"/>
                      <w:b/>
                      <w:bCs/>
                      <w:color w:val="000000"/>
                      <w:kern w:val="0"/>
                      <w:szCs w:val="21"/>
                      <w:u w:val="single"/>
                    </w:rPr>
                    <w:t>排放量</w:t>
                  </w:r>
                </w:p>
              </w:tc>
              <w:tc>
                <w:tcPr>
                  <w:tcW w:w="4659" w:type="dxa"/>
                  <w:gridSpan w:val="5"/>
                  <w:vAlign w:val="center"/>
                </w:tcPr>
                <w:p w14:paraId="05FC7A6B">
                  <w:pPr>
                    <w:widowControl/>
                    <w:jc w:val="center"/>
                    <w:rPr>
                      <w:b/>
                      <w:bCs/>
                      <w:color w:val="000000"/>
                      <w:kern w:val="0"/>
                      <w:u w:val="single"/>
                    </w:rPr>
                  </w:pPr>
                  <w:r>
                    <w:rPr>
                      <w:rFonts w:hint="eastAsia" w:ascii="宋体" w:hAnsi="宋体" w:cs="宋体"/>
                      <w:b/>
                      <w:bCs/>
                      <w:color w:val="000000"/>
                      <w:kern w:val="0"/>
                      <w:szCs w:val="21"/>
                      <w:u w:val="single"/>
                    </w:rPr>
                    <w:t>主要污染物浓度（</w:t>
                  </w:r>
                  <w:r>
                    <w:rPr>
                      <w:b/>
                      <w:bCs/>
                      <w:color w:val="000000"/>
                      <w:kern w:val="0"/>
                      <w:szCs w:val="21"/>
                      <w:u w:val="single"/>
                    </w:rPr>
                    <w:t>mg/L</w:t>
                  </w:r>
                  <w:r>
                    <w:rPr>
                      <w:rFonts w:hint="eastAsia" w:ascii="宋体" w:hAnsi="宋体" w:cs="宋体"/>
                      <w:b/>
                      <w:bCs/>
                      <w:color w:val="000000"/>
                      <w:kern w:val="0"/>
                      <w:szCs w:val="21"/>
                      <w:u w:val="single"/>
                    </w:rPr>
                    <w:t>）</w:t>
                  </w:r>
                </w:p>
              </w:tc>
            </w:tr>
            <w:tr w14:paraId="02C3E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47" w:type="dxa"/>
                  <w:gridSpan w:val="2"/>
                  <w:vMerge w:val="continue"/>
                  <w:vAlign w:val="center"/>
                </w:tcPr>
                <w:p w14:paraId="3CD3B542">
                  <w:pPr>
                    <w:widowControl/>
                    <w:jc w:val="center"/>
                    <w:rPr>
                      <w:rFonts w:hAnsi="宋体"/>
                      <w:b/>
                      <w:bCs/>
                      <w:color w:val="000000"/>
                      <w:kern w:val="0"/>
                      <w:szCs w:val="21"/>
                      <w:u w:val="single"/>
                    </w:rPr>
                  </w:pPr>
                </w:p>
              </w:tc>
              <w:tc>
                <w:tcPr>
                  <w:tcW w:w="993" w:type="dxa"/>
                  <w:vAlign w:val="center"/>
                </w:tcPr>
                <w:p w14:paraId="4BED9F39">
                  <w:pPr>
                    <w:widowControl/>
                    <w:jc w:val="center"/>
                    <w:rPr>
                      <w:b/>
                      <w:bCs/>
                      <w:color w:val="000000"/>
                      <w:kern w:val="0"/>
                      <w:u w:val="single"/>
                    </w:rPr>
                  </w:pPr>
                  <w:r>
                    <w:rPr>
                      <w:b/>
                      <w:bCs/>
                      <w:color w:val="000000"/>
                      <w:szCs w:val="21"/>
                      <w:u w:val="single"/>
                    </w:rPr>
                    <w:t>m</w:t>
                  </w:r>
                  <w:r>
                    <w:rPr>
                      <w:b/>
                      <w:bCs/>
                      <w:color w:val="000000"/>
                      <w:szCs w:val="21"/>
                      <w:u w:val="single"/>
                      <w:vertAlign w:val="superscript"/>
                    </w:rPr>
                    <w:t>3</w:t>
                  </w:r>
                  <w:r>
                    <w:rPr>
                      <w:b/>
                      <w:bCs/>
                      <w:color w:val="000000"/>
                      <w:szCs w:val="21"/>
                      <w:u w:val="single"/>
                    </w:rPr>
                    <w:t>/d</w:t>
                  </w:r>
                </w:p>
              </w:tc>
              <w:tc>
                <w:tcPr>
                  <w:tcW w:w="992" w:type="dxa"/>
                  <w:vAlign w:val="center"/>
                </w:tcPr>
                <w:p w14:paraId="3D40FF34">
                  <w:pPr>
                    <w:jc w:val="center"/>
                    <w:rPr>
                      <w:b/>
                      <w:bCs/>
                      <w:color w:val="000000"/>
                      <w:kern w:val="0"/>
                      <w:u w:val="single"/>
                    </w:rPr>
                  </w:pPr>
                  <w:r>
                    <w:rPr>
                      <w:b/>
                      <w:bCs/>
                      <w:color w:val="000000"/>
                      <w:kern w:val="0"/>
                      <w:szCs w:val="21"/>
                      <w:u w:val="single"/>
                    </w:rPr>
                    <w:t>COD</w:t>
                  </w:r>
                </w:p>
              </w:tc>
              <w:tc>
                <w:tcPr>
                  <w:tcW w:w="992" w:type="dxa"/>
                  <w:vAlign w:val="center"/>
                </w:tcPr>
                <w:p w14:paraId="6DF53D53">
                  <w:pPr>
                    <w:widowControl/>
                    <w:jc w:val="center"/>
                    <w:rPr>
                      <w:b/>
                      <w:bCs/>
                      <w:color w:val="000000"/>
                      <w:kern w:val="0"/>
                      <w:u w:val="single"/>
                    </w:rPr>
                  </w:pPr>
                  <w:r>
                    <w:rPr>
                      <w:rFonts w:hint="eastAsia"/>
                      <w:b/>
                      <w:bCs/>
                      <w:color w:val="000000"/>
                      <w:kern w:val="0"/>
                      <w:szCs w:val="21"/>
                      <w:u w:val="single"/>
                    </w:rPr>
                    <w:t>BOD</w:t>
                  </w:r>
                  <w:r>
                    <w:rPr>
                      <w:rFonts w:hint="eastAsia"/>
                      <w:b/>
                      <w:bCs/>
                      <w:color w:val="000000"/>
                      <w:kern w:val="0"/>
                      <w:szCs w:val="21"/>
                      <w:u w:val="single"/>
                      <w:vertAlign w:val="subscript"/>
                    </w:rPr>
                    <w:t>5</w:t>
                  </w:r>
                </w:p>
              </w:tc>
              <w:tc>
                <w:tcPr>
                  <w:tcW w:w="851" w:type="dxa"/>
                  <w:vAlign w:val="center"/>
                </w:tcPr>
                <w:p w14:paraId="34FEF9D1">
                  <w:pPr>
                    <w:widowControl/>
                    <w:jc w:val="center"/>
                    <w:rPr>
                      <w:b/>
                      <w:bCs/>
                      <w:color w:val="000000"/>
                      <w:kern w:val="0"/>
                      <w:u w:val="single"/>
                    </w:rPr>
                  </w:pPr>
                  <w:r>
                    <w:rPr>
                      <w:b/>
                      <w:bCs/>
                      <w:color w:val="000000"/>
                      <w:kern w:val="0"/>
                      <w:szCs w:val="21"/>
                      <w:u w:val="single"/>
                    </w:rPr>
                    <w:t>氨氮</w:t>
                  </w:r>
                </w:p>
              </w:tc>
              <w:tc>
                <w:tcPr>
                  <w:tcW w:w="992" w:type="dxa"/>
                  <w:vAlign w:val="center"/>
                </w:tcPr>
                <w:p w14:paraId="0066E81B">
                  <w:pPr>
                    <w:widowControl/>
                    <w:jc w:val="center"/>
                    <w:rPr>
                      <w:b/>
                      <w:bCs/>
                      <w:color w:val="000000"/>
                      <w:kern w:val="0"/>
                      <w:u w:val="single"/>
                    </w:rPr>
                  </w:pPr>
                  <w:r>
                    <w:rPr>
                      <w:rFonts w:hint="eastAsia"/>
                      <w:b/>
                      <w:bCs/>
                      <w:color w:val="000000"/>
                      <w:kern w:val="0"/>
                      <w:szCs w:val="21"/>
                      <w:u w:val="single"/>
                    </w:rPr>
                    <w:t>动植物油</w:t>
                  </w:r>
                </w:p>
              </w:tc>
              <w:tc>
                <w:tcPr>
                  <w:tcW w:w="832" w:type="dxa"/>
                </w:tcPr>
                <w:p w14:paraId="675D11C0">
                  <w:pPr>
                    <w:widowControl/>
                    <w:jc w:val="center"/>
                    <w:rPr>
                      <w:b/>
                      <w:bCs/>
                      <w:color w:val="000000"/>
                      <w:kern w:val="0"/>
                      <w:szCs w:val="21"/>
                      <w:u w:val="single"/>
                    </w:rPr>
                  </w:pPr>
                  <w:r>
                    <w:rPr>
                      <w:rFonts w:hint="eastAsia"/>
                      <w:b/>
                      <w:bCs/>
                      <w:color w:val="000000"/>
                      <w:kern w:val="0"/>
                      <w:szCs w:val="21"/>
                      <w:u w:val="single"/>
                    </w:rPr>
                    <w:t>SS</w:t>
                  </w:r>
                </w:p>
              </w:tc>
            </w:tr>
            <w:tr w14:paraId="14257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066" w:type="dxa"/>
                  <w:vMerge w:val="restart"/>
                  <w:vAlign w:val="center"/>
                </w:tcPr>
                <w:p w14:paraId="621644A0">
                  <w:pPr>
                    <w:jc w:val="center"/>
                    <w:rPr>
                      <w:b/>
                      <w:bCs/>
                      <w:color w:val="000000"/>
                      <w:kern w:val="0"/>
                      <w:u w:val="single"/>
                    </w:rPr>
                  </w:pPr>
                  <w:r>
                    <w:rPr>
                      <w:rFonts w:hint="eastAsia" w:hAnsi="宋体"/>
                      <w:b/>
                      <w:bCs/>
                      <w:color w:val="000000"/>
                      <w:kern w:val="0"/>
                      <w:szCs w:val="21"/>
                      <w:u w:val="single"/>
                    </w:rPr>
                    <w:t>气浮</w:t>
                  </w:r>
                </w:p>
              </w:tc>
              <w:tc>
                <w:tcPr>
                  <w:tcW w:w="2081" w:type="dxa"/>
                  <w:vAlign w:val="center"/>
                </w:tcPr>
                <w:p w14:paraId="419F4A88">
                  <w:pPr>
                    <w:widowControl/>
                    <w:jc w:val="center"/>
                    <w:rPr>
                      <w:b/>
                      <w:bCs/>
                      <w:color w:val="000000"/>
                      <w:kern w:val="0"/>
                      <w:u w:val="single"/>
                    </w:rPr>
                  </w:pPr>
                  <w:r>
                    <w:rPr>
                      <w:rFonts w:hAnsi="宋体"/>
                      <w:b/>
                      <w:bCs/>
                      <w:color w:val="000000"/>
                      <w:kern w:val="0"/>
                      <w:szCs w:val="21"/>
                      <w:u w:val="single"/>
                    </w:rPr>
                    <w:t>进水</w:t>
                  </w:r>
                </w:p>
              </w:tc>
              <w:tc>
                <w:tcPr>
                  <w:tcW w:w="993" w:type="dxa"/>
                  <w:vAlign w:val="center"/>
                </w:tcPr>
                <w:p w14:paraId="66C88821">
                  <w:pPr>
                    <w:widowControl/>
                    <w:jc w:val="center"/>
                    <w:rPr>
                      <w:b/>
                      <w:bCs/>
                      <w:color w:val="000000"/>
                      <w:kern w:val="0"/>
                      <w:szCs w:val="21"/>
                      <w:u w:val="single"/>
                    </w:rPr>
                  </w:pPr>
                  <w:r>
                    <w:rPr>
                      <w:rFonts w:hint="eastAsia"/>
                      <w:b/>
                      <w:szCs w:val="21"/>
                      <w:u w:val="single"/>
                    </w:rPr>
                    <w:t>29.416</w:t>
                  </w:r>
                </w:p>
              </w:tc>
              <w:tc>
                <w:tcPr>
                  <w:tcW w:w="992" w:type="dxa"/>
                  <w:vAlign w:val="center"/>
                </w:tcPr>
                <w:p w14:paraId="200EC48B">
                  <w:pPr>
                    <w:jc w:val="center"/>
                    <w:rPr>
                      <w:b/>
                      <w:bCs/>
                      <w:color w:val="000000"/>
                      <w:kern w:val="0"/>
                      <w:szCs w:val="21"/>
                      <w:u w:val="single"/>
                    </w:rPr>
                  </w:pPr>
                  <w:r>
                    <w:rPr>
                      <w:rFonts w:hint="eastAsia"/>
                      <w:b/>
                      <w:bCs/>
                      <w:color w:val="000000"/>
                      <w:kern w:val="0"/>
                      <w:szCs w:val="21"/>
                      <w:u w:val="single"/>
                    </w:rPr>
                    <w:t>2000</w:t>
                  </w:r>
                </w:p>
              </w:tc>
              <w:tc>
                <w:tcPr>
                  <w:tcW w:w="992" w:type="dxa"/>
                  <w:vAlign w:val="center"/>
                </w:tcPr>
                <w:p w14:paraId="041010C0">
                  <w:pPr>
                    <w:widowControl/>
                    <w:jc w:val="center"/>
                    <w:rPr>
                      <w:b/>
                      <w:bCs/>
                      <w:color w:val="000000"/>
                      <w:kern w:val="0"/>
                      <w:szCs w:val="21"/>
                      <w:u w:val="single"/>
                    </w:rPr>
                  </w:pPr>
                  <w:r>
                    <w:rPr>
                      <w:rFonts w:hint="eastAsia"/>
                      <w:b/>
                      <w:bCs/>
                      <w:color w:val="000000"/>
                      <w:kern w:val="0"/>
                      <w:szCs w:val="21"/>
                      <w:u w:val="single"/>
                    </w:rPr>
                    <w:t>1000</w:t>
                  </w:r>
                </w:p>
              </w:tc>
              <w:tc>
                <w:tcPr>
                  <w:tcW w:w="851" w:type="dxa"/>
                  <w:vAlign w:val="center"/>
                </w:tcPr>
                <w:p w14:paraId="06D8688A">
                  <w:pPr>
                    <w:widowControl/>
                    <w:jc w:val="center"/>
                    <w:rPr>
                      <w:b/>
                      <w:bCs/>
                      <w:color w:val="000000"/>
                      <w:kern w:val="0"/>
                      <w:szCs w:val="21"/>
                      <w:u w:val="single"/>
                    </w:rPr>
                  </w:pPr>
                  <w:r>
                    <w:rPr>
                      <w:rFonts w:hint="eastAsia"/>
                      <w:b/>
                      <w:bCs/>
                      <w:color w:val="000000"/>
                      <w:kern w:val="0"/>
                      <w:szCs w:val="21"/>
                      <w:u w:val="single"/>
                    </w:rPr>
                    <w:t>70</w:t>
                  </w:r>
                </w:p>
              </w:tc>
              <w:tc>
                <w:tcPr>
                  <w:tcW w:w="992" w:type="dxa"/>
                  <w:vAlign w:val="center"/>
                </w:tcPr>
                <w:p w14:paraId="4217CA56">
                  <w:pPr>
                    <w:widowControl/>
                    <w:jc w:val="center"/>
                    <w:rPr>
                      <w:b/>
                      <w:bCs/>
                      <w:color w:val="000000"/>
                      <w:kern w:val="0"/>
                      <w:szCs w:val="21"/>
                      <w:u w:val="single"/>
                    </w:rPr>
                  </w:pPr>
                  <w:r>
                    <w:rPr>
                      <w:rFonts w:hint="eastAsia"/>
                      <w:b/>
                      <w:bCs/>
                      <w:color w:val="000000"/>
                      <w:kern w:val="0"/>
                      <w:szCs w:val="21"/>
                      <w:u w:val="single"/>
                    </w:rPr>
                    <w:t>100</w:t>
                  </w:r>
                </w:p>
              </w:tc>
              <w:tc>
                <w:tcPr>
                  <w:tcW w:w="832" w:type="dxa"/>
                </w:tcPr>
                <w:p w14:paraId="20108DAF">
                  <w:pPr>
                    <w:widowControl/>
                    <w:jc w:val="center"/>
                    <w:rPr>
                      <w:b/>
                      <w:bCs/>
                      <w:color w:val="000000"/>
                      <w:kern w:val="0"/>
                      <w:szCs w:val="21"/>
                      <w:u w:val="single"/>
                    </w:rPr>
                  </w:pPr>
                  <w:r>
                    <w:rPr>
                      <w:rFonts w:hint="eastAsia"/>
                      <w:b/>
                      <w:bCs/>
                      <w:color w:val="000000"/>
                      <w:kern w:val="0"/>
                      <w:szCs w:val="21"/>
                      <w:u w:val="single"/>
                    </w:rPr>
                    <w:t>1000</w:t>
                  </w:r>
                </w:p>
              </w:tc>
            </w:tr>
            <w:tr w14:paraId="16D36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066" w:type="dxa"/>
                  <w:vMerge w:val="continue"/>
                  <w:vAlign w:val="center"/>
                </w:tcPr>
                <w:p w14:paraId="5004F7E5">
                  <w:pPr>
                    <w:jc w:val="center"/>
                    <w:rPr>
                      <w:b/>
                      <w:bCs/>
                      <w:color w:val="000000"/>
                      <w:kern w:val="0"/>
                      <w:u w:val="single"/>
                    </w:rPr>
                  </w:pPr>
                </w:p>
              </w:tc>
              <w:tc>
                <w:tcPr>
                  <w:tcW w:w="2081" w:type="dxa"/>
                  <w:vAlign w:val="center"/>
                </w:tcPr>
                <w:p w14:paraId="7B2DC4D6">
                  <w:pPr>
                    <w:widowControl/>
                    <w:jc w:val="center"/>
                    <w:rPr>
                      <w:b/>
                      <w:bCs/>
                      <w:color w:val="000000"/>
                      <w:kern w:val="0"/>
                      <w:u w:val="single"/>
                    </w:rPr>
                  </w:pPr>
                  <w:r>
                    <w:rPr>
                      <w:rFonts w:hAnsi="宋体"/>
                      <w:b/>
                      <w:bCs/>
                      <w:color w:val="000000"/>
                      <w:kern w:val="0"/>
                      <w:szCs w:val="21"/>
                      <w:u w:val="single"/>
                    </w:rPr>
                    <w:t>去除效率</w:t>
                  </w:r>
                </w:p>
              </w:tc>
              <w:tc>
                <w:tcPr>
                  <w:tcW w:w="993" w:type="dxa"/>
                  <w:vAlign w:val="center"/>
                </w:tcPr>
                <w:p w14:paraId="119709C7">
                  <w:pPr>
                    <w:adjustRightInd w:val="0"/>
                    <w:snapToGrid w:val="0"/>
                    <w:jc w:val="center"/>
                    <w:rPr>
                      <w:b/>
                      <w:szCs w:val="21"/>
                      <w:u w:val="single"/>
                    </w:rPr>
                  </w:pPr>
                  <w:r>
                    <w:rPr>
                      <w:rFonts w:hint="eastAsia"/>
                      <w:b/>
                      <w:szCs w:val="21"/>
                      <w:u w:val="single"/>
                    </w:rPr>
                    <w:t>/</w:t>
                  </w:r>
                </w:p>
              </w:tc>
              <w:tc>
                <w:tcPr>
                  <w:tcW w:w="992" w:type="dxa"/>
                  <w:vAlign w:val="center"/>
                </w:tcPr>
                <w:p w14:paraId="6B4BEF58">
                  <w:pPr>
                    <w:jc w:val="center"/>
                    <w:rPr>
                      <w:b/>
                      <w:color w:val="000000"/>
                      <w:szCs w:val="21"/>
                      <w:u w:val="single"/>
                    </w:rPr>
                  </w:pPr>
                  <w:r>
                    <w:rPr>
                      <w:b/>
                      <w:color w:val="000000"/>
                      <w:szCs w:val="21"/>
                      <w:u w:val="single"/>
                    </w:rPr>
                    <w:t>25%</w:t>
                  </w:r>
                </w:p>
              </w:tc>
              <w:tc>
                <w:tcPr>
                  <w:tcW w:w="992" w:type="dxa"/>
                  <w:vAlign w:val="center"/>
                </w:tcPr>
                <w:p w14:paraId="4893CD54">
                  <w:pPr>
                    <w:jc w:val="center"/>
                    <w:rPr>
                      <w:b/>
                      <w:color w:val="000000"/>
                      <w:szCs w:val="21"/>
                      <w:u w:val="single"/>
                    </w:rPr>
                  </w:pPr>
                  <w:r>
                    <w:rPr>
                      <w:b/>
                      <w:color w:val="000000"/>
                      <w:szCs w:val="21"/>
                      <w:u w:val="single"/>
                    </w:rPr>
                    <w:t>25%</w:t>
                  </w:r>
                </w:p>
              </w:tc>
              <w:tc>
                <w:tcPr>
                  <w:tcW w:w="851" w:type="dxa"/>
                  <w:vAlign w:val="center"/>
                </w:tcPr>
                <w:p w14:paraId="689364CB">
                  <w:pPr>
                    <w:jc w:val="center"/>
                    <w:rPr>
                      <w:b/>
                      <w:color w:val="000000"/>
                      <w:szCs w:val="21"/>
                      <w:u w:val="single"/>
                    </w:rPr>
                  </w:pPr>
                  <w:r>
                    <w:rPr>
                      <w:b/>
                      <w:color w:val="000000"/>
                      <w:szCs w:val="21"/>
                      <w:u w:val="single"/>
                    </w:rPr>
                    <w:t>25%</w:t>
                  </w:r>
                </w:p>
              </w:tc>
              <w:tc>
                <w:tcPr>
                  <w:tcW w:w="992" w:type="dxa"/>
                  <w:vAlign w:val="center"/>
                </w:tcPr>
                <w:p w14:paraId="4CEAA78D">
                  <w:pPr>
                    <w:jc w:val="center"/>
                    <w:rPr>
                      <w:b/>
                      <w:color w:val="000000"/>
                      <w:szCs w:val="21"/>
                      <w:u w:val="single"/>
                    </w:rPr>
                  </w:pPr>
                  <w:r>
                    <w:rPr>
                      <w:rFonts w:hint="eastAsia"/>
                      <w:b/>
                      <w:color w:val="000000"/>
                      <w:szCs w:val="21"/>
                      <w:u w:val="single"/>
                    </w:rPr>
                    <w:t>75</w:t>
                  </w:r>
                  <w:r>
                    <w:rPr>
                      <w:b/>
                      <w:color w:val="000000"/>
                      <w:szCs w:val="21"/>
                      <w:u w:val="single"/>
                    </w:rPr>
                    <w:t>%</w:t>
                  </w:r>
                </w:p>
              </w:tc>
              <w:tc>
                <w:tcPr>
                  <w:tcW w:w="832" w:type="dxa"/>
                  <w:vAlign w:val="center"/>
                </w:tcPr>
                <w:p w14:paraId="0E844E7A">
                  <w:pPr>
                    <w:jc w:val="center"/>
                    <w:rPr>
                      <w:b/>
                      <w:color w:val="000000"/>
                      <w:szCs w:val="21"/>
                      <w:u w:val="single"/>
                    </w:rPr>
                  </w:pPr>
                  <w:r>
                    <w:rPr>
                      <w:rFonts w:hint="eastAsia"/>
                      <w:b/>
                      <w:color w:val="000000"/>
                      <w:szCs w:val="21"/>
                      <w:u w:val="single"/>
                    </w:rPr>
                    <w:t>70</w:t>
                  </w:r>
                  <w:r>
                    <w:rPr>
                      <w:b/>
                      <w:color w:val="000000"/>
                      <w:szCs w:val="21"/>
                      <w:u w:val="single"/>
                    </w:rPr>
                    <w:t>%</w:t>
                  </w:r>
                </w:p>
              </w:tc>
            </w:tr>
            <w:tr w14:paraId="03FC9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066" w:type="dxa"/>
                  <w:vMerge w:val="continue"/>
                  <w:vAlign w:val="center"/>
                </w:tcPr>
                <w:p w14:paraId="0A09D1B2">
                  <w:pPr>
                    <w:jc w:val="center"/>
                    <w:rPr>
                      <w:b/>
                      <w:bCs/>
                      <w:color w:val="000000"/>
                      <w:kern w:val="0"/>
                      <w:u w:val="single"/>
                    </w:rPr>
                  </w:pPr>
                </w:p>
              </w:tc>
              <w:tc>
                <w:tcPr>
                  <w:tcW w:w="2081" w:type="dxa"/>
                  <w:vAlign w:val="center"/>
                </w:tcPr>
                <w:p w14:paraId="486C941D">
                  <w:pPr>
                    <w:widowControl/>
                    <w:jc w:val="center"/>
                    <w:rPr>
                      <w:b/>
                      <w:bCs/>
                      <w:color w:val="000000"/>
                      <w:kern w:val="0"/>
                      <w:u w:val="single"/>
                    </w:rPr>
                  </w:pPr>
                  <w:r>
                    <w:rPr>
                      <w:rFonts w:hint="eastAsia"/>
                      <w:b/>
                      <w:bCs/>
                      <w:color w:val="000000"/>
                      <w:kern w:val="0"/>
                      <w:szCs w:val="21"/>
                      <w:u w:val="single"/>
                    </w:rPr>
                    <w:t>出水</w:t>
                  </w:r>
                </w:p>
              </w:tc>
              <w:tc>
                <w:tcPr>
                  <w:tcW w:w="993" w:type="dxa"/>
                  <w:vAlign w:val="center"/>
                </w:tcPr>
                <w:p w14:paraId="0FE5CAD4">
                  <w:pPr>
                    <w:adjustRightInd w:val="0"/>
                    <w:snapToGrid w:val="0"/>
                    <w:jc w:val="center"/>
                    <w:rPr>
                      <w:b/>
                      <w:szCs w:val="21"/>
                      <w:u w:val="single"/>
                    </w:rPr>
                  </w:pPr>
                  <w:r>
                    <w:rPr>
                      <w:rFonts w:hint="eastAsia"/>
                      <w:b/>
                      <w:szCs w:val="21"/>
                      <w:u w:val="single"/>
                    </w:rPr>
                    <w:t>29.416</w:t>
                  </w:r>
                </w:p>
              </w:tc>
              <w:tc>
                <w:tcPr>
                  <w:tcW w:w="992" w:type="dxa"/>
                  <w:vAlign w:val="center"/>
                </w:tcPr>
                <w:p w14:paraId="797F98B2">
                  <w:pPr>
                    <w:jc w:val="center"/>
                    <w:rPr>
                      <w:b/>
                      <w:color w:val="000000"/>
                      <w:szCs w:val="21"/>
                      <w:u w:val="single"/>
                    </w:rPr>
                  </w:pPr>
                  <w:r>
                    <w:rPr>
                      <w:b/>
                      <w:color w:val="000000"/>
                      <w:szCs w:val="21"/>
                      <w:u w:val="single"/>
                    </w:rPr>
                    <w:t>1500</w:t>
                  </w:r>
                </w:p>
              </w:tc>
              <w:tc>
                <w:tcPr>
                  <w:tcW w:w="992" w:type="dxa"/>
                  <w:vAlign w:val="center"/>
                </w:tcPr>
                <w:p w14:paraId="62D63A81">
                  <w:pPr>
                    <w:jc w:val="center"/>
                    <w:rPr>
                      <w:b/>
                      <w:color w:val="000000"/>
                      <w:szCs w:val="21"/>
                      <w:u w:val="single"/>
                    </w:rPr>
                  </w:pPr>
                  <w:r>
                    <w:rPr>
                      <w:b/>
                      <w:color w:val="000000"/>
                      <w:szCs w:val="21"/>
                      <w:u w:val="single"/>
                    </w:rPr>
                    <w:t>750</w:t>
                  </w:r>
                </w:p>
              </w:tc>
              <w:tc>
                <w:tcPr>
                  <w:tcW w:w="851" w:type="dxa"/>
                  <w:vAlign w:val="center"/>
                </w:tcPr>
                <w:p w14:paraId="373A2E8D">
                  <w:pPr>
                    <w:jc w:val="center"/>
                    <w:rPr>
                      <w:b/>
                      <w:color w:val="000000"/>
                      <w:szCs w:val="21"/>
                      <w:u w:val="single"/>
                    </w:rPr>
                  </w:pPr>
                  <w:r>
                    <w:rPr>
                      <w:b/>
                      <w:color w:val="000000"/>
                      <w:szCs w:val="21"/>
                      <w:u w:val="single"/>
                    </w:rPr>
                    <w:t>52.5</w:t>
                  </w:r>
                </w:p>
              </w:tc>
              <w:tc>
                <w:tcPr>
                  <w:tcW w:w="992" w:type="dxa"/>
                  <w:vAlign w:val="center"/>
                </w:tcPr>
                <w:p w14:paraId="15A1889D">
                  <w:pPr>
                    <w:jc w:val="center"/>
                    <w:rPr>
                      <w:b/>
                      <w:color w:val="000000"/>
                      <w:szCs w:val="21"/>
                      <w:u w:val="single"/>
                    </w:rPr>
                  </w:pPr>
                  <w:r>
                    <w:rPr>
                      <w:b/>
                      <w:color w:val="000000"/>
                      <w:szCs w:val="21"/>
                      <w:u w:val="single"/>
                    </w:rPr>
                    <w:t>25</w:t>
                  </w:r>
                </w:p>
              </w:tc>
              <w:tc>
                <w:tcPr>
                  <w:tcW w:w="832" w:type="dxa"/>
                  <w:vAlign w:val="center"/>
                </w:tcPr>
                <w:p w14:paraId="15E4D132">
                  <w:pPr>
                    <w:jc w:val="center"/>
                    <w:rPr>
                      <w:b/>
                      <w:color w:val="000000"/>
                      <w:szCs w:val="21"/>
                      <w:u w:val="single"/>
                    </w:rPr>
                  </w:pPr>
                  <w:r>
                    <w:rPr>
                      <w:b/>
                      <w:color w:val="000000"/>
                      <w:szCs w:val="21"/>
                      <w:u w:val="single"/>
                    </w:rPr>
                    <w:t>300</w:t>
                  </w:r>
                </w:p>
              </w:tc>
            </w:tr>
            <w:tr w14:paraId="1D4C7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066" w:type="dxa"/>
                  <w:vMerge w:val="restart"/>
                  <w:vAlign w:val="center"/>
                </w:tcPr>
                <w:p w14:paraId="65C55CC1">
                  <w:pPr>
                    <w:jc w:val="center"/>
                    <w:rPr>
                      <w:rFonts w:hAnsi="宋体"/>
                      <w:b/>
                      <w:bCs/>
                      <w:color w:val="000000"/>
                      <w:kern w:val="0"/>
                      <w:u w:val="single"/>
                    </w:rPr>
                  </w:pPr>
                  <w:r>
                    <w:rPr>
                      <w:rFonts w:hint="eastAsia" w:hAnsi="宋体"/>
                      <w:b/>
                      <w:bCs/>
                      <w:color w:val="000000"/>
                      <w:kern w:val="0"/>
                      <w:szCs w:val="21"/>
                      <w:u w:val="single"/>
                    </w:rPr>
                    <w:t>水解酸化+接触氧化</w:t>
                  </w:r>
                </w:p>
              </w:tc>
              <w:tc>
                <w:tcPr>
                  <w:tcW w:w="2081" w:type="dxa"/>
                  <w:vAlign w:val="center"/>
                </w:tcPr>
                <w:p w14:paraId="5CF5D46E">
                  <w:pPr>
                    <w:widowControl/>
                    <w:jc w:val="center"/>
                    <w:rPr>
                      <w:b/>
                      <w:bCs/>
                      <w:color w:val="000000"/>
                      <w:kern w:val="0"/>
                      <w:u w:val="single"/>
                    </w:rPr>
                  </w:pPr>
                  <w:r>
                    <w:rPr>
                      <w:rFonts w:hAnsi="宋体"/>
                      <w:b/>
                      <w:bCs/>
                      <w:color w:val="000000"/>
                      <w:kern w:val="0"/>
                      <w:szCs w:val="21"/>
                      <w:u w:val="single"/>
                    </w:rPr>
                    <w:t>去除效率</w:t>
                  </w:r>
                </w:p>
              </w:tc>
              <w:tc>
                <w:tcPr>
                  <w:tcW w:w="993" w:type="dxa"/>
                  <w:vAlign w:val="center"/>
                </w:tcPr>
                <w:p w14:paraId="0AC34CED">
                  <w:pPr>
                    <w:adjustRightInd w:val="0"/>
                    <w:snapToGrid w:val="0"/>
                    <w:jc w:val="center"/>
                    <w:rPr>
                      <w:b/>
                      <w:szCs w:val="21"/>
                      <w:u w:val="single"/>
                    </w:rPr>
                  </w:pPr>
                  <w:r>
                    <w:rPr>
                      <w:rFonts w:hint="eastAsia"/>
                      <w:b/>
                      <w:szCs w:val="21"/>
                      <w:u w:val="single"/>
                    </w:rPr>
                    <w:t>/</w:t>
                  </w:r>
                </w:p>
              </w:tc>
              <w:tc>
                <w:tcPr>
                  <w:tcW w:w="992" w:type="dxa"/>
                  <w:vAlign w:val="center"/>
                </w:tcPr>
                <w:p w14:paraId="0F69905F">
                  <w:pPr>
                    <w:jc w:val="center"/>
                    <w:rPr>
                      <w:b/>
                      <w:color w:val="000000"/>
                      <w:szCs w:val="21"/>
                      <w:u w:val="single"/>
                    </w:rPr>
                  </w:pPr>
                  <w:r>
                    <w:rPr>
                      <w:b/>
                      <w:color w:val="000000"/>
                      <w:szCs w:val="21"/>
                      <w:u w:val="single"/>
                    </w:rPr>
                    <w:t>75%</w:t>
                  </w:r>
                </w:p>
              </w:tc>
              <w:tc>
                <w:tcPr>
                  <w:tcW w:w="992" w:type="dxa"/>
                  <w:vAlign w:val="center"/>
                </w:tcPr>
                <w:p w14:paraId="4E4409BB">
                  <w:pPr>
                    <w:jc w:val="center"/>
                    <w:rPr>
                      <w:b/>
                      <w:color w:val="000000"/>
                      <w:szCs w:val="21"/>
                      <w:u w:val="single"/>
                    </w:rPr>
                  </w:pPr>
                  <w:r>
                    <w:rPr>
                      <w:b/>
                      <w:color w:val="000000"/>
                      <w:szCs w:val="21"/>
                      <w:u w:val="single"/>
                    </w:rPr>
                    <w:t>85%</w:t>
                  </w:r>
                </w:p>
              </w:tc>
              <w:tc>
                <w:tcPr>
                  <w:tcW w:w="851" w:type="dxa"/>
                  <w:vAlign w:val="center"/>
                </w:tcPr>
                <w:p w14:paraId="3A80531A">
                  <w:pPr>
                    <w:jc w:val="center"/>
                    <w:rPr>
                      <w:b/>
                      <w:color w:val="000000"/>
                      <w:szCs w:val="21"/>
                      <w:u w:val="single"/>
                    </w:rPr>
                  </w:pPr>
                  <w:r>
                    <w:rPr>
                      <w:b/>
                      <w:color w:val="000000"/>
                      <w:szCs w:val="21"/>
                      <w:u w:val="single"/>
                    </w:rPr>
                    <w:t>80%</w:t>
                  </w:r>
                </w:p>
              </w:tc>
              <w:tc>
                <w:tcPr>
                  <w:tcW w:w="992" w:type="dxa"/>
                  <w:vAlign w:val="center"/>
                </w:tcPr>
                <w:p w14:paraId="674C3B08">
                  <w:pPr>
                    <w:jc w:val="center"/>
                    <w:rPr>
                      <w:b/>
                      <w:color w:val="000000"/>
                      <w:szCs w:val="21"/>
                      <w:u w:val="single"/>
                    </w:rPr>
                  </w:pPr>
                  <w:r>
                    <w:rPr>
                      <w:b/>
                      <w:color w:val="000000"/>
                      <w:szCs w:val="21"/>
                      <w:u w:val="single"/>
                    </w:rPr>
                    <w:t>80%</w:t>
                  </w:r>
                </w:p>
              </w:tc>
              <w:tc>
                <w:tcPr>
                  <w:tcW w:w="832" w:type="dxa"/>
                  <w:vAlign w:val="center"/>
                </w:tcPr>
                <w:p w14:paraId="6A80CBC7">
                  <w:pPr>
                    <w:jc w:val="center"/>
                    <w:rPr>
                      <w:b/>
                      <w:color w:val="000000"/>
                      <w:szCs w:val="21"/>
                      <w:u w:val="single"/>
                    </w:rPr>
                  </w:pPr>
                  <w:r>
                    <w:rPr>
                      <w:b/>
                      <w:color w:val="000000"/>
                      <w:szCs w:val="21"/>
                      <w:u w:val="single"/>
                    </w:rPr>
                    <w:t>20%</w:t>
                  </w:r>
                </w:p>
              </w:tc>
            </w:tr>
            <w:tr w14:paraId="57247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066" w:type="dxa"/>
                  <w:vMerge w:val="continue"/>
                  <w:vAlign w:val="center"/>
                </w:tcPr>
                <w:p w14:paraId="61EF6262">
                  <w:pPr>
                    <w:jc w:val="center"/>
                    <w:rPr>
                      <w:b/>
                      <w:bCs/>
                      <w:color w:val="000000"/>
                      <w:kern w:val="0"/>
                      <w:u w:val="single"/>
                    </w:rPr>
                  </w:pPr>
                </w:p>
              </w:tc>
              <w:tc>
                <w:tcPr>
                  <w:tcW w:w="2081" w:type="dxa"/>
                  <w:vAlign w:val="center"/>
                </w:tcPr>
                <w:p w14:paraId="5C843DD5">
                  <w:pPr>
                    <w:widowControl/>
                    <w:jc w:val="center"/>
                    <w:rPr>
                      <w:b/>
                      <w:bCs/>
                      <w:color w:val="000000"/>
                      <w:kern w:val="0"/>
                      <w:u w:val="single"/>
                    </w:rPr>
                  </w:pPr>
                  <w:r>
                    <w:rPr>
                      <w:rFonts w:hint="eastAsia"/>
                      <w:b/>
                      <w:bCs/>
                      <w:color w:val="000000"/>
                      <w:kern w:val="0"/>
                      <w:szCs w:val="21"/>
                      <w:u w:val="single"/>
                    </w:rPr>
                    <w:t>出水</w:t>
                  </w:r>
                </w:p>
              </w:tc>
              <w:tc>
                <w:tcPr>
                  <w:tcW w:w="993" w:type="dxa"/>
                  <w:vAlign w:val="center"/>
                </w:tcPr>
                <w:p w14:paraId="7C2DD119">
                  <w:pPr>
                    <w:adjustRightInd w:val="0"/>
                    <w:snapToGrid w:val="0"/>
                    <w:jc w:val="center"/>
                    <w:rPr>
                      <w:b/>
                      <w:szCs w:val="21"/>
                      <w:u w:val="single"/>
                    </w:rPr>
                  </w:pPr>
                  <w:r>
                    <w:rPr>
                      <w:rFonts w:hint="eastAsia"/>
                      <w:b/>
                      <w:szCs w:val="21"/>
                      <w:u w:val="single"/>
                    </w:rPr>
                    <w:t>29.416</w:t>
                  </w:r>
                </w:p>
              </w:tc>
              <w:tc>
                <w:tcPr>
                  <w:tcW w:w="992" w:type="dxa"/>
                  <w:vAlign w:val="center"/>
                </w:tcPr>
                <w:p w14:paraId="6B583822">
                  <w:pPr>
                    <w:jc w:val="center"/>
                    <w:rPr>
                      <w:b/>
                      <w:color w:val="000000"/>
                      <w:szCs w:val="21"/>
                      <w:u w:val="single"/>
                    </w:rPr>
                  </w:pPr>
                  <w:r>
                    <w:rPr>
                      <w:b/>
                      <w:color w:val="000000"/>
                      <w:szCs w:val="21"/>
                      <w:u w:val="single"/>
                    </w:rPr>
                    <w:t>375</w:t>
                  </w:r>
                </w:p>
              </w:tc>
              <w:tc>
                <w:tcPr>
                  <w:tcW w:w="992" w:type="dxa"/>
                  <w:vAlign w:val="center"/>
                </w:tcPr>
                <w:p w14:paraId="152E0551">
                  <w:pPr>
                    <w:jc w:val="center"/>
                    <w:rPr>
                      <w:b/>
                      <w:color w:val="000000"/>
                      <w:szCs w:val="21"/>
                      <w:u w:val="single"/>
                    </w:rPr>
                  </w:pPr>
                  <w:r>
                    <w:rPr>
                      <w:b/>
                      <w:color w:val="000000"/>
                      <w:szCs w:val="21"/>
                      <w:u w:val="single"/>
                    </w:rPr>
                    <w:t>112.5</w:t>
                  </w:r>
                </w:p>
              </w:tc>
              <w:tc>
                <w:tcPr>
                  <w:tcW w:w="851" w:type="dxa"/>
                  <w:vAlign w:val="center"/>
                </w:tcPr>
                <w:p w14:paraId="2AB8DB4F">
                  <w:pPr>
                    <w:jc w:val="center"/>
                    <w:rPr>
                      <w:b/>
                      <w:color w:val="000000"/>
                      <w:szCs w:val="21"/>
                      <w:u w:val="single"/>
                    </w:rPr>
                  </w:pPr>
                  <w:r>
                    <w:rPr>
                      <w:b/>
                      <w:color w:val="000000"/>
                      <w:szCs w:val="21"/>
                      <w:u w:val="single"/>
                    </w:rPr>
                    <w:t>10.5</w:t>
                  </w:r>
                </w:p>
              </w:tc>
              <w:tc>
                <w:tcPr>
                  <w:tcW w:w="992" w:type="dxa"/>
                  <w:vAlign w:val="center"/>
                </w:tcPr>
                <w:p w14:paraId="257E2FD1">
                  <w:pPr>
                    <w:jc w:val="center"/>
                    <w:rPr>
                      <w:b/>
                      <w:color w:val="000000"/>
                      <w:szCs w:val="21"/>
                      <w:u w:val="single"/>
                    </w:rPr>
                  </w:pPr>
                  <w:r>
                    <w:rPr>
                      <w:b/>
                      <w:color w:val="000000"/>
                      <w:szCs w:val="21"/>
                      <w:u w:val="single"/>
                    </w:rPr>
                    <w:t>5</w:t>
                  </w:r>
                </w:p>
              </w:tc>
              <w:tc>
                <w:tcPr>
                  <w:tcW w:w="832" w:type="dxa"/>
                  <w:vAlign w:val="center"/>
                </w:tcPr>
                <w:p w14:paraId="3A5FB854">
                  <w:pPr>
                    <w:jc w:val="center"/>
                    <w:rPr>
                      <w:b/>
                      <w:color w:val="000000"/>
                      <w:szCs w:val="21"/>
                      <w:u w:val="single"/>
                    </w:rPr>
                  </w:pPr>
                  <w:r>
                    <w:rPr>
                      <w:b/>
                      <w:color w:val="000000"/>
                      <w:szCs w:val="21"/>
                      <w:u w:val="single"/>
                    </w:rPr>
                    <w:t>240</w:t>
                  </w:r>
                </w:p>
              </w:tc>
            </w:tr>
            <w:tr w14:paraId="05582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066" w:type="dxa"/>
                  <w:vMerge w:val="restart"/>
                  <w:vAlign w:val="center"/>
                </w:tcPr>
                <w:p w14:paraId="580D3097">
                  <w:pPr>
                    <w:jc w:val="center"/>
                    <w:rPr>
                      <w:b/>
                      <w:bCs/>
                      <w:color w:val="000000"/>
                      <w:kern w:val="0"/>
                      <w:u w:val="single"/>
                    </w:rPr>
                  </w:pPr>
                  <w:r>
                    <w:rPr>
                      <w:rFonts w:hint="eastAsia"/>
                      <w:b/>
                      <w:bCs/>
                      <w:color w:val="000000"/>
                      <w:kern w:val="0"/>
                      <w:u w:val="single"/>
                    </w:rPr>
                    <w:t>沉淀</w:t>
                  </w:r>
                </w:p>
              </w:tc>
              <w:tc>
                <w:tcPr>
                  <w:tcW w:w="2081" w:type="dxa"/>
                  <w:vAlign w:val="center"/>
                </w:tcPr>
                <w:p w14:paraId="7CF82941">
                  <w:pPr>
                    <w:widowControl/>
                    <w:jc w:val="center"/>
                    <w:rPr>
                      <w:b/>
                      <w:bCs/>
                      <w:color w:val="000000"/>
                      <w:kern w:val="0"/>
                      <w:u w:val="single"/>
                    </w:rPr>
                  </w:pPr>
                  <w:r>
                    <w:rPr>
                      <w:rFonts w:hAnsi="宋体"/>
                      <w:b/>
                      <w:bCs/>
                      <w:color w:val="000000"/>
                      <w:kern w:val="0"/>
                      <w:szCs w:val="21"/>
                      <w:u w:val="single"/>
                    </w:rPr>
                    <w:t>去除效率</w:t>
                  </w:r>
                </w:p>
              </w:tc>
              <w:tc>
                <w:tcPr>
                  <w:tcW w:w="993" w:type="dxa"/>
                  <w:vAlign w:val="center"/>
                </w:tcPr>
                <w:p w14:paraId="019F5A46">
                  <w:pPr>
                    <w:adjustRightInd w:val="0"/>
                    <w:snapToGrid w:val="0"/>
                    <w:jc w:val="center"/>
                    <w:rPr>
                      <w:b/>
                      <w:szCs w:val="21"/>
                      <w:u w:val="single"/>
                    </w:rPr>
                  </w:pPr>
                  <w:r>
                    <w:rPr>
                      <w:rFonts w:hint="eastAsia"/>
                      <w:b/>
                      <w:szCs w:val="21"/>
                      <w:u w:val="single"/>
                    </w:rPr>
                    <w:t>/</w:t>
                  </w:r>
                </w:p>
              </w:tc>
              <w:tc>
                <w:tcPr>
                  <w:tcW w:w="992" w:type="dxa"/>
                  <w:vAlign w:val="center"/>
                </w:tcPr>
                <w:p w14:paraId="0F3A2C1C">
                  <w:pPr>
                    <w:jc w:val="center"/>
                    <w:rPr>
                      <w:b/>
                      <w:color w:val="000000"/>
                      <w:szCs w:val="21"/>
                      <w:u w:val="single"/>
                    </w:rPr>
                  </w:pPr>
                  <w:r>
                    <w:rPr>
                      <w:rFonts w:hint="eastAsia"/>
                      <w:b/>
                      <w:color w:val="000000"/>
                      <w:szCs w:val="21"/>
                      <w:u w:val="single"/>
                    </w:rPr>
                    <w:t>/</w:t>
                  </w:r>
                </w:p>
              </w:tc>
              <w:tc>
                <w:tcPr>
                  <w:tcW w:w="992" w:type="dxa"/>
                  <w:vAlign w:val="center"/>
                </w:tcPr>
                <w:p w14:paraId="0B71D3D5">
                  <w:pPr>
                    <w:jc w:val="center"/>
                    <w:rPr>
                      <w:b/>
                      <w:color w:val="000000"/>
                      <w:szCs w:val="21"/>
                      <w:u w:val="single"/>
                    </w:rPr>
                  </w:pPr>
                  <w:r>
                    <w:rPr>
                      <w:rFonts w:hint="eastAsia"/>
                      <w:b/>
                      <w:color w:val="000000"/>
                      <w:szCs w:val="21"/>
                      <w:u w:val="single"/>
                    </w:rPr>
                    <w:t>/</w:t>
                  </w:r>
                </w:p>
              </w:tc>
              <w:tc>
                <w:tcPr>
                  <w:tcW w:w="851" w:type="dxa"/>
                  <w:vAlign w:val="center"/>
                </w:tcPr>
                <w:p w14:paraId="0E8392B8">
                  <w:pPr>
                    <w:jc w:val="center"/>
                    <w:rPr>
                      <w:b/>
                      <w:color w:val="000000"/>
                      <w:szCs w:val="21"/>
                      <w:u w:val="single"/>
                    </w:rPr>
                  </w:pPr>
                  <w:r>
                    <w:rPr>
                      <w:rFonts w:hint="eastAsia"/>
                      <w:b/>
                      <w:color w:val="000000"/>
                      <w:szCs w:val="21"/>
                      <w:u w:val="single"/>
                    </w:rPr>
                    <w:t>/</w:t>
                  </w:r>
                </w:p>
              </w:tc>
              <w:tc>
                <w:tcPr>
                  <w:tcW w:w="992" w:type="dxa"/>
                  <w:vAlign w:val="center"/>
                </w:tcPr>
                <w:p w14:paraId="491AD46A">
                  <w:pPr>
                    <w:jc w:val="center"/>
                    <w:rPr>
                      <w:b/>
                      <w:color w:val="000000"/>
                      <w:szCs w:val="21"/>
                      <w:u w:val="single"/>
                    </w:rPr>
                  </w:pPr>
                  <w:r>
                    <w:rPr>
                      <w:rFonts w:hint="eastAsia"/>
                      <w:b/>
                      <w:color w:val="000000"/>
                      <w:szCs w:val="21"/>
                      <w:u w:val="single"/>
                    </w:rPr>
                    <w:t>/</w:t>
                  </w:r>
                </w:p>
              </w:tc>
              <w:tc>
                <w:tcPr>
                  <w:tcW w:w="832" w:type="dxa"/>
                  <w:vAlign w:val="center"/>
                </w:tcPr>
                <w:p w14:paraId="357BD163">
                  <w:pPr>
                    <w:jc w:val="center"/>
                    <w:rPr>
                      <w:b/>
                      <w:color w:val="000000"/>
                      <w:szCs w:val="21"/>
                      <w:u w:val="single"/>
                    </w:rPr>
                  </w:pPr>
                  <w:r>
                    <w:rPr>
                      <w:b/>
                      <w:color w:val="000000"/>
                      <w:szCs w:val="21"/>
                      <w:u w:val="single"/>
                    </w:rPr>
                    <w:t>20%</w:t>
                  </w:r>
                </w:p>
              </w:tc>
            </w:tr>
            <w:tr w14:paraId="6A78D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066" w:type="dxa"/>
                  <w:vMerge w:val="continue"/>
                  <w:vAlign w:val="center"/>
                </w:tcPr>
                <w:p w14:paraId="11E001F6">
                  <w:pPr>
                    <w:jc w:val="center"/>
                    <w:rPr>
                      <w:b/>
                      <w:bCs/>
                      <w:color w:val="000000"/>
                      <w:kern w:val="0"/>
                      <w:u w:val="single"/>
                    </w:rPr>
                  </w:pPr>
                </w:p>
              </w:tc>
              <w:tc>
                <w:tcPr>
                  <w:tcW w:w="2081" w:type="dxa"/>
                  <w:vAlign w:val="center"/>
                </w:tcPr>
                <w:p w14:paraId="128EA4E9">
                  <w:pPr>
                    <w:widowControl/>
                    <w:jc w:val="center"/>
                    <w:rPr>
                      <w:b/>
                      <w:bCs/>
                      <w:color w:val="000000"/>
                      <w:kern w:val="0"/>
                      <w:u w:val="single"/>
                    </w:rPr>
                  </w:pPr>
                  <w:r>
                    <w:rPr>
                      <w:rFonts w:hint="eastAsia"/>
                      <w:b/>
                      <w:bCs/>
                      <w:color w:val="000000"/>
                      <w:kern w:val="0"/>
                      <w:szCs w:val="21"/>
                      <w:u w:val="single"/>
                    </w:rPr>
                    <w:t>出水</w:t>
                  </w:r>
                </w:p>
              </w:tc>
              <w:tc>
                <w:tcPr>
                  <w:tcW w:w="993" w:type="dxa"/>
                  <w:vAlign w:val="center"/>
                </w:tcPr>
                <w:p w14:paraId="2F5FA7A1">
                  <w:pPr>
                    <w:adjustRightInd w:val="0"/>
                    <w:snapToGrid w:val="0"/>
                    <w:jc w:val="center"/>
                    <w:rPr>
                      <w:b/>
                      <w:szCs w:val="21"/>
                      <w:u w:val="single"/>
                    </w:rPr>
                  </w:pPr>
                  <w:r>
                    <w:rPr>
                      <w:rFonts w:hint="eastAsia"/>
                      <w:b/>
                      <w:szCs w:val="21"/>
                      <w:u w:val="single"/>
                    </w:rPr>
                    <w:t>29.416</w:t>
                  </w:r>
                </w:p>
              </w:tc>
              <w:tc>
                <w:tcPr>
                  <w:tcW w:w="992" w:type="dxa"/>
                  <w:vAlign w:val="center"/>
                </w:tcPr>
                <w:p w14:paraId="5DD008D8">
                  <w:pPr>
                    <w:jc w:val="center"/>
                    <w:rPr>
                      <w:b/>
                      <w:color w:val="000000"/>
                      <w:szCs w:val="21"/>
                      <w:u w:val="single"/>
                    </w:rPr>
                  </w:pPr>
                  <w:r>
                    <w:rPr>
                      <w:b/>
                      <w:color w:val="000000"/>
                      <w:szCs w:val="21"/>
                      <w:u w:val="single"/>
                    </w:rPr>
                    <w:t>375</w:t>
                  </w:r>
                </w:p>
              </w:tc>
              <w:tc>
                <w:tcPr>
                  <w:tcW w:w="992" w:type="dxa"/>
                  <w:vAlign w:val="center"/>
                </w:tcPr>
                <w:p w14:paraId="2850566A">
                  <w:pPr>
                    <w:jc w:val="center"/>
                    <w:rPr>
                      <w:b/>
                      <w:color w:val="000000"/>
                      <w:szCs w:val="21"/>
                      <w:u w:val="single"/>
                    </w:rPr>
                  </w:pPr>
                  <w:r>
                    <w:rPr>
                      <w:b/>
                      <w:color w:val="000000"/>
                      <w:szCs w:val="21"/>
                      <w:u w:val="single"/>
                    </w:rPr>
                    <w:t>112.5</w:t>
                  </w:r>
                </w:p>
              </w:tc>
              <w:tc>
                <w:tcPr>
                  <w:tcW w:w="851" w:type="dxa"/>
                  <w:vAlign w:val="center"/>
                </w:tcPr>
                <w:p w14:paraId="7FD50F38">
                  <w:pPr>
                    <w:jc w:val="center"/>
                    <w:rPr>
                      <w:b/>
                      <w:color w:val="000000"/>
                      <w:szCs w:val="21"/>
                      <w:u w:val="single"/>
                    </w:rPr>
                  </w:pPr>
                  <w:r>
                    <w:rPr>
                      <w:b/>
                      <w:color w:val="000000"/>
                      <w:szCs w:val="21"/>
                      <w:u w:val="single"/>
                    </w:rPr>
                    <w:t>10.5</w:t>
                  </w:r>
                </w:p>
              </w:tc>
              <w:tc>
                <w:tcPr>
                  <w:tcW w:w="992" w:type="dxa"/>
                  <w:vAlign w:val="center"/>
                </w:tcPr>
                <w:p w14:paraId="1984BB14">
                  <w:pPr>
                    <w:jc w:val="center"/>
                    <w:rPr>
                      <w:b/>
                      <w:color w:val="000000"/>
                      <w:szCs w:val="21"/>
                      <w:u w:val="single"/>
                    </w:rPr>
                  </w:pPr>
                  <w:r>
                    <w:rPr>
                      <w:b/>
                      <w:color w:val="000000"/>
                      <w:szCs w:val="21"/>
                      <w:u w:val="single"/>
                    </w:rPr>
                    <w:t>2</w:t>
                  </w:r>
                </w:p>
              </w:tc>
              <w:tc>
                <w:tcPr>
                  <w:tcW w:w="832" w:type="dxa"/>
                  <w:vAlign w:val="center"/>
                </w:tcPr>
                <w:p w14:paraId="2CE0E9BF">
                  <w:pPr>
                    <w:jc w:val="center"/>
                    <w:rPr>
                      <w:b/>
                      <w:color w:val="000000"/>
                      <w:szCs w:val="21"/>
                      <w:u w:val="single"/>
                    </w:rPr>
                  </w:pPr>
                  <w:r>
                    <w:rPr>
                      <w:b/>
                      <w:color w:val="000000"/>
                      <w:szCs w:val="21"/>
                      <w:u w:val="single"/>
                    </w:rPr>
                    <w:t>192</w:t>
                  </w:r>
                </w:p>
              </w:tc>
            </w:tr>
            <w:tr w14:paraId="41762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47" w:type="dxa"/>
                  <w:gridSpan w:val="2"/>
                  <w:vAlign w:val="center"/>
                </w:tcPr>
                <w:p w14:paraId="09E8F7B0">
                  <w:pPr>
                    <w:widowControl/>
                    <w:jc w:val="center"/>
                    <w:rPr>
                      <w:rFonts w:hAnsi="宋体"/>
                      <w:b/>
                      <w:bCs/>
                      <w:color w:val="000000"/>
                      <w:kern w:val="0"/>
                      <w:szCs w:val="21"/>
                      <w:u w:val="single"/>
                    </w:rPr>
                  </w:pPr>
                  <w:r>
                    <w:rPr>
                      <w:rFonts w:hint="eastAsia" w:hAnsi="宋体"/>
                      <w:b/>
                      <w:bCs/>
                      <w:color w:val="000000"/>
                      <w:kern w:val="0"/>
                      <w:szCs w:val="21"/>
                      <w:u w:val="single"/>
                    </w:rPr>
                    <w:t>《污水综合排放标准》（GB8978-1996）表4三级标准及</w:t>
                  </w:r>
                  <w:r>
                    <w:rPr>
                      <w:rFonts w:hint="eastAsia"/>
                      <w:b/>
                      <w:szCs w:val="21"/>
                      <w:u w:val="single"/>
                    </w:rPr>
                    <w:t>民权县北关镇污水处理厂收水水质（参照《污水综合排放标准》（GB8978-1996）其他排污单位）</w:t>
                  </w:r>
                </w:p>
              </w:tc>
              <w:tc>
                <w:tcPr>
                  <w:tcW w:w="993" w:type="dxa"/>
                  <w:vAlign w:val="center"/>
                </w:tcPr>
                <w:p w14:paraId="7146C9AF">
                  <w:pPr>
                    <w:adjustRightInd w:val="0"/>
                    <w:snapToGrid w:val="0"/>
                    <w:jc w:val="center"/>
                    <w:rPr>
                      <w:b/>
                      <w:szCs w:val="21"/>
                      <w:u w:val="single"/>
                    </w:rPr>
                  </w:pPr>
                  <w:r>
                    <w:rPr>
                      <w:rFonts w:hint="eastAsia"/>
                      <w:b/>
                      <w:szCs w:val="21"/>
                      <w:u w:val="single"/>
                    </w:rPr>
                    <w:t>/</w:t>
                  </w:r>
                </w:p>
              </w:tc>
              <w:tc>
                <w:tcPr>
                  <w:tcW w:w="992" w:type="dxa"/>
                  <w:vAlign w:val="center"/>
                </w:tcPr>
                <w:p w14:paraId="1946A5D7">
                  <w:pPr>
                    <w:pStyle w:val="70"/>
                    <w:spacing w:line="240" w:lineRule="auto"/>
                    <w:ind w:firstLine="0" w:firstLineChars="0"/>
                    <w:jc w:val="center"/>
                    <w:rPr>
                      <w:b/>
                      <w:bCs/>
                      <w:sz w:val="21"/>
                      <w:szCs w:val="21"/>
                      <w:u w:val="single"/>
                    </w:rPr>
                  </w:pPr>
                  <w:r>
                    <w:rPr>
                      <w:b/>
                      <w:bCs/>
                      <w:sz w:val="21"/>
                      <w:szCs w:val="21"/>
                      <w:u w:val="single"/>
                    </w:rPr>
                    <w:t>500</w:t>
                  </w:r>
                </w:p>
              </w:tc>
              <w:tc>
                <w:tcPr>
                  <w:tcW w:w="992" w:type="dxa"/>
                  <w:vAlign w:val="center"/>
                </w:tcPr>
                <w:p w14:paraId="6D2C4EEA">
                  <w:pPr>
                    <w:pStyle w:val="70"/>
                    <w:spacing w:line="240" w:lineRule="auto"/>
                    <w:ind w:firstLine="0" w:firstLineChars="0"/>
                    <w:jc w:val="center"/>
                    <w:rPr>
                      <w:b/>
                      <w:bCs/>
                      <w:sz w:val="21"/>
                      <w:szCs w:val="21"/>
                      <w:u w:val="single"/>
                    </w:rPr>
                  </w:pPr>
                  <w:r>
                    <w:rPr>
                      <w:b/>
                      <w:bCs/>
                      <w:sz w:val="21"/>
                      <w:szCs w:val="21"/>
                      <w:u w:val="single"/>
                    </w:rPr>
                    <w:t>300</w:t>
                  </w:r>
                </w:p>
              </w:tc>
              <w:tc>
                <w:tcPr>
                  <w:tcW w:w="851" w:type="dxa"/>
                  <w:vAlign w:val="center"/>
                </w:tcPr>
                <w:p w14:paraId="4D876617">
                  <w:pPr>
                    <w:jc w:val="center"/>
                    <w:rPr>
                      <w:b/>
                      <w:color w:val="000000"/>
                      <w:szCs w:val="22"/>
                      <w:u w:val="single"/>
                    </w:rPr>
                  </w:pPr>
                  <w:r>
                    <w:rPr>
                      <w:rFonts w:hint="eastAsia"/>
                      <w:b/>
                      <w:bCs/>
                      <w:color w:val="000000"/>
                      <w:kern w:val="0"/>
                      <w:szCs w:val="21"/>
                      <w:u w:val="single"/>
                    </w:rPr>
                    <w:t>/</w:t>
                  </w:r>
                </w:p>
              </w:tc>
              <w:tc>
                <w:tcPr>
                  <w:tcW w:w="992" w:type="dxa"/>
                  <w:vAlign w:val="center"/>
                </w:tcPr>
                <w:p w14:paraId="5BE56C52">
                  <w:pPr>
                    <w:jc w:val="center"/>
                    <w:rPr>
                      <w:b/>
                      <w:bCs/>
                      <w:color w:val="000000"/>
                      <w:kern w:val="0"/>
                      <w:u w:val="single"/>
                    </w:rPr>
                  </w:pPr>
                  <w:r>
                    <w:rPr>
                      <w:rFonts w:hint="eastAsia"/>
                      <w:b/>
                      <w:bCs/>
                      <w:color w:val="000000"/>
                      <w:kern w:val="0"/>
                      <w:szCs w:val="21"/>
                      <w:u w:val="single"/>
                    </w:rPr>
                    <w:t>100</w:t>
                  </w:r>
                </w:p>
              </w:tc>
              <w:tc>
                <w:tcPr>
                  <w:tcW w:w="832" w:type="dxa"/>
                  <w:vAlign w:val="center"/>
                </w:tcPr>
                <w:p w14:paraId="6B0302DC">
                  <w:pPr>
                    <w:widowControl/>
                    <w:jc w:val="center"/>
                    <w:rPr>
                      <w:b/>
                      <w:color w:val="000000"/>
                      <w:szCs w:val="22"/>
                      <w:u w:val="single"/>
                    </w:rPr>
                  </w:pPr>
                  <w:r>
                    <w:rPr>
                      <w:rFonts w:hint="eastAsia"/>
                      <w:b/>
                      <w:bCs/>
                      <w:color w:val="000000"/>
                      <w:kern w:val="0"/>
                      <w:szCs w:val="21"/>
                      <w:u w:val="single"/>
                    </w:rPr>
                    <w:t>400</w:t>
                  </w:r>
                </w:p>
              </w:tc>
            </w:tr>
          </w:tbl>
          <w:p w14:paraId="61F80BA7">
            <w:pPr>
              <w:pStyle w:val="11"/>
              <w:adjustRightInd w:val="0"/>
              <w:snapToGrid w:val="0"/>
              <w:spacing w:line="360" w:lineRule="auto"/>
              <w:ind w:firstLine="482"/>
              <w:rPr>
                <w:b/>
                <w:color w:val="000000"/>
                <w:sz w:val="24"/>
                <w:u w:val="single"/>
              </w:rPr>
            </w:pPr>
            <w:r>
              <w:rPr>
                <w:rFonts w:hint="eastAsia"/>
                <w:b/>
                <w:color w:val="000000"/>
                <w:sz w:val="24"/>
                <w:u w:val="single"/>
              </w:rPr>
              <w:t>由上表可知，项目生产废水经厂区污水处理站处理后，排放水质可满足《污水综合排放标准》（GB8978-1996）三级标准，且满足民权县北关镇污水处理厂进水指标（</w:t>
            </w:r>
            <w:r>
              <w:rPr>
                <w:rFonts w:hint="eastAsia"/>
                <w:b/>
                <w:sz w:val="24"/>
                <w:u w:val="single"/>
              </w:rPr>
              <w:t>参照</w:t>
            </w:r>
            <w:r>
              <w:rPr>
                <w:b/>
                <w:sz w:val="24"/>
                <w:u w:val="single"/>
              </w:rPr>
              <w:t>《污水综合排放标准》（GB8978-1996）</w:t>
            </w:r>
            <w:r>
              <w:rPr>
                <w:rFonts w:hint="eastAsia"/>
                <w:b/>
                <w:sz w:val="24"/>
                <w:u w:val="single"/>
              </w:rPr>
              <w:t>其他排污单位）</w:t>
            </w:r>
            <w:r>
              <w:rPr>
                <w:rFonts w:hint="eastAsia"/>
                <w:b/>
                <w:color w:val="000000"/>
                <w:sz w:val="24"/>
                <w:u w:val="single"/>
              </w:rPr>
              <w:t>要求。</w:t>
            </w:r>
          </w:p>
          <w:p w14:paraId="10112340">
            <w:pPr>
              <w:pStyle w:val="11"/>
              <w:adjustRightInd w:val="0"/>
              <w:snapToGrid w:val="0"/>
              <w:spacing w:line="360" w:lineRule="auto"/>
              <w:ind w:firstLine="480"/>
              <w:rPr>
                <w:rFonts w:hAnsi="宋体"/>
                <w:bCs w:val="0"/>
                <w:color w:val="000000"/>
                <w:kern w:val="0"/>
                <w:sz w:val="24"/>
              </w:rPr>
            </w:pPr>
            <w:r>
              <w:rPr>
                <w:rFonts w:hint="eastAsia"/>
                <w:color w:val="000000"/>
                <w:sz w:val="24"/>
              </w:rPr>
              <w:t>（4）生产废水</w:t>
            </w:r>
            <w:r>
              <w:rPr>
                <w:rFonts w:hint="eastAsia"/>
                <w:sz w:val="24"/>
              </w:rPr>
              <w:t>依托北关镇污水处理厂可行性分析</w:t>
            </w:r>
          </w:p>
          <w:p w14:paraId="69B4611B">
            <w:pPr>
              <w:spacing w:line="360" w:lineRule="auto"/>
              <w:ind w:firstLine="480" w:firstLineChars="200"/>
              <w:rPr>
                <w:sz w:val="24"/>
              </w:rPr>
            </w:pPr>
            <w:r>
              <w:rPr>
                <w:rFonts w:hint="eastAsia"/>
                <w:sz w:val="24"/>
              </w:rPr>
              <w:t>民权县北关镇污水处理厂位于民权县北关镇刘楼村西侧，该污水处理厂已于2018年8月建成，并正常运行，处理规模为500m</w:t>
            </w:r>
            <w:r>
              <w:rPr>
                <w:rFonts w:hint="eastAsia"/>
                <w:sz w:val="24"/>
                <w:vertAlign w:val="superscript"/>
              </w:rPr>
              <w:t>3</w:t>
            </w:r>
            <w:r>
              <w:rPr>
                <w:rFonts w:hint="eastAsia"/>
                <w:sz w:val="24"/>
              </w:rPr>
              <w:t>/d，处理工艺为预处理+生物接触氧化+人工湿地，处理后废水主要用于农田灌溉和回用，部分废水经过处理达标准后排放到环境中，</w:t>
            </w:r>
            <w:r>
              <w:rPr>
                <w:sz w:val="24"/>
              </w:rPr>
              <w:t>排放执行</w:t>
            </w:r>
            <w:r>
              <w:rPr>
                <w:rFonts w:hint="eastAsia"/>
                <w:sz w:val="24"/>
              </w:rPr>
              <w:t>《城镇污水处理厂污染物排放标准》（GB18918-2002）一级A标准。根据现场调查，本项目厂区目前收水管网尚未接通，建设单位与民权县北关镇污水处理厂运营单位民权县洁农水务有限公司签订了污水外运处理协议（见附件八），项目废水通过罐车运至北关镇污水处理厂处理，</w:t>
            </w:r>
            <w:r>
              <w:rPr>
                <w:sz w:val="24"/>
              </w:rPr>
              <w:t>同时评价要求企业及污水处理厂之间建立废水送出台账</w:t>
            </w:r>
            <w:r>
              <w:rPr>
                <w:rFonts w:hint="eastAsia"/>
                <w:sz w:val="24"/>
              </w:rPr>
              <w:t>、</w:t>
            </w:r>
            <w:r>
              <w:rPr>
                <w:sz w:val="24"/>
              </w:rPr>
              <w:t>接收台账以及每次运输废水的接纳证明，确保废水</w:t>
            </w:r>
            <w:r>
              <w:rPr>
                <w:rFonts w:hint="eastAsia"/>
                <w:sz w:val="24"/>
              </w:rPr>
              <w:t>去向合理</w:t>
            </w:r>
            <w:r>
              <w:rPr>
                <w:sz w:val="24"/>
              </w:rPr>
              <w:t>、合规</w:t>
            </w:r>
            <w:r>
              <w:rPr>
                <w:rFonts w:hint="eastAsia"/>
                <w:sz w:val="24"/>
              </w:rPr>
              <w:t>。</w:t>
            </w:r>
          </w:p>
          <w:p w14:paraId="4645232E">
            <w:pPr>
              <w:spacing w:line="360" w:lineRule="auto"/>
              <w:ind w:firstLine="480" w:firstLineChars="200"/>
              <w:rPr>
                <w:sz w:val="24"/>
              </w:rPr>
            </w:pPr>
            <w:r>
              <w:rPr>
                <w:rFonts w:hint="eastAsia"/>
                <w:sz w:val="24"/>
              </w:rPr>
              <w:t>项目生产废水量为29.416</w:t>
            </w:r>
            <w:r>
              <w:rPr>
                <w:rFonts w:hint="eastAsia" w:hAnsi="宋体"/>
                <w:sz w:val="24"/>
                <w:lang w:val="en-GB"/>
              </w:rPr>
              <w:t>m</w:t>
            </w:r>
            <w:r>
              <w:rPr>
                <w:rFonts w:hint="eastAsia" w:hAnsi="宋体"/>
                <w:sz w:val="24"/>
                <w:vertAlign w:val="superscript"/>
                <w:lang w:val="en-GB"/>
              </w:rPr>
              <w:t>3</w:t>
            </w:r>
            <w:r>
              <w:rPr>
                <w:rFonts w:hint="eastAsia" w:hAnsi="宋体"/>
                <w:sz w:val="24"/>
                <w:lang w:val="en-GB"/>
              </w:rPr>
              <w:t>/d</w:t>
            </w:r>
            <w:r>
              <w:rPr>
                <w:rFonts w:hint="eastAsia" w:hAnsi="宋体"/>
                <w:sz w:val="24"/>
              </w:rPr>
              <w:t>，</w:t>
            </w:r>
            <w:r>
              <w:rPr>
                <w:rFonts w:hint="eastAsia"/>
                <w:sz w:val="24"/>
              </w:rPr>
              <w:t>占污水处理厂处理水量的比例较小，且项目废水水质较为简单，经厂区污水处理站处理后，废水污染物浓度满足北关镇污水处理厂收水水质要求（参照</w:t>
            </w:r>
            <w:r>
              <w:rPr>
                <w:sz w:val="24"/>
              </w:rPr>
              <w:t>《污水综合排放标准》（GB8978-1996）</w:t>
            </w:r>
            <w:r>
              <w:rPr>
                <w:rFonts w:hint="eastAsia"/>
                <w:sz w:val="24"/>
              </w:rPr>
              <w:t>其他排污单位，其中COD≤500mg/L、BOD</w:t>
            </w:r>
            <w:r>
              <w:rPr>
                <w:rFonts w:hint="eastAsia"/>
                <w:sz w:val="24"/>
                <w:vertAlign w:val="subscript"/>
              </w:rPr>
              <w:t>5</w:t>
            </w:r>
            <w:r>
              <w:rPr>
                <w:rFonts w:hint="eastAsia"/>
                <w:sz w:val="24"/>
              </w:rPr>
              <w:t>≤300mg/L、SS≤400mg/L、动植物油≤100mg/L），项目废水进入北关镇污水处理厂不会对其水量水质造成较大影响，因此本项目废水进入北关镇污水处理厂处理是可行的。</w:t>
            </w:r>
          </w:p>
          <w:p w14:paraId="6E057C2C">
            <w:pPr>
              <w:pStyle w:val="16"/>
              <w:autoSpaceDE w:val="0"/>
              <w:spacing w:after="0" w:line="360" w:lineRule="auto"/>
              <w:ind w:left="0" w:leftChars="0" w:firstLine="480" w:firstLineChars="200"/>
              <w:rPr>
                <w:kern w:val="2"/>
                <w:szCs w:val="24"/>
              </w:rPr>
            </w:pPr>
            <w:r>
              <w:rPr>
                <w:rFonts w:hint="eastAsia"/>
                <w:kern w:val="2"/>
                <w:szCs w:val="24"/>
              </w:rPr>
              <w:t>综上，本项目产生的废水不会对周边地表水环境造成影响。</w:t>
            </w:r>
          </w:p>
          <w:p w14:paraId="464BF9C9">
            <w:pPr>
              <w:spacing w:line="360" w:lineRule="auto"/>
              <w:ind w:firstLine="482" w:firstLineChars="200"/>
              <w:jc w:val="left"/>
              <w:rPr>
                <w:b/>
                <w:bCs/>
                <w:sz w:val="24"/>
              </w:rPr>
            </w:pPr>
            <w:r>
              <w:rPr>
                <w:rFonts w:hint="eastAsia"/>
                <w:b/>
                <w:bCs/>
                <w:sz w:val="24"/>
              </w:rPr>
              <w:t>2.4废水排放信息</w:t>
            </w:r>
          </w:p>
          <w:p w14:paraId="625EEAF9">
            <w:pPr>
              <w:spacing w:line="360" w:lineRule="auto"/>
              <w:ind w:firstLine="480" w:firstLineChars="200"/>
              <w:jc w:val="left"/>
              <w:rPr>
                <w:bCs/>
                <w:sz w:val="24"/>
              </w:rPr>
            </w:pPr>
            <w:r>
              <w:rPr>
                <w:rFonts w:hint="eastAsia"/>
                <w:bCs/>
                <w:sz w:val="24"/>
              </w:rPr>
              <w:t>（1）</w:t>
            </w:r>
            <w:r>
              <w:rPr>
                <w:bCs/>
                <w:kern w:val="0"/>
                <w:sz w:val="24"/>
              </w:rPr>
              <w:t>废水污染物排放信息</w:t>
            </w:r>
          </w:p>
          <w:p w14:paraId="42EF4F42">
            <w:pPr>
              <w:widowControl/>
              <w:adjustRightInd w:val="0"/>
              <w:snapToGrid w:val="0"/>
              <w:spacing w:line="360" w:lineRule="auto"/>
              <w:ind w:firstLine="480" w:firstLineChars="200"/>
              <w:jc w:val="left"/>
              <w:rPr>
                <w:bCs/>
                <w:kern w:val="0"/>
                <w:sz w:val="24"/>
              </w:rPr>
            </w:pPr>
            <w:r>
              <w:rPr>
                <w:kern w:val="0"/>
                <w:sz w:val="24"/>
              </w:rPr>
              <w:t>项目</w:t>
            </w:r>
            <w:r>
              <w:rPr>
                <w:bCs/>
                <w:kern w:val="0"/>
                <w:sz w:val="24"/>
              </w:rPr>
              <w:t>废水污染物排放信息表如下。</w:t>
            </w:r>
          </w:p>
          <w:p w14:paraId="6EDB84A4">
            <w:pPr>
              <w:widowControl/>
              <w:adjustRightInd w:val="0"/>
              <w:snapToGrid w:val="0"/>
              <w:jc w:val="center"/>
              <w:rPr>
                <w:b/>
                <w:kern w:val="0"/>
                <w:sz w:val="24"/>
                <w:szCs w:val="32"/>
              </w:rPr>
            </w:pPr>
            <w:r>
              <w:rPr>
                <w:rFonts w:hint="eastAsia"/>
                <w:b/>
                <w:kern w:val="0"/>
                <w:sz w:val="24"/>
                <w:szCs w:val="32"/>
              </w:rPr>
              <w:t>表23   废水类别、污染物及污染治理设施信息表</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163"/>
              <w:gridCol w:w="992"/>
              <w:gridCol w:w="992"/>
              <w:gridCol w:w="567"/>
              <w:gridCol w:w="851"/>
              <w:gridCol w:w="992"/>
              <w:gridCol w:w="992"/>
              <w:gridCol w:w="709"/>
              <w:gridCol w:w="851"/>
              <w:gridCol w:w="685"/>
            </w:tblGrid>
            <w:tr w14:paraId="692EC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163" w:type="dxa"/>
                  <w:vMerge w:val="restart"/>
                  <w:vAlign w:val="center"/>
                </w:tcPr>
                <w:p w14:paraId="4FB52E20">
                  <w:pPr>
                    <w:adjustRightInd w:val="0"/>
                    <w:snapToGrid w:val="0"/>
                    <w:jc w:val="center"/>
                    <w:rPr>
                      <w:bCs/>
                      <w:szCs w:val="21"/>
                    </w:rPr>
                  </w:pPr>
                  <w:r>
                    <w:rPr>
                      <w:rFonts w:hint="eastAsia"/>
                      <w:bCs/>
                      <w:szCs w:val="21"/>
                    </w:rPr>
                    <w:t>废水类别</w:t>
                  </w:r>
                </w:p>
              </w:tc>
              <w:tc>
                <w:tcPr>
                  <w:tcW w:w="992" w:type="dxa"/>
                  <w:vMerge w:val="restart"/>
                  <w:vAlign w:val="center"/>
                </w:tcPr>
                <w:p w14:paraId="4B66353A">
                  <w:pPr>
                    <w:adjustRightInd w:val="0"/>
                    <w:snapToGrid w:val="0"/>
                    <w:jc w:val="center"/>
                    <w:rPr>
                      <w:bCs/>
                      <w:snapToGrid w:val="0"/>
                      <w:kern w:val="0"/>
                      <w:szCs w:val="21"/>
                    </w:rPr>
                  </w:pPr>
                  <w:r>
                    <w:rPr>
                      <w:bCs/>
                      <w:snapToGrid w:val="0"/>
                      <w:kern w:val="0"/>
                      <w:szCs w:val="21"/>
                    </w:rPr>
                    <w:t>污染物</w:t>
                  </w:r>
                </w:p>
                <w:p w14:paraId="42FB0F81">
                  <w:pPr>
                    <w:adjustRightInd w:val="0"/>
                    <w:snapToGrid w:val="0"/>
                    <w:jc w:val="center"/>
                    <w:rPr>
                      <w:bCs/>
                      <w:szCs w:val="21"/>
                    </w:rPr>
                  </w:pPr>
                  <w:r>
                    <w:rPr>
                      <w:bCs/>
                      <w:snapToGrid w:val="0"/>
                      <w:kern w:val="0"/>
                      <w:szCs w:val="21"/>
                    </w:rPr>
                    <w:t>种类</w:t>
                  </w:r>
                </w:p>
              </w:tc>
              <w:tc>
                <w:tcPr>
                  <w:tcW w:w="992" w:type="dxa"/>
                  <w:vMerge w:val="restart"/>
                  <w:vAlign w:val="center"/>
                </w:tcPr>
                <w:p w14:paraId="145B1E4D">
                  <w:pPr>
                    <w:widowControl/>
                    <w:adjustRightInd w:val="0"/>
                    <w:snapToGrid w:val="0"/>
                    <w:jc w:val="center"/>
                    <w:rPr>
                      <w:bCs/>
                      <w:snapToGrid w:val="0"/>
                      <w:kern w:val="0"/>
                      <w:szCs w:val="21"/>
                    </w:rPr>
                  </w:pPr>
                  <w:r>
                    <w:rPr>
                      <w:bCs/>
                      <w:snapToGrid w:val="0"/>
                      <w:kern w:val="0"/>
                      <w:szCs w:val="21"/>
                    </w:rPr>
                    <w:t>排放</w:t>
                  </w:r>
                </w:p>
                <w:p w14:paraId="18ACCA64">
                  <w:pPr>
                    <w:adjustRightInd w:val="0"/>
                    <w:snapToGrid w:val="0"/>
                    <w:jc w:val="center"/>
                    <w:rPr>
                      <w:bCs/>
                      <w:szCs w:val="21"/>
                    </w:rPr>
                  </w:pPr>
                  <w:r>
                    <w:rPr>
                      <w:bCs/>
                      <w:snapToGrid w:val="0"/>
                      <w:kern w:val="0"/>
                      <w:szCs w:val="21"/>
                    </w:rPr>
                    <w:t>去向</w:t>
                  </w:r>
                </w:p>
              </w:tc>
              <w:tc>
                <w:tcPr>
                  <w:tcW w:w="567" w:type="dxa"/>
                  <w:vMerge w:val="restart"/>
                  <w:vAlign w:val="center"/>
                </w:tcPr>
                <w:p w14:paraId="12578990">
                  <w:pPr>
                    <w:adjustRightInd w:val="0"/>
                    <w:snapToGrid w:val="0"/>
                    <w:jc w:val="center"/>
                    <w:rPr>
                      <w:bCs/>
                      <w:szCs w:val="21"/>
                    </w:rPr>
                  </w:pPr>
                  <w:r>
                    <w:rPr>
                      <w:bCs/>
                      <w:snapToGrid w:val="0"/>
                      <w:kern w:val="0"/>
                      <w:szCs w:val="21"/>
                    </w:rPr>
                    <w:t>排放规律</w:t>
                  </w:r>
                </w:p>
              </w:tc>
              <w:tc>
                <w:tcPr>
                  <w:tcW w:w="2835" w:type="dxa"/>
                  <w:gridSpan w:val="3"/>
                  <w:vAlign w:val="center"/>
                </w:tcPr>
                <w:p w14:paraId="120AA4B5">
                  <w:pPr>
                    <w:adjustRightInd w:val="0"/>
                    <w:snapToGrid w:val="0"/>
                    <w:jc w:val="center"/>
                    <w:rPr>
                      <w:bCs/>
                      <w:szCs w:val="21"/>
                    </w:rPr>
                  </w:pPr>
                  <w:r>
                    <w:rPr>
                      <w:kern w:val="0"/>
                      <w:szCs w:val="21"/>
                    </w:rPr>
                    <w:t>污染治理设施</w:t>
                  </w:r>
                </w:p>
              </w:tc>
              <w:tc>
                <w:tcPr>
                  <w:tcW w:w="709" w:type="dxa"/>
                  <w:vMerge w:val="restart"/>
                  <w:vAlign w:val="center"/>
                </w:tcPr>
                <w:p w14:paraId="0E67A3CE">
                  <w:pPr>
                    <w:autoSpaceDE w:val="0"/>
                    <w:autoSpaceDN w:val="0"/>
                    <w:adjustRightInd w:val="0"/>
                    <w:jc w:val="center"/>
                    <w:rPr>
                      <w:kern w:val="0"/>
                      <w:szCs w:val="21"/>
                    </w:rPr>
                  </w:pPr>
                  <w:r>
                    <w:rPr>
                      <w:rFonts w:hint="eastAsia"/>
                      <w:kern w:val="0"/>
                      <w:szCs w:val="21"/>
                    </w:rPr>
                    <w:t>排放口</w:t>
                  </w:r>
                </w:p>
                <w:p w14:paraId="23E6C910">
                  <w:pPr>
                    <w:adjustRightInd w:val="0"/>
                    <w:snapToGrid w:val="0"/>
                    <w:jc w:val="center"/>
                    <w:rPr>
                      <w:bCs/>
                      <w:snapToGrid w:val="0"/>
                      <w:kern w:val="0"/>
                      <w:szCs w:val="21"/>
                    </w:rPr>
                  </w:pPr>
                  <w:r>
                    <w:rPr>
                      <w:kern w:val="0"/>
                      <w:szCs w:val="21"/>
                    </w:rPr>
                    <w:t>编号</w:t>
                  </w:r>
                </w:p>
              </w:tc>
              <w:tc>
                <w:tcPr>
                  <w:tcW w:w="851" w:type="dxa"/>
                  <w:vMerge w:val="restart"/>
                  <w:vAlign w:val="center"/>
                </w:tcPr>
                <w:p w14:paraId="7061F313">
                  <w:pPr>
                    <w:autoSpaceDE w:val="0"/>
                    <w:autoSpaceDN w:val="0"/>
                    <w:adjustRightInd w:val="0"/>
                    <w:jc w:val="center"/>
                    <w:rPr>
                      <w:bCs/>
                      <w:snapToGrid w:val="0"/>
                      <w:kern w:val="0"/>
                      <w:szCs w:val="21"/>
                    </w:rPr>
                  </w:pPr>
                  <w:r>
                    <w:rPr>
                      <w:rFonts w:hint="eastAsia"/>
                      <w:kern w:val="0"/>
                      <w:szCs w:val="21"/>
                    </w:rPr>
                    <w:t>排放口</w:t>
                  </w:r>
                  <w:r>
                    <w:rPr>
                      <w:kern w:val="0"/>
                      <w:szCs w:val="21"/>
                    </w:rPr>
                    <w:t>设置是否符合要求</w:t>
                  </w:r>
                </w:p>
              </w:tc>
              <w:tc>
                <w:tcPr>
                  <w:tcW w:w="685" w:type="dxa"/>
                  <w:vMerge w:val="restart"/>
                  <w:vAlign w:val="center"/>
                </w:tcPr>
                <w:p w14:paraId="1122177B">
                  <w:pPr>
                    <w:autoSpaceDE w:val="0"/>
                    <w:autoSpaceDN w:val="0"/>
                    <w:adjustRightInd w:val="0"/>
                    <w:jc w:val="center"/>
                    <w:rPr>
                      <w:bCs/>
                      <w:snapToGrid w:val="0"/>
                      <w:kern w:val="0"/>
                      <w:szCs w:val="21"/>
                    </w:rPr>
                  </w:pPr>
                  <w:r>
                    <w:rPr>
                      <w:rFonts w:hint="eastAsia"/>
                      <w:kern w:val="0"/>
                      <w:szCs w:val="21"/>
                    </w:rPr>
                    <w:t>排放口</w:t>
                  </w:r>
                  <w:r>
                    <w:rPr>
                      <w:kern w:val="0"/>
                      <w:szCs w:val="21"/>
                    </w:rPr>
                    <w:t>类型</w:t>
                  </w:r>
                </w:p>
              </w:tc>
            </w:tr>
            <w:tr w14:paraId="3E989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163" w:type="dxa"/>
                  <w:vMerge w:val="continue"/>
                  <w:vAlign w:val="center"/>
                </w:tcPr>
                <w:p w14:paraId="4665E97C">
                  <w:pPr>
                    <w:widowControl/>
                    <w:adjustRightInd w:val="0"/>
                    <w:snapToGrid w:val="0"/>
                    <w:jc w:val="center"/>
                    <w:rPr>
                      <w:bCs/>
                      <w:snapToGrid w:val="0"/>
                      <w:kern w:val="0"/>
                      <w:szCs w:val="21"/>
                    </w:rPr>
                  </w:pPr>
                </w:p>
              </w:tc>
              <w:tc>
                <w:tcPr>
                  <w:tcW w:w="992" w:type="dxa"/>
                  <w:vMerge w:val="continue"/>
                  <w:vAlign w:val="center"/>
                </w:tcPr>
                <w:p w14:paraId="5F4FD773">
                  <w:pPr>
                    <w:widowControl/>
                    <w:adjustRightInd w:val="0"/>
                    <w:snapToGrid w:val="0"/>
                    <w:jc w:val="center"/>
                    <w:rPr>
                      <w:bCs/>
                      <w:snapToGrid w:val="0"/>
                      <w:kern w:val="0"/>
                      <w:szCs w:val="21"/>
                    </w:rPr>
                  </w:pPr>
                </w:p>
              </w:tc>
              <w:tc>
                <w:tcPr>
                  <w:tcW w:w="992" w:type="dxa"/>
                  <w:vMerge w:val="continue"/>
                  <w:vAlign w:val="center"/>
                </w:tcPr>
                <w:p w14:paraId="1D0AB056">
                  <w:pPr>
                    <w:adjustRightInd w:val="0"/>
                    <w:snapToGrid w:val="0"/>
                    <w:jc w:val="center"/>
                    <w:rPr>
                      <w:bCs/>
                      <w:szCs w:val="21"/>
                    </w:rPr>
                  </w:pPr>
                </w:p>
              </w:tc>
              <w:tc>
                <w:tcPr>
                  <w:tcW w:w="567" w:type="dxa"/>
                  <w:vMerge w:val="continue"/>
                  <w:vAlign w:val="center"/>
                </w:tcPr>
                <w:p w14:paraId="62B1F8E1">
                  <w:pPr>
                    <w:adjustRightInd w:val="0"/>
                    <w:snapToGrid w:val="0"/>
                    <w:jc w:val="center"/>
                    <w:rPr>
                      <w:bCs/>
                      <w:szCs w:val="21"/>
                    </w:rPr>
                  </w:pPr>
                </w:p>
              </w:tc>
              <w:tc>
                <w:tcPr>
                  <w:tcW w:w="851" w:type="dxa"/>
                  <w:vAlign w:val="center"/>
                </w:tcPr>
                <w:p w14:paraId="4FF2797F">
                  <w:pPr>
                    <w:widowControl/>
                    <w:adjustRightInd w:val="0"/>
                    <w:snapToGrid w:val="0"/>
                    <w:jc w:val="center"/>
                    <w:rPr>
                      <w:bCs/>
                      <w:snapToGrid w:val="0"/>
                      <w:kern w:val="0"/>
                      <w:szCs w:val="21"/>
                    </w:rPr>
                  </w:pPr>
                  <w:r>
                    <w:rPr>
                      <w:bCs/>
                      <w:snapToGrid w:val="0"/>
                      <w:kern w:val="0"/>
                      <w:szCs w:val="21"/>
                    </w:rPr>
                    <w:t>污染治理设施编号</w:t>
                  </w:r>
                </w:p>
              </w:tc>
              <w:tc>
                <w:tcPr>
                  <w:tcW w:w="992" w:type="dxa"/>
                  <w:vAlign w:val="center"/>
                </w:tcPr>
                <w:p w14:paraId="58FEC2B5">
                  <w:pPr>
                    <w:autoSpaceDE w:val="0"/>
                    <w:autoSpaceDN w:val="0"/>
                    <w:adjustRightInd w:val="0"/>
                    <w:jc w:val="center"/>
                    <w:rPr>
                      <w:kern w:val="0"/>
                      <w:szCs w:val="21"/>
                    </w:rPr>
                  </w:pPr>
                  <w:r>
                    <w:rPr>
                      <w:kern w:val="0"/>
                      <w:szCs w:val="21"/>
                    </w:rPr>
                    <w:t>污染治理设施名称</w:t>
                  </w:r>
                </w:p>
              </w:tc>
              <w:tc>
                <w:tcPr>
                  <w:tcW w:w="992" w:type="dxa"/>
                  <w:vAlign w:val="center"/>
                </w:tcPr>
                <w:p w14:paraId="13A962F2">
                  <w:pPr>
                    <w:autoSpaceDE w:val="0"/>
                    <w:autoSpaceDN w:val="0"/>
                    <w:adjustRightInd w:val="0"/>
                    <w:jc w:val="center"/>
                    <w:rPr>
                      <w:kern w:val="0"/>
                      <w:szCs w:val="21"/>
                    </w:rPr>
                  </w:pPr>
                  <w:r>
                    <w:rPr>
                      <w:kern w:val="0"/>
                      <w:szCs w:val="21"/>
                    </w:rPr>
                    <w:t>污染治理设施工艺</w:t>
                  </w:r>
                </w:p>
              </w:tc>
              <w:tc>
                <w:tcPr>
                  <w:tcW w:w="709" w:type="dxa"/>
                  <w:vMerge w:val="continue"/>
                  <w:vAlign w:val="center"/>
                </w:tcPr>
                <w:p w14:paraId="37D03519">
                  <w:pPr>
                    <w:adjustRightInd w:val="0"/>
                    <w:snapToGrid w:val="0"/>
                    <w:jc w:val="center"/>
                    <w:rPr>
                      <w:bCs/>
                      <w:szCs w:val="21"/>
                    </w:rPr>
                  </w:pPr>
                </w:p>
              </w:tc>
              <w:tc>
                <w:tcPr>
                  <w:tcW w:w="851" w:type="dxa"/>
                  <w:vMerge w:val="continue"/>
                  <w:vAlign w:val="center"/>
                </w:tcPr>
                <w:p w14:paraId="2C22516D">
                  <w:pPr>
                    <w:adjustRightInd w:val="0"/>
                    <w:snapToGrid w:val="0"/>
                    <w:jc w:val="center"/>
                    <w:rPr>
                      <w:bCs/>
                      <w:szCs w:val="21"/>
                    </w:rPr>
                  </w:pPr>
                </w:p>
              </w:tc>
              <w:tc>
                <w:tcPr>
                  <w:tcW w:w="685" w:type="dxa"/>
                  <w:vMerge w:val="continue"/>
                  <w:vAlign w:val="center"/>
                </w:tcPr>
                <w:p w14:paraId="07725230">
                  <w:pPr>
                    <w:adjustRightInd w:val="0"/>
                    <w:snapToGrid w:val="0"/>
                    <w:jc w:val="center"/>
                    <w:rPr>
                      <w:bCs/>
                      <w:szCs w:val="21"/>
                    </w:rPr>
                  </w:pPr>
                </w:p>
              </w:tc>
            </w:tr>
            <w:tr w14:paraId="1256D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88" w:hRule="atLeast"/>
              </w:trPr>
              <w:tc>
                <w:tcPr>
                  <w:tcW w:w="1163" w:type="dxa"/>
                  <w:vAlign w:val="center"/>
                </w:tcPr>
                <w:p w14:paraId="4BEAD0BE">
                  <w:pPr>
                    <w:widowControl/>
                    <w:adjustRightInd w:val="0"/>
                    <w:snapToGrid w:val="0"/>
                    <w:jc w:val="center"/>
                    <w:rPr>
                      <w:bCs/>
                      <w:snapToGrid w:val="0"/>
                      <w:kern w:val="0"/>
                      <w:szCs w:val="21"/>
                    </w:rPr>
                  </w:pPr>
                  <w:r>
                    <w:rPr>
                      <w:rFonts w:hint="eastAsia"/>
                      <w:bCs/>
                      <w:snapToGrid w:val="0"/>
                      <w:kern w:val="0"/>
                      <w:szCs w:val="21"/>
                    </w:rPr>
                    <w:t>生产废水</w:t>
                  </w:r>
                </w:p>
              </w:tc>
              <w:tc>
                <w:tcPr>
                  <w:tcW w:w="992" w:type="dxa"/>
                  <w:vAlign w:val="center"/>
                </w:tcPr>
                <w:p w14:paraId="7D5F44BE">
                  <w:pPr>
                    <w:widowControl/>
                    <w:adjustRightInd w:val="0"/>
                    <w:snapToGrid w:val="0"/>
                    <w:jc w:val="center"/>
                    <w:rPr>
                      <w:bCs/>
                      <w:snapToGrid w:val="0"/>
                      <w:kern w:val="0"/>
                      <w:szCs w:val="21"/>
                    </w:rPr>
                  </w:pPr>
                  <w:r>
                    <w:rPr>
                      <w:bCs/>
                      <w:snapToGrid w:val="0"/>
                      <w:kern w:val="0"/>
                      <w:szCs w:val="21"/>
                    </w:rPr>
                    <w:t>COD、BOD</w:t>
                  </w:r>
                  <w:r>
                    <w:rPr>
                      <w:bCs/>
                      <w:snapToGrid w:val="0"/>
                      <w:kern w:val="0"/>
                      <w:szCs w:val="21"/>
                      <w:vertAlign w:val="subscript"/>
                    </w:rPr>
                    <w:t>5</w:t>
                  </w:r>
                  <w:r>
                    <w:rPr>
                      <w:bCs/>
                      <w:snapToGrid w:val="0"/>
                      <w:kern w:val="0"/>
                      <w:szCs w:val="21"/>
                    </w:rPr>
                    <w:t>、氨氮、SS</w:t>
                  </w:r>
                  <w:r>
                    <w:rPr>
                      <w:rFonts w:hint="eastAsia"/>
                      <w:bCs/>
                      <w:snapToGrid w:val="0"/>
                      <w:kern w:val="0"/>
                      <w:szCs w:val="21"/>
                    </w:rPr>
                    <w:t>、动植物油</w:t>
                  </w:r>
                </w:p>
              </w:tc>
              <w:tc>
                <w:tcPr>
                  <w:tcW w:w="992" w:type="dxa"/>
                  <w:vAlign w:val="center"/>
                </w:tcPr>
                <w:p w14:paraId="18BF9DC8">
                  <w:pPr>
                    <w:adjustRightInd w:val="0"/>
                    <w:snapToGrid w:val="0"/>
                    <w:jc w:val="center"/>
                    <w:rPr>
                      <w:bCs/>
                      <w:szCs w:val="21"/>
                    </w:rPr>
                  </w:pPr>
                  <w:r>
                    <w:rPr>
                      <w:rFonts w:hint="eastAsia"/>
                      <w:kern w:val="0"/>
                      <w:szCs w:val="21"/>
                    </w:rPr>
                    <w:t>由罐车运至北关镇污水处理厂处理</w:t>
                  </w:r>
                </w:p>
              </w:tc>
              <w:tc>
                <w:tcPr>
                  <w:tcW w:w="567" w:type="dxa"/>
                  <w:vAlign w:val="center"/>
                </w:tcPr>
                <w:p w14:paraId="1AD2ECBB">
                  <w:pPr>
                    <w:adjustRightInd w:val="0"/>
                    <w:snapToGrid w:val="0"/>
                    <w:jc w:val="center"/>
                    <w:rPr>
                      <w:bCs/>
                      <w:szCs w:val="21"/>
                    </w:rPr>
                  </w:pPr>
                  <w:r>
                    <w:rPr>
                      <w:spacing w:val="-10"/>
                      <w:kern w:val="0"/>
                      <w:szCs w:val="21"/>
                    </w:rPr>
                    <w:t>间断排放</w:t>
                  </w:r>
                </w:p>
              </w:tc>
              <w:tc>
                <w:tcPr>
                  <w:tcW w:w="851" w:type="dxa"/>
                  <w:vAlign w:val="center"/>
                </w:tcPr>
                <w:p w14:paraId="3A2D3A62">
                  <w:pPr>
                    <w:adjustRightInd w:val="0"/>
                    <w:snapToGrid w:val="0"/>
                    <w:jc w:val="center"/>
                    <w:rPr>
                      <w:bCs/>
                      <w:szCs w:val="21"/>
                    </w:rPr>
                  </w:pPr>
                  <w:r>
                    <w:rPr>
                      <w:szCs w:val="21"/>
                    </w:rPr>
                    <w:t>TW0</w:t>
                  </w:r>
                  <w:r>
                    <w:rPr>
                      <w:rFonts w:hint="eastAsia"/>
                      <w:szCs w:val="21"/>
                    </w:rPr>
                    <w:t>01</w:t>
                  </w:r>
                </w:p>
              </w:tc>
              <w:tc>
                <w:tcPr>
                  <w:tcW w:w="992" w:type="dxa"/>
                  <w:vAlign w:val="center"/>
                </w:tcPr>
                <w:p w14:paraId="62445406">
                  <w:pPr>
                    <w:adjustRightInd w:val="0"/>
                    <w:snapToGrid w:val="0"/>
                    <w:jc w:val="center"/>
                    <w:rPr>
                      <w:bCs/>
                      <w:szCs w:val="21"/>
                    </w:rPr>
                  </w:pPr>
                  <w:r>
                    <w:rPr>
                      <w:rFonts w:hint="eastAsia"/>
                      <w:bCs/>
                      <w:szCs w:val="21"/>
                    </w:rPr>
                    <w:t>污水处理站</w:t>
                  </w:r>
                </w:p>
              </w:tc>
              <w:tc>
                <w:tcPr>
                  <w:tcW w:w="992" w:type="dxa"/>
                  <w:vAlign w:val="center"/>
                </w:tcPr>
                <w:p w14:paraId="58DE5B8D">
                  <w:pPr>
                    <w:adjustRightInd w:val="0"/>
                    <w:snapToGrid w:val="0"/>
                    <w:jc w:val="center"/>
                    <w:rPr>
                      <w:bCs/>
                      <w:szCs w:val="21"/>
                    </w:rPr>
                  </w:pPr>
                  <w:r>
                    <w:rPr>
                      <w:kern w:val="0"/>
                      <w:szCs w:val="21"/>
                    </w:rPr>
                    <w:t>气浮+水解酸化+接触氧化+沉</w:t>
                  </w:r>
                  <w:r>
                    <w:rPr>
                      <w:rFonts w:hint="eastAsia"/>
                      <w:kern w:val="0"/>
                      <w:szCs w:val="21"/>
                    </w:rPr>
                    <w:t>淀</w:t>
                  </w:r>
                </w:p>
              </w:tc>
              <w:tc>
                <w:tcPr>
                  <w:tcW w:w="709" w:type="dxa"/>
                  <w:vAlign w:val="center"/>
                </w:tcPr>
                <w:p w14:paraId="6A3E734F">
                  <w:pPr>
                    <w:adjustRightInd w:val="0"/>
                    <w:snapToGrid w:val="0"/>
                    <w:jc w:val="center"/>
                    <w:rPr>
                      <w:bCs/>
                      <w:szCs w:val="21"/>
                    </w:rPr>
                  </w:pPr>
                  <w:r>
                    <w:rPr>
                      <w:rFonts w:hint="eastAsia"/>
                      <w:bCs/>
                      <w:szCs w:val="21"/>
                    </w:rPr>
                    <w:t>/</w:t>
                  </w:r>
                </w:p>
              </w:tc>
              <w:tc>
                <w:tcPr>
                  <w:tcW w:w="851" w:type="dxa"/>
                  <w:vAlign w:val="center"/>
                </w:tcPr>
                <w:p w14:paraId="6E1CF5AA">
                  <w:pPr>
                    <w:adjustRightInd w:val="0"/>
                    <w:snapToGrid w:val="0"/>
                    <w:jc w:val="center"/>
                    <w:rPr>
                      <w:bCs/>
                      <w:szCs w:val="21"/>
                    </w:rPr>
                  </w:pPr>
                  <w:r>
                    <w:rPr>
                      <w:rFonts w:hint="eastAsia"/>
                      <w:bCs/>
                      <w:szCs w:val="21"/>
                    </w:rPr>
                    <w:t>/</w:t>
                  </w:r>
                </w:p>
              </w:tc>
              <w:tc>
                <w:tcPr>
                  <w:tcW w:w="685" w:type="dxa"/>
                  <w:vAlign w:val="center"/>
                </w:tcPr>
                <w:p w14:paraId="12F4A29B">
                  <w:pPr>
                    <w:adjustRightInd w:val="0"/>
                    <w:snapToGrid w:val="0"/>
                    <w:jc w:val="center"/>
                    <w:rPr>
                      <w:bCs/>
                      <w:szCs w:val="21"/>
                    </w:rPr>
                  </w:pPr>
                  <w:r>
                    <w:rPr>
                      <w:rFonts w:hint="eastAsia"/>
                      <w:bCs/>
                      <w:szCs w:val="21"/>
                    </w:rPr>
                    <w:t>/</w:t>
                  </w:r>
                </w:p>
              </w:tc>
            </w:tr>
            <w:tr w14:paraId="6B03D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163" w:type="dxa"/>
                  <w:vAlign w:val="center"/>
                </w:tcPr>
                <w:p w14:paraId="7F0917FA">
                  <w:pPr>
                    <w:widowControl/>
                    <w:adjustRightInd w:val="0"/>
                    <w:snapToGrid w:val="0"/>
                    <w:jc w:val="center"/>
                    <w:rPr>
                      <w:bCs/>
                      <w:snapToGrid w:val="0"/>
                      <w:kern w:val="0"/>
                      <w:szCs w:val="21"/>
                    </w:rPr>
                  </w:pPr>
                  <w:r>
                    <w:rPr>
                      <w:rFonts w:hint="eastAsia"/>
                      <w:bCs/>
                      <w:snapToGrid w:val="0"/>
                      <w:kern w:val="0"/>
                      <w:szCs w:val="21"/>
                    </w:rPr>
                    <w:t>生活废水</w:t>
                  </w:r>
                </w:p>
              </w:tc>
              <w:tc>
                <w:tcPr>
                  <w:tcW w:w="992" w:type="dxa"/>
                  <w:vAlign w:val="center"/>
                </w:tcPr>
                <w:p w14:paraId="7D22786A">
                  <w:pPr>
                    <w:widowControl/>
                    <w:adjustRightInd w:val="0"/>
                    <w:snapToGrid w:val="0"/>
                    <w:jc w:val="center"/>
                    <w:rPr>
                      <w:bCs/>
                      <w:snapToGrid w:val="0"/>
                      <w:kern w:val="0"/>
                      <w:szCs w:val="21"/>
                    </w:rPr>
                  </w:pPr>
                  <w:r>
                    <w:rPr>
                      <w:bCs/>
                      <w:snapToGrid w:val="0"/>
                      <w:kern w:val="0"/>
                      <w:szCs w:val="21"/>
                    </w:rPr>
                    <w:t>COD、BOD</w:t>
                  </w:r>
                  <w:r>
                    <w:rPr>
                      <w:bCs/>
                      <w:snapToGrid w:val="0"/>
                      <w:kern w:val="0"/>
                      <w:szCs w:val="21"/>
                      <w:vertAlign w:val="subscript"/>
                    </w:rPr>
                    <w:t>5</w:t>
                  </w:r>
                  <w:r>
                    <w:rPr>
                      <w:bCs/>
                      <w:snapToGrid w:val="0"/>
                      <w:kern w:val="0"/>
                      <w:szCs w:val="21"/>
                    </w:rPr>
                    <w:t>、氨氮、SS</w:t>
                  </w:r>
                </w:p>
              </w:tc>
              <w:tc>
                <w:tcPr>
                  <w:tcW w:w="992" w:type="dxa"/>
                  <w:vAlign w:val="center"/>
                </w:tcPr>
                <w:p w14:paraId="797D1C6F">
                  <w:pPr>
                    <w:adjustRightInd w:val="0"/>
                    <w:snapToGrid w:val="0"/>
                    <w:jc w:val="center"/>
                    <w:rPr>
                      <w:bCs/>
                      <w:szCs w:val="21"/>
                    </w:rPr>
                  </w:pPr>
                  <w:r>
                    <w:rPr>
                      <w:rFonts w:hint="eastAsia"/>
                      <w:bCs/>
                      <w:szCs w:val="21"/>
                    </w:rPr>
                    <w:t>外运肥田</w:t>
                  </w:r>
                </w:p>
              </w:tc>
              <w:tc>
                <w:tcPr>
                  <w:tcW w:w="567" w:type="dxa"/>
                  <w:vAlign w:val="center"/>
                </w:tcPr>
                <w:p w14:paraId="466F9B42">
                  <w:pPr>
                    <w:adjustRightInd w:val="0"/>
                    <w:snapToGrid w:val="0"/>
                    <w:jc w:val="center"/>
                    <w:rPr>
                      <w:bCs/>
                      <w:szCs w:val="21"/>
                    </w:rPr>
                  </w:pPr>
                  <w:r>
                    <w:rPr>
                      <w:rFonts w:hint="eastAsia"/>
                      <w:bCs/>
                      <w:szCs w:val="21"/>
                    </w:rPr>
                    <w:t>/</w:t>
                  </w:r>
                </w:p>
              </w:tc>
              <w:tc>
                <w:tcPr>
                  <w:tcW w:w="851" w:type="dxa"/>
                  <w:vAlign w:val="center"/>
                </w:tcPr>
                <w:p w14:paraId="58CE3A60">
                  <w:pPr>
                    <w:widowControl/>
                    <w:adjustRightInd w:val="0"/>
                    <w:snapToGrid w:val="0"/>
                    <w:jc w:val="center"/>
                    <w:rPr>
                      <w:bCs/>
                      <w:snapToGrid w:val="0"/>
                      <w:kern w:val="0"/>
                      <w:szCs w:val="21"/>
                    </w:rPr>
                  </w:pPr>
                  <w:r>
                    <w:rPr>
                      <w:bCs/>
                      <w:snapToGrid w:val="0"/>
                      <w:kern w:val="0"/>
                      <w:szCs w:val="21"/>
                    </w:rPr>
                    <w:t>TW00</w:t>
                  </w:r>
                  <w:r>
                    <w:rPr>
                      <w:rFonts w:hint="eastAsia"/>
                      <w:bCs/>
                      <w:snapToGrid w:val="0"/>
                      <w:kern w:val="0"/>
                      <w:szCs w:val="21"/>
                    </w:rPr>
                    <w:t>2</w:t>
                  </w:r>
                </w:p>
              </w:tc>
              <w:tc>
                <w:tcPr>
                  <w:tcW w:w="992" w:type="dxa"/>
                  <w:vAlign w:val="center"/>
                </w:tcPr>
                <w:p w14:paraId="3645B4D1">
                  <w:pPr>
                    <w:autoSpaceDE w:val="0"/>
                    <w:autoSpaceDN w:val="0"/>
                    <w:adjustRightInd w:val="0"/>
                    <w:jc w:val="center"/>
                    <w:rPr>
                      <w:kern w:val="0"/>
                      <w:szCs w:val="21"/>
                    </w:rPr>
                  </w:pPr>
                  <w:r>
                    <w:rPr>
                      <w:rFonts w:hint="eastAsia"/>
                      <w:kern w:val="0"/>
                      <w:szCs w:val="21"/>
                    </w:rPr>
                    <w:t>化粪池</w:t>
                  </w:r>
                </w:p>
              </w:tc>
              <w:tc>
                <w:tcPr>
                  <w:tcW w:w="992" w:type="dxa"/>
                  <w:vAlign w:val="center"/>
                </w:tcPr>
                <w:p w14:paraId="67A1F57C">
                  <w:pPr>
                    <w:autoSpaceDE w:val="0"/>
                    <w:autoSpaceDN w:val="0"/>
                    <w:adjustRightInd w:val="0"/>
                    <w:jc w:val="center"/>
                    <w:rPr>
                      <w:rFonts w:eastAsia="TimesNewRomanPSMT"/>
                      <w:kern w:val="0"/>
                      <w:szCs w:val="21"/>
                    </w:rPr>
                  </w:pPr>
                  <w:r>
                    <w:rPr>
                      <w:rFonts w:hint="eastAsia"/>
                      <w:kern w:val="0"/>
                      <w:szCs w:val="21"/>
                    </w:rPr>
                    <w:t>化粪池</w:t>
                  </w:r>
                </w:p>
              </w:tc>
              <w:tc>
                <w:tcPr>
                  <w:tcW w:w="709" w:type="dxa"/>
                  <w:vAlign w:val="center"/>
                </w:tcPr>
                <w:p w14:paraId="0BAB1785">
                  <w:pPr>
                    <w:adjustRightInd w:val="0"/>
                    <w:snapToGrid w:val="0"/>
                    <w:jc w:val="center"/>
                    <w:rPr>
                      <w:bCs/>
                      <w:szCs w:val="21"/>
                    </w:rPr>
                  </w:pPr>
                  <w:r>
                    <w:rPr>
                      <w:rFonts w:hint="eastAsia"/>
                      <w:bCs/>
                      <w:szCs w:val="21"/>
                    </w:rPr>
                    <w:t>/</w:t>
                  </w:r>
                </w:p>
              </w:tc>
              <w:tc>
                <w:tcPr>
                  <w:tcW w:w="851" w:type="dxa"/>
                  <w:vAlign w:val="center"/>
                </w:tcPr>
                <w:p w14:paraId="55391B1B">
                  <w:pPr>
                    <w:adjustRightInd w:val="0"/>
                    <w:snapToGrid w:val="0"/>
                    <w:jc w:val="center"/>
                    <w:rPr>
                      <w:bCs/>
                      <w:szCs w:val="21"/>
                    </w:rPr>
                  </w:pPr>
                  <w:r>
                    <w:rPr>
                      <w:rFonts w:hint="eastAsia"/>
                      <w:bCs/>
                      <w:szCs w:val="21"/>
                    </w:rPr>
                    <w:t>/</w:t>
                  </w:r>
                </w:p>
              </w:tc>
              <w:tc>
                <w:tcPr>
                  <w:tcW w:w="685" w:type="dxa"/>
                  <w:vAlign w:val="center"/>
                </w:tcPr>
                <w:p w14:paraId="0A2F3800">
                  <w:pPr>
                    <w:adjustRightInd w:val="0"/>
                    <w:snapToGrid w:val="0"/>
                    <w:jc w:val="center"/>
                    <w:rPr>
                      <w:bCs/>
                      <w:szCs w:val="21"/>
                    </w:rPr>
                  </w:pPr>
                  <w:r>
                    <w:rPr>
                      <w:rFonts w:hint="eastAsia"/>
                      <w:bCs/>
                      <w:szCs w:val="21"/>
                    </w:rPr>
                    <w:t>/</w:t>
                  </w:r>
                </w:p>
              </w:tc>
            </w:tr>
            <w:tr w14:paraId="1F334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163" w:type="dxa"/>
                  <w:vAlign w:val="center"/>
                </w:tcPr>
                <w:p w14:paraId="734A3164">
                  <w:pPr>
                    <w:widowControl/>
                    <w:adjustRightInd w:val="0"/>
                    <w:snapToGrid w:val="0"/>
                    <w:jc w:val="center"/>
                    <w:rPr>
                      <w:bCs/>
                      <w:snapToGrid w:val="0"/>
                      <w:kern w:val="0"/>
                      <w:szCs w:val="21"/>
                    </w:rPr>
                  </w:pPr>
                  <w:r>
                    <w:rPr>
                      <w:rFonts w:hint="eastAsia"/>
                      <w:bCs/>
                      <w:snapToGrid w:val="0"/>
                      <w:kern w:val="0"/>
                      <w:szCs w:val="21"/>
                    </w:rPr>
                    <w:t>循环冷却水系统排水</w:t>
                  </w:r>
                </w:p>
              </w:tc>
              <w:tc>
                <w:tcPr>
                  <w:tcW w:w="992" w:type="dxa"/>
                  <w:vAlign w:val="center"/>
                </w:tcPr>
                <w:p w14:paraId="0ED7CE7B">
                  <w:pPr>
                    <w:widowControl/>
                    <w:adjustRightInd w:val="0"/>
                    <w:snapToGrid w:val="0"/>
                    <w:jc w:val="center"/>
                    <w:rPr>
                      <w:bCs/>
                      <w:snapToGrid w:val="0"/>
                      <w:kern w:val="0"/>
                      <w:szCs w:val="21"/>
                    </w:rPr>
                  </w:pPr>
                  <w:r>
                    <w:rPr>
                      <w:bCs/>
                      <w:snapToGrid w:val="0"/>
                      <w:kern w:val="0"/>
                      <w:szCs w:val="21"/>
                    </w:rPr>
                    <w:t>COD、SS</w:t>
                  </w:r>
                </w:p>
              </w:tc>
              <w:tc>
                <w:tcPr>
                  <w:tcW w:w="992" w:type="dxa"/>
                  <w:shd w:val="clear" w:color="auto" w:fill="auto"/>
                  <w:vAlign w:val="center"/>
                </w:tcPr>
                <w:p w14:paraId="0283D508">
                  <w:pPr>
                    <w:adjustRightInd w:val="0"/>
                    <w:snapToGrid w:val="0"/>
                    <w:jc w:val="center"/>
                    <w:rPr>
                      <w:bCs/>
                      <w:szCs w:val="21"/>
                    </w:rPr>
                  </w:pPr>
                  <w:r>
                    <w:rPr>
                      <w:rFonts w:hint="eastAsia"/>
                      <w:bCs/>
                      <w:szCs w:val="21"/>
                    </w:rPr>
                    <w:t>厂区综合利用</w:t>
                  </w:r>
                </w:p>
              </w:tc>
              <w:tc>
                <w:tcPr>
                  <w:tcW w:w="567" w:type="dxa"/>
                  <w:vAlign w:val="center"/>
                </w:tcPr>
                <w:p w14:paraId="152F0C10">
                  <w:pPr>
                    <w:adjustRightInd w:val="0"/>
                    <w:snapToGrid w:val="0"/>
                    <w:jc w:val="center"/>
                    <w:rPr>
                      <w:bCs/>
                      <w:szCs w:val="21"/>
                    </w:rPr>
                  </w:pPr>
                  <w:r>
                    <w:rPr>
                      <w:rFonts w:hint="eastAsia"/>
                      <w:bCs/>
                      <w:szCs w:val="21"/>
                    </w:rPr>
                    <w:t>/</w:t>
                  </w:r>
                </w:p>
              </w:tc>
              <w:tc>
                <w:tcPr>
                  <w:tcW w:w="851" w:type="dxa"/>
                  <w:vAlign w:val="center"/>
                </w:tcPr>
                <w:p w14:paraId="0C0F8813">
                  <w:pPr>
                    <w:adjustRightInd w:val="0"/>
                    <w:snapToGrid w:val="0"/>
                    <w:jc w:val="center"/>
                    <w:rPr>
                      <w:bCs/>
                      <w:szCs w:val="21"/>
                    </w:rPr>
                  </w:pPr>
                  <w:r>
                    <w:rPr>
                      <w:rFonts w:hint="eastAsia"/>
                      <w:bCs/>
                      <w:szCs w:val="21"/>
                    </w:rPr>
                    <w:t>/</w:t>
                  </w:r>
                </w:p>
              </w:tc>
              <w:tc>
                <w:tcPr>
                  <w:tcW w:w="992" w:type="dxa"/>
                  <w:vAlign w:val="center"/>
                </w:tcPr>
                <w:p w14:paraId="5DB6DDF1">
                  <w:pPr>
                    <w:adjustRightInd w:val="0"/>
                    <w:snapToGrid w:val="0"/>
                    <w:jc w:val="center"/>
                    <w:rPr>
                      <w:bCs/>
                      <w:szCs w:val="21"/>
                    </w:rPr>
                  </w:pPr>
                  <w:r>
                    <w:rPr>
                      <w:rFonts w:hint="eastAsia"/>
                      <w:bCs/>
                      <w:szCs w:val="21"/>
                    </w:rPr>
                    <w:t>/</w:t>
                  </w:r>
                </w:p>
              </w:tc>
              <w:tc>
                <w:tcPr>
                  <w:tcW w:w="992" w:type="dxa"/>
                  <w:vAlign w:val="center"/>
                </w:tcPr>
                <w:p w14:paraId="58CCFAD5">
                  <w:pPr>
                    <w:adjustRightInd w:val="0"/>
                    <w:snapToGrid w:val="0"/>
                    <w:jc w:val="center"/>
                    <w:rPr>
                      <w:bCs/>
                      <w:szCs w:val="21"/>
                    </w:rPr>
                  </w:pPr>
                  <w:r>
                    <w:rPr>
                      <w:rFonts w:hint="eastAsia"/>
                      <w:bCs/>
                      <w:szCs w:val="21"/>
                    </w:rPr>
                    <w:t>/</w:t>
                  </w:r>
                </w:p>
              </w:tc>
              <w:tc>
                <w:tcPr>
                  <w:tcW w:w="709" w:type="dxa"/>
                  <w:vAlign w:val="center"/>
                </w:tcPr>
                <w:p w14:paraId="6F7B932F">
                  <w:pPr>
                    <w:adjustRightInd w:val="0"/>
                    <w:snapToGrid w:val="0"/>
                    <w:jc w:val="center"/>
                    <w:rPr>
                      <w:bCs/>
                      <w:szCs w:val="21"/>
                    </w:rPr>
                  </w:pPr>
                  <w:r>
                    <w:rPr>
                      <w:rFonts w:hint="eastAsia"/>
                      <w:bCs/>
                      <w:szCs w:val="21"/>
                    </w:rPr>
                    <w:t>/</w:t>
                  </w:r>
                </w:p>
              </w:tc>
              <w:tc>
                <w:tcPr>
                  <w:tcW w:w="851" w:type="dxa"/>
                  <w:vAlign w:val="center"/>
                </w:tcPr>
                <w:p w14:paraId="34797B5A">
                  <w:pPr>
                    <w:adjustRightInd w:val="0"/>
                    <w:snapToGrid w:val="0"/>
                    <w:jc w:val="center"/>
                    <w:rPr>
                      <w:bCs/>
                      <w:szCs w:val="21"/>
                    </w:rPr>
                  </w:pPr>
                  <w:r>
                    <w:rPr>
                      <w:rFonts w:hint="eastAsia"/>
                      <w:bCs/>
                      <w:szCs w:val="21"/>
                    </w:rPr>
                    <w:t>/</w:t>
                  </w:r>
                </w:p>
              </w:tc>
              <w:tc>
                <w:tcPr>
                  <w:tcW w:w="685" w:type="dxa"/>
                  <w:vAlign w:val="center"/>
                </w:tcPr>
                <w:p w14:paraId="13595695">
                  <w:pPr>
                    <w:adjustRightInd w:val="0"/>
                    <w:snapToGrid w:val="0"/>
                    <w:jc w:val="center"/>
                    <w:rPr>
                      <w:bCs/>
                      <w:szCs w:val="21"/>
                    </w:rPr>
                  </w:pPr>
                  <w:r>
                    <w:rPr>
                      <w:rFonts w:hint="eastAsia"/>
                      <w:bCs/>
                      <w:szCs w:val="21"/>
                    </w:rPr>
                    <w:t>/</w:t>
                  </w:r>
                </w:p>
              </w:tc>
            </w:tr>
          </w:tbl>
          <w:p w14:paraId="202D0E86">
            <w:pPr>
              <w:adjustRightInd w:val="0"/>
              <w:snapToGrid w:val="0"/>
              <w:spacing w:line="360" w:lineRule="auto"/>
              <w:ind w:firstLine="480" w:firstLineChars="200"/>
              <w:rPr>
                <w:sz w:val="24"/>
              </w:rPr>
            </w:pPr>
            <w:r>
              <w:rPr>
                <w:rFonts w:hint="eastAsia"/>
                <w:sz w:val="24"/>
              </w:rPr>
              <w:t>（2）监测要求</w:t>
            </w:r>
          </w:p>
          <w:p w14:paraId="05F21CAA">
            <w:pPr>
              <w:adjustRightInd w:val="0"/>
              <w:snapToGrid w:val="0"/>
              <w:spacing w:line="360" w:lineRule="auto"/>
              <w:ind w:firstLine="480" w:firstLineChars="200"/>
              <w:rPr>
                <w:bCs/>
                <w:color w:val="000000"/>
                <w:sz w:val="24"/>
              </w:rPr>
            </w:pPr>
            <w:r>
              <w:rPr>
                <w:rFonts w:hint="eastAsia"/>
                <w:bCs/>
                <w:color w:val="000000"/>
                <w:sz w:val="24"/>
              </w:rPr>
              <w:t>根据《排污单位自行监测技术指南 总则》（HJ819-2017）及《排污单位自行监测技术指南 农副食品加工业》（HJ986-2018），监测要求见下表。</w:t>
            </w:r>
          </w:p>
          <w:p w14:paraId="23B50EC0">
            <w:pPr>
              <w:adjustRightInd w:val="0"/>
              <w:snapToGrid w:val="0"/>
              <w:jc w:val="center"/>
              <w:rPr>
                <w:rFonts w:hAnsi="宋体"/>
                <w:b/>
                <w:sz w:val="24"/>
              </w:rPr>
            </w:pPr>
          </w:p>
          <w:p w14:paraId="00849108">
            <w:pPr>
              <w:adjustRightInd w:val="0"/>
              <w:snapToGrid w:val="0"/>
              <w:jc w:val="center"/>
              <w:rPr>
                <w:rFonts w:hAnsi="宋体"/>
                <w:b/>
                <w:sz w:val="24"/>
              </w:rPr>
            </w:pPr>
          </w:p>
          <w:p w14:paraId="4ECAAF02">
            <w:pPr>
              <w:adjustRightInd w:val="0"/>
              <w:snapToGrid w:val="0"/>
              <w:jc w:val="center"/>
              <w:rPr>
                <w:rFonts w:hAnsi="宋体"/>
                <w:b/>
                <w:sz w:val="24"/>
              </w:rPr>
            </w:pPr>
          </w:p>
          <w:p w14:paraId="70D02640">
            <w:pPr>
              <w:adjustRightInd w:val="0"/>
              <w:snapToGrid w:val="0"/>
              <w:jc w:val="center"/>
              <w:rPr>
                <w:b/>
                <w:sz w:val="24"/>
              </w:rPr>
            </w:pPr>
            <w:r>
              <w:rPr>
                <w:rFonts w:hAnsi="宋体"/>
                <w:b/>
                <w:sz w:val="24"/>
              </w:rPr>
              <w:t>表</w:t>
            </w:r>
            <w:r>
              <w:rPr>
                <w:rFonts w:hint="eastAsia"/>
                <w:b/>
                <w:sz w:val="24"/>
              </w:rPr>
              <w:t xml:space="preserve">24   </w:t>
            </w:r>
            <w:r>
              <w:rPr>
                <w:rFonts w:hAnsi="宋体"/>
                <w:b/>
                <w:sz w:val="24"/>
              </w:rPr>
              <w:t>项目营运期废水监测要求</w:t>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108" w:type="dxa"/>
                <w:bottom w:w="57" w:type="dxa"/>
                <w:right w:w="108" w:type="dxa"/>
              </w:tblCellMar>
            </w:tblPr>
            <w:tblGrid>
              <w:gridCol w:w="1307"/>
              <w:gridCol w:w="1843"/>
              <w:gridCol w:w="1272"/>
              <w:gridCol w:w="4377"/>
            </w:tblGrid>
            <w:tr w14:paraId="04FA9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283" w:hRule="atLeast"/>
                <w:jc w:val="center"/>
              </w:trPr>
              <w:tc>
                <w:tcPr>
                  <w:tcW w:w="743" w:type="pct"/>
                  <w:tcBorders>
                    <w:top w:val="single" w:color="auto" w:sz="4" w:space="0"/>
                    <w:left w:val="single" w:color="auto" w:sz="4" w:space="0"/>
                    <w:bottom w:val="single" w:color="auto" w:sz="4" w:space="0"/>
                    <w:right w:val="single" w:color="auto" w:sz="4" w:space="0"/>
                  </w:tcBorders>
                  <w:vAlign w:val="center"/>
                </w:tcPr>
                <w:p w14:paraId="332250F1">
                  <w:pPr>
                    <w:kinsoku w:val="0"/>
                    <w:overflowPunct w:val="0"/>
                    <w:autoSpaceDE w:val="0"/>
                    <w:autoSpaceDN w:val="0"/>
                    <w:adjustRightInd w:val="0"/>
                    <w:snapToGrid w:val="0"/>
                    <w:jc w:val="center"/>
                    <w:rPr>
                      <w:bCs/>
                    </w:rPr>
                  </w:pPr>
                  <w:r>
                    <w:rPr>
                      <w:bCs/>
                    </w:rPr>
                    <w:t>监测点位</w:t>
                  </w:r>
                </w:p>
              </w:tc>
              <w:tc>
                <w:tcPr>
                  <w:tcW w:w="1047" w:type="pct"/>
                  <w:tcBorders>
                    <w:top w:val="single" w:color="auto" w:sz="4" w:space="0"/>
                    <w:left w:val="single" w:color="auto" w:sz="4" w:space="0"/>
                    <w:bottom w:val="single" w:color="auto" w:sz="4" w:space="0"/>
                    <w:right w:val="single" w:color="auto" w:sz="4" w:space="0"/>
                  </w:tcBorders>
                  <w:vAlign w:val="center"/>
                </w:tcPr>
                <w:p w14:paraId="591931AF">
                  <w:pPr>
                    <w:kinsoku w:val="0"/>
                    <w:overflowPunct w:val="0"/>
                    <w:autoSpaceDE w:val="0"/>
                    <w:autoSpaceDN w:val="0"/>
                    <w:adjustRightInd w:val="0"/>
                    <w:snapToGrid w:val="0"/>
                    <w:jc w:val="center"/>
                    <w:rPr>
                      <w:bCs/>
                    </w:rPr>
                  </w:pPr>
                  <w:r>
                    <w:rPr>
                      <w:bCs/>
                    </w:rPr>
                    <w:t>监测因子</w:t>
                  </w:r>
                </w:p>
              </w:tc>
              <w:tc>
                <w:tcPr>
                  <w:tcW w:w="723" w:type="pct"/>
                  <w:tcBorders>
                    <w:top w:val="single" w:color="auto" w:sz="4" w:space="0"/>
                    <w:left w:val="single" w:color="auto" w:sz="4" w:space="0"/>
                    <w:bottom w:val="single" w:color="auto" w:sz="4" w:space="0"/>
                    <w:right w:val="single" w:color="auto" w:sz="4" w:space="0"/>
                  </w:tcBorders>
                  <w:vAlign w:val="center"/>
                </w:tcPr>
                <w:p w14:paraId="48EAC3F3">
                  <w:pPr>
                    <w:kinsoku w:val="0"/>
                    <w:overflowPunct w:val="0"/>
                    <w:autoSpaceDE w:val="0"/>
                    <w:autoSpaceDN w:val="0"/>
                    <w:adjustRightInd w:val="0"/>
                    <w:snapToGrid w:val="0"/>
                    <w:jc w:val="center"/>
                    <w:rPr>
                      <w:bCs/>
                    </w:rPr>
                  </w:pPr>
                  <w:r>
                    <w:rPr>
                      <w:color w:val="000000"/>
                      <w:szCs w:val="21"/>
                    </w:rPr>
                    <w:t>监测频次</w:t>
                  </w:r>
                </w:p>
              </w:tc>
              <w:tc>
                <w:tcPr>
                  <w:tcW w:w="2487" w:type="pct"/>
                  <w:tcBorders>
                    <w:top w:val="single" w:color="auto" w:sz="4" w:space="0"/>
                    <w:left w:val="single" w:color="auto" w:sz="4" w:space="0"/>
                    <w:bottom w:val="single" w:color="auto" w:sz="4" w:space="0"/>
                    <w:right w:val="single" w:color="auto" w:sz="4" w:space="0"/>
                  </w:tcBorders>
                  <w:vAlign w:val="center"/>
                </w:tcPr>
                <w:p w14:paraId="22A17EC9">
                  <w:pPr>
                    <w:kinsoku w:val="0"/>
                    <w:overflowPunct w:val="0"/>
                    <w:autoSpaceDE w:val="0"/>
                    <w:autoSpaceDN w:val="0"/>
                    <w:adjustRightInd w:val="0"/>
                    <w:snapToGrid w:val="0"/>
                    <w:jc w:val="center"/>
                    <w:rPr>
                      <w:bCs/>
                    </w:rPr>
                  </w:pPr>
                  <w:r>
                    <w:rPr>
                      <w:bCs/>
                    </w:rPr>
                    <w:t>执行标准</w:t>
                  </w:r>
                </w:p>
              </w:tc>
            </w:tr>
            <w:tr w14:paraId="1D183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283" w:hRule="atLeast"/>
                <w:jc w:val="center"/>
              </w:trPr>
              <w:tc>
                <w:tcPr>
                  <w:tcW w:w="743" w:type="pct"/>
                  <w:tcBorders>
                    <w:top w:val="single" w:color="auto" w:sz="4" w:space="0"/>
                    <w:left w:val="single" w:color="auto" w:sz="4" w:space="0"/>
                    <w:bottom w:val="single" w:color="auto" w:sz="4" w:space="0"/>
                    <w:right w:val="single" w:color="auto" w:sz="4" w:space="0"/>
                  </w:tcBorders>
                  <w:vAlign w:val="center"/>
                </w:tcPr>
                <w:p w14:paraId="14E2010B">
                  <w:pPr>
                    <w:kinsoku w:val="0"/>
                    <w:overflowPunct w:val="0"/>
                    <w:autoSpaceDE w:val="0"/>
                    <w:autoSpaceDN w:val="0"/>
                    <w:adjustRightInd w:val="0"/>
                    <w:snapToGrid w:val="0"/>
                    <w:jc w:val="center"/>
                  </w:pPr>
                  <w:r>
                    <w:rPr>
                      <w:bCs/>
                      <w:color w:val="000000"/>
                      <w:szCs w:val="21"/>
                    </w:rPr>
                    <w:t>厂区污水处理站出水口</w:t>
                  </w:r>
                </w:p>
              </w:tc>
              <w:tc>
                <w:tcPr>
                  <w:tcW w:w="1047" w:type="pct"/>
                  <w:tcBorders>
                    <w:top w:val="single" w:color="auto" w:sz="4" w:space="0"/>
                    <w:left w:val="single" w:color="auto" w:sz="4" w:space="0"/>
                    <w:bottom w:val="single" w:color="auto" w:sz="4" w:space="0"/>
                    <w:right w:val="single" w:color="auto" w:sz="4" w:space="0"/>
                  </w:tcBorders>
                  <w:vAlign w:val="center"/>
                </w:tcPr>
                <w:p w14:paraId="5A136292">
                  <w:pPr>
                    <w:kinsoku w:val="0"/>
                    <w:overflowPunct w:val="0"/>
                    <w:autoSpaceDE w:val="0"/>
                    <w:autoSpaceDN w:val="0"/>
                    <w:adjustRightInd w:val="0"/>
                    <w:snapToGrid w:val="0"/>
                    <w:jc w:val="center"/>
                    <w:rPr>
                      <w:szCs w:val="21"/>
                    </w:rPr>
                  </w:pPr>
                  <w:r>
                    <w:rPr>
                      <w:bCs/>
                      <w:snapToGrid w:val="0"/>
                      <w:kern w:val="0"/>
                      <w:szCs w:val="21"/>
                    </w:rPr>
                    <w:t>COD、BOD</w:t>
                  </w:r>
                  <w:r>
                    <w:rPr>
                      <w:bCs/>
                      <w:snapToGrid w:val="0"/>
                      <w:kern w:val="0"/>
                      <w:szCs w:val="21"/>
                      <w:vertAlign w:val="subscript"/>
                    </w:rPr>
                    <w:t>5</w:t>
                  </w:r>
                  <w:r>
                    <w:rPr>
                      <w:bCs/>
                      <w:snapToGrid w:val="0"/>
                      <w:kern w:val="0"/>
                      <w:szCs w:val="21"/>
                    </w:rPr>
                    <w:t>、氨氮、SS、动植物油</w:t>
                  </w:r>
                </w:p>
              </w:tc>
              <w:tc>
                <w:tcPr>
                  <w:tcW w:w="723" w:type="pct"/>
                  <w:tcBorders>
                    <w:top w:val="single" w:color="auto" w:sz="4" w:space="0"/>
                    <w:left w:val="single" w:color="auto" w:sz="4" w:space="0"/>
                    <w:bottom w:val="single" w:color="auto" w:sz="4" w:space="0"/>
                    <w:right w:val="single" w:color="auto" w:sz="4" w:space="0"/>
                  </w:tcBorders>
                  <w:vAlign w:val="center"/>
                </w:tcPr>
                <w:p w14:paraId="16F900B9">
                  <w:pPr>
                    <w:kinsoku w:val="0"/>
                    <w:overflowPunct w:val="0"/>
                    <w:autoSpaceDE w:val="0"/>
                    <w:autoSpaceDN w:val="0"/>
                    <w:adjustRightInd w:val="0"/>
                    <w:snapToGrid w:val="0"/>
                    <w:jc w:val="center"/>
                  </w:pPr>
                  <w:r>
                    <w:rPr>
                      <w:bCs/>
                      <w:color w:val="000000"/>
                      <w:szCs w:val="21"/>
                    </w:rPr>
                    <w:t>1次/半年</w:t>
                  </w:r>
                </w:p>
              </w:tc>
              <w:tc>
                <w:tcPr>
                  <w:tcW w:w="2487" w:type="pct"/>
                  <w:tcBorders>
                    <w:top w:val="single" w:color="auto" w:sz="4" w:space="0"/>
                    <w:left w:val="single" w:color="auto" w:sz="4" w:space="0"/>
                    <w:bottom w:val="single" w:color="auto" w:sz="4" w:space="0"/>
                    <w:right w:val="single" w:color="auto" w:sz="4" w:space="0"/>
                  </w:tcBorders>
                  <w:vAlign w:val="center"/>
                </w:tcPr>
                <w:p w14:paraId="7707E0F8">
                  <w:pPr>
                    <w:kinsoku w:val="0"/>
                    <w:overflowPunct w:val="0"/>
                    <w:autoSpaceDE w:val="0"/>
                    <w:autoSpaceDN w:val="0"/>
                    <w:adjustRightInd w:val="0"/>
                    <w:snapToGrid w:val="0"/>
                    <w:jc w:val="center"/>
                  </w:pPr>
                  <w:r>
                    <w:rPr>
                      <w:bCs/>
                      <w:color w:val="000000"/>
                      <w:szCs w:val="21"/>
                    </w:rPr>
                    <w:t>《污水综合排放标准》（GB8978-1996）三级标准及</w:t>
                  </w:r>
                  <w:r>
                    <w:rPr>
                      <w:color w:val="000000"/>
                      <w:szCs w:val="21"/>
                    </w:rPr>
                    <w:t>北关镇污水处理厂收水水质要求</w:t>
                  </w:r>
                </w:p>
              </w:tc>
            </w:tr>
          </w:tbl>
          <w:p w14:paraId="28ADB647">
            <w:pPr>
              <w:spacing w:line="360" w:lineRule="auto"/>
              <w:ind w:firstLine="482" w:firstLineChars="200"/>
              <w:jc w:val="left"/>
              <w:rPr>
                <w:sz w:val="24"/>
              </w:rPr>
            </w:pPr>
            <w:r>
              <w:rPr>
                <w:rFonts w:eastAsia="黑体"/>
                <w:b/>
                <w:sz w:val="24"/>
              </w:rPr>
              <w:t>3、噪声</w:t>
            </w:r>
          </w:p>
          <w:p w14:paraId="2B971B91">
            <w:pPr>
              <w:spacing w:line="360" w:lineRule="auto"/>
              <w:ind w:firstLine="480" w:firstLineChars="200"/>
              <w:jc w:val="left"/>
              <w:rPr>
                <w:sz w:val="24"/>
              </w:rPr>
            </w:pPr>
            <w:r>
              <w:rPr>
                <w:rFonts w:hint="eastAsia"/>
                <w:sz w:val="24"/>
              </w:rPr>
              <w:t>本项目噪声主要</w:t>
            </w:r>
            <w:r>
              <w:rPr>
                <w:rFonts w:hint="eastAsia"/>
                <w:kern w:val="0"/>
                <w:sz w:val="24"/>
              </w:rPr>
              <w:t>来自</w:t>
            </w:r>
            <w:r>
              <w:rPr>
                <w:rFonts w:hint="eastAsia"/>
                <w:bCs/>
                <w:sz w:val="24"/>
              </w:rPr>
              <w:t>粉碎机</w:t>
            </w:r>
            <w:r>
              <w:rPr>
                <w:rFonts w:hint="eastAsia"/>
                <w:kern w:val="0"/>
                <w:sz w:val="24"/>
              </w:rPr>
              <w:t>、</w:t>
            </w:r>
            <w:r>
              <w:rPr>
                <w:kern w:val="0"/>
                <w:sz w:val="24"/>
              </w:rPr>
              <w:t>熬制炉</w:t>
            </w:r>
            <w:r>
              <w:rPr>
                <w:rFonts w:hint="eastAsia"/>
                <w:kern w:val="0"/>
                <w:sz w:val="24"/>
              </w:rPr>
              <w:t>、风机等运行</w:t>
            </w:r>
            <w:r>
              <w:rPr>
                <w:rFonts w:hint="eastAsia"/>
                <w:sz w:val="24"/>
              </w:rPr>
              <w:t>过程产生的噪声</w:t>
            </w:r>
            <w:r>
              <w:rPr>
                <w:rFonts w:hint="eastAsia"/>
                <w:spacing w:val="-3"/>
                <w:sz w:val="24"/>
              </w:rPr>
              <w:t>，</w:t>
            </w:r>
            <w:r>
              <w:rPr>
                <w:rFonts w:hint="eastAsia"/>
                <w:sz w:val="24"/>
              </w:rPr>
              <w:t>噪声级为75</w:t>
            </w:r>
            <w:r>
              <w:rPr>
                <w:sz w:val="24"/>
              </w:rPr>
              <w:t>~</w:t>
            </w:r>
            <w:r>
              <w:rPr>
                <w:rFonts w:hint="eastAsia"/>
                <w:sz w:val="24"/>
              </w:rPr>
              <w:t>95</w:t>
            </w:r>
            <w:r>
              <w:rPr>
                <w:sz w:val="24"/>
              </w:rPr>
              <w:t>dB(A)</w:t>
            </w:r>
            <w:r>
              <w:rPr>
                <w:rFonts w:hint="eastAsia"/>
                <w:sz w:val="24"/>
              </w:rPr>
              <w:t>。经采取基础减振、消声器等措施后，噪声可降低约</w:t>
            </w:r>
            <w:r>
              <w:rPr>
                <w:sz w:val="24"/>
              </w:rPr>
              <w:t>15</w:t>
            </w:r>
            <w:r>
              <w:rPr>
                <w:rFonts w:hint="eastAsia"/>
                <w:sz w:val="24"/>
              </w:rPr>
              <w:t>～20</w:t>
            </w:r>
            <w:r>
              <w:rPr>
                <w:sz w:val="24"/>
              </w:rPr>
              <w:t>dB</w:t>
            </w:r>
            <w:r>
              <w:rPr>
                <w:rFonts w:hint="eastAsia"/>
                <w:sz w:val="24"/>
              </w:rPr>
              <w:t>（</w:t>
            </w:r>
            <w:r>
              <w:rPr>
                <w:sz w:val="24"/>
              </w:rPr>
              <w:t>A</w:t>
            </w:r>
            <w:r>
              <w:rPr>
                <w:rFonts w:hint="eastAsia"/>
                <w:sz w:val="24"/>
              </w:rPr>
              <w:t>），项目噪声设备源强和治理措施及效果见下表。</w:t>
            </w:r>
          </w:p>
          <w:p w14:paraId="683AF089">
            <w:pPr>
              <w:adjustRightInd w:val="0"/>
              <w:snapToGrid w:val="0"/>
              <w:spacing w:line="360" w:lineRule="auto"/>
              <w:ind w:firstLine="482" w:firstLineChars="200"/>
              <w:rPr>
                <w:b/>
                <w:sz w:val="24"/>
              </w:rPr>
            </w:pPr>
          </w:p>
        </w:tc>
      </w:tr>
    </w:tbl>
    <w:p w14:paraId="3668EA71">
      <w:pPr>
        <w:adjustRightInd w:val="0"/>
        <w:snapToGrid w:val="0"/>
        <w:spacing w:line="360" w:lineRule="auto"/>
        <w:rPr>
          <w:rFonts w:ascii="宋体" w:cs="宋体"/>
          <w:b/>
          <w:kern w:val="0"/>
          <w:sz w:val="28"/>
          <w:szCs w:val="28"/>
        </w:rPr>
        <w:sectPr>
          <w:pgSz w:w="11907" w:h="16840"/>
          <w:pgMar w:top="1701" w:right="1531" w:bottom="2127" w:left="1531" w:header="851" w:footer="851" w:gutter="0"/>
          <w:cols w:space="720" w:num="1"/>
          <w:docGrid w:linePitch="312" w:charSpace="0"/>
        </w:sectPr>
      </w:pPr>
    </w:p>
    <w:tbl>
      <w:tblPr>
        <w:tblStyle w:val="29"/>
        <w:tblW w:w="5000" w:type="pct"/>
        <w:jc w:val="center"/>
        <w:tblBorders>
          <w:top w:val="single" w:color="auto" w:sz="8" w:space="0"/>
          <w:left w:val="single" w:color="auto" w:sz="8" w:space="0"/>
          <w:bottom w:val="single" w:color="auto" w:sz="4"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801"/>
        <w:gridCol w:w="12771"/>
      </w:tblGrid>
      <w:tr w14:paraId="0FFFF6B3">
        <w:tblPrEx>
          <w:tblBorders>
            <w:top w:val="single" w:color="auto" w:sz="8" w:space="0"/>
            <w:left w:val="single" w:color="auto" w:sz="8" w:space="0"/>
            <w:bottom w:val="single" w:color="auto" w:sz="4"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633" w:hRule="atLeast"/>
          <w:jc w:val="center"/>
        </w:trPr>
        <w:tc>
          <w:tcPr>
            <w:tcW w:w="295" w:type="pct"/>
            <w:tcMar>
              <w:left w:w="28" w:type="dxa"/>
              <w:right w:w="28" w:type="dxa"/>
            </w:tcMar>
            <w:vAlign w:val="center"/>
          </w:tcPr>
          <w:p w14:paraId="1878A990">
            <w:pPr>
              <w:pStyle w:val="25"/>
              <w:adjustRightInd w:val="0"/>
              <w:snapToGrid w:val="0"/>
              <w:spacing w:before="0" w:beforeAutospacing="0" w:after="0" w:afterAutospacing="0"/>
              <w:jc w:val="center"/>
              <w:rPr>
                <w:rFonts w:ascii="Times New Roman" w:hAnsi="Times New Roman"/>
                <w:kern w:val="2"/>
                <w:szCs w:val="24"/>
              </w:rPr>
            </w:pPr>
            <w:r>
              <w:rPr>
                <w:rFonts w:hint="eastAsia" w:ascii="Times New Roman" w:hAnsi="Times New Roman"/>
                <w:kern w:val="2"/>
                <w:szCs w:val="24"/>
              </w:rPr>
              <w:t>运营</w:t>
            </w:r>
            <w:r>
              <w:rPr>
                <w:rFonts w:ascii="Times New Roman" w:hAnsi="Times New Roman"/>
                <w:kern w:val="2"/>
                <w:szCs w:val="24"/>
              </w:rPr>
              <w:t>期环境保护措施</w:t>
            </w:r>
          </w:p>
        </w:tc>
        <w:tc>
          <w:tcPr>
            <w:tcW w:w="4705" w:type="pct"/>
            <w:vAlign w:val="center"/>
          </w:tcPr>
          <w:p w14:paraId="4762AD64">
            <w:pPr>
              <w:jc w:val="center"/>
              <w:rPr>
                <w:sz w:val="24"/>
              </w:rPr>
            </w:pPr>
            <w:r>
              <w:rPr>
                <w:rFonts w:hint="eastAsia"/>
                <w:b/>
                <w:bCs/>
                <w:sz w:val="24"/>
              </w:rPr>
              <w:t>表25</w:t>
            </w:r>
            <w:r>
              <w:rPr>
                <w:b/>
                <w:bCs/>
                <w:sz w:val="24"/>
              </w:rPr>
              <w:t xml:space="preserve">    </w:t>
            </w:r>
            <w:r>
              <w:rPr>
                <w:rFonts w:hint="eastAsia" w:hAnsi="黑体"/>
                <w:b/>
                <w:sz w:val="24"/>
              </w:rPr>
              <w:t>工业企业噪声源强调查清单（室内声源）</w:t>
            </w:r>
            <w:r>
              <w:rPr>
                <w:rFonts w:hint="eastAsia"/>
                <w:b/>
                <w:bCs/>
                <w:sz w:val="24"/>
              </w:rPr>
              <w:t xml:space="preserve">     单位：</w:t>
            </w:r>
            <w:r>
              <w:rPr>
                <w:szCs w:val="21"/>
              </w:rPr>
              <w:t>dB(A)</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78"/>
              <w:gridCol w:w="884"/>
              <w:gridCol w:w="710"/>
              <w:gridCol w:w="567"/>
              <w:gridCol w:w="1019"/>
              <w:gridCol w:w="552"/>
              <w:gridCol w:w="552"/>
              <w:gridCol w:w="409"/>
              <w:gridCol w:w="562"/>
              <w:gridCol w:w="544"/>
              <w:gridCol w:w="547"/>
              <w:gridCol w:w="547"/>
              <w:gridCol w:w="512"/>
              <w:gridCol w:w="442"/>
              <w:gridCol w:w="409"/>
              <w:gridCol w:w="547"/>
              <w:gridCol w:w="587"/>
              <w:gridCol w:w="567"/>
              <w:gridCol w:w="469"/>
              <w:gridCol w:w="395"/>
              <w:gridCol w:w="404"/>
              <w:gridCol w:w="642"/>
            </w:tblGrid>
            <w:tr w14:paraId="55416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8" w:hRule="atLeast"/>
              </w:trPr>
              <w:tc>
                <w:tcPr>
                  <w:tcW w:w="270" w:type="pct"/>
                  <w:vMerge w:val="restart"/>
                  <w:tcBorders>
                    <w:top w:val="single" w:color="auto" w:sz="4" w:space="0"/>
                    <w:left w:val="single" w:color="auto" w:sz="4" w:space="0"/>
                    <w:bottom w:val="single" w:color="auto" w:sz="4" w:space="0"/>
                    <w:right w:val="single" w:color="auto" w:sz="4" w:space="0"/>
                  </w:tcBorders>
                  <w:vAlign w:val="center"/>
                </w:tcPr>
                <w:p w14:paraId="7D9239B7">
                  <w:pPr>
                    <w:jc w:val="center"/>
                    <w:rPr>
                      <w:szCs w:val="21"/>
                    </w:rPr>
                  </w:pPr>
                  <w:r>
                    <w:rPr>
                      <w:szCs w:val="21"/>
                    </w:rPr>
                    <w:t>建筑物名称</w:t>
                  </w:r>
                </w:p>
              </w:tc>
              <w:tc>
                <w:tcPr>
                  <w:tcW w:w="352" w:type="pct"/>
                  <w:vMerge w:val="restart"/>
                  <w:tcBorders>
                    <w:top w:val="single" w:color="auto" w:sz="4" w:space="0"/>
                    <w:left w:val="single" w:color="auto" w:sz="4" w:space="0"/>
                    <w:bottom w:val="single" w:color="auto" w:sz="4" w:space="0"/>
                    <w:right w:val="single" w:color="auto" w:sz="4" w:space="0"/>
                  </w:tcBorders>
                  <w:vAlign w:val="center"/>
                </w:tcPr>
                <w:p w14:paraId="29BA2019">
                  <w:pPr>
                    <w:jc w:val="center"/>
                    <w:rPr>
                      <w:szCs w:val="21"/>
                    </w:rPr>
                  </w:pPr>
                  <w:r>
                    <w:rPr>
                      <w:szCs w:val="21"/>
                    </w:rPr>
                    <w:t>声源名称</w:t>
                  </w:r>
                </w:p>
              </w:tc>
              <w:tc>
                <w:tcPr>
                  <w:tcW w:w="283" w:type="pct"/>
                  <w:vMerge w:val="restart"/>
                  <w:tcBorders>
                    <w:top w:val="single" w:color="auto" w:sz="4" w:space="0"/>
                    <w:left w:val="single" w:color="auto" w:sz="4" w:space="0"/>
                    <w:bottom w:val="single" w:color="auto" w:sz="4" w:space="0"/>
                    <w:right w:val="single" w:color="auto" w:sz="4" w:space="0"/>
                  </w:tcBorders>
                  <w:vAlign w:val="center"/>
                </w:tcPr>
                <w:p w14:paraId="46E62AC6">
                  <w:pPr>
                    <w:jc w:val="center"/>
                    <w:rPr>
                      <w:szCs w:val="21"/>
                    </w:rPr>
                  </w:pPr>
                  <w:r>
                    <w:rPr>
                      <w:szCs w:val="21"/>
                    </w:rPr>
                    <w:t>数量</w:t>
                  </w:r>
                </w:p>
                <w:p w14:paraId="4A436235">
                  <w:pPr>
                    <w:jc w:val="center"/>
                    <w:rPr>
                      <w:szCs w:val="21"/>
                    </w:rPr>
                  </w:pPr>
                  <w:r>
                    <w:rPr>
                      <w:szCs w:val="21"/>
                    </w:rPr>
                    <w:t>（台）</w:t>
                  </w:r>
                </w:p>
              </w:tc>
              <w:tc>
                <w:tcPr>
                  <w:tcW w:w="226" w:type="pct"/>
                  <w:vMerge w:val="restart"/>
                  <w:tcBorders>
                    <w:top w:val="single" w:color="auto" w:sz="4" w:space="0"/>
                    <w:left w:val="single" w:color="auto" w:sz="4" w:space="0"/>
                    <w:right w:val="single" w:color="auto" w:sz="4" w:space="0"/>
                  </w:tcBorders>
                  <w:vAlign w:val="center"/>
                </w:tcPr>
                <w:p w14:paraId="7EC053BA">
                  <w:pPr>
                    <w:jc w:val="center"/>
                    <w:rPr>
                      <w:szCs w:val="21"/>
                    </w:rPr>
                  </w:pPr>
                  <w:r>
                    <w:rPr>
                      <w:szCs w:val="21"/>
                    </w:rPr>
                    <w:t>声源源强</w:t>
                  </w:r>
                </w:p>
              </w:tc>
              <w:tc>
                <w:tcPr>
                  <w:tcW w:w="406" w:type="pct"/>
                  <w:vMerge w:val="restart"/>
                  <w:tcBorders>
                    <w:top w:val="single" w:color="auto" w:sz="4" w:space="0"/>
                    <w:left w:val="single" w:color="auto" w:sz="4" w:space="0"/>
                    <w:bottom w:val="single" w:color="auto" w:sz="4" w:space="0"/>
                    <w:right w:val="single" w:color="auto" w:sz="4" w:space="0"/>
                  </w:tcBorders>
                  <w:vAlign w:val="center"/>
                </w:tcPr>
                <w:p w14:paraId="2B7D47F7">
                  <w:pPr>
                    <w:jc w:val="center"/>
                    <w:rPr>
                      <w:szCs w:val="21"/>
                    </w:rPr>
                  </w:pPr>
                  <w:r>
                    <w:rPr>
                      <w:szCs w:val="21"/>
                    </w:rPr>
                    <w:t>声源控制措施</w:t>
                  </w:r>
                </w:p>
              </w:tc>
              <w:tc>
                <w:tcPr>
                  <w:tcW w:w="603" w:type="pct"/>
                  <w:gridSpan w:val="3"/>
                  <w:tcBorders>
                    <w:top w:val="single" w:color="auto" w:sz="4" w:space="0"/>
                    <w:left w:val="single" w:color="auto" w:sz="4" w:space="0"/>
                    <w:bottom w:val="single" w:color="auto" w:sz="4" w:space="0"/>
                    <w:right w:val="single" w:color="auto" w:sz="4" w:space="0"/>
                  </w:tcBorders>
                  <w:vAlign w:val="center"/>
                </w:tcPr>
                <w:p w14:paraId="4B22EC60">
                  <w:pPr>
                    <w:snapToGrid w:val="0"/>
                    <w:jc w:val="center"/>
                    <w:rPr>
                      <w:szCs w:val="21"/>
                    </w:rPr>
                  </w:pPr>
                  <w:r>
                    <w:rPr>
                      <w:szCs w:val="21"/>
                    </w:rPr>
                    <w:t>空间相对位置/m</w:t>
                  </w:r>
                </w:p>
              </w:tc>
              <w:tc>
                <w:tcPr>
                  <w:tcW w:w="877" w:type="pct"/>
                  <w:gridSpan w:val="4"/>
                  <w:tcBorders>
                    <w:top w:val="single" w:color="auto" w:sz="4" w:space="0"/>
                    <w:left w:val="single" w:color="auto" w:sz="4" w:space="0"/>
                    <w:bottom w:val="single" w:color="auto" w:sz="4" w:space="0"/>
                    <w:right w:val="single" w:color="auto" w:sz="4" w:space="0"/>
                  </w:tcBorders>
                  <w:vAlign w:val="center"/>
                </w:tcPr>
                <w:p w14:paraId="58583E95">
                  <w:pPr>
                    <w:snapToGrid w:val="0"/>
                    <w:jc w:val="center"/>
                    <w:rPr>
                      <w:szCs w:val="21"/>
                    </w:rPr>
                  </w:pPr>
                  <w:r>
                    <w:rPr>
                      <w:szCs w:val="21"/>
                    </w:rPr>
                    <w:t>距室内边界距离/m</w:t>
                  </w:r>
                </w:p>
              </w:tc>
              <w:tc>
                <w:tcPr>
                  <w:tcW w:w="761" w:type="pct"/>
                  <w:gridSpan w:val="4"/>
                  <w:tcBorders>
                    <w:top w:val="single" w:color="auto" w:sz="4" w:space="0"/>
                    <w:left w:val="single" w:color="auto" w:sz="4" w:space="0"/>
                    <w:bottom w:val="single" w:color="auto" w:sz="4" w:space="0"/>
                    <w:right w:val="single" w:color="auto" w:sz="4" w:space="0"/>
                  </w:tcBorders>
                  <w:vAlign w:val="center"/>
                </w:tcPr>
                <w:p w14:paraId="15A6D2B0">
                  <w:pPr>
                    <w:snapToGrid w:val="0"/>
                    <w:jc w:val="center"/>
                    <w:rPr>
                      <w:szCs w:val="21"/>
                    </w:rPr>
                  </w:pPr>
                  <w:r>
                    <w:rPr>
                      <w:szCs w:val="21"/>
                    </w:rPr>
                    <w:t>室内边界声级</w:t>
                  </w:r>
                </w:p>
              </w:tc>
              <w:tc>
                <w:tcPr>
                  <w:tcW w:w="234" w:type="pct"/>
                  <w:vMerge w:val="restart"/>
                  <w:tcBorders>
                    <w:top w:val="single" w:color="auto" w:sz="4" w:space="0"/>
                    <w:left w:val="single" w:color="auto" w:sz="4" w:space="0"/>
                    <w:right w:val="single" w:color="auto" w:sz="4" w:space="0"/>
                  </w:tcBorders>
                  <w:vAlign w:val="center"/>
                </w:tcPr>
                <w:p w14:paraId="724C4994">
                  <w:pPr>
                    <w:snapToGrid w:val="0"/>
                    <w:jc w:val="center"/>
                    <w:rPr>
                      <w:spacing w:val="-10"/>
                      <w:szCs w:val="21"/>
                    </w:rPr>
                  </w:pPr>
                  <w:r>
                    <w:rPr>
                      <w:spacing w:val="-10"/>
                      <w:szCs w:val="21"/>
                    </w:rPr>
                    <w:t>建筑物插入损失</w:t>
                  </w:r>
                  <w:bookmarkStart w:id="1" w:name="PT_10"/>
                  <w:bookmarkEnd w:id="1"/>
                </w:p>
              </w:tc>
              <w:tc>
                <w:tcPr>
                  <w:tcW w:w="987" w:type="pct"/>
                  <w:gridSpan w:val="5"/>
                  <w:tcBorders>
                    <w:top w:val="single" w:color="auto" w:sz="4" w:space="0"/>
                    <w:left w:val="single" w:color="auto" w:sz="4" w:space="0"/>
                    <w:bottom w:val="single" w:color="auto" w:sz="4" w:space="0"/>
                    <w:right w:val="single" w:color="auto" w:sz="4" w:space="0"/>
                  </w:tcBorders>
                  <w:vAlign w:val="center"/>
                </w:tcPr>
                <w:p w14:paraId="357D233D">
                  <w:pPr>
                    <w:snapToGrid w:val="0"/>
                    <w:jc w:val="center"/>
                    <w:rPr>
                      <w:szCs w:val="21"/>
                    </w:rPr>
                  </w:pPr>
                  <w:r>
                    <w:rPr>
                      <w:szCs w:val="21"/>
                    </w:rPr>
                    <w:t>建筑物外噪声声压级</w:t>
                  </w:r>
                </w:p>
              </w:tc>
            </w:tr>
            <w:tr w14:paraId="78AA5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270" w:type="pct"/>
                  <w:vMerge w:val="continue"/>
                  <w:tcBorders>
                    <w:top w:val="single" w:color="auto" w:sz="4" w:space="0"/>
                    <w:left w:val="single" w:color="auto" w:sz="4" w:space="0"/>
                    <w:bottom w:val="single" w:color="auto" w:sz="4" w:space="0"/>
                    <w:right w:val="single" w:color="auto" w:sz="4" w:space="0"/>
                  </w:tcBorders>
                  <w:vAlign w:val="center"/>
                </w:tcPr>
                <w:p w14:paraId="31D36C51">
                  <w:pPr>
                    <w:widowControl/>
                    <w:jc w:val="center"/>
                    <w:rPr>
                      <w:szCs w:val="21"/>
                    </w:rPr>
                  </w:pPr>
                </w:p>
              </w:tc>
              <w:tc>
                <w:tcPr>
                  <w:tcW w:w="352" w:type="pct"/>
                  <w:vMerge w:val="continue"/>
                  <w:tcBorders>
                    <w:top w:val="single" w:color="auto" w:sz="4" w:space="0"/>
                    <w:left w:val="single" w:color="auto" w:sz="4" w:space="0"/>
                    <w:bottom w:val="single" w:color="auto" w:sz="4" w:space="0"/>
                    <w:right w:val="single" w:color="auto" w:sz="4" w:space="0"/>
                  </w:tcBorders>
                  <w:vAlign w:val="center"/>
                </w:tcPr>
                <w:p w14:paraId="3CC1268D">
                  <w:pPr>
                    <w:widowControl/>
                    <w:jc w:val="center"/>
                    <w:rPr>
                      <w:szCs w:val="21"/>
                    </w:rPr>
                  </w:pPr>
                </w:p>
              </w:tc>
              <w:tc>
                <w:tcPr>
                  <w:tcW w:w="283" w:type="pct"/>
                  <w:vMerge w:val="continue"/>
                  <w:tcBorders>
                    <w:top w:val="single" w:color="auto" w:sz="4" w:space="0"/>
                    <w:left w:val="single" w:color="auto" w:sz="4" w:space="0"/>
                    <w:bottom w:val="single" w:color="auto" w:sz="4" w:space="0"/>
                    <w:right w:val="single" w:color="auto" w:sz="4" w:space="0"/>
                  </w:tcBorders>
                  <w:vAlign w:val="center"/>
                </w:tcPr>
                <w:p w14:paraId="34F92121">
                  <w:pPr>
                    <w:widowControl/>
                    <w:jc w:val="center"/>
                    <w:rPr>
                      <w:szCs w:val="21"/>
                    </w:rPr>
                  </w:pPr>
                </w:p>
              </w:tc>
              <w:tc>
                <w:tcPr>
                  <w:tcW w:w="226" w:type="pct"/>
                  <w:vMerge w:val="continue"/>
                  <w:tcBorders>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890D196">
                  <w:pPr>
                    <w:jc w:val="center"/>
                    <w:rPr>
                      <w:szCs w:val="21"/>
                    </w:rPr>
                  </w:pPr>
                </w:p>
              </w:tc>
              <w:tc>
                <w:tcPr>
                  <w:tcW w:w="406" w:type="pct"/>
                  <w:vMerge w:val="continue"/>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73CFE8DE">
                  <w:pPr>
                    <w:widowControl/>
                    <w:jc w:val="center"/>
                    <w:rPr>
                      <w:szCs w:val="21"/>
                    </w:rPr>
                  </w:pPr>
                </w:p>
              </w:tc>
              <w:tc>
                <w:tcPr>
                  <w:tcW w:w="220"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7353AE3">
                  <w:pPr>
                    <w:jc w:val="center"/>
                    <w:rPr>
                      <w:szCs w:val="21"/>
                    </w:rPr>
                  </w:pPr>
                  <w:r>
                    <w:rPr>
                      <w:szCs w:val="21"/>
                    </w:rPr>
                    <w:t>X</w:t>
                  </w:r>
                </w:p>
              </w:tc>
              <w:tc>
                <w:tcPr>
                  <w:tcW w:w="220"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EAE30A7">
                  <w:pPr>
                    <w:jc w:val="center"/>
                    <w:rPr>
                      <w:szCs w:val="21"/>
                    </w:rPr>
                  </w:pPr>
                  <w:r>
                    <w:rPr>
                      <w:szCs w:val="21"/>
                    </w:rPr>
                    <w:t>Y</w:t>
                  </w:r>
                </w:p>
              </w:tc>
              <w:tc>
                <w:tcPr>
                  <w:tcW w:w="163"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E8B0BA2">
                  <w:pPr>
                    <w:jc w:val="center"/>
                    <w:rPr>
                      <w:szCs w:val="21"/>
                    </w:rPr>
                  </w:pPr>
                  <w:r>
                    <w:rPr>
                      <w:szCs w:val="21"/>
                    </w:rPr>
                    <w:t>Z</w:t>
                  </w:r>
                </w:p>
              </w:tc>
              <w:tc>
                <w:tcPr>
                  <w:tcW w:w="224"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4BBAF65">
                  <w:pPr>
                    <w:jc w:val="center"/>
                    <w:rPr>
                      <w:szCs w:val="21"/>
                    </w:rPr>
                  </w:pPr>
                  <w:r>
                    <w:rPr>
                      <w:szCs w:val="21"/>
                    </w:rPr>
                    <w:t>东</w:t>
                  </w:r>
                </w:p>
              </w:tc>
              <w:tc>
                <w:tcPr>
                  <w:tcW w:w="217"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F4BE3E6">
                  <w:pPr>
                    <w:jc w:val="center"/>
                    <w:rPr>
                      <w:szCs w:val="21"/>
                    </w:rPr>
                  </w:pPr>
                  <w:r>
                    <w:rPr>
                      <w:szCs w:val="21"/>
                    </w:rPr>
                    <w:t>南</w:t>
                  </w:r>
                </w:p>
              </w:tc>
              <w:tc>
                <w:tcPr>
                  <w:tcW w:w="218"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F076B7B">
                  <w:pPr>
                    <w:jc w:val="center"/>
                    <w:rPr>
                      <w:szCs w:val="21"/>
                    </w:rPr>
                  </w:pPr>
                  <w:r>
                    <w:rPr>
                      <w:szCs w:val="21"/>
                    </w:rPr>
                    <w:t>西</w:t>
                  </w:r>
                </w:p>
              </w:tc>
              <w:tc>
                <w:tcPr>
                  <w:tcW w:w="218"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B1CF097">
                  <w:pPr>
                    <w:jc w:val="center"/>
                    <w:rPr>
                      <w:szCs w:val="21"/>
                    </w:rPr>
                  </w:pPr>
                  <w:r>
                    <w:rPr>
                      <w:szCs w:val="21"/>
                    </w:rPr>
                    <w:t>北</w:t>
                  </w:r>
                </w:p>
              </w:tc>
              <w:tc>
                <w:tcPr>
                  <w:tcW w:w="204"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CE21EAF">
                  <w:pPr>
                    <w:jc w:val="center"/>
                    <w:rPr>
                      <w:szCs w:val="21"/>
                    </w:rPr>
                  </w:pPr>
                  <w:r>
                    <w:rPr>
                      <w:szCs w:val="21"/>
                    </w:rPr>
                    <w:t>东</w:t>
                  </w:r>
                </w:p>
              </w:tc>
              <w:tc>
                <w:tcPr>
                  <w:tcW w:w="176"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F18AFD4">
                  <w:pPr>
                    <w:jc w:val="center"/>
                    <w:rPr>
                      <w:szCs w:val="21"/>
                    </w:rPr>
                  </w:pPr>
                  <w:r>
                    <w:rPr>
                      <w:szCs w:val="21"/>
                    </w:rPr>
                    <w:t>南</w:t>
                  </w:r>
                </w:p>
              </w:tc>
              <w:tc>
                <w:tcPr>
                  <w:tcW w:w="163"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EA5BAE6">
                  <w:pPr>
                    <w:jc w:val="center"/>
                    <w:rPr>
                      <w:szCs w:val="21"/>
                    </w:rPr>
                  </w:pPr>
                  <w:r>
                    <w:rPr>
                      <w:szCs w:val="21"/>
                    </w:rPr>
                    <w:t>西</w:t>
                  </w:r>
                </w:p>
              </w:tc>
              <w:tc>
                <w:tcPr>
                  <w:tcW w:w="218"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92BFFA0">
                  <w:pPr>
                    <w:jc w:val="center"/>
                    <w:rPr>
                      <w:szCs w:val="21"/>
                    </w:rPr>
                  </w:pPr>
                  <w:r>
                    <w:rPr>
                      <w:szCs w:val="21"/>
                    </w:rPr>
                    <w:t>北</w:t>
                  </w:r>
                </w:p>
              </w:tc>
              <w:tc>
                <w:tcPr>
                  <w:tcW w:w="234" w:type="pct"/>
                  <w:vMerge w:val="continue"/>
                  <w:tcBorders>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6467431">
                  <w:pPr>
                    <w:jc w:val="center"/>
                    <w:rPr>
                      <w:szCs w:val="21"/>
                    </w:rPr>
                  </w:pPr>
                </w:p>
              </w:tc>
              <w:tc>
                <w:tcPr>
                  <w:tcW w:w="226"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2147E52">
                  <w:pPr>
                    <w:jc w:val="center"/>
                    <w:rPr>
                      <w:szCs w:val="21"/>
                    </w:rPr>
                  </w:pPr>
                  <w:r>
                    <w:rPr>
                      <w:szCs w:val="21"/>
                    </w:rPr>
                    <w:t>东</w:t>
                  </w:r>
                </w:p>
              </w:tc>
              <w:tc>
                <w:tcPr>
                  <w:tcW w:w="187"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EC635EA">
                  <w:pPr>
                    <w:jc w:val="center"/>
                    <w:rPr>
                      <w:szCs w:val="21"/>
                    </w:rPr>
                  </w:pPr>
                  <w:r>
                    <w:rPr>
                      <w:szCs w:val="21"/>
                    </w:rPr>
                    <w:t>南</w:t>
                  </w:r>
                </w:p>
              </w:tc>
              <w:tc>
                <w:tcPr>
                  <w:tcW w:w="157"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8037366">
                  <w:pPr>
                    <w:jc w:val="center"/>
                    <w:rPr>
                      <w:szCs w:val="21"/>
                    </w:rPr>
                  </w:pPr>
                  <w:r>
                    <w:rPr>
                      <w:szCs w:val="21"/>
                    </w:rPr>
                    <w:t>西</w:t>
                  </w:r>
                </w:p>
              </w:tc>
              <w:tc>
                <w:tcPr>
                  <w:tcW w:w="161"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7EB37C8">
                  <w:pPr>
                    <w:adjustRightInd w:val="0"/>
                    <w:snapToGrid w:val="0"/>
                    <w:jc w:val="center"/>
                    <w:rPr>
                      <w:szCs w:val="21"/>
                    </w:rPr>
                  </w:pPr>
                  <w:r>
                    <w:rPr>
                      <w:szCs w:val="21"/>
                    </w:rPr>
                    <w:t>北</w:t>
                  </w:r>
                </w:p>
              </w:tc>
              <w:tc>
                <w:tcPr>
                  <w:tcW w:w="256"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8D40C5E">
                  <w:pPr>
                    <w:adjustRightInd w:val="0"/>
                    <w:snapToGrid w:val="0"/>
                    <w:jc w:val="center"/>
                    <w:rPr>
                      <w:szCs w:val="21"/>
                    </w:rPr>
                  </w:pPr>
                  <w:r>
                    <w:rPr>
                      <w:szCs w:val="21"/>
                    </w:rPr>
                    <w:t>建筑物外距离</w:t>
                  </w:r>
                </w:p>
              </w:tc>
            </w:tr>
            <w:tr w14:paraId="56BB6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270" w:type="pct"/>
                  <w:vMerge w:val="restart"/>
                  <w:tcBorders>
                    <w:top w:val="single" w:color="auto" w:sz="4" w:space="0"/>
                    <w:left w:val="single" w:color="auto" w:sz="4" w:space="0"/>
                    <w:right w:val="single" w:color="auto" w:sz="4" w:space="0"/>
                  </w:tcBorders>
                  <w:shd w:val="clear" w:color="auto" w:fill="FFFFFF"/>
                  <w:tcMar>
                    <w:top w:w="0" w:type="dxa"/>
                    <w:left w:w="0" w:type="dxa"/>
                    <w:bottom w:w="0" w:type="dxa"/>
                    <w:right w:w="0" w:type="dxa"/>
                  </w:tcMar>
                  <w:vAlign w:val="center"/>
                </w:tcPr>
                <w:p w14:paraId="3A371587">
                  <w:pPr>
                    <w:jc w:val="center"/>
                    <w:rPr>
                      <w:szCs w:val="21"/>
                    </w:rPr>
                  </w:pPr>
                  <w:r>
                    <w:rPr>
                      <w:rFonts w:hint="eastAsia"/>
                      <w:szCs w:val="21"/>
                    </w:rPr>
                    <w:t>1#</w:t>
                  </w:r>
                  <w:r>
                    <w:rPr>
                      <w:szCs w:val="21"/>
                    </w:rPr>
                    <w:t>生产</w:t>
                  </w:r>
                </w:p>
                <w:p w14:paraId="3307CA65">
                  <w:pPr>
                    <w:jc w:val="center"/>
                    <w:rPr>
                      <w:szCs w:val="21"/>
                    </w:rPr>
                  </w:pPr>
                  <w:r>
                    <w:rPr>
                      <w:szCs w:val="21"/>
                    </w:rPr>
                    <w:t>车间</w:t>
                  </w:r>
                </w:p>
              </w:tc>
              <w:tc>
                <w:tcPr>
                  <w:tcW w:w="352"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C9C5741">
                  <w:pPr>
                    <w:jc w:val="center"/>
                    <w:rPr>
                      <w:szCs w:val="21"/>
                    </w:rPr>
                  </w:pPr>
                  <w:r>
                    <w:rPr>
                      <w:szCs w:val="21"/>
                    </w:rPr>
                    <w:t>粉碎机</w:t>
                  </w:r>
                </w:p>
              </w:tc>
              <w:tc>
                <w:tcPr>
                  <w:tcW w:w="283"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436BA9F">
                  <w:pPr>
                    <w:jc w:val="center"/>
                    <w:rPr>
                      <w:szCs w:val="21"/>
                    </w:rPr>
                  </w:pPr>
                  <w:r>
                    <w:rPr>
                      <w:rFonts w:hint="eastAsia"/>
                      <w:szCs w:val="21"/>
                    </w:rPr>
                    <w:t>1</w:t>
                  </w:r>
                </w:p>
              </w:tc>
              <w:tc>
                <w:tcPr>
                  <w:tcW w:w="226"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1130272">
                  <w:pPr>
                    <w:jc w:val="center"/>
                    <w:rPr>
                      <w:szCs w:val="21"/>
                    </w:rPr>
                  </w:pPr>
                  <w:r>
                    <w:rPr>
                      <w:rFonts w:hint="eastAsia"/>
                      <w:szCs w:val="21"/>
                    </w:rPr>
                    <w:t>85</w:t>
                  </w:r>
                </w:p>
              </w:tc>
              <w:tc>
                <w:tcPr>
                  <w:tcW w:w="406" w:type="pct"/>
                  <w:vMerge w:val="restart"/>
                  <w:tcBorders>
                    <w:top w:val="single" w:color="auto" w:sz="4" w:space="0"/>
                    <w:left w:val="single" w:color="auto" w:sz="4" w:space="0"/>
                    <w:right w:val="single" w:color="auto" w:sz="4" w:space="0"/>
                  </w:tcBorders>
                  <w:shd w:val="clear" w:color="auto" w:fill="FFFFFF"/>
                  <w:tcMar>
                    <w:top w:w="0" w:type="dxa"/>
                    <w:left w:w="0" w:type="dxa"/>
                    <w:bottom w:w="0" w:type="dxa"/>
                    <w:right w:w="0" w:type="dxa"/>
                  </w:tcMar>
                  <w:vAlign w:val="center"/>
                </w:tcPr>
                <w:p w14:paraId="1F63E3A7">
                  <w:pPr>
                    <w:jc w:val="center"/>
                    <w:rPr>
                      <w:szCs w:val="21"/>
                    </w:rPr>
                  </w:pPr>
                  <w:r>
                    <w:rPr>
                      <w:szCs w:val="21"/>
                    </w:rPr>
                    <w:t>隔声、减振</w:t>
                  </w:r>
                </w:p>
              </w:tc>
              <w:tc>
                <w:tcPr>
                  <w:tcW w:w="220"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3A3F573">
                  <w:pPr>
                    <w:jc w:val="center"/>
                    <w:rPr>
                      <w:szCs w:val="21"/>
                    </w:rPr>
                  </w:pPr>
                  <w:r>
                    <w:rPr>
                      <w:rFonts w:hint="eastAsia"/>
                      <w:szCs w:val="21"/>
                    </w:rPr>
                    <w:t>12</w:t>
                  </w:r>
                </w:p>
              </w:tc>
              <w:tc>
                <w:tcPr>
                  <w:tcW w:w="220"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786918A">
                  <w:pPr>
                    <w:jc w:val="center"/>
                    <w:rPr>
                      <w:szCs w:val="21"/>
                    </w:rPr>
                  </w:pPr>
                  <w:r>
                    <w:rPr>
                      <w:rFonts w:hint="eastAsia"/>
                      <w:szCs w:val="21"/>
                    </w:rPr>
                    <w:t>12</w:t>
                  </w:r>
                </w:p>
              </w:tc>
              <w:tc>
                <w:tcPr>
                  <w:tcW w:w="163"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38F1105">
                  <w:pPr>
                    <w:jc w:val="center"/>
                    <w:rPr>
                      <w:szCs w:val="21"/>
                    </w:rPr>
                  </w:pPr>
                  <w:r>
                    <w:rPr>
                      <w:rFonts w:hint="eastAsia"/>
                      <w:szCs w:val="21"/>
                    </w:rPr>
                    <w:t>1.5</w:t>
                  </w:r>
                </w:p>
              </w:tc>
              <w:tc>
                <w:tcPr>
                  <w:tcW w:w="224"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883E087">
                  <w:pPr>
                    <w:jc w:val="center"/>
                    <w:rPr>
                      <w:szCs w:val="21"/>
                    </w:rPr>
                  </w:pPr>
                  <w:r>
                    <w:rPr>
                      <w:rFonts w:hint="eastAsia"/>
                      <w:szCs w:val="21"/>
                    </w:rPr>
                    <w:t>8</w:t>
                  </w:r>
                </w:p>
              </w:tc>
              <w:tc>
                <w:tcPr>
                  <w:tcW w:w="217"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864F1B2">
                  <w:pPr>
                    <w:jc w:val="center"/>
                    <w:rPr>
                      <w:szCs w:val="21"/>
                    </w:rPr>
                  </w:pPr>
                  <w:r>
                    <w:rPr>
                      <w:rFonts w:hint="eastAsia"/>
                      <w:szCs w:val="21"/>
                    </w:rPr>
                    <w:t>8</w:t>
                  </w:r>
                </w:p>
              </w:tc>
              <w:tc>
                <w:tcPr>
                  <w:tcW w:w="218"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314C7BE">
                  <w:pPr>
                    <w:jc w:val="center"/>
                    <w:rPr>
                      <w:szCs w:val="21"/>
                    </w:rPr>
                  </w:pPr>
                  <w:r>
                    <w:rPr>
                      <w:rFonts w:hint="eastAsia"/>
                      <w:szCs w:val="21"/>
                    </w:rPr>
                    <w:t>38</w:t>
                  </w:r>
                </w:p>
              </w:tc>
              <w:tc>
                <w:tcPr>
                  <w:tcW w:w="218"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5986126">
                  <w:pPr>
                    <w:jc w:val="center"/>
                    <w:rPr>
                      <w:szCs w:val="21"/>
                    </w:rPr>
                  </w:pPr>
                  <w:r>
                    <w:rPr>
                      <w:rFonts w:hint="eastAsia"/>
                      <w:szCs w:val="21"/>
                    </w:rPr>
                    <w:t>20</w:t>
                  </w:r>
                </w:p>
              </w:tc>
              <w:tc>
                <w:tcPr>
                  <w:tcW w:w="204"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1E4ABA6">
                  <w:pPr>
                    <w:jc w:val="center"/>
                    <w:rPr>
                      <w:szCs w:val="21"/>
                    </w:rPr>
                  </w:pPr>
                  <w:r>
                    <w:rPr>
                      <w:rFonts w:hint="eastAsia"/>
                      <w:szCs w:val="21"/>
                    </w:rPr>
                    <w:t>66</w:t>
                  </w:r>
                </w:p>
              </w:tc>
              <w:tc>
                <w:tcPr>
                  <w:tcW w:w="176"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79919C4">
                  <w:pPr>
                    <w:jc w:val="center"/>
                    <w:rPr>
                      <w:szCs w:val="21"/>
                    </w:rPr>
                  </w:pPr>
                  <w:r>
                    <w:rPr>
                      <w:rFonts w:hint="eastAsia"/>
                      <w:szCs w:val="21"/>
                    </w:rPr>
                    <w:t>66.9</w:t>
                  </w:r>
                </w:p>
              </w:tc>
              <w:tc>
                <w:tcPr>
                  <w:tcW w:w="163"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7C5E6F6">
                  <w:pPr>
                    <w:jc w:val="center"/>
                    <w:rPr>
                      <w:szCs w:val="21"/>
                    </w:rPr>
                  </w:pPr>
                  <w:r>
                    <w:rPr>
                      <w:rFonts w:hint="eastAsia"/>
                      <w:szCs w:val="21"/>
                    </w:rPr>
                    <w:t>53</w:t>
                  </w:r>
                </w:p>
              </w:tc>
              <w:tc>
                <w:tcPr>
                  <w:tcW w:w="218"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B94B43E">
                  <w:pPr>
                    <w:jc w:val="center"/>
                    <w:rPr>
                      <w:szCs w:val="21"/>
                    </w:rPr>
                  </w:pPr>
                  <w:r>
                    <w:rPr>
                      <w:rFonts w:hint="eastAsia"/>
                      <w:szCs w:val="21"/>
                    </w:rPr>
                    <w:t>59</w:t>
                  </w:r>
                </w:p>
              </w:tc>
              <w:tc>
                <w:tcPr>
                  <w:tcW w:w="234"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6F23F8F">
                  <w:pPr>
                    <w:jc w:val="center"/>
                    <w:rPr>
                      <w:szCs w:val="21"/>
                    </w:rPr>
                  </w:pPr>
                  <w:r>
                    <w:rPr>
                      <w:rFonts w:hint="eastAsia"/>
                      <w:szCs w:val="21"/>
                    </w:rPr>
                    <w:t>20</w:t>
                  </w:r>
                </w:p>
              </w:tc>
              <w:tc>
                <w:tcPr>
                  <w:tcW w:w="226"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81EB8BF">
                  <w:pPr>
                    <w:jc w:val="center"/>
                    <w:rPr>
                      <w:rFonts w:ascii="宋体" w:hAnsi="宋体" w:cs="宋体"/>
                      <w:color w:val="000000"/>
                      <w:sz w:val="22"/>
                      <w:szCs w:val="22"/>
                    </w:rPr>
                  </w:pPr>
                  <w:r>
                    <w:rPr>
                      <w:rFonts w:hint="eastAsia"/>
                      <w:color w:val="000000"/>
                      <w:sz w:val="22"/>
                      <w:szCs w:val="22"/>
                    </w:rPr>
                    <w:t>46</w:t>
                  </w:r>
                </w:p>
              </w:tc>
              <w:tc>
                <w:tcPr>
                  <w:tcW w:w="187"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E6FBE1A">
                  <w:pPr>
                    <w:jc w:val="center"/>
                    <w:rPr>
                      <w:rFonts w:ascii="宋体" w:hAnsi="宋体" w:cs="宋体"/>
                      <w:color w:val="000000"/>
                      <w:sz w:val="22"/>
                      <w:szCs w:val="22"/>
                    </w:rPr>
                  </w:pPr>
                  <w:r>
                    <w:rPr>
                      <w:rFonts w:hint="eastAsia"/>
                      <w:color w:val="000000"/>
                      <w:sz w:val="22"/>
                      <w:szCs w:val="22"/>
                    </w:rPr>
                    <w:t>46.9</w:t>
                  </w:r>
                </w:p>
              </w:tc>
              <w:tc>
                <w:tcPr>
                  <w:tcW w:w="157"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6AD420E">
                  <w:pPr>
                    <w:jc w:val="center"/>
                    <w:rPr>
                      <w:rFonts w:ascii="宋体" w:hAnsi="宋体" w:cs="宋体"/>
                      <w:color w:val="000000"/>
                      <w:sz w:val="22"/>
                      <w:szCs w:val="22"/>
                    </w:rPr>
                  </w:pPr>
                  <w:r>
                    <w:rPr>
                      <w:rFonts w:hint="eastAsia"/>
                      <w:color w:val="000000"/>
                      <w:sz w:val="22"/>
                      <w:szCs w:val="22"/>
                    </w:rPr>
                    <w:t>33</w:t>
                  </w:r>
                </w:p>
              </w:tc>
              <w:tc>
                <w:tcPr>
                  <w:tcW w:w="161"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186FB03">
                  <w:pPr>
                    <w:jc w:val="center"/>
                    <w:rPr>
                      <w:rFonts w:ascii="宋体" w:hAnsi="宋体" w:cs="宋体"/>
                      <w:color w:val="000000"/>
                      <w:sz w:val="22"/>
                      <w:szCs w:val="22"/>
                    </w:rPr>
                  </w:pPr>
                  <w:r>
                    <w:rPr>
                      <w:rFonts w:hint="eastAsia"/>
                      <w:color w:val="000000"/>
                      <w:sz w:val="22"/>
                      <w:szCs w:val="22"/>
                    </w:rPr>
                    <w:t>39</w:t>
                  </w:r>
                </w:p>
              </w:tc>
              <w:tc>
                <w:tcPr>
                  <w:tcW w:w="256"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628E787">
                  <w:pPr>
                    <w:jc w:val="center"/>
                    <w:rPr>
                      <w:szCs w:val="21"/>
                    </w:rPr>
                  </w:pPr>
                  <w:r>
                    <w:rPr>
                      <w:rFonts w:hint="eastAsia"/>
                      <w:szCs w:val="21"/>
                    </w:rPr>
                    <w:t>1m</w:t>
                  </w:r>
                </w:p>
              </w:tc>
            </w:tr>
            <w:tr w14:paraId="03297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270" w:type="pct"/>
                  <w:vMerge w:val="continue"/>
                  <w:tcBorders>
                    <w:left w:val="single" w:color="auto" w:sz="4" w:space="0"/>
                    <w:right w:val="single" w:color="auto" w:sz="4" w:space="0"/>
                  </w:tcBorders>
                  <w:shd w:val="clear" w:color="auto" w:fill="FFFFFF"/>
                  <w:tcMar>
                    <w:top w:w="0" w:type="dxa"/>
                    <w:left w:w="0" w:type="dxa"/>
                    <w:bottom w:w="0" w:type="dxa"/>
                    <w:right w:w="0" w:type="dxa"/>
                  </w:tcMar>
                  <w:vAlign w:val="center"/>
                </w:tcPr>
                <w:p w14:paraId="3DEFE197">
                  <w:pPr>
                    <w:jc w:val="center"/>
                    <w:rPr>
                      <w:szCs w:val="21"/>
                    </w:rPr>
                  </w:pPr>
                </w:p>
              </w:tc>
              <w:tc>
                <w:tcPr>
                  <w:tcW w:w="352"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FB56125">
                  <w:pPr>
                    <w:jc w:val="center"/>
                    <w:rPr>
                      <w:szCs w:val="21"/>
                    </w:rPr>
                  </w:pPr>
                  <w:r>
                    <w:rPr>
                      <w:szCs w:val="21"/>
                    </w:rPr>
                    <w:t>熬制炉</w:t>
                  </w:r>
                </w:p>
              </w:tc>
              <w:tc>
                <w:tcPr>
                  <w:tcW w:w="283"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0AED40B">
                  <w:pPr>
                    <w:jc w:val="center"/>
                    <w:rPr>
                      <w:szCs w:val="21"/>
                    </w:rPr>
                  </w:pPr>
                  <w:r>
                    <w:rPr>
                      <w:rFonts w:hint="eastAsia"/>
                      <w:szCs w:val="21"/>
                    </w:rPr>
                    <w:t>5</w:t>
                  </w:r>
                </w:p>
              </w:tc>
              <w:tc>
                <w:tcPr>
                  <w:tcW w:w="226"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4A9B122">
                  <w:pPr>
                    <w:jc w:val="center"/>
                    <w:rPr>
                      <w:szCs w:val="21"/>
                    </w:rPr>
                  </w:pPr>
                  <w:r>
                    <w:rPr>
                      <w:rFonts w:hint="eastAsia"/>
                      <w:szCs w:val="21"/>
                    </w:rPr>
                    <w:t>75</w:t>
                  </w:r>
                </w:p>
              </w:tc>
              <w:tc>
                <w:tcPr>
                  <w:tcW w:w="406" w:type="pct"/>
                  <w:vMerge w:val="continue"/>
                  <w:tcBorders>
                    <w:left w:val="single" w:color="auto" w:sz="4" w:space="0"/>
                    <w:right w:val="single" w:color="auto" w:sz="4" w:space="0"/>
                  </w:tcBorders>
                  <w:shd w:val="clear" w:color="auto" w:fill="FFFFFF"/>
                  <w:tcMar>
                    <w:top w:w="0" w:type="dxa"/>
                    <w:left w:w="0" w:type="dxa"/>
                    <w:bottom w:w="0" w:type="dxa"/>
                    <w:right w:w="0" w:type="dxa"/>
                  </w:tcMar>
                  <w:vAlign w:val="center"/>
                </w:tcPr>
                <w:p w14:paraId="0EB751A2">
                  <w:pPr>
                    <w:jc w:val="center"/>
                    <w:rPr>
                      <w:szCs w:val="21"/>
                    </w:rPr>
                  </w:pPr>
                </w:p>
              </w:tc>
              <w:tc>
                <w:tcPr>
                  <w:tcW w:w="220"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0F89C44">
                  <w:pPr>
                    <w:jc w:val="center"/>
                    <w:rPr>
                      <w:szCs w:val="21"/>
                    </w:rPr>
                  </w:pPr>
                  <w:r>
                    <w:rPr>
                      <w:rFonts w:hint="eastAsia"/>
                      <w:szCs w:val="21"/>
                    </w:rPr>
                    <w:t>30</w:t>
                  </w:r>
                </w:p>
              </w:tc>
              <w:tc>
                <w:tcPr>
                  <w:tcW w:w="220"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4A1F91D">
                  <w:pPr>
                    <w:jc w:val="center"/>
                    <w:rPr>
                      <w:szCs w:val="21"/>
                    </w:rPr>
                  </w:pPr>
                  <w:r>
                    <w:rPr>
                      <w:rFonts w:hint="eastAsia"/>
                      <w:szCs w:val="21"/>
                    </w:rPr>
                    <w:t>12</w:t>
                  </w:r>
                </w:p>
              </w:tc>
              <w:tc>
                <w:tcPr>
                  <w:tcW w:w="163"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0764081">
                  <w:pPr>
                    <w:jc w:val="center"/>
                    <w:rPr>
                      <w:szCs w:val="21"/>
                    </w:rPr>
                  </w:pPr>
                  <w:r>
                    <w:rPr>
                      <w:rFonts w:hint="eastAsia"/>
                      <w:szCs w:val="21"/>
                    </w:rPr>
                    <w:t>1.5</w:t>
                  </w:r>
                </w:p>
              </w:tc>
              <w:tc>
                <w:tcPr>
                  <w:tcW w:w="224"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2D377FE">
                  <w:pPr>
                    <w:jc w:val="center"/>
                    <w:rPr>
                      <w:szCs w:val="21"/>
                    </w:rPr>
                  </w:pPr>
                  <w:r>
                    <w:rPr>
                      <w:rFonts w:hint="eastAsia"/>
                      <w:szCs w:val="21"/>
                    </w:rPr>
                    <w:t>12</w:t>
                  </w:r>
                </w:p>
              </w:tc>
              <w:tc>
                <w:tcPr>
                  <w:tcW w:w="217"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E0AB1FB">
                  <w:pPr>
                    <w:jc w:val="center"/>
                    <w:rPr>
                      <w:szCs w:val="21"/>
                    </w:rPr>
                  </w:pPr>
                  <w:r>
                    <w:rPr>
                      <w:rFonts w:hint="eastAsia"/>
                      <w:szCs w:val="21"/>
                    </w:rPr>
                    <w:t>8</w:t>
                  </w:r>
                </w:p>
              </w:tc>
              <w:tc>
                <w:tcPr>
                  <w:tcW w:w="218"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F2AD233">
                  <w:pPr>
                    <w:jc w:val="center"/>
                    <w:rPr>
                      <w:szCs w:val="21"/>
                    </w:rPr>
                  </w:pPr>
                  <w:r>
                    <w:rPr>
                      <w:rFonts w:hint="eastAsia"/>
                      <w:szCs w:val="21"/>
                    </w:rPr>
                    <w:t>30</w:t>
                  </w:r>
                </w:p>
              </w:tc>
              <w:tc>
                <w:tcPr>
                  <w:tcW w:w="218"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0BEC270">
                  <w:pPr>
                    <w:jc w:val="center"/>
                    <w:rPr>
                      <w:szCs w:val="21"/>
                    </w:rPr>
                  </w:pPr>
                  <w:r>
                    <w:rPr>
                      <w:rFonts w:hint="eastAsia"/>
                      <w:szCs w:val="21"/>
                    </w:rPr>
                    <w:t>20</w:t>
                  </w:r>
                </w:p>
              </w:tc>
              <w:tc>
                <w:tcPr>
                  <w:tcW w:w="204"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0DDD092">
                  <w:pPr>
                    <w:jc w:val="center"/>
                    <w:rPr>
                      <w:szCs w:val="21"/>
                    </w:rPr>
                  </w:pPr>
                  <w:r>
                    <w:rPr>
                      <w:rFonts w:hint="eastAsia"/>
                      <w:szCs w:val="21"/>
                    </w:rPr>
                    <w:t>53.4</w:t>
                  </w:r>
                </w:p>
              </w:tc>
              <w:tc>
                <w:tcPr>
                  <w:tcW w:w="176"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952E771">
                  <w:pPr>
                    <w:jc w:val="center"/>
                    <w:rPr>
                      <w:szCs w:val="21"/>
                    </w:rPr>
                  </w:pPr>
                  <w:r>
                    <w:rPr>
                      <w:rFonts w:hint="eastAsia"/>
                      <w:szCs w:val="21"/>
                    </w:rPr>
                    <w:t>56.9</w:t>
                  </w:r>
                </w:p>
              </w:tc>
              <w:tc>
                <w:tcPr>
                  <w:tcW w:w="163"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08FCD18">
                  <w:pPr>
                    <w:jc w:val="center"/>
                    <w:rPr>
                      <w:szCs w:val="21"/>
                    </w:rPr>
                  </w:pPr>
                  <w:r>
                    <w:rPr>
                      <w:rFonts w:hint="eastAsia"/>
                      <w:szCs w:val="21"/>
                    </w:rPr>
                    <w:t>45.5</w:t>
                  </w:r>
                </w:p>
              </w:tc>
              <w:tc>
                <w:tcPr>
                  <w:tcW w:w="218"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82651C7">
                  <w:pPr>
                    <w:jc w:val="center"/>
                    <w:rPr>
                      <w:szCs w:val="21"/>
                    </w:rPr>
                  </w:pPr>
                  <w:r>
                    <w:rPr>
                      <w:rFonts w:hint="eastAsia"/>
                      <w:szCs w:val="21"/>
                    </w:rPr>
                    <w:t>49</w:t>
                  </w:r>
                </w:p>
              </w:tc>
              <w:tc>
                <w:tcPr>
                  <w:tcW w:w="234"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D7028F5">
                  <w:pPr>
                    <w:jc w:val="center"/>
                    <w:rPr>
                      <w:szCs w:val="21"/>
                    </w:rPr>
                  </w:pPr>
                  <w:r>
                    <w:rPr>
                      <w:rFonts w:hint="eastAsia"/>
                      <w:szCs w:val="21"/>
                    </w:rPr>
                    <w:t>20</w:t>
                  </w:r>
                </w:p>
              </w:tc>
              <w:tc>
                <w:tcPr>
                  <w:tcW w:w="226"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3E51027">
                  <w:pPr>
                    <w:jc w:val="center"/>
                    <w:rPr>
                      <w:rFonts w:ascii="宋体" w:hAnsi="宋体" w:cs="宋体"/>
                      <w:color w:val="000000"/>
                      <w:sz w:val="22"/>
                      <w:szCs w:val="22"/>
                    </w:rPr>
                  </w:pPr>
                  <w:r>
                    <w:rPr>
                      <w:rFonts w:hint="eastAsia"/>
                      <w:color w:val="000000"/>
                      <w:sz w:val="22"/>
                      <w:szCs w:val="22"/>
                    </w:rPr>
                    <w:t>33.4</w:t>
                  </w:r>
                </w:p>
              </w:tc>
              <w:tc>
                <w:tcPr>
                  <w:tcW w:w="187"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015B671">
                  <w:pPr>
                    <w:jc w:val="center"/>
                    <w:rPr>
                      <w:rFonts w:ascii="宋体" w:hAnsi="宋体" w:cs="宋体"/>
                      <w:color w:val="000000"/>
                      <w:sz w:val="22"/>
                      <w:szCs w:val="22"/>
                    </w:rPr>
                  </w:pPr>
                  <w:r>
                    <w:rPr>
                      <w:rFonts w:hint="eastAsia"/>
                      <w:color w:val="000000"/>
                      <w:sz w:val="22"/>
                      <w:szCs w:val="22"/>
                    </w:rPr>
                    <w:t>36.9</w:t>
                  </w:r>
                </w:p>
              </w:tc>
              <w:tc>
                <w:tcPr>
                  <w:tcW w:w="157"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8149F30">
                  <w:pPr>
                    <w:jc w:val="center"/>
                    <w:rPr>
                      <w:rFonts w:ascii="宋体" w:hAnsi="宋体" w:cs="宋体"/>
                      <w:color w:val="000000"/>
                      <w:sz w:val="22"/>
                      <w:szCs w:val="22"/>
                    </w:rPr>
                  </w:pPr>
                  <w:r>
                    <w:rPr>
                      <w:rFonts w:hint="eastAsia"/>
                      <w:color w:val="000000"/>
                      <w:sz w:val="22"/>
                      <w:szCs w:val="22"/>
                    </w:rPr>
                    <w:t>25.5</w:t>
                  </w:r>
                </w:p>
              </w:tc>
              <w:tc>
                <w:tcPr>
                  <w:tcW w:w="161"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3E85CB4">
                  <w:pPr>
                    <w:jc w:val="center"/>
                    <w:rPr>
                      <w:rFonts w:ascii="宋体" w:hAnsi="宋体" w:cs="宋体"/>
                      <w:color w:val="000000"/>
                      <w:sz w:val="22"/>
                      <w:szCs w:val="22"/>
                    </w:rPr>
                  </w:pPr>
                  <w:r>
                    <w:rPr>
                      <w:rFonts w:hint="eastAsia"/>
                      <w:color w:val="000000"/>
                      <w:sz w:val="22"/>
                      <w:szCs w:val="22"/>
                    </w:rPr>
                    <w:t>29</w:t>
                  </w:r>
                </w:p>
              </w:tc>
              <w:tc>
                <w:tcPr>
                  <w:tcW w:w="256"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B7DAD5D">
                  <w:pPr>
                    <w:jc w:val="center"/>
                    <w:rPr>
                      <w:szCs w:val="21"/>
                    </w:rPr>
                  </w:pPr>
                  <w:r>
                    <w:rPr>
                      <w:rFonts w:hint="eastAsia"/>
                      <w:szCs w:val="21"/>
                    </w:rPr>
                    <w:t>1m</w:t>
                  </w:r>
                </w:p>
              </w:tc>
            </w:tr>
            <w:tr w14:paraId="56A1D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270" w:type="pct"/>
                  <w:vMerge w:val="continue"/>
                  <w:tcBorders>
                    <w:left w:val="single" w:color="auto" w:sz="4" w:space="0"/>
                    <w:right w:val="single" w:color="auto" w:sz="4" w:space="0"/>
                  </w:tcBorders>
                  <w:shd w:val="clear" w:color="auto" w:fill="FFFFFF"/>
                  <w:tcMar>
                    <w:top w:w="0" w:type="dxa"/>
                    <w:left w:w="0" w:type="dxa"/>
                    <w:bottom w:w="0" w:type="dxa"/>
                    <w:right w:w="0" w:type="dxa"/>
                  </w:tcMar>
                  <w:vAlign w:val="center"/>
                </w:tcPr>
                <w:p w14:paraId="4405B267">
                  <w:pPr>
                    <w:jc w:val="center"/>
                    <w:rPr>
                      <w:szCs w:val="21"/>
                    </w:rPr>
                  </w:pPr>
                </w:p>
              </w:tc>
              <w:tc>
                <w:tcPr>
                  <w:tcW w:w="352"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F360A64">
                  <w:pPr>
                    <w:jc w:val="center"/>
                    <w:rPr>
                      <w:szCs w:val="21"/>
                    </w:rPr>
                  </w:pPr>
                  <w:r>
                    <w:rPr>
                      <w:rFonts w:hint="eastAsia"/>
                      <w:szCs w:val="21"/>
                    </w:rPr>
                    <w:t>油渣分</w:t>
                  </w:r>
                </w:p>
                <w:p w14:paraId="56D7788D">
                  <w:pPr>
                    <w:jc w:val="center"/>
                    <w:rPr>
                      <w:szCs w:val="21"/>
                    </w:rPr>
                  </w:pPr>
                  <w:r>
                    <w:rPr>
                      <w:rFonts w:hint="eastAsia"/>
                      <w:szCs w:val="21"/>
                    </w:rPr>
                    <w:t>离机</w:t>
                  </w:r>
                </w:p>
              </w:tc>
              <w:tc>
                <w:tcPr>
                  <w:tcW w:w="283"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54B37E8">
                  <w:pPr>
                    <w:jc w:val="center"/>
                    <w:rPr>
                      <w:szCs w:val="21"/>
                    </w:rPr>
                  </w:pPr>
                  <w:r>
                    <w:rPr>
                      <w:rFonts w:hint="eastAsia"/>
                      <w:szCs w:val="21"/>
                    </w:rPr>
                    <w:t>2</w:t>
                  </w:r>
                </w:p>
              </w:tc>
              <w:tc>
                <w:tcPr>
                  <w:tcW w:w="226"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87FDDC6">
                  <w:pPr>
                    <w:jc w:val="center"/>
                    <w:rPr>
                      <w:szCs w:val="21"/>
                    </w:rPr>
                  </w:pPr>
                  <w:r>
                    <w:rPr>
                      <w:rFonts w:hint="eastAsia"/>
                      <w:szCs w:val="21"/>
                    </w:rPr>
                    <w:t>70</w:t>
                  </w:r>
                </w:p>
              </w:tc>
              <w:tc>
                <w:tcPr>
                  <w:tcW w:w="406" w:type="pct"/>
                  <w:vMerge w:val="continue"/>
                  <w:tcBorders>
                    <w:left w:val="single" w:color="auto" w:sz="4" w:space="0"/>
                    <w:right w:val="single" w:color="auto" w:sz="4" w:space="0"/>
                  </w:tcBorders>
                  <w:shd w:val="clear" w:color="auto" w:fill="FFFFFF"/>
                  <w:tcMar>
                    <w:top w:w="0" w:type="dxa"/>
                    <w:left w:w="0" w:type="dxa"/>
                    <w:bottom w:w="0" w:type="dxa"/>
                    <w:right w:w="0" w:type="dxa"/>
                  </w:tcMar>
                  <w:vAlign w:val="center"/>
                </w:tcPr>
                <w:p w14:paraId="0B0C7AEC">
                  <w:pPr>
                    <w:jc w:val="center"/>
                    <w:rPr>
                      <w:szCs w:val="21"/>
                    </w:rPr>
                  </w:pPr>
                </w:p>
              </w:tc>
              <w:tc>
                <w:tcPr>
                  <w:tcW w:w="220"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C33CDF6">
                  <w:pPr>
                    <w:jc w:val="center"/>
                    <w:rPr>
                      <w:szCs w:val="21"/>
                    </w:rPr>
                  </w:pPr>
                  <w:r>
                    <w:rPr>
                      <w:rFonts w:hint="eastAsia"/>
                      <w:szCs w:val="21"/>
                    </w:rPr>
                    <w:t>24</w:t>
                  </w:r>
                </w:p>
              </w:tc>
              <w:tc>
                <w:tcPr>
                  <w:tcW w:w="220"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8B05B8C">
                  <w:pPr>
                    <w:jc w:val="center"/>
                    <w:rPr>
                      <w:szCs w:val="21"/>
                    </w:rPr>
                  </w:pPr>
                  <w:r>
                    <w:rPr>
                      <w:rFonts w:hint="eastAsia"/>
                      <w:szCs w:val="21"/>
                    </w:rPr>
                    <w:t>8</w:t>
                  </w:r>
                </w:p>
              </w:tc>
              <w:tc>
                <w:tcPr>
                  <w:tcW w:w="163"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9EB2797">
                  <w:pPr>
                    <w:jc w:val="center"/>
                    <w:rPr>
                      <w:szCs w:val="21"/>
                    </w:rPr>
                  </w:pPr>
                  <w:r>
                    <w:rPr>
                      <w:rFonts w:hint="eastAsia"/>
                      <w:szCs w:val="21"/>
                    </w:rPr>
                    <w:t>1.5</w:t>
                  </w:r>
                </w:p>
              </w:tc>
              <w:tc>
                <w:tcPr>
                  <w:tcW w:w="224"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3BA6C54">
                  <w:pPr>
                    <w:jc w:val="center"/>
                    <w:rPr>
                      <w:szCs w:val="21"/>
                    </w:rPr>
                  </w:pPr>
                  <w:r>
                    <w:rPr>
                      <w:rFonts w:hint="eastAsia"/>
                      <w:szCs w:val="21"/>
                    </w:rPr>
                    <w:t>26</w:t>
                  </w:r>
                </w:p>
              </w:tc>
              <w:tc>
                <w:tcPr>
                  <w:tcW w:w="217"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AF8A7B3">
                  <w:pPr>
                    <w:jc w:val="center"/>
                    <w:rPr>
                      <w:szCs w:val="21"/>
                    </w:rPr>
                  </w:pPr>
                  <w:r>
                    <w:rPr>
                      <w:rFonts w:hint="eastAsia"/>
                      <w:szCs w:val="21"/>
                    </w:rPr>
                    <w:t>6</w:t>
                  </w:r>
                </w:p>
              </w:tc>
              <w:tc>
                <w:tcPr>
                  <w:tcW w:w="218"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24E0D89">
                  <w:pPr>
                    <w:jc w:val="center"/>
                    <w:rPr>
                      <w:szCs w:val="21"/>
                    </w:rPr>
                  </w:pPr>
                  <w:r>
                    <w:rPr>
                      <w:rFonts w:hint="eastAsia"/>
                      <w:szCs w:val="21"/>
                    </w:rPr>
                    <w:t>24</w:t>
                  </w:r>
                </w:p>
              </w:tc>
              <w:tc>
                <w:tcPr>
                  <w:tcW w:w="218"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D79A229">
                  <w:pPr>
                    <w:jc w:val="center"/>
                    <w:rPr>
                      <w:szCs w:val="21"/>
                    </w:rPr>
                  </w:pPr>
                  <w:r>
                    <w:rPr>
                      <w:rFonts w:hint="eastAsia"/>
                      <w:szCs w:val="21"/>
                    </w:rPr>
                    <w:t>16</w:t>
                  </w:r>
                </w:p>
              </w:tc>
              <w:tc>
                <w:tcPr>
                  <w:tcW w:w="204"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50B2308">
                  <w:pPr>
                    <w:jc w:val="center"/>
                    <w:rPr>
                      <w:szCs w:val="21"/>
                    </w:rPr>
                  </w:pPr>
                  <w:r>
                    <w:rPr>
                      <w:rFonts w:hint="eastAsia"/>
                      <w:szCs w:val="21"/>
                    </w:rPr>
                    <w:t>41.7</w:t>
                  </w:r>
                </w:p>
              </w:tc>
              <w:tc>
                <w:tcPr>
                  <w:tcW w:w="176"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E72C149">
                  <w:pPr>
                    <w:jc w:val="center"/>
                    <w:rPr>
                      <w:szCs w:val="21"/>
                    </w:rPr>
                  </w:pPr>
                  <w:r>
                    <w:rPr>
                      <w:rFonts w:hint="eastAsia"/>
                      <w:szCs w:val="21"/>
                    </w:rPr>
                    <w:t>54.4</w:t>
                  </w:r>
                </w:p>
              </w:tc>
              <w:tc>
                <w:tcPr>
                  <w:tcW w:w="163"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E78EB55">
                  <w:pPr>
                    <w:jc w:val="center"/>
                    <w:rPr>
                      <w:szCs w:val="21"/>
                    </w:rPr>
                  </w:pPr>
                  <w:r>
                    <w:rPr>
                      <w:rFonts w:hint="eastAsia"/>
                      <w:szCs w:val="21"/>
                    </w:rPr>
                    <w:t>42.4</w:t>
                  </w:r>
                </w:p>
              </w:tc>
              <w:tc>
                <w:tcPr>
                  <w:tcW w:w="218"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0C2FE8B">
                  <w:pPr>
                    <w:jc w:val="center"/>
                    <w:rPr>
                      <w:szCs w:val="21"/>
                    </w:rPr>
                  </w:pPr>
                  <w:r>
                    <w:rPr>
                      <w:rFonts w:hint="eastAsia"/>
                      <w:szCs w:val="21"/>
                    </w:rPr>
                    <w:t>45.9</w:t>
                  </w:r>
                </w:p>
              </w:tc>
              <w:tc>
                <w:tcPr>
                  <w:tcW w:w="234"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651E66A">
                  <w:pPr>
                    <w:jc w:val="center"/>
                    <w:rPr>
                      <w:szCs w:val="21"/>
                    </w:rPr>
                  </w:pPr>
                  <w:r>
                    <w:rPr>
                      <w:rFonts w:hint="eastAsia"/>
                      <w:szCs w:val="21"/>
                    </w:rPr>
                    <w:t>20</w:t>
                  </w:r>
                </w:p>
              </w:tc>
              <w:tc>
                <w:tcPr>
                  <w:tcW w:w="226"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776F677">
                  <w:pPr>
                    <w:jc w:val="center"/>
                    <w:rPr>
                      <w:rFonts w:ascii="宋体" w:hAnsi="宋体" w:cs="宋体"/>
                      <w:color w:val="000000"/>
                      <w:sz w:val="22"/>
                      <w:szCs w:val="22"/>
                    </w:rPr>
                  </w:pPr>
                  <w:r>
                    <w:rPr>
                      <w:rFonts w:hint="eastAsia"/>
                      <w:color w:val="000000"/>
                      <w:sz w:val="22"/>
                      <w:szCs w:val="22"/>
                    </w:rPr>
                    <w:t>21.7</w:t>
                  </w:r>
                </w:p>
              </w:tc>
              <w:tc>
                <w:tcPr>
                  <w:tcW w:w="187"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9858DC7">
                  <w:pPr>
                    <w:jc w:val="center"/>
                    <w:rPr>
                      <w:rFonts w:ascii="宋体" w:hAnsi="宋体" w:cs="宋体"/>
                      <w:color w:val="000000"/>
                      <w:sz w:val="22"/>
                      <w:szCs w:val="22"/>
                    </w:rPr>
                  </w:pPr>
                  <w:r>
                    <w:rPr>
                      <w:rFonts w:hint="eastAsia"/>
                      <w:color w:val="000000"/>
                      <w:sz w:val="22"/>
                      <w:szCs w:val="22"/>
                    </w:rPr>
                    <w:t>34.4</w:t>
                  </w:r>
                </w:p>
              </w:tc>
              <w:tc>
                <w:tcPr>
                  <w:tcW w:w="157"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B3680FD">
                  <w:pPr>
                    <w:jc w:val="center"/>
                    <w:rPr>
                      <w:rFonts w:ascii="宋体" w:hAnsi="宋体" w:cs="宋体"/>
                      <w:color w:val="000000"/>
                      <w:sz w:val="22"/>
                      <w:szCs w:val="22"/>
                    </w:rPr>
                  </w:pPr>
                  <w:r>
                    <w:rPr>
                      <w:rFonts w:hint="eastAsia"/>
                      <w:color w:val="000000"/>
                      <w:sz w:val="22"/>
                      <w:szCs w:val="22"/>
                    </w:rPr>
                    <w:t>22.4</w:t>
                  </w:r>
                </w:p>
              </w:tc>
              <w:tc>
                <w:tcPr>
                  <w:tcW w:w="161"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36A350B">
                  <w:pPr>
                    <w:jc w:val="center"/>
                    <w:rPr>
                      <w:rFonts w:ascii="宋体" w:hAnsi="宋体" w:cs="宋体"/>
                      <w:color w:val="000000"/>
                      <w:sz w:val="22"/>
                      <w:szCs w:val="22"/>
                    </w:rPr>
                  </w:pPr>
                  <w:r>
                    <w:rPr>
                      <w:rFonts w:hint="eastAsia"/>
                      <w:color w:val="000000"/>
                      <w:sz w:val="22"/>
                      <w:szCs w:val="22"/>
                    </w:rPr>
                    <w:t>25.9</w:t>
                  </w:r>
                </w:p>
              </w:tc>
              <w:tc>
                <w:tcPr>
                  <w:tcW w:w="256"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FBA2248">
                  <w:pPr>
                    <w:jc w:val="center"/>
                    <w:rPr>
                      <w:szCs w:val="21"/>
                    </w:rPr>
                  </w:pPr>
                  <w:r>
                    <w:rPr>
                      <w:rFonts w:hint="eastAsia"/>
                      <w:szCs w:val="21"/>
                    </w:rPr>
                    <w:t>1m</w:t>
                  </w:r>
                </w:p>
              </w:tc>
            </w:tr>
            <w:tr w14:paraId="293E5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270" w:type="pct"/>
                  <w:vMerge w:val="continue"/>
                  <w:tcBorders>
                    <w:left w:val="single" w:color="auto" w:sz="4" w:space="0"/>
                    <w:right w:val="single" w:color="auto" w:sz="4" w:space="0"/>
                  </w:tcBorders>
                  <w:shd w:val="clear" w:color="auto" w:fill="FFFFFF"/>
                  <w:tcMar>
                    <w:top w:w="0" w:type="dxa"/>
                    <w:left w:w="0" w:type="dxa"/>
                    <w:bottom w:w="0" w:type="dxa"/>
                    <w:right w:w="0" w:type="dxa"/>
                  </w:tcMar>
                  <w:vAlign w:val="center"/>
                </w:tcPr>
                <w:p w14:paraId="27E9D1CB">
                  <w:pPr>
                    <w:jc w:val="center"/>
                    <w:rPr>
                      <w:szCs w:val="21"/>
                    </w:rPr>
                  </w:pPr>
                </w:p>
              </w:tc>
              <w:tc>
                <w:tcPr>
                  <w:tcW w:w="352"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DC06C41">
                  <w:pPr>
                    <w:jc w:val="center"/>
                    <w:rPr>
                      <w:szCs w:val="21"/>
                    </w:rPr>
                  </w:pPr>
                  <w:r>
                    <w:rPr>
                      <w:rFonts w:hint="eastAsia"/>
                      <w:szCs w:val="21"/>
                    </w:rPr>
                    <w:t>压饼机</w:t>
                  </w:r>
                </w:p>
              </w:tc>
              <w:tc>
                <w:tcPr>
                  <w:tcW w:w="283"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933B968">
                  <w:pPr>
                    <w:jc w:val="center"/>
                    <w:rPr>
                      <w:szCs w:val="21"/>
                    </w:rPr>
                  </w:pPr>
                  <w:r>
                    <w:rPr>
                      <w:rFonts w:hint="eastAsia"/>
                      <w:szCs w:val="21"/>
                    </w:rPr>
                    <w:t>5</w:t>
                  </w:r>
                </w:p>
              </w:tc>
              <w:tc>
                <w:tcPr>
                  <w:tcW w:w="226"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13F7E5C">
                  <w:pPr>
                    <w:jc w:val="center"/>
                    <w:rPr>
                      <w:szCs w:val="21"/>
                    </w:rPr>
                  </w:pPr>
                  <w:r>
                    <w:rPr>
                      <w:rFonts w:hint="eastAsia"/>
                      <w:szCs w:val="21"/>
                    </w:rPr>
                    <w:t>75</w:t>
                  </w:r>
                </w:p>
              </w:tc>
              <w:tc>
                <w:tcPr>
                  <w:tcW w:w="406" w:type="pct"/>
                  <w:vMerge w:val="continue"/>
                  <w:tcBorders>
                    <w:left w:val="single" w:color="auto" w:sz="4" w:space="0"/>
                    <w:right w:val="single" w:color="auto" w:sz="4" w:space="0"/>
                  </w:tcBorders>
                  <w:shd w:val="clear" w:color="auto" w:fill="FFFFFF"/>
                  <w:tcMar>
                    <w:top w:w="0" w:type="dxa"/>
                    <w:left w:w="0" w:type="dxa"/>
                    <w:bottom w:w="0" w:type="dxa"/>
                    <w:right w:w="0" w:type="dxa"/>
                  </w:tcMar>
                  <w:vAlign w:val="center"/>
                </w:tcPr>
                <w:p w14:paraId="2FB266E2">
                  <w:pPr>
                    <w:jc w:val="center"/>
                    <w:rPr>
                      <w:szCs w:val="21"/>
                    </w:rPr>
                  </w:pPr>
                </w:p>
              </w:tc>
              <w:tc>
                <w:tcPr>
                  <w:tcW w:w="220"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010B654">
                  <w:pPr>
                    <w:jc w:val="center"/>
                    <w:rPr>
                      <w:szCs w:val="21"/>
                    </w:rPr>
                  </w:pPr>
                  <w:r>
                    <w:rPr>
                      <w:rFonts w:hint="eastAsia"/>
                      <w:szCs w:val="21"/>
                    </w:rPr>
                    <w:t>16</w:t>
                  </w:r>
                </w:p>
              </w:tc>
              <w:tc>
                <w:tcPr>
                  <w:tcW w:w="220"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8DD20F9">
                  <w:pPr>
                    <w:jc w:val="center"/>
                    <w:rPr>
                      <w:szCs w:val="21"/>
                    </w:rPr>
                  </w:pPr>
                  <w:r>
                    <w:rPr>
                      <w:rFonts w:hint="eastAsia"/>
                      <w:szCs w:val="21"/>
                    </w:rPr>
                    <w:t>5</w:t>
                  </w:r>
                </w:p>
              </w:tc>
              <w:tc>
                <w:tcPr>
                  <w:tcW w:w="163"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0F72540">
                  <w:pPr>
                    <w:jc w:val="center"/>
                    <w:rPr>
                      <w:szCs w:val="21"/>
                    </w:rPr>
                  </w:pPr>
                  <w:r>
                    <w:rPr>
                      <w:rFonts w:hint="eastAsia"/>
                      <w:szCs w:val="21"/>
                    </w:rPr>
                    <w:t>1.5</w:t>
                  </w:r>
                </w:p>
              </w:tc>
              <w:tc>
                <w:tcPr>
                  <w:tcW w:w="224"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0524DF6">
                  <w:pPr>
                    <w:jc w:val="center"/>
                    <w:rPr>
                      <w:szCs w:val="21"/>
                    </w:rPr>
                  </w:pPr>
                  <w:r>
                    <w:rPr>
                      <w:rFonts w:hint="eastAsia"/>
                      <w:szCs w:val="21"/>
                    </w:rPr>
                    <w:t>30</w:t>
                  </w:r>
                </w:p>
              </w:tc>
              <w:tc>
                <w:tcPr>
                  <w:tcW w:w="217"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3E9A455">
                  <w:pPr>
                    <w:jc w:val="center"/>
                    <w:rPr>
                      <w:szCs w:val="21"/>
                    </w:rPr>
                  </w:pPr>
                  <w:r>
                    <w:rPr>
                      <w:rFonts w:hint="eastAsia"/>
                      <w:szCs w:val="21"/>
                    </w:rPr>
                    <w:t>5</w:t>
                  </w:r>
                </w:p>
              </w:tc>
              <w:tc>
                <w:tcPr>
                  <w:tcW w:w="218"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48F5DB7">
                  <w:pPr>
                    <w:jc w:val="center"/>
                    <w:rPr>
                      <w:szCs w:val="21"/>
                    </w:rPr>
                  </w:pPr>
                  <w:r>
                    <w:rPr>
                      <w:rFonts w:hint="eastAsia"/>
                      <w:szCs w:val="21"/>
                    </w:rPr>
                    <w:t>16</w:t>
                  </w:r>
                </w:p>
              </w:tc>
              <w:tc>
                <w:tcPr>
                  <w:tcW w:w="218"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110C617">
                  <w:pPr>
                    <w:jc w:val="center"/>
                    <w:rPr>
                      <w:szCs w:val="21"/>
                    </w:rPr>
                  </w:pPr>
                  <w:r>
                    <w:rPr>
                      <w:rFonts w:hint="eastAsia"/>
                      <w:szCs w:val="21"/>
                    </w:rPr>
                    <w:t>22</w:t>
                  </w:r>
                </w:p>
              </w:tc>
              <w:tc>
                <w:tcPr>
                  <w:tcW w:w="204"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987B338">
                  <w:pPr>
                    <w:jc w:val="center"/>
                    <w:rPr>
                      <w:szCs w:val="21"/>
                    </w:rPr>
                  </w:pPr>
                  <w:r>
                    <w:rPr>
                      <w:rFonts w:hint="eastAsia"/>
                      <w:szCs w:val="21"/>
                    </w:rPr>
                    <w:t>45.5</w:t>
                  </w:r>
                </w:p>
              </w:tc>
              <w:tc>
                <w:tcPr>
                  <w:tcW w:w="176"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0C2E385">
                  <w:pPr>
                    <w:jc w:val="center"/>
                    <w:rPr>
                      <w:szCs w:val="21"/>
                    </w:rPr>
                  </w:pPr>
                  <w:r>
                    <w:rPr>
                      <w:rFonts w:hint="eastAsia"/>
                      <w:szCs w:val="21"/>
                    </w:rPr>
                    <w:t>61</w:t>
                  </w:r>
                </w:p>
              </w:tc>
              <w:tc>
                <w:tcPr>
                  <w:tcW w:w="163"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A345819">
                  <w:pPr>
                    <w:jc w:val="center"/>
                    <w:rPr>
                      <w:szCs w:val="21"/>
                    </w:rPr>
                  </w:pPr>
                  <w:r>
                    <w:rPr>
                      <w:rFonts w:hint="eastAsia"/>
                      <w:szCs w:val="21"/>
                    </w:rPr>
                    <w:t>50.9</w:t>
                  </w:r>
                </w:p>
              </w:tc>
              <w:tc>
                <w:tcPr>
                  <w:tcW w:w="218"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F32A45F">
                  <w:pPr>
                    <w:jc w:val="center"/>
                    <w:rPr>
                      <w:szCs w:val="21"/>
                    </w:rPr>
                  </w:pPr>
                  <w:r>
                    <w:rPr>
                      <w:rFonts w:hint="eastAsia"/>
                      <w:szCs w:val="21"/>
                    </w:rPr>
                    <w:t>48.2</w:t>
                  </w:r>
                </w:p>
              </w:tc>
              <w:tc>
                <w:tcPr>
                  <w:tcW w:w="234"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D88FB08">
                  <w:pPr>
                    <w:jc w:val="center"/>
                    <w:rPr>
                      <w:szCs w:val="21"/>
                    </w:rPr>
                  </w:pPr>
                  <w:r>
                    <w:rPr>
                      <w:rFonts w:hint="eastAsia"/>
                      <w:szCs w:val="21"/>
                    </w:rPr>
                    <w:t>20</w:t>
                  </w:r>
                </w:p>
              </w:tc>
              <w:tc>
                <w:tcPr>
                  <w:tcW w:w="226"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7798A70">
                  <w:pPr>
                    <w:jc w:val="center"/>
                    <w:rPr>
                      <w:rFonts w:ascii="宋体" w:hAnsi="宋体" w:cs="宋体"/>
                      <w:color w:val="000000"/>
                      <w:sz w:val="22"/>
                      <w:szCs w:val="22"/>
                    </w:rPr>
                  </w:pPr>
                  <w:r>
                    <w:rPr>
                      <w:rFonts w:hint="eastAsia"/>
                      <w:color w:val="000000"/>
                      <w:sz w:val="22"/>
                      <w:szCs w:val="22"/>
                    </w:rPr>
                    <w:t>25.5</w:t>
                  </w:r>
                </w:p>
              </w:tc>
              <w:tc>
                <w:tcPr>
                  <w:tcW w:w="187"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76A8B0C">
                  <w:pPr>
                    <w:jc w:val="center"/>
                    <w:rPr>
                      <w:rFonts w:ascii="宋体" w:hAnsi="宋体" w:cs="宋体"/>
                      <w:color w:val="000000"/>
                      <w:sz w:val="22"/>
                      <w:szCs w:val="22"/>
                    </w:rPr>
                  </w:pPr>
                  <w:r>
                    <w:rPr>
                      <w:rFonts w:hint="eastAsia"/>
                      <w:color w:val="000000"/>
                      <w:sz w:val="22"/>
                      <w:szCs w:val="22"/>
                    </w:rPr>
                    <w:t>41</w:t>
                  </w:r>
                </w:p>
              </w:tc>
              <w:tc>
                <w:tcPr>
                  <w:tcW w:w="157"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2E26802">
                  <w:pPr>
                    <w:jc w:val="center"/>
                    <w:rPr>
                      <w:rFonts w:ascii="宋体" w:hAnsi="宋体" w:cs="宋体"/>
                      <w:color w:val="000000"/>
                      <w:sz w:val="22"/>
                      <w:szCs w:val="22"/>
                    </w:rPr>
                  </w:pPr>
                  <w:r>
                    <w:rPr>
                      <w:rFonts w:hint="eastAsia"/>
                      <w:color w:val="000000"/>
                      <w:sz w:val="22"/>
                      <w:szCs w:val="22"/>
                    </w:rPr>
                    <w:t>30.9</w:t>
                  </w:r>
                </w:p>
              </w:tc>
              <w:tc>
                <w:tcPr>
                  <w:tcW w:w="161"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A6A75EC">
                  <w:pPr>
                    <w:jc w:val="center"/>
                    <w:rPr>
                      <w:rFonts w:ascii="宋体" w:hAnsi="宋体" w:cs="宋体"/>
                      <w:color w:val="000000"/>
                      <w:sz w:val="22"/>
                      <w:szCs w:val="22"/>
                    </w:rPr>
                  </w:pPr>
                  <w:r>
                    <w:rPr>
                      <w:rFonts w:hint="eastAsia"/>
                      <w:color w:val="000000"/>
                      <w:sz w:val="22"/>
                      <w:szCs w:val="22"/>
                    </w:rPr>
                    <w:t>28.2</w:t>
                  </w:r>
                </w:p>
              </w:tc>
              <w:tc>
                <w:tcPr>
                  <w:tcW w:w="256"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EFDC093">
                  <w:pPr>
                    <w:jc w:val="center"/>
                    <w:rPr>
                      <w:szCs w:val="21"/>
                    </w:rPr>
                  </w:pPr>
                  <w:r>
                    <w:rPr>
                      <w:rFonts w:hint="eastAsia"/>
                      <w:szCs w:val="21"/>
                    </w:rPr>
                    <w:t>1m</w:t>
                  </w:r>
                </w:p>
              </w:tc>
            </w:tr>
            <w:tr w14:paraId="7E419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270" w:type="pct"/>
                  <w:vMerge w:val="restart"/>
                  <w:tcBorders>
                    <w:left w:val="single" w:color="auto" w:sz="4" w:space="0"/>
                    <w:right w:val="single" w:color="auto" w:sz="4" w:space="0"/>
                  </w:tcBorders>
                  <w:shd w:val="clear" w:color="auto" w:fill="FFFFFF"/>
                  <w:tcMar>
                    <w:top w:w="0" w:type="dxa"/>
                    <w:left w:w="0" w:type="dxa"/>
                    <w:bottom w:w="0" w:type="dxa"/>
                    <w:right w:w="0" w:type="dxa"/>
                  </w:tcMar>
                  <w:vAlign w:val="center"/>
                </w:tcPr>
                <w:p w14:paraId="263FE5A7">
                  <w:pPr>
                    <w:jc w:val="center"/>
                    <w:rPr>
                      <w:szCs w:val="21"/>
                    </w:rPr>
                  </w:pPr>
                  <w:r>
                    <w:rPr>
                      <w:rFonts w:hint="eastAsia"/>
                      <w:szCs w:val="21"/>
                    </w:rPr>
                    <w:t>2#</w:t>
                  </w:r>
                  <w:r>
                    <w:rPr>
                      <w:szCs w:val="21"/>
                    </w:rPr>
                    <w:t>生产</w:t>
                  </w:r>
                </w:p>
                <w:p w14:paraId="52F3A8E5">
                  <w:pPr>
                    <w:jc w:val="center"/>
                    <w:rPr>
                      <w:szCs w:val="21"/>
                    </w:rPr>
                  </w:pPr>
                  <w:r>
                    <w:rPr>
                      <w:szCs w:val="21"/>
                    </w:rPr>
                    <w:t>车间</w:t>
                  </w:r>
                </w:p>
              </w:tc>
              <w:tc>
                <w:tcPr>
                  <w:tcW w:w="352"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13108AA">
                  <w:pPr>
                    <w:jc w:val="center"/>
                    <w:rPr>
                      <w:szCs w:val="21"/>
                    </w:rPr>
                  </w:pPr>
                  <w:r>
                    <w:rPr>
                      <w:szCs w:val="21"/>
                    </w:rPr>
                    <w:t>粉碎机</w:t>
                  </w:r>
                </w:p>
              </w:tc>
              <w:tc>
                <w:tcPr>
                  <w:tcW w:w="283"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35D6CDF">
                  <w:pPr>
                    <w:jc w:val="center"/>
                    <w:rPr>
                      <w:szCs w:val="21"/>
                    </w:rPr>
                  </w:pPr>
                  <w:r>
                    <w:rPr>
                      <w:rFonts w:hint="eastAsia"/>
                      <w:szCs w:val="21"/>
                    </w:rPr>
                    <w:t>1</w:t>
                  </w:r>
                </w:p>
              </w:tc>
              <w:tc>
                <w:tcPr>
                  <w:tcW w:w="226"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23E11F8">
                  <w:pPr>
                    <w:jc w:val="center"/>
                    <w:rPr>
                      <w:szCs w:val="21"/>
                    </w:rPr>
                  </w:pPr>
                  <w:r>
                    <w:rPr>
                      <w:rFonts w:hint="eastAsia"/>
                      <w:szCs w:val="21"/>
                    </w:rPr>
                    <w:t>85</w:t>
                  </w:r>
                </w:p>
              </w:tc>
              <w:tc>
                <w:tcPr>
                  <w:tcW w:w="406" w:type="pct"/>
                  <w:vMerge w:val="restart"/>
                  <w:tcBorders>
                    <w:left w:val="single" w:color="auto" w:sz="4" w:space="0"/>
                    <w:right w:val="single" w:color="auto" w:sz="4" w:space="0"/>
                  </w:tcBorders>
                  <w:shd w:val="clear" w:color="auto" w:fill="FFFFFF"/>
                  <w:tcMar>
                    <w:top w:w="0" w:type="dxa"/>
                    <w:left w:w="0" w:type="dxa"/>
                    <w:bottom w:w="0" w:type="dxa"/>
                    <w:right w:w="0" w:type="dxa"/>
                  </w:tcMar>
                  <w:vAlign w:val="center"/>
                </w:tcPr>
                <w:p w14:paraId="56E3F572">
                  <w:pPr>
                    <w:jc w:val="center"/>
                    <w:rPr>
                      <w:szCs w:val="21"/>
                    </w:rPr>
                  </w:pPr>
                  <w:r>
                    <w:rPr>
                      <w:szCs w:val="21"/>
                    </w:rPr>
                    <w:t>隔声、减振</w:t>
                  </w:r>
                </w:p>
              </w:tc>
              <w:tc>
                <w:tcPr>
                  <w:tcW w:w="220"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C96979F">
                  <w:pPr>
                    <w:jc w:val="center"/>
                    <w:rPr>
                      <w:szCs w:val="21"/>
                    </w:rPr>
                  </w:pPr>
                  <w:r>
                    <w:rPr>
                      <w:rFonts w:hint="eastAsia"/>
                      <w:szCs w:val="21"/>
                    </w:rPr>
                    <w:t>5</w:t>
                  </w:r>
                </w:p>
              </w:tc>
              <w:tc>
                <w:tcPr>
                  <w:tcW w:w="220"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D8755A3">
                  <w:pPr>
                    <w:jc w:val="center"/>
                    <w:rPr>
                      <w:szCs w:val="21"/>
                    </w:rPr>
                  </w:pPr>
                  <w:r>
                    <w:rPr>
                      <w:rFonts w:hint="eastAsia"/>
                      <w:szCs w:val="21"/>
                    </w:rPr>
                    <w:t>7</w:t>
                  </w:r>
                </w:p>
              </w:tc>
              <w:tc>
                <w:tcPr>
                  <w:tcW w:w="163"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F3E5F69">
                  <w:pPr>
                    <w:jc w:val="center"/>
                    <w:rPr>
                      <w:szCs w:val="21"/>
                    </w:rPr>
                  </w:pPr>
                  <w:r>
                    <w:rPr>
                      <w:rFonts w:hint="eastAsia"/>
                      <w:szCs w:val="21"/>
                    </w:rPr>
                    <w:t>1.5</w:t>
                  </w:r>
                </w:p>
              </w:tc>
              <w:tc>
                <w:tcPr>
                  <w:tcW w:w="224"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00BC8D6">
                  <w:pPr>
                    <w:jc w:val="center"/>
                    <w:rPr>
                      <w:szCs w:val="21"/>
                    </w:rPr>
                  </w:pPr>
                  <w:r>
                    <w:rPr>
                      <w:rFonts w:hint="eastAsia"/>
                      <w:szCs w:val="21"/>
                    </w:rPr>
                    <w:t>28</w:t>
                  </w:r>
                </w:p>
              </w:tc>
              <w:tc>
                <w:tcPr>
                  <w:tcW w:w="217"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911278F">
                  <w:pPr>
                    <w:jc w:val="center"/>
                    <w:rPr>
                      <w:szCs w:val="21"/>
                    </w:rPr>
                  </w:pPr>
                  <w:r>
                    <w:rPr>
                      <w:rFonts w:hint="eastAsia"/>
                      <w:szCs w:val="21"/>
                    </w:rPr>
                    <w:t>8</w:t>
                  </w:r>
                </w:p>
              </w:tc>
              <w:tc>
                <w:tcPr>
                  <w:tcW w:w="218"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B3E1141">
                  <w:pPr>
                    <w:jc w:val="center"/>
                    <w:rPr>
                      <w:szCs w:val="21"/>
                    </w:rPr>
                  </w:pPr>
                  <w:r>
                    <w:rPr>
                      <w:rFonts w:hint="eastAsia"/>
                      <w:szCs w:val="21"/>
                    </w:rPr>
                    <w:t>5</w:t>
                  </w:r>
                </w:p>
              </w:tc>
              <w:tc>
                <w:tcPr>
                  <w:tcW w:w="218"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6D8CA1F">
                  <w:pPr>
                    <w:jc w:val="center"/>
                    <w:rPr>
                      <w:szCs w:val="21"/>
                    </w:rPr>
                  </w:pPr>
                  <w:r>
                    <w:rPr>
                      <w:rFonts w:hint="eastAsia"/>
                      <w:szCs w:val="21"/>
                    </w:rPr>
                    <w:t>10</w:t>
                  </w:r>
                </w:p>
              </w:tc>
              <w:tc>
                <w:tcPr>
                  <w:tcW w:w="204"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359F5A2">
                  <w:pPr>
                    <w:jc w:val="center"/>
                    <w:rPr>
                      <w:szCs w:val="21"/>
                    </w:rPr>
                  </w:pPr>
                  <w:r>
                    <w:rPr>
                      <w:rFonts w:hint="eastAsia"/>
                      <w:szCs w:val="21"/>
                    </w:rPr>
                    <w:t>45.7</w:t>
                  </w:r>
                </w:p>
              </w:tc>
              <w:tc>
                <w:tcPr>
                  <w:tcW w:w="176"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8DF9D74">
                  <w:pPr>
                    <w:jc w:val="center"/>
                    <w:rPr>
                      <w:szCs w:val="21"/>
                    </w:rPr>
                  </w:pPr>
                  <w:r>
                    <w:rPr>
                      <w:rFonts w:hint="eastAsia"/>
                      <w:szCs w:val="21"/>
                    </w:rPr>
                    <w:t>55.9</w:t>
                  </w:r>
                </w:p>
              </w:tc>
              <w:tc>
                <w:tcPr>
                  <w:tcW w:w="163"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2138A59">
                  <w:pPr>
                    <w:jc w:val="center"/>
                    <w:rPr>
                      <w:szCs w:val="21"/>
                    </w:rPr>
                  </w:pPr>
                  <w:r>
                    <w:rPr>
                      <w:rFonts w:hint="eastAsia"/>
                      <w:szCs w:val="21"/>
                    </w:rPr>
                    <w:t>48</w:t>
                  </w:r>
                </w:p>
              </w:tc>
              <w:tc>
                <w:tcPr>
                  <w:tcW w:w="218"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F2A5263">
                  <w:pPr>
                    <w:jc w:val="center"/>
                    <w:rPr>
                      <w:szCs w:val="21"/>
                    </w:rPr>
                  </w:pPr>
                  <w:r>
                    <w:rPr>
                      <w:rFonts w:hint="eastAsia"/>
                      <w:szCs w:val="21"/>
                    </w:rPr>
                    <w:t>48</w:t>
                  </w:r>
                </w:p>
              </w:tc>
              <w:tc>
                <w:tcPr>
                  <w:tcW w:w="234"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607FB30">
                  <w:pPr>
                    <w:jc w:val="center"/>
                    <w:rPr>
                      <w:szCs w:val="21"/>
                    </w:rPr>
                  </w:pPr>
                  <w:r>
                    <w:rPr>
                      <w:rFonts w:hint="eastAsia"/>
                      <w:szCs w:val="21"/>
                    </w:rPr>
                    <w:t>20</w:t>
                  </w:r>
                </w:p>
              </w:tc>
              <w:tc>
                <w:tcPr>
                  <w:tcW w:w="226"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330BDFC">
                  <w:pPr>
                    <w:jc w:val="center"/>
                    <w:rPr>
                      <w:rFonts w:ascii="宋体" w:hAnsi="宋体" w:cs="宋体"/>
                      <w:color w:val="000000"/>
                      <w:sz w:val="22"/>
                      <w:szCs w:val="22"/>
                    </w:rPr>
                  </w:pPr>
                  <w:r>
                    <w:rPr>
                      <w:rFonts w:hint="eastAsia"/>
                      <w:color w:val="000000"/>
                      <w:sz w:val="22"/>
                      <w:szCs w:val="22"/>
                    </w:rPr>
                    <w:t>25.7</w:t>
                  </w:r>
                </w:p>
              </w:tc>
              <w:tc>
                <w:tcPr>
                  <w:tcW w:w="187"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5386524">
                  <w:pPr>
                    <w:jc w:val="center"/>
                    <w:rPr>
                      <w:rFonts w:ascii="宋体" w:hAnsi="宋体" w:cs="宋体"/>
                      <w:color w:val="000000"/>
                      <w:sz w:val="22"/>
                      <w:szCs w:val="22"/>
                    </w:rPr>
                  </w:pPr>
                  <w:r>
                    <w:rPr>
                      <w:rFonts w:hint="eastAsia"/>
                      <w:color w:val="000000"/>
                      <w:sz w:val="22"/>
                      <w:szCs w:val="22"/>
                    </w:rPr>
                    <w:t>35.9</w:t>
                  </w:r>
                </w:p>
              </w:tc>
              <w:tc>
                <w:tcPr>
                  <w:tcW w:w="157"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54D275D">
                  <w:pPr>
                    <w:jc w:val="center"/>
                    <w:rPr>
                      <w:rFonts w:ascii="宋体" w:hAnsi="宋体" w:cs="宋体"/>
                      <w:color w:val="000000"/>
                      <w:sz w:val="22"/>
                      <w:szCs w:val="22"/>
                    </w:rPr>
                  </w:pPr>
                  <w:r>
                    <w:rPr>
                      <w:rFonts w:hint="eastAsia"/>
                      <w:color w:val="000000"/>
                      <w:sz w:val="22"/>
                      <w:szCs w:val="22"/>
                    </w:rPr>
                    <w:t>28</w:t>
                  </w:r>
                </w:p>
              </w:tc>
              <w:tc>
                <w:tcPr>
                  <w:tcW w:w="161"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B0EE708">
                  <w:pPr>
                    <w:jc w:val="center"/>
                    <w:rPr>
                      <w:rFonts w:ascii="宋体" w:hAnsi="宋体" w:cs="宋体"/>
                      <w:color w:val="000000"/>
                      <w:sz w:val="22"/>
                      <w:szCs w:val="22"/>
                    </w:rPr>
                  </w:pPr>
                  <w:r>
                    <w:rPr>
                      <w:rFonts w:hint="eastAsia"/>
                      <w:color w:val="000000"/>
                      <w:sz w:val="22"/>
                      <w:szCs w:val="22"/>
                    </w:rPr>
                    <w:t>28</w:t>
                  </w:r>
                </w:p>
              </w:tc>
              <w:tc>
                <w:tcPr>
                  <w:tcW w:w="256"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6CF44FB">
                  <w:pPr>
                    <w:jc w:val="center"/>
                    <w:rPr>
                      <w:szCs w:val="21"/>
                    </w:rPr>
                  </w:pPr>
                  <w:r>
                    <w:rPr>
                      <w:rFonts w:hint="eastAsia"/>
                      <w:szCs w:val="21"/>
                    </w:rPr>
                    <w:t>1m</w:t>
                  </w:r>
                </w:p>
              </w:tc>
            </w:tr>
            <w:tr w14:paraId="383D4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270" w:type="pct"/>
                  <w:vMerge w:val="continue"/>
                  <w:tcBorders>
                    <w:left w:val="single" w:color="auto" w:sz="4" w:space="0"/>
                    <w:right w:val="single" w:color="auto" w:sz="4" w:space="0"/>
                  </w:tcBorders>
                  <w:shd w:val="clear" w:color="auto" w:fill="FFFFFF"/>
                  <w:tcMar>
                    <w:top w:w="0" w:type="dxa"/>
                    <w:left w:w="0" w:type="dxa"/>
                    <w:bottom w:w="0" w:type="dxa"/>
                    <w:right w:w="0" w:type="dxa"/>
                  </w:tcMar>
                  <w:vAlign w:val="center"/>
                </w:tcPr>
                <w:p w14:paraId="3DD1BB4F">
                  <w:pPr>
                    <w:jc w:val="center"/>
                    <w:rPr>
                      <w:szCs w:val="21"/>
                    </w:rPr>
                  </w:pPr>
                </w:p>
              </w:tc>
              <w:tc>
                <w:tcPr>
                  <w:tcW w:w="352"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E17D3C3">
                  <w:pPr>
                    <w:jc w:val="center"/>
                    <w:rPr>
                      <w:szCs w:val="21"/>
                    </w:rPr>
                  </w:pPr>
                  <w:r>
                    <w:rPr>
                      <w:szCs w:val="21"/>
                    </w:rPr>
                    <w:t>熬制炉</w:t>
                  </w:r>
                </w:p>
              </w:tc>
              <w:tc>
                <w:tcPr>
                  <w:tcW w:w="283"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39F44DA">
                  <w:pPr>
                    <w:jc w:val="center"/>
                    <w:rPr>
                      <w:szCs w:val="21"/>
                    </w:rPr>
                  </w:pPr>
                  <w:r>
                    <w:rPr>
                      <w:rFonts w:hint="eastAsia"/>
                      <w:szCs w:val="21"/>
                    </w:rPr>
                    <w:t>5</w:t>
                  </w:r>
                </w:p>
              </w:tc>
              <w:tc>
                <w:tcPr>
                  <w:tcW w:w="226"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9BF2924">
                  <w:pPr>
                    <w:jc w:val="center"/>
                    <w:rPr>
                      <w:szCs w:val="21"/>
                    </w:rPr>
                  </w:pPr>
                  <w:r>
                    <w:rPr>
                      <w:rFonts w:hint="eastAsia"/>
                      <w:szCs w:val="21"/>
                    </w:rPr>
                    <w:t>75</w:t>
                  </w:r>
                </w:p>
              </w:tc>
              <w:tc>
                <w:tcPr>
                  <w:tcW w:w="406" w:type="pct"/>
                  <w:vMerge w:val="continue"/>
                  <w:tcBorders>
                    <w:left w:val="single" w:color="auto" w:sz="4" w:space="0"/>
                    <w:right w:val="single" w:color="auto" w:sz="4" w:space="0"/>
                  </w:tcBorders>
                  <w:shd w:val="clear" w:color="auto" w:fill="FFFFFF"/>
                  <w:tcMar>
                    <w:top w:w="0" w:type="dxa"/>
                    <w:left w:w="0" w:type="dxa"/>
                    <w:bottom w:w="0" w:type="dxa"/>
                    <w:right w:w="0" w:type="dxa"/>
                  </w:tcMar>
                  <w:vAlign w:val="center"/>
                </w:tcPr>
                <w:p w14:paraId="27B2E5EC">
                  <w:pPr>
                    <w:jc w:val="center"/>
                    <w:rPr>
                      <w:szCs w:val="21"/>
                    </w:rPr>
                  </w:pPr>
                </w:p>
              </w:tc>
              <w:tc>
                <w:tcPr>
                  <w:tcW w:w="220"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3DEF985">
                  <w:pPr>
                    <w:jc w:val="center"/>
                    <w:rPr>
                      <w:szCs w:val="21"/>
                    </w:rPr>
                  </w:pPr>
                  <w:r>
                    <w:rPr>
                      <w:rFonts w:hint="eastAsia"/>
                      <w:szCs w:val="21"/>
                    </w:rPr>
                    <w:t>12</w:t>
                  </w:r>
                </w:p>
              </w:tc>
              <w:tc>
                <w:tcPr>
                  <w:tcW w:w="220"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6FB3DCC">
                  <w:pPr>
                    <w:jc w:val="center"/>
                    <w:rPr>
                      <w:szCs w:val="21"/>
                    </w:rPr>
                  </w:pPr>
                  <w:r>
                    <w:rPr>
                      <w:rFonts w:hint="eastAsia"/>
                      <w:szCs w:val="21"/>
                    </w:rPr>
                    <w:t>7</w:t>
                  </w:r>
                </w:p>
              </w:tc>
              <w:tc>
                <w:tcPr>
                  <w:tcW w:w="163"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CEFD6F9">
                  <w:pPr>
                    <w:jc w:val="center"/>
                    <w:rPr>
                      <w:szCs w:val="21"/>
                    </w:rPr>
                  </w:pPr>
                  <w:r>
                    <w:rPr>
                      <w:rFonts w:hint="eastAsia"/>
                      <w:szCs w:val="21"/>
                    </w:rPr>
                    <w:t>1.5</w:t>
                  </w:r>
                </w:p>
              </w:tc>
              <w:tc>
                <w:tcPr>
                  <w:tcW w:w="224"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0327D32">
                  <w:pPr>
                    <w:jc w:val="center"/>
                    <w:rPr>
                      <w:szCs w:val="21"/>
                    </w:rPr>
                  </w:pPr>
                  <w:r>
                    <w:rPr>
                      <w:rFonts w:hint="eastAsia"/>
                      <w:szCs w:val="21"/>
                    </w:rPr>
                    <w:t>21</w:t>
                  </w:r>
                </w:p>
              </w:tc>
              <w:tc>
                <w:tcPr>
                  <w:tcW w:w="217"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33A5BC2">
                  <w:pPr>
                    <w:jc w:val="center"/>
                    <w:rPr>
                      <w:szCs w:val="21"/>
                    </w:rPr>
                  </w:pPr>
                  <w:r>
                    <w:rPr>
                      <w:rFonts w:hint="eastAsia"/>
                      <w:szCs w:val="21"/>
                    </w:rPr>
                    <w:t>8</w:t>
                  </w:r>
                </w:p>
              </w:tc>
              <w:tc>
                <w:tcPr>
                  <w:tcW w:w="218"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465B542">
                  <w:pPr>
                    <w:jc w:val="center"/>
                    <w:rPr>
                      <w:szCs w:val="21"/>
                    </w:rPr>
                  </w:pPr>
                  <w:r>
                    <w:rPr>
                      <w:rFonts w:hint="eastAsia"/>
                      <w:szCs w:val="21"/>
                    </w:rPr>
                    <w:t>12</w:t>
                  </w:r>
                </w:p>
              </w:tc>
              <w:tc>
                <w:tcPr>
                  <w:tcW w:w="218"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08A2C8C">
                  <w:pPr>
                    <w:jc w:val="center"/>
                    <w:rPr>
                      <w:szCs w:val="21"/>
                    </w:rPr>
                  </w:pPr>
                  <w:r>
                    <w:rPr>
                      <w:rFonts w:hint="eastAsia"/>
                      <w:szCs w:val="21"/>
                    </w:rPr>
                    <w:t>10</w:t>
                  </w:r>
                </w:p>
              </w:tc>
              <w:tc>
                <w:tcPr>
                  <w:tcW w:w="204"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08B224D">
                  <w:pPr>
                    <w:jc w:val="center"/>
                    <w:rPr>
                      <w:szCs w:val="21"/>
                    </w:rPr>
                  </w:pPr>
                  <w:r>
                    <w:rPr>
                      <w:rFonts w:hint="eastAsia"/>
                      <w:szCs w:val="21"/>
                    </w:rPr>
                    <w:t>48.2</w:t>
                  </w:r>
                </w:p>
              </w:tc>
              <w:tc>
                <w:tcPr>
                  <w:tcW w:w="176"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A1A4E8B">
                  <w:pPr>
                    <w:jc w:val="center"/>
                    <w:rPr>
                      <w:szCs w:val="21"/>
                    </w:rPr>
                  </w:pPr>
                  <w:r>
                    <w:rPr>
                      <w:rFonts w:hint="eastAsia"/>
                      <w:szCs w:val="21"/>
                    </w:rPr>
                    <w:t>51.1</w:t>
                  </w:r>
                </w:p>
              </w:tc>
              <w:tc>
                <w:tcPr>
                  <w:tcW w:w="163"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2E311F4">
                  <w:pPr>
                    <w:jc w:val="center"/>
                    <w:rPr>
                      <w:szCs w:val="21"/>
                    </w:rPr>
                  </w:pPr>
                  <w:r>
                    <w:rPr>
                      <w:rFonts w:hint="eastAsia"/>
                      <w:szCs w:val="21"/>
                    </w:rPr>
                    <w:t>53.4</w:t>
                  </w:r>
                </w:p>
              </w:tc>
              <w:tc>
                <w:tcPr>
                  <w:tcW w:w="218"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4361B39">
                  <w:pPr>
                    <w:jc w:val="center"/>
                    <w:rPr>
                      <w:szCs w:val="21"/>
                    </w:rPr>
                  </w:pPr>
                  <w:r>
                    <w:rPr>
                      <w:rFonts w:hint="eastAsia"/>
                      <w:szCs w:val="21"/>
                    </w:rPr>
                    <w:t>53.1</w:t>
                  </w:r>
                </w:p>
              </w:tc>
              <w:tc>
                <w:tcPr>
                  <w:tcW w:w="234"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2573088">
                  <w:pPr>
                    <w:jc w:val="center"/>
                    <w:rPr>
                      <w:szCs w:val="21"/>
                    </w:rPr>
                  </w:pPr>
                  <w:r>
                    <w:rPr>
                      <w:rFonts w:hint="eastAsia"/>
                      <w:szCs w:val="21"/>
                    </w:rPr>
                    <w:t>20</w:t>
                  </w:r>
                </w:p>
              </w:tc>
              <w:tc>
                <w:tcPr>
                  <w:tcW w:w="226"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A8C0D4A">
                  <w:pPr>
                    <w:jc w:val="center"/>
                    <w:rPr>
                      <w:rFonts w:ascii="宋体" w:hAnsi="宋体" w:cs="宋体"/>
                      <w:color w:val="000000"/>
                      <w:sz w:val="22"/>
                      <w:szCs w:val="22"/>
                    </w:rPr>
                  </w:pPr>
                  <w:r>
                    <w:rPr>
                      <w:rFonts w:hint="eastAsia"/>
                      <w:color w:val="000000"/>
                      <w:sz w:val="22"/>
                      <w:szCs w:val="22"/>
                    </w:rPr>
                    <w:t>28.2</w:t>
                  </w:r>
                </w:p>
              </w:tc>
              <w:tc>
                <w:tcPr>
                  <w:tcW w:w="187"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59C79A0">
                  <w:pPr>
                    <w:jc w:val="center"/>
                    <w:rPr>
                      <w:rFonts w:ascii="宋体" w:hAnsi="宋体" w:cs="宋体"/>
                      <w:color w:val="000000"/>
                      <w:sz w:val="22"/>
                      <w:szCs w:val="22"/>
                    </w:rPr>
                  </w:pPr>
                  <w:r>
                    <w:rPr>
                      <w:rFonts w:hint="eastAsia"/>
                      <w:color w:val="000000"/>
                      <w:sz w:val="22"/>
                      <w:szCs w:val="22"/>
                    </w:rPr>
                    <w:t>31.1</w:t>
                  </w:r>
                </w:p>
              </w:tc>
              <w:tc>
                <w:tcPr>
                  <w:tcW w:w="157"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EBC817B">
                  <w:pPr>
                    <w:jc w:val="center"/>
                    <w:rPr>
                      <w:rFonts w:ascii="宋体" w:hAnsi="宋体" w:cs="宋体"/>
                      <w:color w:val="000000"/>
                      <w:sz w:val="22"/>
                      <w:szCs w:val="22"/>
                    </w:rPr>
                  </w:pPr>
                  <w:r>
                    <w:rPr>
                      <w:rFonts w:hint="eastAsia"/>
                      <w:color w:val="000000"/>
                      <w:sz w:val="22"/>
                      <w:szCs w:val="22"/>
                    </w:rPr>
                    <w:t>33.4</w:t>
                  </w:r>
                </w:p>
              </w:tc>
              <w:tc>
                <w:tcPr>
                  <w:tcW w:w="161"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CBD15BC">
                  <w:pPr>
                    <w:jc w:val="center"/>
                    <w:rPr>
                      <w:rFonts w:ascii="宋体" w:hAnsi="宋体" w:cs="宋体"/>
                      <w:color w:val="000000"/>
                      <w:sz w:val="22"/>
                      <w:szCs w:val="22"/>
                    </w:rPr>
                  </w:pPr>
                  <w:r>
                    <w:rPr>
                      <w:rFonts w:hint="eastAsia"/>
                      <w:color w:val="000000"/>
                      <w:sz w:val="22"/>
                      <w:szCs w:val="22"/>
                    </w:rPr>
                    <w:t>33.1</w:t>
                  </w:r>
                </w:p>
              </w:tc>
              <w:tc>
                <w:tcPr>
                  <w:tcW w:w="256"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E6A277B">
                  <w:pPr>
                    <w:jc w:val="center"/>
                    <w:rPr>
                      <w:szCs w:val="21"/>
                    </w:rPr>
                  </w:pPr>
                  <w:r>
                    <w:rPr>
                      <w:rFonts w:hint="eastAsia"/>
                      <w:szCs w:val="21"/>
                    </w:rPr>
                    <w:t>1m</w:t>
                  </w:r>
                </w:p>
              </w:tc>
            </w:tr>
            <w:tr w14:paraId="0EE5E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270" w:type="pct"/>
                  <w:vMerge w:val="continue"/>
                  <w:tcBorders>
                    <w:left w:val="single" w:color="auto" w:sz="4" w:space="0"/>
                    <w:right w:val="single" w:color="auto" w:sz="4" w:space="0"/>
                  </w:tcBorders>
                  <w:shd w:val="clear" w:color="auto" w:fill="FFFFFF"/>
                  <w:tcMar>
                    <w:top w:w="0" w:type="dxa"/>
                    <w:left w:w="0" w:type="dxa"/>
                    <w:bottom w:w="0" w:type="dxa"/>
                    <w:right w:w="0" w:type="dxa"/>
                  </w:tcMar>
                  <w:vAlign w:val="center"/>
                </w:tcPr>
                <w:p w14:paraId="1D87831B">
                  <w:pPr>
                    <w:jc w:val="center"/>
                    <w:rPr>
                      <w:szCs w:val="21"/>
                    </w:rPr>
                  </w:pPr>
                </w:p>
              </w:tc>
              <w:tc>
                <w:tcPr>
                  <w:tcW w:w="352"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3D5654C">
                  <w:pPr>
                    <w:jc w:val="center"/>
                    <w:rPr>
                      <w:szCs w:val="21"/>
                    </w:rPr>
                  </w:pPr>
                  <w:r>
                    <w:rPr>
                      <w:rFonts w:hint="eastAsia"/>
                      <w:szCs w:val="21"/>
                    </w:rPr>
                    <w:t>油渣分</w:t>
                  </w:r>
                </w:p>
                <w:p w14:paraId="5E40FC43">
                  <w:pPr>
                    <w:jc w:val="center"/>
                    <w:rPr>
                      <w:szCs w:val="21"/>
                    </w:rPr>
                  </w:pPr>
                  <w:r>
                    <w:rPr>
                      <w:rFonts w:hint="eastAsia"/>
                      <w:szCs w:val="21"/>
                    </w:rPr>
                    <w:t>离机</w:t>
                  </w:r>
                </w:p>
              </w:tc>
              <w:tc>
                <w:tcPr>
                  <w:tcW w:w="283"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E83135E">
                  <w:pPr>
                    <w:jc w:val="center"/>
                    <w:rPr>
                      <w:szCs w:val="21"/>
                    </w:rPr>
                  </w:pPr>
                  <w:r>
                    <w:rPr>
                      <w:rFonts w:hint="eastAsia"/>
                      <w:szCs w:val="21"/>
                    </w:rPr>
                    <w:t>2</w:t>
                  </w:r>
                </w:p>
              </w:tc>
              <w:tc>
                <w:tcPr>
                  <w:tcW w:w="226"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4C90906">
                  <w:pPr>
                    <w:jc w:val="center"/>
                    <w:rPr>
                      <w:szCs w:val="21"/>
                    </w:rPr>
                  </w:pPr>
                  <w:r>
                    <w:rPr>
                      <w:rFonts w:hint="eastAsia"/>
                      <w:szCs w:val="21"/>
                    </w:rPr>
                    <w:t>70</w:t>
                  </w:r>
                </w:p>
              </w:tc>
              <w:tc>
                <w:tcPr>
                  <w:tcW w:w="406" w:type="pct"/>
                  <w:vMerge w:val="continue"/>
                  <w:tcBorders>
                    <w:left w:val="single" w:color="auto" w:sz="4" w:space="0"/>
                    <w:right w:val="single" w:color="auto" w:sz="4" w:space="0"/>
                  </w:tcBorders>
                  <w:shd w:val="clear" w:color="auto" w:fill="FFFFFF"/>
                  <w:tcMar>
                    <w:top w:w="0" w:type="dxa"/>
                    <w:left w:w="0" w:type="dxa"/>
                    <w:bottom w:w="0" w:type="dxa"/>
                    <w:right w:w="0" w:type="dxa"/>
                  </w:tcMar>
                  <w:vAlign w:val="center"/>
                </w:tcPr>
                <w:p w14:paraId="4A64BCCF">
                  <w:pPr>
                    <w:jc w:val="center"/>
                    <w:rPr>
                      <w:szCs w:val="21"/>
                    </w:rPr>
                  </w:pPr>
                </w:p>
              </w:tc>
              <w:tc>
                <w:tcPr>
                  <w:tcW w:w="220"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49E5AAB">
                  <w:pPr>
                    <w:jc w:val="center"/>
                    <w:rPr>
                      <w:szCs w:val="21"/>
                    </w:rPr>
                  </w:pPr>
                  <w:r>
                    <w:rPr>
                      <w:rFonts w:hint="eastAsia"/>
                      <w:szCs w:val="21"/>
                    </w:rPr>
                    <w:t>17</w:t>
                  </w:r>
                </w:p>
              </w:tc>
              <w:tc>
                <w:tcPr>
                  <w:tcW w:w="220"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4A5B2D2">
                  <w:pPr>
                    <w:jc w:val="center"/>
                    <w:rPr>
                      <w:szCs w:val="21"/>
                    </w:rPr>
                  </w:pPr>
                  <w:r>
                    <w:rPr>
                      <w:rFonts w:hint="eastAsia"/>
                      <w:szCs w:val="21"/>
                    </w:rPr>
                    <w:t>7</w:t>
                  </w:r>
                </w:p>
              </w:tc>
              <w:tc>
                <w:tcPr>
                  <w:tcW w:w="163"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DA96173">
                  <w:pPr>
                    <w:jc w:val="center"/>
                    <w:rPr>
                      <w:szCs w:val="21"/>
                    </w:rPr>
                  </w:pPr>
                  <w:r>
                    <w:rPr>
                      <w:rFonts w:hint="eastAsia"/>
                      <w:szCs w:val="21"/>
                    </w:rPr>
                    <w:t>1.5</w:t>
                  </w:r>
                </w:p>
              </w:tc>
              <w:tc>
                <w:tcPr>
                  <w:tcW w:w="224"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6892844">
                  <w:pPr>
                    <w:jc w:val="center"/>
                    <w:rPr>
                      <w:szCs w:val="21"/>
                    </w:rPr>
                  </w:pPr>
                  <w:r>
                    <w:rPr>
                      <w:rFonts w:hint="eastAsia"/>
                      <w:szCs w:val="21"/>
                    </w:rPr>
                    <w:t>16</w:t>
                  </w:r>
                </w:p>
              </w:tc>
              <w:tc>
                <w:tcPr>
                  <w:tcW w:w="217"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BBE9029">
                  <w:pPr>
                    <w:jc w:val="center"/>
                    <w:rPr>
                      <w:szCs w:val="21"/>
                    </w:rPr>
                  </w:pPr>
                  <w:r>
                    <w:rPr>
                      <w:rFonts w:hint="eastAsia"/>
                      <w:szCs w:val="21"/>
                    </w:rPr>
                    <w:t>6</w:t>
                  </w:r>
                </w:p>
              </w:tc>
              <w:tc>
                <w:tcPr>
                  <w:tcW w:w="218"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6E2529F">
                  <w:pPr>
                    <w:jc w:val="center"/>
                    <w:rPr>
                      <w:szCs w:val="21"/>
                    </w:rPr>
                  </w:pPr>
                  <w:r>
                    <w:rPr>
                      <w:rFonts w:hint="eastAsia"/>
                      <w:szCs w:val="21"/>
                    </w:rPr>
                    <w:t>17</w:t>
                  </w:r>
                </w:p>
              </w:tc>
              <w:tc>
                <w:tcPr>
                  <w:tcW w:w="218"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4F499D6">
                  <w:pPr>
                    <w:jc w:val="center"/>
                    <w:rPr>
                      <w:szCs w:val="21"/>
                    </w:rPr>
                  </w:pPr>
                  <w:r>
                    <w:rPr>
                      <w:rFonts w:hint="eastAsia"/>
                      <w:szCs w:val="21"/>
                    </w:rPr>
                    <w:t>12</w:t>
                  </w:r>
                </w:p>
              </w:tc>
              <w:tc>
                <w:tcPr>
                  <w:tcW w:w="204"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D26D02F">
                  <w:pPr>
                    <w:jc w:val="center"/>
                    <w:rPr>
                      <w:szCs w:val="21"/>
                    </w:rPr>
                  </w:pPr>
                  <w:r>
                    <w:rPr>
                      <w:rFonts w:hint="eastAsia"/>
                      <w:szCs w:val="21"/>
                    </w:rPr>
                    <w:t>45.6</w:t>
                  </w:r>
                </w:p>
              </w:tc>
              <w:tc>
                <w:tcPr>
                  <w:tcW w:w="176"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493BAFC">
                  <w:pPr>
                    <w:jc w:val="center"/>
                    <w:rPr>
                      <w:szCs w:val="21"/>
                    </w:rPr>
                  </w:pPr>
                  <w:r>
                    <w:rPr>
                      <w:rFonts w:hint="eastAsia"/>
                      <w:szCs w:val="21"/>
                    </w:rPr>
                    <w:t>53.2</w:t>
                  </w:r>
                </w:p>
              </w:tc>
              <w:tc>
                <w:tcPr>
                  <w:tcW w:w="163"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3C071F0">
                  <w:pPr>
                    <w:jc w:val="center"/>
                    <w:rPr>
                      <w:szCs w:val="21"/>
                    </w:rPr>
                  </w:pPr>
                  <w:r>
                    <w:rPr>
                      <w:rFonts w:hint="eastAsia"/>
                      <w:szCs w:val="21"/>
                    </w:rPr>
                    <w:t>46.3</w:t>
                  </w:r>
                </w:p>
              </w:tc>
              <w:tc>
                <w:tcPr>
                  <w:tcW w:w="218"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1F20B6C">
                  <w:pPr>
                    <w:jc w:val="center"/>
                    <w:rPr>
                      <w:szCs w:val="21"/>
                    </w:rPr>
                  </w:pPr>
                  <w:r>
                    <w:rPr>
                      <w:rFonts w:hint="eastAsia"/>
                      <w:szCs w:val="21"/>
                    </w:rPr>
                    <w:t>48</w:t>
                  </w:r>
                </w:p>
              </w:tc>
              <w:tc>
                <w:tcPr>
                  <w:tcW w:w="234"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C4A1D4C">
                  <w:pPr>
                    <w:jc w:val="center"/>
                    <w:rPr>
                      <w:szCs w:val="21"/>
                    </w:rPr>
                  </w:pPr>
                  <w:r>
                    <w:rPr>
                      <w:rFonts w:hint="eastAsia"/>
                      <w:szCs w:val="21"/>
                    </w:rPr>
                    <w:t>20</w:t>
                  </w:r>
                </w:p>
              </w:tc>
              <w:tc>
                <w:tcPr>
                  <w:tcW w:w="226"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C728AEE">
                  <w:pPr>
                    <w:jc w:val="center"/>
                    <w:rPr>
                      <w:rFonts w:ascii="宋体" w:hAnsi="宋体" w:cs="宋体"/>
                      <w:color w:val="000000"/>
                      <w:sz w:val="22"/>
                      <w:szCs w:val="22"/>
                    </w:rPr>
                  </w:pPr>
                  <w:r>
                    <w:rPr>
                      <w:rFonts w:hint="eastAsia"/>
                      <w:color w:val="000000"/>
                      <w:sz w:val="22"/>
                      <w:szCs w:val="22"/>
                    </w:rPr>
                    <w:t>25.6</w:t>
                  </w:r>
                </w:p>
              </w:tc>
              <w:tc>
                <w:tcPr>
                  <w:tcW w:w="187"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1F12AEC">
                  <w:pPr>
                    <w:jc w:val="center"/>
                    <w:rPr>
                      <w:rFonts w:ascii="宋体" w:hAnsi="宋体" w:cs="宋体"/>
                      <w:color w:val="000000"/>
                      <w:sz w:val="22"/>
                      <w:szCs w:val="22"/>
                    </w:rPr>
                  </w:pPr>
                  <w:r>
                    <w:rPr>
                      <w:rFonts w:hint="eastAsia"/>
                      <w:color w:val="000000"/>
                      <w:sz w:val="22"/>
                      <w:szCs w:val="22"/>
                    </w:rPr>
                    <w:t>33.2</w:t>
                  </w:r>
                </w:p>
              </w:tc>
              <w:tc>
                <w:tcPr>
                  <w:tcW w:w="157"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FB0C2C2">
                  <w:pPr>
                    <w:jc w:val="center"/>
                    <w:rPr>
                      <w:rFonts w:ascii="宋体" w:hAnsi="宋体" w:cs="宋体"/>
                      <w:color w:val="000000"/>
                      <w:sz w:val="22"/>
                      <w:szCs w:val="22"/>
                    </w:rPr>
                  </w:pPr>
                  <w:r>
                    <w:rPr>
                      <w:rFonts w:hint="eastAsia"/>
                      <w:color w:val="000000"/>
                      <w:sz w:val="22"/>
                      <w:szCs w:val="22"/>
                    </w:rPr>
                    <w:t>26.3</w:t>
                  </w:r>
                </w:p>
              </w:tc>
              <w:tc>
                <w:tcPr>
                  <w:tcW w:w="161"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DC6D2C6">
                  <w:pPr>
                    <w:jc w:val="center"/>
                    <w:rPr>
                      <w:rFonts w:ascii="宋体" w:hAnsi="宋体" w:cs="宋体"/>
                      <w:color w:val="000000"/>
                      <w:sz w:val="22"/>
                      <w:szCs w:val="22"/>
                    </w:rPr>
                  </w:pPr>
                  <w:r>
                    <w:rPr>
                      <w:rFonts w:hint="eastAsia"/>
                      <w:color w:val="000000"/>
                      <w:sz w:val="22"/>
                      <w:szCs w:val="22"/>
                    </w:rPr>
                    <w:t>28</w:t>
                  </w:r>
                </w:p>
              </w:tc>
              <w:tc>
                <w:tcPr>
                  <w:tcW w:w="256"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8EDA65A">
                  <w:pPr>
                    <w:jc w:val="center"/>
                    <w:rPr>
                      <w:szCs w:val="21"/>
                    </w:rPr>
                  </w:pPr>
                  <w:r>
                    <w:rPr>
                      <w:rFonts w:hint="eastAsia"/>
                      <w:szCs w:val="21"/>
                    </w:rPr>
                    <w:t>1m</w:t>
                  </w:r>
                </w:p>
              </w:tc>
            </w:tr>
            <w:tr w14:paraId="761B7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270" w:type="pct"/>
                  <w:vMerge w:val="continue"/>
                  <w:tcBorders>
                    <w:left w:val="single" w:color="auto" w:sz="4" w:space="0"/>
                    <w:right w:val="single" w:color="auto" w:sz="4" w:space="0"/>
                  </w:tcBorders>
                  <w:shd w:val="clear" w:color="auto" w:fill="FFFFFF"/>
                  <w:tcMar>
                    <w:top w:w="0" w:type="dxa"/>
                    <w:left w:w="0" w:type="dxa"/>
                    <w:bottom w:w="0" w:type="dxa"/>
                    <w:right w:w="0" w:type="dxa"/>
                  </w:tcMar>
                  <w:vAlign w:val="center"/>
                </w:tcPr>
                <w:p w14:paraId="21144449">
                  <w:pPr>
                    <w:jc w:val="center"/>
                    <w:rPr>
                      <w:szCs w:val="21"/>
                    </w:rPr>
                  </w:pPr>
                </w:p>
              </w:tc>
              <w:tc>
                <w:tcPr>
                  <w:tcW w:w="352"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E8CE8EF">
                  <w:pPr>
                    <w:jc w:val="center"/>
                    <w:rPr>
                      <w:szCs w:val="21"/>
                    </w:rPr>
                  </w:pPr>
                  <w:r>
                    <w:rPr>
                      <w:rFonts w:hint="eastAsia"/>
                      <w:szCs w:val="21"/>
                    </w:rPr>
                    <w:t>压饼机</w:t>
                  </w:r>
                </w:p>
              </w:tc>
              <w:tc>
                <w:tcPr>
                  <w:tcW w:w="283"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DEB9B78">
                  <w:pPr>
                    <w:jc w:val="center"/>
                    <w:rPr>
                      <w:szCs w:val="21"/>
                    </w:rPr>
                  </w:pPr>
                  <w:r>
                    <w:rPr>
                      <w:rFonts w:hint="eastAsia"/>
                      <w:szCs w:val="21"/>
                    </w:rPr>
                    <w:t>5</w:t>
                  </w:r>
                </w:p>
              </w:tc>
              <w:tc>
                <w:tcPr>
                  <w:tcW w:w="226"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3CB4A5D">
                  <w:pPr>
                    <w:jc w:val="center"/>
                    <w:rPr>
                      <w:szCs w:val="21"/>
                    </w:rPr>
                  </w:pPr>
                  <w:r>
                    <w:rPr>
                      <w:rFonts w:hint="eastAsia"/>
                      <w:szCs w:val="21"/>
                    </w:rPr>
                    <w:t>75</w:t>
                  </w:r>
                </w:p>
              </w:tc>
              <w:tc>
                <w:tcPr>
                  <w:tcW w:w="406" w:type="pct"/>
                  <w:vMerge w:val="continue"/>
                  <w:tcBorders>
                    <w:left w:val="single" w:color="auto" w:sz="4" w:space="0"/>
                    <w:right w:val="single" w:color="auto" w:sz="4" w:space="0"/>
                  </w:tcBorders>
                  <w:shd w:val="clear" w:color="auto" w:fill="FFFFFF"/>
                  <w:tcMar>
                    <w:top w:w="0" w:type="dxa"/>
                    <w:left w:w="0" w:type="dxa"/>
                    <w:bottom w:w="0" w:type="dxa"/>
                    <w:right w:w="0" w:type="dxa"/>
                  </w:tcMar>
                  <w:vAlign w:val="center"/>
                </w:tcPr>
                <w:p w14:paraId="605E8625">
                  <w:pPr>
                    <w:jc w:val="center"/>
                    <w:rPr>
                      <w:szCs w:val="21"/>
                    </w:rPr>
                  </w:pPr>
                </w:p>
              </w:tc>
              <w:tc>
                <w:tcPr>
                  <w:tcW w:w="220"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DB8009B">
                  <w:pPr>
                    <w:jc w:val="center"/>
                    <w:rPr>
                      <w:szCs w:val="21"/>
                    </w:rPr>
                  </w:pPr>
                  <w:r>
                    <w:rPr>
                      <w:rFonts w:hint="eastAsia"/>
                      <w:szCs w:val="21"/>
                    </w:rPr>
                    <w:t>28</w:t>
                  </w:r>
                </w:p>
              </w:tc>
              <w:tc>
                <w:tcPr>
                  <w:tcW w:w="220"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5EC5FEE">
                  <w:pPr>
                    <w:jc w:val="center"/>
                    <w:rPr>
                      <w:szCs w:val="21"/>
                    </w:rPr>
                  </w:pPr>
                  <w:r>
                    <w:rPr>
                      <w:rFonts w:hint="eastAsia"/>
                      <w:szCs w:val="21"/>
                    </w:rPr>
                    <w:t>7</w:t>
                  </w:r>
                </w:p>
              </w:tc>
              <w:tc>
                <w:tcPr>
                  <w:tcW w:w="163"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6CE31A2">
                  <w:pPr>
                    <w:jc w:val="center"/>
                    <w:rPr>
                      <w:szCs w:val="21"/>
                    </w:rPr>
                  </w:pPr>
                  <w:r>
                    <w:rPr>
                      <w:rFonts w:hint="eastAsia"/>
                      <w:szCs w:val="21"/>
                    </w:rPr>
                    <w:t>1.5</w:t>
                  </w:r>
                </w:p>
              </w:tc>
              <w:tc>
                <w:tcPr>
                  <w:tcW w:w="224"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C6E89B6">
                  <w:pPr>
                    <w:jc w:val="center"/>
                    <w:rPr>
                      <w:szCs w:val="21"/>
                    </w:rPr>
                  </w:pPr>
                  <w:r>
                    <w:rPr>
                      <w:rFonts w:hint="eastAsia"/>
                      <w:szCs w:val="21"/>
                    </w:rPr>
                    <w:t>13</w:t>
                  </w:r>
                </w:p>
              </w:tc>
              <w:tc>
                <w:tcPr>
                  <w:tcW w:w="217"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4ABEEFA">
                  <w:pPr>
                    <w:jc w:val="center"/>
                    <w:rPr>
                      <w:szCs w:val="21"/>
                    </w:rPr>
                  </w:pPr>
                  <w:r>
                    <w:rPr>
                      <w:rFonts w:hint="eastAsia"/>
                      <w:szCs w:val="21"/>
                    </w:rPr>
                    <w:t>5</w:t>
                  </w:r>
                </w:p>
              </w:tc>
              <w:tc>
                <w:tcPr>
                  <w:tcW w:w="218"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0994AF9">
                  <w:pPr>
                    <w:jc w:val="center"/>
                    <w:rPr>
                      <w:szCs w:val="21"/>
                    </w:rPr>
                  </w:pPr>
                  <w:r>
                    <w:rPr>
                      <w:rFonts w:hint="eastAsia"/>
                      <w:szCs w:val="21"/>
                    </w:rPr>
                    <w:t>28</w:t>
                  </w:r>
                </w:p>
              </w:tc>
              <w:tc>
                <w:tcPr>
                  <w:tcW w:w="218"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C050F56">
                  <w:pPr>
                    <w:jc w:val="center"/>
                    <w:rPr>
                      <w:szCs w:val="21"/>
                    </w:rPr>
                  </w:pPr>
                  <w:r>
                    <w:rPr>
                      <w:rFonts w:hint="eastAsia"/>
                      <w:szCs w:val="21"/>
                    </w:rPr>
                    <w:t>10</w:t>
                  </w:r>
                </w:p>
              </w:tc>
              <w:tc>
                <w:tcPr>
                  <w:tcW w:w="204"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87FEE30">
                  <w:pPr>
                    <w:jc w:val="center"/>
                    <w:rPr>
                      <w:szCs w:val="21"/>
                    </w:rPr>
                  </w:pPr>
                  <w:r>
                    <w:rPr>
                      <w:rFonts w:hint="eastAsia"/>
                      <w:szCs w:val="21"/>
                    </w:rPr>
                    <w:t>53.7</w:t>
                  </w:r>
                </w:p>
              </w:tc>
              <w:tc>
                <w:tcPr>
                  <w:tcW w:w="176"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4B4BFE0">
                  <w:pPr>
                    <w:jc w:val="center"/>
                    <w:rPr>
                      <w:szCs w:val="21"/>
                    </w:rPr>
                  </w:pPr>
                  <w:r>
                    <w:rPr>
                      <w:rFonts w:hint="eastAsia"/>
                      <w:szCs w:val="21"/>
                    </w:rPr>
                    <w:t>61</w:t>
                  </w:r>
                </w:p>
              </w:tc>
              <w:tc>
                <w:tcPr>
                  <w:tcW w:w="163"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A10FA16">
                  <w:pPr>
                    <w:jc w:val="center"/>
                    <w:rPr>
                      <w:szCs w:val="21"/>
                    </w:rPr>
                  </w:pPr>
                  <w:r>
                    <w:rPr>
                      <w:rFonts w:hint="eastAsia"/>
                      <w:szCs w:val="21"/>
                    </w:rPr>
                    <w:t>48.2</w:t>
                  </w:r>
                </w:p>
              </w:tc>
              <w:tc>
                <w:tcPr>
                  <w:tcW w:w="218"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03D6963">
                  <w:pPr>
                    <w:jc w:val="center"/>
                    <w:rPr>
                      <w:szCs w:val="21"/>
                    </w:rPr>
                  </w:pPr>
                  <w:r>
                    <w:rPr>
                      <w:rFonts w:hint="eastAsia"/>
                      <w:szCs w:val="21"/>
                    </w:rPr>
                    <w:t>56</w:t>
                  </w:r>
                </w:p>
              </w:tc>
              <w:tc>
                <w:tcPr>
                  <w:tcW w:w="234"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B739E15">
                  <w:pPr>
                    <w:jc w:val="center"/>
                    <w:rPr>
                      <w:szCs w:val="21"/>
                    </w:rPr>
                  </w:pPr>
                  <w:r>
                    <w:rPr>
                      <w:rFonts w:hint="eastAsia"/>
                      <w:szCs w:val="21"/>
                    </w:rPr>
                    <w:t>20</w:t>
                  </w:r>
                </w:p>
              </w:tc>
              <w:tc>
                <w:tcPr>
                  <w:tcW w:w="226"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84E46C2">
                  <w:pPr>
                    <w:jc w:val="center"/>
                    <w:rPr>
                      <w:rFonts w:ascii="宋体" w:hAnsi="宋体" w:cs="宋体"/>
                      <w:color w:val="000000"/>
                      <w:sz w:val="22"/>
                      <w:szCs w:val="22"/>
                    </w:rPr>
                  </w:pPr>
                  <w:r>
                    <w:rPr>
                      <w:rFonts w:hint="eastAsia"/>
                      <w:color w:val="000000"/>
                      <w:sz w:val="22"/>
                      <w:szCs w:val="22"/>
                    </w:rPr>
                    <w:t>33.7</w:t>
                  </w:r>
                </w:p>
              </w:tc>
              <w:tc>
                <w:tcPr>
                  <w:tcW w:w="187"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22E7AC0">
                  <w:pPr>
                    <w:jc w:val="center"/>
                    <w:rPr>
                      <w:rFonts w:ascii="宋体" w:hAnsi="宋体" w:cs="宋体"/>
                      <w:color w:val="000000"/>
                      <w:sz w:val="22"/>
                      <w:szCs w:val="22"/>
                    </w:rPr>
                  </w:pPr>
                  <w:r>
                    <w:rPr>
                      <w:rFonts w:hint="eastAsia"/>
                      <w:color w:val="000000"/>
                      <w:sz w:val="22"/>
                      <w:szCs w:val="22"/>
                    </w:rPr>
                    <w:t>41</w:t>
                  </w:r>
                </w:p>
              </w:tc>
              <w:tc>
                <w:tcPr>
                  <w:tcW w:w="157"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446487A">
                  <w:pPr>
                    <w:jc w:val="center"/>
                    <w:rPr>
                      <w:rFonts w:ascii="宋体" w:hAnsi="宋体" w:cs="宋体"/>
                      <w:color w:val="000000"/>
                      <w:sz w:val="22"/>
                      <w:szCs w:val="22"/>
                    </w:rPr>
                  </w:pPr>
                  <w:r>
                    <w:rPr>
                      <w:rFonts w:hint="eastAsia"/>
                      <w:color w:val="000000"/>
                      <w:sz w:val="22"/>
                      <w:szCs w:val="22"/>
                    </w:rPr>
                    <w:t>28.2</w:t>
                  </w:r>
                </w:p>
              </w:tc>
              <w:tc>
                <w:tcPr>
                  <w:tcW w:w="161"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86B250F">
                  <w:pPr>
                    <w:jc w:val="center"/>
                    <w:rPr>
                      <w:rFonts w:ascii="宋体" w:hAnsi="宋体" w:cs="宋体"/>
                      <w:color w:val="000000"/>
                      <w:sz w:val="22"/>
                      <w:szCs w:val="22"/>
                    </w:rPr>
                  </w:pPr>
                  <w:r>
                    <w:rPr>
                      <w:rFonts w:hint="eastAsia"/>
                      <w:color w:val="000000"/>
                      <w:sz w:val="22"/>
                      <w:szCs w:val="22"/>
                    </w:rPr>
                    <w:t>36</w:t>
                  </w:r>
                </w:p>
              </w:tc>
              <w:tc>
                <w:tcPr>
                  <w:tcW w:w="256"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1D60893">
                  <w:pPr>
                    <w:jc w:val="center"/>
                    <w:rPr>
                      <w:szCs w:val="21"/>
                    </w:rPr>
                  </w:pPr>
                  <w:r>
                    <w:rPr>
                      <w:rFonts w:hint="eastAsia"/>
                      <w:szCs w:val="21"/>
                    </w:rPr>
                    <w:t>1m</w:t>
                  </w:r>
                </w:p>
              </w:tc>
            </w:tr>
          </w:tbl>
          <w:p w14:paraId="5E3E043A">
            <w:pPr>
              <w:rPr>
                <w:b/>
                <w:bCs/>
                <w:szCs w:val="21"/>
              </w:rPr>
            </w:pPr>
            <w:r>
              <w:rPr>
                <w:rFonts w:hint="eastAsia"/>
                <w:b/>
                <w:szCs w:val="21"/>
              </w:rPr>
              <w:t>注：</w:t>
            </w:r>
            <w:r>
              <w:rPr>
                <w:b/>
                <w:bCs/>
                <w:szCs w:val="21"/>
              </w:rPr>
              <w:t>以</w:t>
            </w:r>
            <w:r>
              <w:rPr>
                <w:rFonts w:hint="eastAsia"/>
                <w:b/>
                <w:bCs/>
                <w:szCs w:val="21"/>
              </w:rPr>
              <w:t>生产</w:t>
            </w:r>
            <w:r>
              <w:rPr>
                <w:b/>
                <w:bCs/>
                <w:szCs w:val="21"/>
              </w:rPr>
              <w:t>车间</w:t>
            </w:r>
            <w:r>
              <w:rPr>
                <w:rFonts w:hint="eastAsia"/>
                <w:b/>
                <w:bCs/>
                <w:szCs w:val="21"/>
              </w:rPr>
              <w:t>西南角</w:t>
            </w:r>
            <w:r>
              <w:rPr>
                <w:b/>
                <w:bCs/>
                <w:szCs w:val="21"/>
              </w:rPr>
              <w:t>为坐标原点，正东向为X轴正方向，正北向为Y轴正方向。</w:t>
            </w:r>
          </w:p>
          <w:p w14:paraId="71BB008E">
            <w:pPr>
              <w:spacing w:line="480" w:lineRule="exact"/>
              <w:jc w:val="center"/>
              <w:rPr>
                <w:rFonts w:eastAsiaTheme="minorEastAsia"/>
                <w:b/>
                <w:bCs/>
                <w:sz w:val="24"/>
              </w:rPr>
            </w:pPr>
            <w:r>
              <w:rPr>
                <w:rFonts w:hAnsiTheme="minorEastAsia" w:eastAsiaTheme="minorEastAsia"/>
                <w:b/>
                <w:bCs/>
                <w:sz w:val="24"/>
              </w:rPr>
              <w:t>表</w:t>
            </w:r>
            <w:r>
              <w:rPr>
                <w:rFonts w:hint="eastAsia" w:eastAsiaTheme="minorEastAsia"/>
                <w:b/>
                <w:bCs/>
                <w:sz w:val="24"/>
              </w:rPr>
              <w:t>26</w:t>
            </w:r>
            <w:r>
              <w:rPr>
                <w:rFonts w:eastAsiaTheme="minorEastAsia"/>
                <w:b/>
                <w:bCs/>
                <w:sz w:val="24"/>
              </w:rPr>
              <w:t xml:space="preserve">    </w:t>
            </w:r>
            <w:r>
              <w:rPr>
                <w:rFonts w:hAnsiTheme="minorEastAsia" w:eastAsiaTheme="minorEastAsia"/>
                <w:b/>
                <w:bCs/>
                <w:sz w:val="24"/>
              </w:rPr>
              <w:t>主要噪声源一览表（室外声源）</w:t>
            </w:r>
          </w:p>
          <w:tbl>
            <w:tblPr>
              <w:tblStyle w:val="135"/>
              <w:tblW w:w="5000" w:type="pct"/>
              <w:tblInd w:w="0" w:type="dxa"/>
              <w:tblBorders>
                <w:top w:val="single" w:color="auto" w:sz="4" w:space="0"/>
                <w:left w:val="single" w:color="auto" w:sz="4" w:space="0"/>
                <w:bottom w:val="single" w:color="auto" w:sz="4" w:space="0"/>
                <w:right w:val="single" w:color="auto" w:sz="4" w:space="0"/>
                <w:insideH w:val="single" w:color="000000" w:sz="4" w:space="0"/>
                <w:insideV w:val="single" w:color="000000" w:sz="2" w:space="0"/>
              </w:tblBorders>
              <w:tblLayout w:type="autofit"/>
              <w:tblCellMar>
                <w:top w:w="0" w:type="dxa"/>
                <w:left w:w="0" w:type="dxa"/>
                <w:bottom w:w="0" w:type="dxa"/>
                <w:right w:w="0" w:type="dxa"/>
              </w:tblCellMar>
            </w:tblPr>
            <w:tblGrid>
              <w:gridCol w:w="573"/>
              <w:gridCol w:w="1468"/>
              <w:gridCol w:w="1162"/>
              <w:gridCol w:w="1162"/>
              <w:gridCol w:w="1448"/>
              <w:gridCol w:w="1014"/>
              <w:gridCol w:w="808"/>
              <w:gridCol w:w="810"/>
              <w:gridCol w:w="2261"/>
              <w:gridCol w:w="1839"/>
            </w:tblGrid>
            <w:tr w14:paraId="535DB5B1">
              <w:tblPrEx>
                <w:tblBorders>
                  <w:top w:val="single" w:color="auto" w:sz="4" w:space="0"/>
                  <w:left w:val="single" w:color="auto" w:sz="4" w:space="0"/>
                  <w:bottom w:val="single" w:color="auto" w:sz="4" w:space="0"/>
                  <w:right w:val="single" w:color="auto" w:sz="4" w:space="0"/>
                  <w:insideH w:val="single" w:color="000000" w:sz="4" w:space="0"/>
                  <w:insideV w:val="single" w:color="000000" w:sz="2" w:space="0"/>
                </w:tblBorders>
                <w:tblCellMar>
                  <w:top w:w="0" w:type="dxa"/>
                  <w:left w:w="0" w:type="dxa"/>
                  <w:bottom w:w="0" w:type="dxa"/>
                  <w:right w:w="0" w:type="dxa"/>
                </w:tblCellMar>
              </w:tblPrEx>
              <w:trPr>
                <w:trHeight w:val="340" w:hRule="atLeast"/>
              </w:trPr>
              <w:tc>
                <w:tcPr>
                  <w:tcW w:w="228" w:type="pct"/>
                  <w:vMerge w:val="restart"/>
                  <w:vAlign w:val="center"/>
                </w:tcPr>
                <w:p w14:paraId="3D0F6CB4">
                  <w:pPr>
                    <w:pStyle w:val="117"/>
                    <w:snapToGrid w:val="0"/>
                    <w:jc w:val="center"/>
                    <w:rPr>
                      <w:rFonts w:ascii="Times New Roman" w:hAnsi="Times New Roman" w:cs="Times New Roman" w:eastAsiaTheme="minorEastAsia"/>
                      <w:b/>
                      <w:bCs/>
                      <w:sz w:val="21"/>
                      <w:szCs w:val="21"/>
                      <w:lang w:eastAsia="zh-CN"/>
                    </w:rPr>
                  </w:pPr>
                  <w:r>
                    <w:rPr>
                      <w:rFonts w:ascii="Times New Roman" w:hAnsi="Times New Roman" w:cs="Times New Roman" w:eastAsiaTheme="minorEastAsia"/>
                      <w:b/>
                      <w:bCs/>
                      <w:sz w:val="21"/>
                      <w:szCs w:val="21"/>
                      <w:lang w:eastAsia="zh-CN"/>
                    </w:rPr>
                    <w:t>序号</w:t>
                  </w:r>
                </w:p>
              </w:tc>
              <w:tc>
                <w:tcPr>
                  <w:tcW w:w="585" w:type="pct"/>
                  <w:vMerge w:val="restart"/>
                  <w:vAlign w:val="center"/>
                </w:tcPr>
                <w:p w14:paraId="76D5FB3B">
                  <w:pPr>
                    <w:pStyle w:val="117"/>
                    <w:snapToGrid w:val="0"/>
                    <w:jc w:val="center"/>
                    <w:rPr>
                      <w:rFonts w:ascii="Times New Roman" w:hAnsi="Times New Roman" w:cs="Times New Roman" w:eastAsiaTheme="minorEastAsia"/>
                      <w:b/>
                      <w:bCs/>
                      <w:sz w:val="21"/>
                      <w:szCs w:val="21"/>
                      <w:lang w:eastAsia="zh-CN"/>
                    </w:rPr>
                  </w:pPr>
                  <w:r>
                    <w:rPr>
                      <w:rFonts w:ascii="Times New Roman" w:hAnsi="Times New Roman" w:cs="Times New Roman" w:eastAsiaTheme="minorEastAsia"/>
                      <w:b/>
                      <w:bCs/>
                      <w:sz w:val="21"/>
                      <w:szCs w:val="21"/>
                      <w:lang w:eastAsia="zh-CN"/>
                    </w:rPr>
                    <w:t>声源位置</w:t>
                  </w:r>
                </w:p>
              </w:tc>
              <w:tc>
                <w:tcPr>
                  <w:tcW w:w="463" w:type="pct"/>
                  <w:vMerge w:val="restart"/>
                  <w:vAlign w:val="center"/>
                </w:tcPr>
                <w:p w14:paraId="0D689441">
                  <w:pPr>
                    <w:pStyle w:val="117"/>
                    <w:snapToGrid w:val="0"/>
                    <w:jc w:val="center"/>
                    <w:rPr>
                      <w:rFonts w:ascii="Times New Roman" w:hAnsi="Times New Roman" w:cs="Times New Roman" w:eastAsiaTheme="minorEastAsia"/>
                      <w:b/>
                      <w:bCs/>
                      <w:sz w:val="21"/>
                      <w:szCs w:val="21"/>
                      <w:lang w:eastAsia="zh-CN"/>
                    </w:rPr>
                  </w:pPr>
                  <w:r>
                    <w:rPr>
                      <w:rFonts w:ascii="Times New Roman" w:hAnsi="Times New Roman" w:cs="Times New Roman" w:eastAsiaTheme="minorEastAsia"/>
                      <w:b/>
                      <w:bCs/>
                      <w:sz w:val="21"/>
                      <w:szCs w:val="21"/>
                      <w:lang w:eastAsia="zh-CN"/>
                    </w:rPr>
                    <w:t>声源名称</w:t>
                  </w:r>
                </w:p>
              </w:tc>
              <w:tc>
                <w:tcPr>
                  <w:tcW w:w="463" w:type="pct"/>
                  <w:vMerge w:val="restart"/>
                  <w:vAlign w:val="center"/>
                </w:tcPr>
                <w:p w14:paraId="64FC3612">
                  <w:pPr>
                    <w:pStyle w:val="117"/>
                    <w:snapToGrid w:val="0"/>
                    <w:jc w:val="center"/>
                    <w:rPr>
                      <w:rFonts w:ascii="Times New Roman" w:hAnsi="Times New Roman" w:cs="Times New Roman" w:eastAsiaTheme="minorEastAsia"/>
                      <w:b/>
                      <w:bCs/>
                      <w:sz w:val="21"/>
                      <w:szCs w:val="21"/>
                      <w:lang w:eastAsia="zh-CN"/>
                    </w:rPr>
                  </w:pPr>
                  <w:r>
                    <w:rPr>
                      <w:rFonts w:ascii="Times New Roman" w:hAnsi="Times New Roman" w:cs="Times New Roman" w:eastAsiaTheme="minorEastAsia"/>
                      <w:b/>
                      <w:bCs/>
                      <w:sz w:val="21"/>
                      <w:szCs w:val="21"/>
                      <w:lang w:eastAsia="zh-CN"/>
                    </w:rPr>
                    <w:t>设备数量/台</w:t>
                  </w:r>
                </w:p>
              </w:tc>
              <w:tc>
                <w:tcPr>
                  <w:tcW w:w="577" w:type="pct"/>
                  <w:vMerge w:val="restart"/>
                  <w:vAlign w:val="center"/>
                </w:tcPr>
                <w:p w14:paraId="5BEF49D4">
                  <w:pPr>
                    <w:pStyle w:val="117"/>
                    <w:snapToGrid w:val="0"/>
                    <w:jc w:val="center"/>
                    <w:rPr>
                      <w:rFonts w:ascii="Times New Roman" w:hAnsi="Times New Roman" w:cs="Times New Roman" w:eastAsiaTheme="minorEastAsia"/>
                      <w:b/>
                      <w:bCs/>
                      <w:sz w:val="21"/>
                      <w:szCs w:val="21"/>
                      <w:lang w:eastAsia="zh-CN"/>
                    </w:rPr>
                  </w:pPr>
                  <w:r>
                    <w:rPr>
                      <w:rFonts w:ascii="Times New Roman" w:hAnsi="Times New Roman" w:cs="Times New Roman" w:eastAsiaTheme="minorEastAsia"/>
                      <w:b/>
                      <w:bCs/>
                      <w:sz w:val="21"/>
                      <w:szCs w:val="21"/>
                      <w:lang w:eastAsia="zh-CN"/>
                    </w:rPr>
                    <w:t>声源源强dB(A)</w:t>
                  </w:r>
                </w:p>
              </w:tc>
              <w:tc>
                <w:tcPr>
                  <w:tcW w:w="1049" w:type="pct"/>
                  <w:gridSpan w:val="3"/>
                  <w:vAlign w:val="center"/>
                </w:tcPr>
                <w:p w14:paraId="7B5691E1">
                  <w:pPr>
                    <w:pStyle w:val="117"/>
                    <w:snapToGrid w:val="0"/>
                    <w:jc w:val="center"/>
                    <w:rPr>
                      <w:rFonts w:ascii="Times New Roman" w:hAnsi="Times New Roman" w:cs="Times New Roman" w:eastAsiaTheme="minorEastAsia"/>
                      <w:b/>
                      <w:bCs/>
                      <w:sz w:val="21"/>
                      <w:szCs w:val="21"/>
                      <w:lang w:eastAsia="zh-CN"/>
                    </w:rPr>
                  </w:pPr>
                  <w:r>
                    <w:rPr>
                      <w:rFonts w:ascii="Times New Roman" w:hAnsi="Times New Roman" w:cs="Times New Roman" w:eastAsiaTheme="minorEastAsia"/>
                      <w:b/>
                      <w:bCs/>
                      <w:sz w:val="21"/>
                      <w:szCs w:val="21"/>
                      <w:lang w:eastAsia="zh-CN"/>
                    </w:rPr>
                    <w:t>空间相对位置/m</w:t>
                  </w:r>
                </w:p>
              </w:tc>
              <w:tc>
                <w:tcPr>
                  <w:tcW w:w="901" w:type="pct"/>
                  <w:vMerge w:val="restart"/>
                  <w:vAlign w:val="center"/>
                </w:tcPr>
                <w:p w14:paraId="0C861948">
                  <w:pPr>
                    <w:pStyle w:val="117"/>
                    <w:snapToGrid w:val="0"/>
                    <w:jc w:val="center"/>
                    <w:rPr>
                      <w:rFonts w:ascii="Times New Roman" w:hAnsi="Times New Roman" w:cs="Times New Roman" w:eastAsiaTheme="minorEastAsia"/>
                      <w:b/>
                      <w:bCs/>
                      <w:sz w:val="21"/>
                      <w:szCs w:val="21"/>
                      <w:lang w:eastAsia="zh-CN"/>
                    </w:rPr>
                  </w:pPr>
                  <w:r>
                    <w:rPr>
                      <w:rFonts w:ascii="Times New Roman" w:hAnsi="Times New Roman" w:cs="Times New Roman" w:eastAsiaTheme="minorEastAsia"/>
                      <w:b/>
                      <w:bCs/>
                      <w:sz w:val="21"/>
                      <w:szCs w:val="21"/>
                      <w:lang w:eastAsia="zh-CN"/>
                    </w:rPr>
                    <w:t>声源控制措施</w:t>
                  </w:r>
                </w:p>
              </w:tc>
              <w:tc>
                <w:tcPr>
                  <w:tcW w:w="733" w:type="pct"/>
                  <w:vMerge w:val="restart"/>
                  <w:vAlign w:val="center"/>
                </w:tcPr>
                <w:p w14:paraId="031A3894">
                  <w:pPr>
                    <w:pStyle w:val="117"/>
                    <w:snapToGrid w:val="0"/>
                    <w:jc w:val="center"/>
                    <w:rPr>
                      <w:rFonts w:ascii="Times New Roman" w:hAnsi="Times New Roman" w:cs="Times New Roman" w:eastAsiaTheme="minorEastAsia"/>
                      <w:b/>
                      <w:bCs/>
                      <w:sz w:val="21"/>
                      <w:szCs w:val="21"/>
                      <w:lang w:eastAsia="zh-CN"/>
                    </w:rPr>
                  </w:pPr>
                  <w:r>
                    <w:rPr>
                      <w:rFonts w:ascii="Times New Roman" w:hAnsi="Times New Roman" w:cs="Times New Roman" w:eastAsiaTheme="minorEastAsia"/>
                      <w:b/>
                      <w:bCs/>
                      <w:sz w:val="21"/>
                      <w:szCs w:val="21"/>
                      <w:lang w:eastAsia="zh-CN"/>
                    </w:rPr>
                    <w:t>运行时段</w:t>
                  </w:r>
                </w:p>
              </w:tc>
            </w:tr>
            <w:tr w14:paraId="2D03B3B1">
              <w:tblPrEx>
                <w:tblBorders>
                  <w:top w:val="single" w:color="auto" w:sz="4" w:space="0"/>
                  <w:left w:val="single" w:color="auto" w:sz="4" w:space="0"/>
                  <w:bottom w:val="single" w:color="auto" w:sz="4" w:space="0"/>
                  <w:right w:val="single" w:color="auto" w:sz="4" w:space="0"/>
                  <w:insideH w:val="single" w:color="000000" w:sz="4" w:space="0"/>
                  <w:insideV w:val="single" w:color="000000" w:sz="2" w:space="0"/>
                </w:tblBorders>
                <w:tblCellMar>
                  <w:top w:w="0" w:type="dxa"/>
                  <w:left w:w="0" w:type="dxa"/>
                  <w:bottom w:w="0" w:type="dxa"/>
                  <w:right w:w="0" w:type="dxa"/>
                </w:tblCellMar>
              </w:tblPrEx>
              <w:trPr>
                <w:trHeight w:val="340" w:hRule="atLeast"/>
              </w:trPr>
              <w:tc>
                <w:tcPr>
                  <w:tcW w:w="228" w:type="pct"/>
                  <w:vMerge w:val="continue"/>
                  <w:vAlign w:val="center"/>
                </w:tcPr>
                <w:p w14:paraId="7B40504F">
                  <w:pPr>
                    <w:autoSpaceDE w:val="0"/>
                    <w:autoSpaceDN w:val="0"/>
                    <w:snapToGrid w:val="0"/>
                    <w:jc w:val="center"/>
                    <w:rPr>
                      <w:rFonts w:ascii="Times New Roman" w:hAnsi="Times New Roman" w:cs="Times New Roman" w:eastAsiaTheme="minorEastAsia"/>
                      <w:sz w:val="21"/>
                      <w:szCs w:val="21"/>
                      <w:lang w:eastAsia="zh-CN"/>
                    </w:rPr>
                  </w:pPr>
                </w:p>
              </w:tc>
              <w:tc>
                <w:tcPr>
                  <w:tcW w:w="585" w:type="pct"/>
                  <w:vMerge w:val="continue"/>
                  <w:vAlign w:val="center"/>
                </w:tcPr>
                <w:p w14:paraId="5A5D63D7">
                  <w:pPr>
                    <w:autoSpaceDE w:val="0"/>
                    <w:autoSpaceDN w:val="0"/>
                    <w:snapToGrid w:val="0"/>
                    <w:jc w:val="center"/>
                    <w:rPr>
                      <w:rFonts w:ascii="Times New Roman" w:hAnsi="Times New Roman" w:cs="Times New Roman" w:eastAsiaTheme="minorEastAsia"/>
                      <w:szCs w:val="21"/>
                      <w:lang w:eastAsia="zh-CN"/>
                    </w:rPr>
                  </w:pPr>
                </w:p>
              </w:tc>
              <w:tc>
                <w:tcPr>
                  <w:tcW w:w="463" w:type="pct"/>
                  <w:vMerge w:val="continue"/>
                  <w:vAlign w:val="center"/>
                </w:tcPr>
                <w:p w14:paraId="407B61B4">
                  <w:pPr>
                    <w:autoSpaceDE w:val="0"/>
                    <w:autoSpaceDN w:val="0"/>
                    <w:snapToGrid w:val="0"/>
                    <w:jc w:val="center"/>
                    <w:rPr>
                      <w:rFonts w:ascii="Times New Roman" w:hAnsi="Times New Roman" w:cs="Times New Roman" w:eastAsiaTheme="minorEastAsia"/>
                      <w:sz w:val="21"/>
                      <w:szCs w:val="21"/>
                      <w:lang w:eastAsia="zh-CN"/>
                    </w:rPr>
                  </w:pPr>
                </w:p>
              </w:tc>
              <w:tc>
                <w:tcPr>
                  <w:tcW w:w="463" w:type="pct"/>
                  <w:vMerge w:val="continue"/>
                  <w:vAlign w:val="center"/>
                </w:tcPr>
                <w:p w14:paraId="0CE38182">
                  <w:pPr>
                    <w:autoSpaceDE w:val="0"/>
                    <w:autoSpaceDN w:val="0"/>
                    <w:rPr>
                      <w:rFonts w:ascii="Times New Roman" w:hAnsi="Times New Roman" w:cs="Times New Roman" w:eastAsiaTheme="minorEastAsia"/>
                      <w:b/>
                      <w:bCs/>
                      <w:sz w:val="21"/>
                      <w:szCs w:val="21"/>
                      <w:lang w:eastAsia="zh-CN"/>
                    </w:rPr>
                  </w:pPr>
                </w:p>
              </w:tc>
              <w:tc>
                <w:tcPr>
                  <w:tcW w:w="577" w:type="pct"/>
                  <w:vMerge w:val="continue"/>
                  <w:vAlign w:val="center"/>
                </w:tcPr>
                <w:p w14:paraId="7E58EBE5">
                  <w:pPr>
                    <w:pStyle w:val="117"/>
                    <w:snapToGrid w:val="0"/>
                    <w:spacing w:before="25"/>
                    <w:ind w:left="30"/>
                    <w:jc w:val="center"/>
                    <w:rPr>
                      <w:rFonts w:ascii="Times New Roman" w:hAnsi="Times New Roman" w:cs="Times New Roman" w:eastAsiaTheme="minorEastAsia"/>
                      <w:b/>
                      <w:bCs/>
                      <w:sz w:val="21"/>
                      <w:szCs w:val="21"/>
                      <w:lang w:eastAsia="zh-CN"/>
                    </w:rPr>
                  </w:pPr>
                </w:p>
              </w:tc>
              <w:tc>
                <w:tcPr>
                  <w:tcW w:w="404" w:type="pct"/>
                  <w:vAlign w:val="center"/>
                </w:tcPr>
                <w:p w14:paraId="79F48290">
                  <w:pPr>
                    <w:pStyle w:val="117"/>
                    <w:snapToGrid w:val="0"/>
                    <w:spacing w:before="25"/>
                    <w:ind w:left="30"/>
                    <w:jc w:val="center"/>
                    <w:rPr>
                      <w:rFonts w:ascii="Times New Roman" w:hAnsi="Times New Roman" w:cs="Times New Roman" w:eastAsiaTheme="minorEastAsia"/>
                      <w:b/>
                      <w:bCs/>
                      <w:sz w:val="21"/>
                      <w:szCs w:val="21"/>
                      <w:lang w:eastAsia="zh-CN"/>
                    </w:rPr>
                  </w:pPr>
                  <w:r>
                    <w:rPr>
                      <w:rFonts w:ascii="Times New Roman" w:hAnsi="Times New Roman" w:cs="Times New Roman" w:eastAsiaTheme="minorEastAsia"/>
                      <w:b/>
                      <w:bCs/>
                      <w:sz w:val="21"/>
                      <w:szCs w:val="21"/>
                      <w:lang w:eastAsia="zh-CN"/>
                    </w:rPr>
                    <w:t>X</w:t>
                  </w:r>
                </w:p>
              </w:tc>
              <w:tc>
                <w:tcPr>
                  <w:tcW w:w="322" w:type="pct"/>
                  <w:vAlign w:val="center"/>
                </w:tcPr>
                <w:p w14:paraId="28781C33">
                  <w:pPr>
                    <w:pStyle w:val="117"/>
                    <w:snapToGrid w:val="0"/>
                    <w:spacing w:before="25"/>
                    <w:ind w:left="31"/>
                    <w:jc w:val="center"/>
                    <w:rPr>
                      <w:rFonts w:ascii="Times New Roman" w:hAnsi="Times New Roman" w:cs="Times New Roman" w:eastAsiaTheme="minorEastAsia"/>
                      <w:b/>
                      <w:bCs/>
                      <w:sz w:val="21"/>
                      <w:szCs w:val="21"/>
                      <w:lang w:eastAsia="zh-CN"/>
                    </w:rPr>
                  </w:pPr>
                  <w:r>
                    <w:rPr>
                      <w:rFonts w:ascii="Times New Roman" w:hAnsi="Times New Roman" w:cs="Times New Roman" w:eastAsiaTheme="minorEastAsia"/>
                      <w:b/>
                      <w:bCs/>
                      <w:sz w:val="21"/>
                      <w:szCs w:val="21"/>
                      <w:lang w:eastAsia="zh-CN"/>
                    </w:rPr>
                    <w:t>Y</w:t>
                  </w:r>
                </w:p>
              </w:tc>
              <w:tc>
                <w:tcPr>
                  <w:tcW w:w="323" w:type="pct"/>
                  <w:vAlign w:val="center"/>
                </w:tcPr>
                <w:p w14:paraId="13C16F7A">
                  <w:pPr>
                    <w:pStyle w:val="117"/>
                    <w:snapToGrid w:val="0"/>
                    <w:spacing w:before="25"/>
                    <w:ind w:left="33"/>
                    <w:jc w:val="center"/>
                    <w:rPr>
                      <w:rFonts w:ascii="Times New Roman" w:hAnsi="Times New Roman" w:cs="Times New Roman" w:eastAsiaTheme="minorEastAsia"/>
                      <w:b/>
                      <w:bCs/>
                      <w:sz w:val="21"/>
                      <w:szCs w:val="21"/>
                      <w:lang w:eastAsia="zh-CN"/>
                    </w:rPr>
                  </w:pPr>
                  <w:r>
                    <w:rPr>
                      <w:rFonts w:ascii="Times New Roman" w:hAnsi="Times New Roman" w:cs="Times New Roman" w:eastAsiaTheme="minorEastAsia"/>
                      <w:b/>
                      <w:bCs/>
                      <w:sz w:val="21"/>
                      <w:szCs w:val="21"/>
                      <w:lang w:eastAsia="zh-CN"/>
                    </w:rPr>
                    <w:t>Z</w:t>
                  </w:r>
                </w:p>
              </w:tc>
              <w:tc>
                <w:tcPr>
                  <w:tcW w:w="901" w:type="pct"/>
                  <w:vMerge w:val="continue"/>
                  <w:vAlign w:val="center"/>
                </w:tcPr>
                <w:p w14:paraId="74E35E97">
                  <w:pPr>
                    <w:autoSpaceDE w:val="0"/>
                    <w:autoSpaceDN w:val="0"/>
                    <w:snapToGrid w:val="0"/>
                    <w:jc w:val="center"/>
                    <w:rPr>
                      <w:rFonts w:ascii="Times New Roman" w:hAnsi="Times New Roman" w:cs="Times New Roman" w:eastAsiaTheme="minorEastAsia"/>
                      <w:sz w:val="21"/>
                      <w:szCs w:val="21"/>
                      <w:lang w:eastAsia="zh-CN"/>
                    </w:rPr>
                  </w:pPr>
                </w:p>
              </w:tc>
              <w:tc>
                <w:tcPr>
                  <w:tcW w:w="733" w:type="pct"/>
                  <w:vMerge w:val="continue"/>
                  <w:vAlign w:val="center"/>
                </w:tcPr>
                <w:p w14:paraId="2AED3AD9">
                  <w:pPr>
                    <w:autoSpaceDE w:val="0"/>
                    <w:autoSpaceDN w:val="0"/>
                    <w:snapToGrid w:val="0"/>
                    <w:jc w:val="center"/>
                    <w:rPr>
                      <w:rFonts w:ascii="Times New Roman" w:hAnsi="Times New Roman" w:cs="Times New Roman" w:eastAsiaTheme="minorEastAsia"/>
                      <w:sz w:val="21"/>
                      <w:szCs w:val="21"/>
                      <w:lang w:eastAsia="zh-CN"/>
                    </w:rPr>
                  </w:pPr>
                </w:p>
              </w:tc>
            </w:tr>
            <w:tr w14:paraId="593BCE87">
              <w:tblPrEx>
                <w:tblBorders>
                  <w:top w:val="single" w:color="auto" w:sz="4" w:space="0"/>
                  <w:left w:val="single" w:color="auto" w:sz="4" w:space="0"/>
                  <w:bottom w:val="single" w:color="auto" w:sz="4" w:space="0"/>
                  <w:right w:val="single" w:color="auto" w:sz="4" w:space="0"/>
                  <w:insideH w:val="single" w:color="000000" w:sz="4" w:space="0"/>
                  <w:insideV w:val="single" w:color="000000" w:sz="2" w:space="0"/>
                </w:tblBorders>
                <w:tblCellMar>
                  <w:top w:w="0" w:type="dxa"/>
                  <w:left w:w="0" w:type="dxa"/>
                  <w:bottom w:w="0" w:type="dxa"/>
                  <w:right w:w="0" w:type="dxa"/>
                </w:tblCellMar>
              </w:tblPrEx>
              <w:trPr>
                <w:trHeight w:val="340" w:hRule="atLeast"/>
              </w:trPr>
              <w:tc>
                <w:tcPr>
                  <w:tcW w:w="228" w:type="pct"/>
                  <w:vAlign w:val="center"/>
                </w:tcPr>
                <w:p w14:paraId="76B2E28C">
                  <w:pPr>
                    <w:pStyle w:val="117"/>
                    <w:snapToGrid w:val="0"/>
                    <w:spacing w:before="33"/>
                    <w:ind w:left="17"/>
                    <w:jc w:val="center"/>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1</w:t>
                  </w:r>
                </w:p>
              </w:tc>
              <w:tc>
                <w:tcPr>
                  <w:tcW w:w="585" w:type="pct"/>
                  <w:vAlign w:val="center"/>
                </w:tcPr>
                <w:p w14:paraId="39335655">
                  <w:pPr>
                    <w:autoSpaceDE w:val="0"/>
                    <w:autoSpaceDN w:val="0"/>
                    <w:jc w:val="center"/>
                    <w:rPr>
                      <w:rFonts w:ascii="Times New Roman" w:hAnsi="Times New Roman" w:cs="Times New Roman" w:eastAsiaTheme="minorEastAsia"/>
                      <w:szCs w:val="21"/>
                      <w:lang w:eastAsia="zh-CN"/>
                    </w:rPr>
                  </w:pPr>
                  <w:r>
                    <w:rPr>
                      <w:rFonts w:ascii="Times New Roman" w:hAnsi="Times New Roman" w:cs="Times New Roman" w:eastAsiaTheme="minorEastAsia"/>
                      <w:szCs w:val="21"/>
                      <w:lang w:eastAsia="zh-CN"/>
                    </w:rPr>
                    <w:t>1#</w:t>
                  </w:r>
                  <w:r>
                    <w:rPr>
                      <w:rFonts w:ascii="Times New Roman" w:cs="Times New Roman" w:hAnsiTheme="minorHAnsi" w:eastAsiaTheme="minorEastAsia"/>
                      <w:szCs w:val="21"/>
                      <w:lang w:eastAsia="zh-CN"/>
                    </w:rPr>
                    <w:t>生产车间</w:t>
                  </w:r>
                </w:p>
              </w:tc>
              <w:tc>
                <w:tcPr>
                  <w:tcW w:w="463" w:type="pct"/>
                  <w:vAlign w:val="center"/>
                </w:tcPr>
                <w:p w14:paraId="021F09D9">
                  <w:pPr>
                    <w:widowControl/>
                    <w:autoSpaceDE w:val="0"/>
                    <w:autoSpaceDN w:val="0"/>
                    <w:adjustRightInd w:val="0"/>
                    <w:snapToGrid w:val="0"/>
                    <w:jc w:val="center"/>
                    <w:rPr>
                      <w:rFonts w:ascii="Times New Roman" w:hAnsi="Times New Roman" w:cs="Times New Roman" w:eastAsiaTheme="minorEastAsia"/>
                      <w:bCs/>
                      <w:sz w:val="21"/>
                      <w:szCs w:val="21"/>
                      <w:lang w:eastAsia="zh-CN"/>
                    </w:rPr>
                  </w:pPr>
                  <w:r>
                    <w:rPr>
                      <w:rFonts w:ascii="Times New Roman" w:hAnsi="Times New Roman" w:cs="Times New Roman" w:eastAsiaTheme="minorEastAsia"/>
                      <w:sz w:val="21"/>
                      <w:szCs w:val="21"/>
                      <w:lang w:eastAsia="zh-CN"/>
                    </w:rPr>
                    <w:t>风机1</w:t>
                  </w:r>
                </w:p>
              </w:tc>
              <w:tc>
                <w:tcPr>
                  <w:tcW w:w="463" w:type="pct"/>
                  <w:vAlign w:val="center"/>
                </w:tcPr>
                <w:p w14:paraId="1AD5ECF2">
                  <w:pPr>
                    <w:autoSpaceDE w:val="0"/>
                    <w:autoSpaceDN w:val="0"/>
                    <w:snapToGrid w:val="0"/>
                    <w:jc w:val="center"/>
                    <w:rPr>
                      <w:rFonts w:ascii="Times New Roman" w:hAnsi="Times New Roman" w:cs="Times New Roman" w:eastAsiaTheme="minorEastAsia"/>
                      <w:spacing w:val="-4"/>
                      <w:sz w:val="21"/>
                      <w:szCs w:val="21"/>
                      <w:lang w:eastAsia="zh-CN"/>
                    </w:rPr>
                  </w:pPr>
                  <w:r>
                    <w:rPr>
                      <w:rFonts w:ascii="Times New Roman" w:hAnsi="Times New Roman" w:cs="Times New Roman" w:eastAsiaTheme="minorEastAsia"/>
                      <w:spacing w:val="-4"/>
                      <w:sz w:val="21"/>
                      <w:szCs w:val="21"/>
                      <w:lang w:eastAsia="zh-CN"/>
                    </w:rPr>
                    <w:t>1</w:t>
                  </w:r>
                </w:p>
              </w:tc>
              <w:tc>
                <w:tcPr>
                  <w:tcW w:w="577" w:type="pct"/>
                  <w:vAlign w:val="center"/>
                </w:tcPr>
                <w:p w14:paraId="0C0208E6">
                  <w:pPr>
                    <w:autoSpaceDE w:val="0"/>
                    <w:autoSpaceDN w:val="0"/>
                    <w:snapToGrid w:val="0"/>
                    <w:jc w:val="center"/>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85</w:t>
                  </w:r>
                </w:p>
              </w:tc>
              <w:tc>
                <w:tcPr>
                  <w:tcW w:w="404" w:type="pct"/>
                  <w:vAlign w:val="center"/>
                </w:tcPr>
                <w:p w14:paraId="6323A4E4">
                  <w:pPr>
                    <w:pStyle w:val="117"/>
                    <w:snapToGrid w:val="0"/>
                    <w:jc w:val="center"/>
                    <w:rPr>
                      <w:rFonts w:ascii="Times New Roman" w:hAnsi="Times New Roman" w:cs="Times New Roman" w:eastAsiaTheme="minorEastAsia"/>
                      <w:sz w:val="21"/>
                      <w:szCs w:val="21"/>
                      <w:lang w:eastAsia="zh-CN"/>
                    </w:rPr>
                  </w:pPr>
                  <w:r>
                    <w:rPr>
                      <w:rFonts w:hint="eastAsia" w:ascii="Times New Roman" w:hAnsi="Times New Roman" w:cs="Times New Roman" w:eastAsiaTheme="minorEastAsia"/>
                      <w:sz w:val="21"/>
                      <w:szCs w:val="21"/>
                      <w:lang w:eastAsia="zh-CN"/>
                    </w:rPr>
                    <w:t>28</w:t>
                  </w:r>
                </w:p>
              </w:tc>
              <w:tc>
                <w:tcPr>
                  <w:tcW w:w="322" w:type="pct"/>
                  <w:vAlign w:val="center"/>
                </w:tcPr>
                <w:p w14:paraId="32955E30">
                  <w:pPr>
                    <w:pStyle w:val="117"/>
                    <w:snapToGrid w:val="0"/>
                    <w:jc w:val="center"/>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-7</w:t>
                  </w:r>
                  <w:r>
                    <w:rPr>
                      <w:rFonts w:hint="eastAsia" w:ascii="Times New Roman" w:hAnsi="Times New Roman" w:cs="Times New Roman" w:eastAsiaTheme="minorEastAsia"/>
                      <w:sz w:val="21"/>
                      <w:szCs w:val="21"/>
                      <w:lang w:eastAsia="zh-CN"/>
                    </w:rPr>
                    <w:t>4</w:t>
                  </w:r>
                </w:p>
              </w:tc>
              <w:tc>
                <w:tcPr>
                  <w:tcW w:w="323" w:type="pct"/>
                  <w:vAlign w:val="center"/>
                </w:tcPr>
                <w:p w14:paraId="4A9AC359">
                  <w:pPr>
                    <w:pStyle w:val="117"/>
                    <w:snapToGrid w:val="0"/>
                    <w:jc w:val="center"/>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1</w:t>
                  </w:r>
                </w:p>
              </w:tc>
              <w:tc>
                <w:tcPr>
                  <w:tcW w:w="901" w:type="pct"/>
                  <w:vMerge w:val="restart"/>
                  <w:vAlign w:val="center"/>
                </w:tcPr>
                <w:p w14:paraId="2D491965">
                  <w:pPr>
                    <w:pStyle w:val="117"/>
                    <w:snapToGrid w:val="0"/>
                    <w:jc w:val="center"/>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基础</w:t>
                  </w:r>
                  <w:r>
                    <w:rPr>
                      <w:rFonts w:ascii="Times New Roman" w:cs="Times New Roman" w:eastAsiaTheme="minorEastAsia"/>
                      <w:szCs w:val="21"/>
                      <w:lang w:eastAsia="zh-CN"/>
                    </w:rPr>
                    <w:t>减振</w:t>
                  </w:r>
                  <w:r>
                    <w:rPr>
                      <w:rFonts w:ascii="Times New Roman" w:hAnsi="Times New Roman" w:cs="Times New Roman" w:eastAsiaTheme="minorEastAsia"/>
                      <w:sz w:val="21"/>
                      <w:szCs w:val="21"/>
                      <w:lang w:eastAsia="zh-CN"/>
                    </w:rPr>
                    <w:t>、距离衰减</w:t>
                  </w:r>
                </w:p>
              </w:tc>
              <w:tc>
                <w:tcPr>
                  <w:tcW w:w="733" w:type="pct"/>
                  <w:vMerge w:val="restart"/>
                  <w:vAlign w:val="center"/>
                </w:tcPr>
                <w:p w14:paraId="614DDB17">
                  <w:pPr>
                    <w:pStyle w:val="117"/>
                    <w:snapToGrid w:val="0"/>
                    <w:jc w:val="center"/>
                    <w:rPr>
                      <w:rFonts w:ascii="Times New Roman" w:hAnsi="Times New Roman" w:cs="Times New Roman" w:eastAsiaTheme="minorEastAsia"/>
                      <w:sz w:val="21"/>
                      <w:szCs w:val="21"/>
                      <w:lang w:eastAsia="zh-CN"/>
                    </w:rPr>
                  </w:pPr>
                  <w:r>
                    <w:rPr>
                      <w:rFonts w:hint="eastAsia" w:ascii="Times New Roman" w:hAnsi="Times New Roman" w:cs="Times New Roman" w:eastAsiaTheme="minorEastAsia"/>
                      <w:sz w:val="21"/>
                      <w:szCs w:val="21"/>
                      <w:lang w:eastAsia="zh-CN"/>
                    </w:rPr>
                    <w:t>9</w:t>
                  </w:r>
                  <w:r>
                    <w:rPr>
                      <w:rFonts w:ascii="Times New Roman" w:hAnsi="Times New Roman" w:cs="Times New Roman" w:eastAsiaTheme="minorEastAsia"/>
                      <w:sz w:val="21"/>
                      <w:szCs w:val="21"/>
                      <w:lang w:eastAsia="zh-CN"/>
                    </w:rPr>
                    <w:t>:00-</w:t>
                  </w:r>
                  <w:r>
                    <w:rPr>
                      <w:rFonts w:hint="eastAsia" w:ascii="Times New Roman" w:hAnsi="Times New Roman" w:cs="Times New Roman" w:eastAsiaTheme="minorEastAsia"/>
                      <w:sz w:val="21"/>
                      <w:szCs w:val="21"/>
                      <w:lang w:eastAsia="zh-CN"/>
                    </w:rPr>
                    <w:t>17</w:t>
                  </w:r>
                  <w:r>
                    <w:rPr>
                      <w:rFonts w:ascii="Times New Roman" w:hAnsi="Times New Roman" w:cs="Times New Roman" w:eastAsiaTheme="minorEastAsia"/>
                      <w:sz w:val="21"/>
                      <w:szCs w:val="21"/>
                      <w:lang w:eastAsia="zh-CN"/>
                    </w:rPr>
                    <w:t>:00</w:t>
                  </w:r>
                </w:p>
              </w:tc>
            </w:tr>
            <w:tr w14:paraId="1711E712">
              <w:tblPrEx>
                <w:tblBorders>
                  <w:top w:val="single" w:color="auto" w:sz="4" w:space="0"/>
                  <w:left w:val="single" w:color="auto" w:sz="4" w:space="0"/>
                  <w:bottom w:val="single" w:color="auto" w:sz="4" w:space="0"/>
                  <w:right w:val="single" w:color="auto" w:sz="4" w:space="0"/>
                  <w:insideH w:val="single" w:color="000000" w:sz="4" w:space="0"/>
                  <w:insideV w:val="single" w:color="000000" w:sz="2" w:space="0"/>
                </w:tblBorders>
                <w:tblCellMar>
                  <w:top w:w="0" w:type="dxa"/>
                  <w:left w:w="0" w:type="dxa"/>
                  <w:bottom w:w="0" w:type="dxa"/>
                  <w:right w:w="0" w:type="dxa"/>
                </w:tblCellMar>
              </w:tblPrEx>
              <w:trPr>
                <w:trHeight w:val="340" w:hRule="atLeast"/>
              </w:trPr>
              <w:tc>
                <w:tcPr>
                  <w:tcW w:w="228" w:type="pct"/>
                  <w:vAlign w:val="center"/>
                </w:tcPr>
                <w:p w14:paraId="270B0AE2">
                  <w:pPr>
                    <w:pStyle w:val="117"/>
                    <w:snapToGrid w:val="0"/>
                    <w:spacing w:before="33"/>
                    <w:ind w:left="17"/>
                    <w:jc w:val="center"/>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2</w:t>
                  </w:r>
                </w:p>
              </w:tc>
              <w:tc>
                <w:tcPr>
                  <w:tcW w:w="585" w:type="pct"/>
                  <w:vAlign w:val="center"/>
                </w:tcPr>
                <w:p w14:paraId="6C64D494">
                  <w:pPr>
                    <w:autoSpaceDE w:val="0"/>
                    <w:autoSpaceDN w:val="0"/>
                    <w:jc w:val="center"/>
                    <w:rPr>
                      <w:rFonts w:ascii="Times New Roman" w:hAnsi="Times New Roman" w:cs="Times New Roman" w:eastAsiaTheme="minorEastAsia"/>
                      <w:szCs w:val="21"/>
                      <w:lang w:eastAsia="zh-CN"/>
                    </w:rPr>
                  </w:pPr>
                  <w:r>
                    <w:rPr>
                      <w:rFonts w:ascii="Times New Roman" w:hAnsi="Times New Roman" w:cs="Times New Roman" w:eastAsiaTheme="minorEastAsia"/>
                      <w:szCs w:val="21"/>
                      <w:lang w:eastAsia="zh-CN"/>
                    </w:rPr>
                    <w:t>2#</w:t>
                  </w:r>
                  <w:r>
                    <w:rPr>
                      <w:rFonts w:ascii="Times New Roman" w:cs="Times New Roman" w:hAnsiTheme="minorHAnsi" w:eastAsiaTheme="minorEastAsia"/>
                      <w:szCs w:val="21"/>
                      <w:lang w:eastAsia="zh-CN"/>
                    </w:rPr>
                    <w:t>生产车间</w:t>
                  </w:r>
                </w:p>
              </w:tc>
              <w:tc>
                <w:tcPr>
                  <w:tcW w:w="463" w:type="pct"/>
                  <w:vAlign w:val="center"/>
                </w:tcPr>
                <w:p w14:paraId="3674F912">
                  <w:pPr>
                    <w:widowControl/>
                    <w:autoSpaceDE w:val="0"/>
                    <w:autoSpaceDN w:val="0"/>
                    <w:adjustRightInd w:val="0"/>
                    <w:snapToGrid w:val="0"/>
                    <w:jc w:val="center"/>
                    <w:rPr>
                      <w:rFonts w:ascii="Times New Roman" w:hAnsi="Times New Roman" w:cs="Times New Roman" w:eastAsiaTheme="minorEastAsia"/>
                      <w:bCs/>
                      <w:sz w:val="21"/>
                      <w:szCs w:val="21"/>
                      <w:lang w:eastAsia="zh-CN"/>
                    </w:rPr>
                  </w:pPr>
                  <w:r>
                    <w:rPr>
                      <w:rFonts w:ascii="Times New Roman" w:hAnsi="Times New Roman" w:cs="Times New Roman" w:eastAsiaTheme="minorEastAsia"/>
                      <w:sz w:val="21"/>
                      <w:szCs w:val="21"/>
                      <w:lang w:eastAsia="zh-CN"/>
                    </w:rPr>
                    <w:t>风机2</w:t>
                  </w:r>
                </w:p>
              </w:tc>
              <w:tc>
                <w:tcPr>
                  <w:tcW w:w="463" w:type="pct"/>
                  <w:vAlign w:val="center"/>
                </w:tcPr>
                <w:p w14:paraId="1FAC4D65">
                  <w:pPr>
                    <w:autoSpaceDE w:val="0"/>
                    <w:autoSpaceDN w:val="0"/>
                    <w:snapToGrid w:val="0"/>
                    <w:jc w:val="center"/>
                    <w:rPr>
                      <w:rFonts w:ascii="Times New Roman" w:hAnsi="Times New Roman" w:cs="Times New Roman" w:eastAsiaTheme="minorEastAsia"/>
                      <w:spacing w:val="-4"/>
                      <w:sz w:val="21"/>
                      <w:szCs w:val="21"/>
                      <w:lang w:eastAsia="zh-CN"/>
                    </w:rPr>
                  </w:pPr>
                  <w:r>
                    <w:rPr>
                      <w:rFonts w:ascii="Times New Roman" w:hAnsi="Times New Roman" w:cs="Times New Roman" w:eastAsiaTheme="minorEastAsia"/>
                      <w:spacing w:val="-4"/>
                      <w:sz w:val="21"/>
                      <w:szCs w:val="21"/>
                      <w:lang w:eastAsia="zh-CN"/>
                    </w:rPr>
                    <w:t>1</w:t>
                  </w:r>
                </w:p>
              </w:tc>
              <w:tc>
                <w:tcPr>
                  <w:tcW w:w="577" w:type="pct"/>
                  <w:vAlign w:val="center"/>
                </w:tcPr>
                <w:p w14:paraId="57A5088C">
                  <w:pPr>
                    <w:autoSpaceDE w:val="0"/>
                    <w:autoSpaceDN w:val="0"/>
                    <w:snapToGrid w:val="0"/>
                    <w:jc w:val="center"/>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80</w:t>
                  </w:r>
                </w:p>
              </w:tc>
              <w:tc>
                <w:tcPr>
                  <w:tcW w:w="404" w:type="pct"/>
                  <w:vAlign w:val="center"/>
                </w:tcPr>
                <w:p w14:paraId="4581B6E9">
                  <w:pPr>
                    <w:pStyle w:val="117"/>
                    <w:snapToGrid w:val="0"/>
                    <w:jc w:val="center"/>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30</w:t>
                  </w:r>
                </w:p>
              </w:tc>
              <w:tc>
                <w:tcPr>
                  <w:tcW w:w="322" w:type="pct"/>
                  <w:vAlign w:val="center"/>
                </w:tcPr>
                <w:p w14:paraId="25515B80">
                  <w:pPr>
                    <w:pStyle w:val="117"/>
                    <w:snapToGrid w:val="0"/>
                    <w:jc w:val="center"/>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-140</w:t>
                  </w:r>
                </w:p>
              </w:tc>
              <w:tc>
                <w:tcPr>
                  <w:tcW w:w="323" w:type="pct"/>
                  <w:vAlign w:val="center"/>
                </w:tcPr>
                <w:p w14:paraId="2170B305">
                  <w:pPr>
                    <w:pStyle w:val="117"/>
                    <w:snapToGrid w:val="0"/>
                    <w:jc w:val="center"/>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1</w:t>
                  </w:r>
                </w:p>
              </w:tc>
              <w:tc>
                <w:tcPr>
                  <w:tcW w:w="901" w:type="pct"/>
                  <w:vMerge w:val="continue"/>
                  <w:vAlign w:val="center"/>
                </w:tcPr>
                <w:p w14:paraId="2D9A19E0">
                  <w:pPr>
                    <w:pStyle w:val="117"/>
                    <w:snapToGrid w:val="0"/>
                    <w:jc w:val="center"/>
                    <w:rPr>
                      <w:rFonts w:ascii="Times New Roman" w:hAnsi="Times New Roman" w:cs="Times New Roman" w:eastAsiaTheme="minorEastAsia"/>
                      <w:sz w:val="21"/>
                      <w:szCs w:val="21"/>
                      <w:lang w:eastAsia="zh-CN"/>
                    </w:rPr>
                  </w:pPr>
                </w:p>
              </w:tc>
              <w:tc>
                <w:tcPr>
                  <w:tcW w:w="733" w:type="pct"/>
                  <w:vMerge w:val="continue"/>
                  <w:vAlign w:val="center"/>
                </w:tcPr>
                <w:p w14:paraId="68A75F20">
                  <w:pPr>
                    <w:pStyle w:val="117"/>
                    <w:snapToGrid w:val="0"/>
                    <w:jc w:val="center"/>
                    <w:rPr>
                      <w:rFonts w:ascii="Times New Roman" w:hAnsi="Times New Roman" w:cs="Times New Roman" w:eastAsiaTheme="minorEastAsia"/>
                      <w:sz w:val="21"/>
                      <w:szCs w:val="21"/>
                      <w:lang w:eastAsia="zh-CN"/>
                    </w:rPr>
                  </w:pPr>
                </w:p>
              </w:tc>
            </w:tr>
            <w:tr w14:paraId="742BF3F0">
              <w:tblPrEx>
                <w:tblBorders>
                  <w:top w:val="single" w:color="auto" w:sz="4" w:space="0"/>
                  <w:left w:val="single" w:color="auto" w:sz="4" w:space="0"/>
                  <w:bottom w:val="single" w:color="auto" w:sz="4" w:space="0"/>
                  <w:right w:val="single" w:color="auto" w:sz="4" w:space="0"/>
                  <w:insideH w:val="single" w:color="000000" w:sz="4" w:space="0"/>
                  <w:insideV w:val="single" w:color="000000" w:sz="2" w:space="0"/>
                </w:tblBorders>
                <w:tblCellMar>
                  <w:top w:w="0" w:type="dxa"/>
                  <w:left w:w="0" w:type="dxa"/>
                  <w:bottom w:w="0" w:type="dxa"/>
                  <w:right w:w="0" w:type="dxa"/>
                </w:tblCellMar>
              </w:tblPrEx>
              <w:trPr>
                <w:trHeight w:val="340" w:hRule="atLeast"/>
              </w:trPr>
              <w:tc>
                <w:tcPr>
                  <w:tcW w:w="228" w:type="pct"/>
                  <w:vAlign w:val="center"/>
                </w:tcPr>
                <w:p w14:paraId="22E29658">
                  <w:pPr>
                    <w:pStyle w:val="25"/>
                    <w:widowControl w:val="0"/>
                    <w:autoSpaceDE w:val="0"/>
                    <w:autoSpaceDN w:val="0"/>
                    <w:snapToGrid w:val="0"/>
                    <w:spacing w:before="33" w:beforeAutospacing="0" w:after="0" w:afterAutospacing="0"/>
                    <w:ind w:left="17"/>
                    <w:jc w:val="center"/>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3</w:t>
                  </w:r>
                </w:p>
              </w:tc>
              <w:tc>
                <w:tcPr>
                  <w:tcW w:w="585" w:type="pct"/>
                  <w:vAlign w:val="center"/>
                </w:tcPr>
                <w:p w14:paraId="23610663">
                  <w:pPr>
                    <w:widowControl/>
                    <w:autoSpaceDE w:val="0"/>
                    <w:autoSpaceDN w:val="0"/>
                    <w:adjustRightInd w:val="0"/>
                    <w:snapToGrid w:val="0"/>
                    <w:jc w:val="center"/>
                    <w:rPr>
                      <w:rFonts w:ascii="Times New Roman" w:hAnsi="Times New Roman" w:cs="Times New Roman" w:eastAsiaTheme="minorEastAsia"/>
                      <w:bCs/>
                      <w:szCs w:val="21"/>
                      <w:lang w:eastAsia="zh-CN"/>
                    </w:rPr>
                  </w:pPr>
                  <w:r>
                    <w:rPr>
                      <w:rFonts w:ascii="Times New Roman" w:hAnsi="Times New Roman" w:cs="Times New Roman" w:eastAsiaTheme="minorEastAsia"/>
                      <w:szCs w:val="21"/>
                      <w:lang w:eastAsia="zh-CN"/>
                    </w:rPr>
                    <w:t>1#</w:t>
                  </w:r>
                  <w:r>
                    <w:rPr>
                      <w:rFonts w:ascii="Times New Roman" w:cs="Times New Roman" w:hAnsiTheme="minorHAnsi" w:eastAsiaTheme="minorEastAsia"/>
                      <w:szCs w:val="21"/>
                      <w:lang w:eastAsia="zh-CN"/>
                    </w:rPr>
                    <w:t>成品油储罐</w:t>
                  </w:r>
                </w:p>
              </w:tc>
              <w:tc>
                <w:tcPr>
                  <w:tcW w:w="463" w:type="pct"/>
                  <w:vAlign w:val="center"/>
                </w:tcPr>
                <w:p w14:paraId="3A6EBEC8">
                  <w:pPr>
                    <w:widowControl/>
                    <w:autoSpaceDE w:val="0"/>
                    <w:autoSpaceDN w:val="0"/>
                    <w:adjustRightInd w:val="0"/>
                    <w:snapToGrid w:val="0"/>
                    <w:jc w:val="center"/>
                    <w:rPr>
                      <w:rFonts w:ascii="Times New Roman" w:hAnsi="Times New Roman" w:cs="Times New Roman" w:eastAsiaTheme="minorEastAsia"/>
                      <w:bCs/>
                      <w:sz w:val="21"/>
                      <w:szCs w:val="21"/>
                      <w:lang w:eastAsia="zh-CN"/>
                    </w:rPr>
                  </w:pPr>
                  <w:r>
                    <w:rPr>
                      <w:rFonts w:ascii="Times New Roman" w:hAnsi="Times New Roman" w:cs="Times New Roman" w:eastAsiaTheme="minorEastAsia"/>
                      <w:sz w:val="21"/>
                      <w:szCs w:val="21"/>
                      <w:lang w:eastAsia="zh-CN"/>
                    </w:rPr>
                    <w:t>泵1</w:t>
                  </w:r>
                </w:p>
              </w:tc>
              <w:tc>
                <w:tcPr>
                  <w:tcW w:w="463" w:type="pct"/>
                  <w:vAlign w:val="center"/>
                </w:tcPr>
                <w:p w14:paraId="7612DC91">
                  <w:pPr>
                    <w:autoSpaceDE w:val="0"/>
                    <w:autoSpaceDN w:val="0"/>
                    <w:snapToGrid w:val="0"/>
                    <w:jc w:val="center"/>
                    <w:rPr>
                      <w:rFonts w:ascii="Times New Roman" w:hAnsi="Times New Roman" w:cs="Times New Roman" w:eastAsiaTheme="minorEastAsia"/>
                      <w:spacing w:val="-4"/>
                      <w:sz w:val="21"/>
                      <w:szCs w:val="21"/>
                      <w:lang w:eastAsia="zh-CN"/>
                    </w:rPr>
                  </w:pPr>
                  <w:r>
                    <w:rPr>
                      <w:rFonts w:ascii="Times New Roman" w:hAnsi="Times New Roman" w:cs="Times New Roman" w:eastAsiaTheme="minorEastAsia"/>
                      <w:spacing w:val="-4"/>
                      <w:sz w:val="21"/>
                      <w:szCs w:val="21"/>
                      <w:lang w:eastAsia="zh-CN"/>
                    </w:rPr>
                    <w:t>1</w:t>
                  </w:r>
                </w:p>
              </w:tc>
              <w:tc>
                <w:tcPr>
                  <w:tcW w:w="577" w:type="pct"/>
                  <w:vAlign w:val="center"/>
                </w:tcPr>
                <w:p w14:paraId="7FBD0DCD">
                  <w:pPr>
                    <w:autoSpaceDE w:val="0"/>
                    <w:autoSpaceDN w:val="0"/>
                    <w:snapToGrid w:val="0"/>
                    <w:jc w:val="center"/>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90</w:t>
                  </w:r>
                </w:p>
              </w:tc>
              <w:tc>
                <w:tcPr>
                  <w:tcW w:w="404" w:type="pct"/>
                  <w:vAlign w:val="center"/>
                </w:tcPr>
                <w:p w14:paraId="07054F4C">
                  <w:pPr>
                    <w:pStyle w:val="117"/>
                    <w:snapToGrid w:val="0"/>
                    <w:jc w:val="center"/>
                    <w:rPr>
                      <w:rFonts w:ascii="Times New Roman" w:hAnsi="Times New Roman" w:cs="Times New Roman" w:eastAsiaTheme="minorEastAsia"/>
                      <w:sz w:val="21"/>
                      <w:szCs w:val="21"/>
                      <w:lang w:eastAsia="zh-CN"/>
                    </w:rPr>
                  </w:pPr>
                  <w:r>
                    <w:rPr>
                      <w:rFonts w:hint="eastAsia" w:ascii="Times New Roman" w:hAnsi="Times New Roman" w:cs="Times New Roman" w:eastAsiaTheme="minorEastAsia"/>
                      <w:sz w:val="21"/>
                      <w:szCs w:val="21"/>
                      <w:lang w:eastAsia="zh-CN"/>
                    </w:rPr>
                    <w:t>24</w:t>
                  </w:r>
                </w:p>
              </w:tc>
              <w:tc>
                <w:tcPr>
                  <w:tcW w:w="322" w:type="pct"/>
                  <w:vAlign w:val="center"/>
                </w:tcPr>
                <w:p w14:paraId="612DB09F">
                  <w:pPr>
                    <w:pStyle w:val="117"/>
                    <w:snapToGrid w:val="0"/>
                    <w:jc w:val="center"/>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w:t>
                  </w:r>
                  <w:r>
                    <w:rPr>
                      <w:rFonts w:hint="eastAsia" w:ascii="Times New Roman" w:hAnsi="Times New Roman" w:cs="Times New Roman" w:eastAsiaTheme="minorEastAsia"/>
                      <w:sz w:val="21"/>
                      <w:szCs w:val="21"/>
                      <w:lang w:eastAsia="zh-CN"/>
                    </w:rPr>
                    <w:t>77</w:t>
                  </w:r>
                </w:p>
              </w:tc>
              <w:tc>
                <w:tcPr>
                  <w:tcW w:w="323" w:type="pct"/>
                  <w:vAlign w:val="center"/>
                </w:tcPr>
                <w:p w14:paraId="4275D1AE">
                  <w:pPr>
                    <w:pStyle w:val="117"/>
                    <w:snapToGrid w:val="0"/>
                    <w:jc w:val="center"/>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1</w:t>
                  </w:r>
                </w:p>
              </w:tc>
              <w:tc>
                <w:tcPr>
                  <w:tcW w:w="901" w:type="pct"/>
                  <w:vMerge w:val="continue"/>
                  <w:vAlign w:val="center"/>
                </w:tcPr>
                <w:p w14:paraId="652C9EEC">
                  <w:pPr>
                    <w:pStyle w:val="117"/>
                    <w:snapToGrid w:val="0"/>
                    <w:jc w:val="center"/>
                    <w:rPr>
                      <w:rFonts w:ascii="Times New Roman" w:hAnsi="Times New Roman" w:cs="Times New Roman" w:eastAsiaTheme="minorEastAsia"/>
                      <w:sz w:val="21"/>
                      <w:szCs w:val="21"/>
                      <w:lang w:eastAsia="zh-CN"/>
                    </w:rPr>
                  </w:pPr>
                </w:p>
              </w:tc>
              <w:tc>
                <w:tcPr>
                  <w:tcW w:w="733" w:type="pct"/>
                  <w:vMerge w:val="continue"/>
                  <w:vAlign w:val="center"/>
                </w:tcPr>
                <w:p w14:paraId="02DEF59D">
                  <w:pPr>
                    <w:pStyle w:val="117"/>
                    <w:snapToGrid w:val="0"/>
                    <w:jc w:val="center"/>
                    <w:rPr>
                      <w:rFonts w:ascii="Times New Roman" w:hAnsi="Times New Roman" w:cs="Times New Roman" w:eastAsiaTheme="minorEastAsia"/>
                      <w:sz w:val="21"/>
                      <w:szCs w:val="21"/>
                      <w:lang w:eastAsia="zh-CN"/>
                    </w:rPr>
                  </w:pPr>
                </w:p>
              </w:tc>
            </w:tr>
            <w:tr w14:paraId="5D91385F">
              <w:tblPrEx>
                <w:tblBorders>
                  <w:top w:val="single" w:color="auto" w:sz="4" w:space="0"/>
                  <w:left w:val="single" w:color="auto" w:sz="4" w:space="0"/>
                  <w:bottom w:val="single" w:color="auto" w:sz="4" w:space="0"/>
                  <w:right w:val="single" w:color="auto" w:sz="4" w:space="0"/>
                  <w:insideH w:val="single" w:color="000000" w:sz="4" w:space="0"/>
                  <w:insideV w:val="single" w:color="000000" w:sz="2" w:space="0"/>
                </w:tblBorders>
                <w:tblCellMar>
                  <w:top w:w="0" w:type="dxa"/>
                  <w:left w:w="0" w:type="dxa"/>
                  <w:bottom w:w="0" w:type="dxa"/>
                  <w:right w:w="0" w:type="dxa"/>
                </w:tblCellMar>
              </w:tblPrEx>
              <w:trPr>
                <w:trHeight w:val="340" w:hRule="atLeast"/>
              </w:trPr>
              <w:tc>
                <w:tcPr>
                  <w:tcW w:w="228" w:type="pct"/>
                  <w:vAlign w:val="center"/>
                </w:tcPr>
                <w:p w14:paraId="5C3CC3D1">
                  <w:pPr>
                    <w:pStyle w:val="25"/>
                    <w:widowControl w:val="0"/>
                    <w:autoSpaceDE w:val="0"/>
                    <w:autoSpaceDN w:val="0"/>
                    <w:snapToGrid w:val="0"/>
                    <w:spacing w:before="33" w:beforeAutospacing="0" w:after="0" w:afterAutospacing="0"/>
                    <w:ind w:left="17"/>
                    <w:jc w:val="center"/>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4</w:t>
                  </w:r>
                </w:p>
              </w:tc>
              <w:tc>
                <w:tcPr>
                  <w:tcW w:w="585" w:type="pct"/>
                  <w:vAlign w:val="center"/>
                </w:tcPr>
                <w:p w14:paraId="3ECEC483">
                  <w:pPr>
                    <w:widowControl/>
                    <w:autoSpaceDE w:val="0"/>
                    <w:autoSpaceDN w:val="0"/>
                    <w:adjustRightInd w:val="0"/>
                    <w:snapToGrid w:val="0"/>
                    <w:jc w:val="center"/>
                    <w:rPr>
                      <w:rFonts w:ascii="Times New Roman" w:hAnsi="Times New Roman" w:cs="Times New Roman" w:eastAsiaTheme="minorEastAsia"/>
                      <w:bCs/>
                      <w:szCs w:val="21"/>
                      <w:lang w:eastAsia="zh-CN"/>
                    </w:rPr>
                  </w:pPr>
                  <w:r>
                    <w:rPr>
                      <w:rFonts w:ascii="Times New Roman" w:hAnsi="Times New Roman" w:cs="Times New Roman" w:eastAsiaTheme="minorEastAsia"/>
                      <w:szCs w:val="21"/>
                      <w:lang w:eastAsia="zh-CN"/>
                    </w:rPr>
                    <w:t>2#</w:t>
                  </w:r>
                  <w:r>
                    <w:rPr>
                      <w:rFonts w:ascii="Times New Roman" w:cs="Times New Roman" w:hAnsiTheme="minorHAnsi" w:eastAsiaTheme="minorEastAsia"/>
                      <w:szCs w:val="21"/>
                      <w:lang w:eastAsia="zh-CN"/>
                    </w:rPr>
                    <w:t>成品油储罐</w:t>
                  </w:r>
                </w:p>
              </w:tc>
              <w:tc>
                <w:tcPr>
                  <w:tcW w:w="463" w:type="pct"/>
                  <w:vAlign w:val="center"/>
                </w:tcPr>
                <w:p w14:paraId="747A140E">
                  <w:pPr>
                    <w:widowControl/>
                    <w:autoSpaceDE w:val="0"/>
                    <w:autoSpaceDN w:val="0"/>
                    <w:adjustRightInd w:val="0"/>
                    <w:snapToGrid w:val="0"/>
                    <w:jc w:val="center"/>
                    <w:rPr>
                      <w:rFonts w:ascii="Times New Roman" w:hAnsi="Times New Roman" w:cs="Times New Roman" w:eastAsiaTheme="minorEastAsia"/>
                      <w:szCs w:val="21"/>
                      <w:lang w:eastAsia="zh-CN"/>
                    </w:rPr>
                  </w:pPr>
                  <w:r>
                    <w:rPr>
                      <w:rFonts w:ascii="Times New Roman" w:hAnsi="Times New Roman" w:cs="Times New Roman" w:eastAsiaTheme="minorEastAsia"/>
                      <w:sz w:val="21"/>
                      <w:szCs w:val="21"/>
                      <w:lang w:eastAsia="zh-CN"/>
                    </w:rPr>
                    <w:t>泵2</w:t>
                  </w:r>
                </w:p>
              </w:tc>
              <w:tc>
                <w:tcPr>
                  <w:tcW w:w="463" w:type="pct"/>
                  <w:vAlign w:val="center"/>
                </w:tcPr>
                <w:p w14:paraId="1FA59A93">
                  <w:pPr>
                    <w:autoSpaceDE w:val="0"/>
                    <w:autoSpaceDN w:val="0"/>
                    <w:snapToGrid w:val="0"/>
                    <w:jc w:val="center"/>
                    <w:rPr>
                      <w:rFonts w:ascii="Times New Roman" w:hAnsi="Times New Roman" w:cs="Times New Roman" w:eastAsiaTheme="minorEastAsia"/>
                      <w:spacing w:val="-4"/>
                      <w:sz w:val="21"/>
                      <w:szCs w:val="21"/>
                      <w:lang w:eastAsia="zh-CN"/>
                    </w:rPr>
                  </w:pPr>
                  <w:r>
                    <w:rPr>
                      <w:rFonts w:ascii="Times New Roman" w:hAnsi="Times New Roman" w:cs="Times New Roman" w:eastAsiaTheme="minorEastAsia"/>
                      <w:spacing w:val="-4"/>
                      <w:sz w:val="21"/>
                      <w:szCs w:val="21"/>
                      <w:lang w:eastAsia="zh-CN"/>
                    </w:rPr>
                    <w:t>1</w:t>
                  </w:r>
                </w:p>
              </w:tc>
              <w:tc>
                <w:tcPr>
                  <w:tcW w:w="577" w:type="pct"/>
                  <w:vAlign w:val="center"/>
                </w:tcPr>
                <w:p w14:paraId="66BCD8F5">
                  <w:pPr>
                    <w:autoSpaceDE w:val="0"/>
                    <w:autoSpaceDN w:val="0"/>
                    <w:snapToGrid w:val="0"/>
                    <w:jc w:val="center"/>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90</w:t>
                  </w:r>
                </w:p>
              </w:tc>
              <w:tc>
                <w:tcPr>
                  <w:tcW w:w="404" w:type="pct"/>
                  <w:vAlign w:val="center"/>
                </w:tcPr>
                <w:p w14:paraId="034DF5BD">
                  <w:pPr>
                    <w:pStyle w:val="117"/>
                    <w:snapToGrid w:val="0"/>
                    <w:jc w:val="center"/>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3</w:t>
                  </w:r>
                  <w:r>
                    <w:rPr>
                      <w:rFonts w:hint="eastAsia" w:ascii="Times New Roman" w:hAnsi="Times New Roman" w:cs="Times New Roman" w:eastAsiaTheme="minorEastAsia"/>
                      <w:sz w:val="21"/>
                      <w:szCs w:val="21"/>
                      <w:lang w:eastAsia="zh-CN"/>
                    </w:rPr>
                    <w:t>4</w:t>
                  </w:r>
                </w:p>
              </w:tc>
              <w:tc>
                <w:tcPr>
                  <w:tcW w:w="322" w:type="pct"/>
                  <w:vAlign w:val="center"/>
                </w:tcPr>
                <w:p w14:paraId="19F78E25">
                  <w:pPr>
                    <w:pStyle w:val="117"/>
                    <w:snapToGrid w:val="0"/>
                    <w:jc w:val="center"/>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-140</w:t>
                  </w:r>
                </w:p>
              </w:tc>
              <w:tc>
                <w:tcPr>
                  <w:tcW w:w="323" w:type="pct"/>
                  <w:vAlign w:val="center"/>
                </w:tcPr>
                <w:p w14:paraId="1130609F">
                  <w:pPr>
                    <w:pStyle w:val="117"/>
                    <w:snapToGrid w:val="0"/>
                    <w:jc w:val="center"/>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1</w:t>
                  </w:r>
                </w:p>
              </w:tc>
              <w:tc>
                <w:tcPr>
                  <w:tcW w:w="901" w:type="pct"/>
                  <w:vMerge w:val="continue"/>
                  <w:vAlign w:val="center"/>
                </w:tcPr>
                <w:p w14:paraId="49D0C9A0">
                  <w:pPr>
                    <w:pStyle w:val="117"/>
                    <w:snapToGrid w:val="0"/>
                    <w:jc w:val="center"/>
                    <w:rPr>
                      <w:rFonts w:ascii="Times New Roman" w:hAnsi="Times New Roman" w:cs="Times New Roman" w:eastAsiaTheme="minorEastAsia"/>
                      <w:sz w:val="21"/>
                      <w:szCs w:val="21"/>
                      <w:lang w:eastAsia="zh-CN"/>
                    </w:rPr>
                  </w:pPr>
                </w:p>
              </w:tc>
              <w:tc>
                <w:tcPr>
                  <w:tcW w:w="733" w:type="pct"/>
                  <w:vMerge w:val="continue"/>
                  <w:vAlign w:val="center"/>
                </w:tcPr>
                <w:p w14:paraId="3A2434EC">
                  <w:pPr>
                    <w:pStyle w:val="117"/>
                    <w:snapToGrid w:val="0"/>
                    <w:jc w:val="center"/>
                    <w:rPr>
                      <w:rFonts w:ascii="Times New Roman" w:hAnsi="Times New Roman" w:cs="Times New Roman" w:eastAsiaTheme="minorEastAsia"/>
                      <w:sz w:val="21"/>
                      <w:szCs w:val="21"/>
                      <w:lang w:eastAsia="zh-CN"/>
                    </w:rPr>
                  </w:pPr>
                </w:p>
              </w:tc>
            </w:tr>
            <w:tr w14:paraId="58F2C65B">
              <w:tblPrEx>
                <w:tblBorders>
                  <w:top w:val="single" w:color="auto" w:sz="4" w:space="0"/>
                  <w:left w:val="single" w:color="auto" w:sz="4" w:space="0"/>
                  <w:bottom w:val="single" w:color="auto" w:sz="4" w:space="0"/>
                  <w:right w:val="single" w:color="auto" w:sz="4" w:space="0"/>
                  <w:insideH w:val="single" w:color="000000" w:sz="4" w:space="0"/>
                  <w:insideV w:val="single" w:color="000000" w:sz="2" w:space="0"/>
                </w:tblBorders>
                <w:tblCellMar>
                  <w:top w:w="0" w:type="dxa"/>
                  <w:left w:w="0" w:type="dxa"/>
                  <w:bottom w:w="0" w:type="dxa"/>
                  <w:right w:w="0" w:type="dxa"/>
                </w:tblCellMar>
              </w:tblPrEx>
              <w:trPr>
                <w:trHeight w:val="340" w:hRule="atLeast"/>
              </w:trPr>
              <w:tc>
                <w:tcPr>
                  <w:tcW w:w="228" w:type="pct"/>
                  <w:vAlign w:val="center"/>
                </w:tcPr>
                <w:p w14:paraId="640D91BC">
                  <w:pPr>
                    <w:pStyle w:val="25"/>
                    <w:widowControl w:val="0"/>
                    <w:autoSpaceDE w:val="0"/>
                    <w:autoSpaceDN w:val="0"/>
                    <w:snapToGrid w:val="0"/>
                    <w:spacing w:before="33" w:beforeAutospacing="0" w:after="0" w:afterAutospacing="0"/>
                    <w:ind w:left="17"/>
                    <w:jc w:val="center"/>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5</w:t>
                  </w:r>
                </w:p>
              </w:tc>
              <w:tc>
                <w:tcPr>
                  <w:tcW w:w="585" w:type="pct"/>
                  <w:vAlign w:val="center"/>
                </w:tcPr>
                <w:p w14:paraId="79AD5C89">
                  <w:pPr>
                    <w:widowControl/>
                    <w:autoSpaceDE w:val="0"/>
                    <w:autoSpaceDN w:val="0"/>
                    <w:adjustRightInd w:val="0"/>
                    <w:snapToGrid w:val="0"/>
                    <w:jc w:val="center"/>
                    <w:rPr>
                      <w:rFonts w:ascii="Times New Roman" w:hAnsi="Times New Roman" w:cs="Times New Roman" w:eastAsiaTheme="minorEastAsia"/>
                      <w:bCs/>
                      <w:szCs w:val="21"/>
                      <w:lang w:eastAsia="zh-CN"/>
                    </w:rPr>
                  </w:pPr>
                  <w:r>
                    <w:rPr>
                      <w:rFonts w:ascii="Times New Roman" w:cs="Times New Roman" w:hAnsiTheme="minorHAnsi" w:eastAsiaTheme="minorEastAsia"/>
                      <w:bCs/>
                      <w:szCs w:val="21"/>
                      <w:lang w:eastAsia="zh-CN"/>
                    </w:rPr>
                    <w:t>污水处理站</w:t>
                  </w:r>
                </w:p>
              </w:tc>
              <w:tc>
                <w:tcPr>
                  <w:tcW w:w="463" w:type="pct"/>
                  <w:vAlign w:val="center"/>
                </w:tcPr>
                <w:p w14:paraId="6242A329">
                  <w:pPr>
                    <w:widowControl/>
                    <w:autoSpaceDE w:val="0"/>
                    <w:autoSpaceDN w:val="0"/>
                    <w:adjustRightInd w:val="0"/>
                    <w:snapToGrid w:val="0"/>
                    <w:jc w:val="center"/>
                    <w:rPr>
                      <w:rFonts w:ascii="Times New Roman" w:hAnsi="Times New Roman" w:cs="Times New Roman" w:eastAsiaTheme="minorEastAsia"/>
                      <w:bCs/>
                      <w:sz w:val="21"/>
                      <w:szCs w:val="21"/>
                      <w:lang w:eastAsia="zh-CN"/>
                    </w:rPr>
                  </w:pPr>
                  <w:r>
                    <w:rPr>
                      <w:rFonts w:ascii="Times New Roman" w:hAnsi="Times New Roman" w:cs="Times New Roman" w:eastAsiaTheme="minorEastAsia"/>
                      <w:sz w:val="21"/>
                      <w:szCs w:val="21"/>
                      <w:lang w:eastAsia="zh-CN"/>
                    </w:rPr>
                    <w:t>泵3</w:t>
                  </w:r>
                </w:p>
              </w:tc>
              <w:tc>
                <w:tcPr>
                  <w:tcW w:w="463" w:type="pct"/>
                  <w:vAlign w:val="center"/>
                </w:tcPr>
                <w:p w14:paraId="56A1E83C">
                  <w:pPr>
                    <w:autoSpaceDE w:val="0"/>
                    <w:autoSpaceDN w:val="0"/>
                    <w:snapToGrid w:val="0"/>
                    <w:jc w:val="center"/>
                    <w:rPr>
                      <w:rFonts w:ascii="Times New Roman" w:hAnsi="Times New Roman" w:cs="Times New Roman" w:eastAsiaTheme="minorEastAsia"/>
                      <w:spacing w:val="-4"/>
                      <w:sz w:val="21"/>
                      <w:szCs w:val="21"/>
                      <w:lang w:eastAsia="zh-CN"/>
                    </w:rPr>
                  </w:pPr>
                  <w:r>
                    <w:rPr>
                      <w:rFonts w:ascii="Times New Roman" w:hAnsi="Times New Roman" w:cs="Times New Roman" w:eastAsiaTheme="minorEastAsia"/>
                      <w:spacing w:val="-4"/>
                      <w:sz w:val="21"/>
                      <w:szCs w:val="21"/>
                      <w:lang w:eastAsia="zh-CN"/>
                    </w:rPr>
                    <w:t>1</w:t>
                  </w:r>
                </w:p>
              </w:tc>
              <w:tc>
                <w:tcPr>
                  <w:tcW w:w="577" w:type="pct"/>
                  <w:vAlign w:val="center"/>
                </w:tcPr>
                <w:p w14:paraId="752707B5">
                  <w:pPr>
                    <w:autoSpaceDE w:val="0"/>
                    <w:autoSpaceDN w:val="0"/>
                    <w:snapToGrid w:val="0"/>
                    <w:jc w:val="center"/>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90</w:t>
                  </w:r>
                </w:p>
              </w:tc>
              <w:tc>
                <w:tcPr>
                  <w:tcW w:w="404" w:type="pct"/>
                  <w:vAlign w:val="center"/>
                </w:tcPr>
                <w:p w14:paraId="06D98297">
                  <w:pPr>
                    <w:pStyle w:val="117"/>
                    <w:snapToGrid w:val="0"/>
                    <w:jc w:val="center"/>
                    <w:rPr>
                      <w:rFonts w:ascii="Times New Roman" w:hAnsi="Times New Roman" w:cs="Times New Roman" w:eastAsiaTheme="minorEastAsia"/>
                      <w:sz w:val="21"/>
                      <w:szCs w:val="21"/>
                      <w:lang w:eastAsia="zh-CN"/>
                    </w:rPr>
                  </w:pPr>
                  <w:r>
                    <w:rPr>
                      <w:rFonts w:hint="eastAsia" w:ascii="Times New Roman" w:hAnsi="Times New Roman" w:cs="Times New Roman" w:eastAsiaTheme="minorEastAsia"/>
                      <w:sz w:val="21"/>
                      <w:szCs w:val="21"/>
                      <w:lang w:eastAsia="zh-CN"/>
                    </w:rPr>
                    <w:t>44</w:t>
                  </w:r>
                </w:p>
              </w:tc>
              <w:tc>
                <w:tcPr>
                  <w:tcW w:w="322" w:type="pct"/>
                  <w:vAlign w:val="center"/>
                </w:tcPr>
                <w:p w14:paraId="74168FFB">
                  <w:pPr>
                    <w:pStyle w:val="117"/>
                    <w:snapToGrid w:val="0"/>
                    <w:jc w:val="center"/>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w:t>
                  </w:r>
                  <w:r>
                    <w:rPr>
                      <w:rFonts w:hint="eastAsia" w:ascii="Times New Roman" w:hAnsi="Times New Roman" w:cs="Times New Roman" w:eastAsiaTheme="minorEastAsia"/>
                      <w:sz w:val="21"/>
                      <w:szCs w:val="21"/>
                      <w:lang w:eastAsia="zh-CN"/>
                    </w:rPr>
                    <w:t>85</w:t>
                  </w:r>
                </w:p>
              </w:tc>
              <w:tc>
                <w:tcPr>
                  <w:tcW w:w="323" w:type="pct"/>
                  <w:vAlign w:val="center"/>
                </w:tcPr>
                <w:p w14:paraId="49D89749">
                  <w:pPr>
                    <w:pStyle w:val="117"/>
                    <w:snapToGrid w:val="0"/>
                    <w:jc w:val="center"/>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1</w:t>
                  </w:r>
                </w:p>
              </w:tc>
              <w:tc>
                <w:tcPr>
                  <w:tcW w:w="901" w:type="pct"/>
                  <w:vMerge w:val="continue"/>
                  <w:vAlign w:val="center"/>
                </w:tcPr>
                <w:p w14:paraId="6BC53FC3">
                  <w:pPr>
                    <w:pStyle w:val="117"/>
                    <w:snapToGrid w:val="0"/>
                    <w:jc w:val="center"/>
                    <w:rPr>
                      <w:rFonts w:ascii="Times New Roman" w:hAnsi="Times New Roman" w:cs="Times New Roman" w:eastAsiaTheme="minorEastAsia"/>
                      <w:sz w:val="21"/>
                      <w:szCs w:val="21"/>
                      <w:lang w:eastAsia="zh-CN"/>
                    </w:rPr>
                  </w:pPr>
                </w:p>
              </w:tc>
              <w:tc>
                <w:tcPr>
                  <w:tcW w:w="733" w:type="pct"/>
                  <w:vMerge w:val="continue"/>
                  <w:vAlign w:val="center"/>
                </w:tcPr>
                <w:p w14:paraId="306C4012">
                  <w:pPr>
                    <w:pStyle w:val="117"/>
                    <w:snapToGrid w:val="0"/>
                    <w:jc w:val="center"/>
                    <w:rPr>
                      <w:rFonts w:ascii="Times New Roman" w:hAnsi="Times New Roman" w:cs="Times New Roman" w:eastAsiaTheme="minorEastAsia"/>
                      <w:sz w:val="21"/>
                      <w:szCs w:val="21"/>
                      <w:lang w:eastAsia="zh-CN"/>
                    </w:rPr>
                  </w:pPr>
                </w:p>
              </w:tc>
            </w:tr>
          </w:tbl>
          <w:p w14:paraId="40B43AF1">
            <w:pPr>
              <w:rPr>
                <w:b/>
                <w:bCs/>
                <w:szCs w:val="21"/>
              </w:rPr>
            </w:pPr>
            <w:r>
              <w:rPr>
                <w:b/>
                <w:bCs/>
              </w:rPr>
              <w:t>注：选取厂界西</w:t>
            </w:r>
            <w:r>
              <w:rPr>
                <w:rFonts w:hint="eastAsia"/>
                <w:b/>
                <w:bCs/>
              </w:rPr>
              <w:t>北</w:t>
            </w:r>
            <w:r>
              <w:rPr>
                <w:b/>
                <w:bCs/>
              </w:rPr>
              <w:t>角为</w:t>
            </w:r>
            <w:r>
              <w:rPr>
                <w:b/>
                <w:bCs/>
                <w:szCs w:val="21"/>
              </w:rPr>
              <w:t>坐标原点</w:t>
            </w:r>
            <w:r>
              <w:rPr>
                <w:b/>
                <w:bCs/>
              </w:rPr>
              <w:t>，</w:t>
            </w:r>
            <w:r>
              <w:rPr>
                <w:b/>
                <w:bCs/>
                <w:szCs w:val="21"/>
              </w:rPr>
              <w:t>正东向为X轴正方向，正北向为Y轴正方向</w:t>
            </w:r>
            <w:r>
              <w:rPr>
                <w:b/>
                <w:bCs/>
              </w:rPr>
              <w:t>。</w:t>
            </w:r>
          </w:p>
          <w:p w14:paraId="2828AFC9">
            <w:pPr>
              <w:rPr>
                <w:b/>
                <w:bCs/>
                <w:szCs w:val="21"/>
              </w:rPr>
            </w:pPr>
          </w:p>
        </w:tc>
      </w:tr>
    </w:tbl>
    <w:p w14:paraId="16235A49">
      <w:pPr>
        <w:pStyle w:val="25"/>
        <w:jc w:val="center"/>
        <w:outlineLvl w:val="0"/>
        <w:rPr>
          <w:rFonts w:ascii="黑体" w:hAnsi="黑体" w:eastAsia="黑体"/>
          <w:snapToGrid w:val="0"/>
          <w:sz w:val="30"/>
          <w:szCs w:val="30"/>
        </w:rPr>
        <w:sectPr>
          <w:pgSz w:w="16838" w:h="11906" w:orient="landscape"/>
          <w:pgMar w:top="1531" w:right="1701" w:bottom="1531" w:left="1701" w:header="851" w:footer="851" w:gutter="0"/>
          <w:cols w:space="720" w:num="1"/>
          <w:docGrid w:linePitch="312" w:charSpace="0"/>
        </w:sectPr>
      </w:pPr>
    </w:p>
    <w:tbl>
      <w:tblPr>
        <w:tblStyle w:val="29"/>
        <w:tblpPr w:leftFromText="180" w:rightFromText="180" w:vertAnchor="text" w:horzAnchor="margin" w:tblpY="29"/>
        <w:tblW w:w="5000" w:type="pct"/>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530"/>
        <w:gridCol w:w="8450"/>
      </w:tblGrid>
      <w:tr w14:paraId="632384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633" w:hRule="atLeast"/>
        </w:trPr>
        <w:tc>
          <w:tcPr>
            <w:tcW w:w="295" w:type="pct"/>
            <w:tcMar>
              <w:left w:w="28" w:type="dxa"/>
              <w:right w:w="28" w:type="dxa"/>
            </w:tcMar>
            <w:vAlign w:val="center"/>
          </w:tcPr>
          <w:p w14:paraId="09FE6D7C">
            <w:pPr>
              <w:pStyle w:val="25"/>
              <w:adjustRightInd w:val="0"/>
              <w:snapToGrid w:val="0"/>
              <w:spacing w:before="0" w:beforeAutospacing="0" w:after="0" w:afterAutospacing="0"/>
              <w:jc w:val="center"/>
              <w:rPr>
                <w:rFonts w:ascii="Times New Roman" w:hAnsi="Times New Roman"/>
                <w:kern w:val="2"/>
                <w:szCs w:val="24"/>
              </w:rPr>
            </w:pPr>
            <w:r>
              <w:rPr>
                <w:rFonts w:hint="eastAsia" w:ascii="Times New Roman" w:hAnsi="Times New Roman"/>
                <w:kern w:val="2"/>
                <w:szCs w:val="24"/>
              </w:rPr>
              <w:t>运营</w:t>
            </w:r>
            <w:r>
              <w:rPr>
                <w:rFonts w:ascii="Times New Roman" w:hAnsi="Times New Roman"/>
                <w:kern w:val="2"/>
                <w:szCs w:val="24"/>
              </w:rPr>
              <w:t>期环境保护措施</w:t>
            </w:r>
          </w:p>
        </w:tc>
        <w:tc>
          <w:tcPr>
            <w:tcW w:w="4705" w:type="pct"/>
            <w:vAlign w:val="center"/>
          </w:tcPr>
          <w:p w14:paraId="1ADCA655">
            <w:pPr>
              <w:spacing w:line="360" w:lineRule="auto"/>
              <w:ind w:firstLine="480" w:firstLineChars="200"/>
              <w:rPr>
                <w:sz w:val="24"/>
              </w:rPr>
            </w:pPr>
            <w:r>
              <w:rPr>
                <w:rFonts w:hint="eastAsia"/>
                <w:sz w:val="24"/>
              </w:rPr>
              <w:t>根据《环境影响评价技术导则声环境》（</w:t>
            </w:r>
            <w:r>
              <w:rPr>
                <w:sz w:val="24"/>
              </w:rPr>
              <w:t>HJ2.4-2021</w:t>
            </w:r>
            <w:r>
              <w:rPr>
                <w:rFonts w:hint="eastAsia"/>
                <w:sz w:val="24"/>
              </w:rPr>
              <w:t>）中推荐模式</w:t>
            </w:r>
            <w:r>
              <w:rPr>
                <w:sz w:val="24"/>
              </w:rPr>
              <w:t>，对本项目运行后厂界噪声进行预测；预测噪声源对各预测点的影响值并进行影响评价。其计算公式如下：</w:t>
            </w:r>
          </w:p>
          <w:p w14:paraId="643C40BC">
            <w:pPr>
              <w:spacing w:line="360" w:lineRule="auto"/>
              <w:ind w:firstLine="480" w:firstLineChars="200"/>
              <w:rPr>
                <w:bCs/>
                <w:sz w:val="24"/>
              </w:rPr>
            </w:pPr>
            <w:r>
              <w:rPr>
                <w:bCs/>
                <w:kern w:val="0"/>
                <w:sz w:val="24"/>
              </w:rPr>
              <w:pict>
                <v:shape id="Object 2" o:spid="_x0000_s1296" o:spt="75" type="#_x0000_t75" style="position:absolute;left:0pt;margin-left:130.5pt;margin-top:18.05pt;height:19pt;width:132.95pt;z-index:-251649024;mso-width-relative:page;mso-height-relative:page;" o:ole="t" filled="f" o:preferrelative="t" stroked="f" coordsize="21600,21600">
                  <v:path/>
                  <v:fill on="f" focussize="0,0"/>
                  <v:stroke on="f" joinstyle="miter"/>
                  <v:imagedata r:id="rId12" o:title=""/>
                  <o:lock v:ext="edit" aspectratio="t"/>
                </v:shape>
                <o:OLEObject Type="Embed" ProgID="Equation.3" ShapeID="Object 2" DrawAspect="Content" ObjectID="_1468075728" r:id="rId11">
                  <o:LockedField>false</o:LockedField>
                </o:OLEObject>
              </w:pict>
            </w:r>
            <w:r>
              <w:rPr>
                <w:bCs/>
                <w:sz w:val="24"/>
              </w:rPr>
              <w:t>a.无指向性点声源的几何发散衰减公式：</w:t>
            </w:r>
          </w:p>
          <w:p w14:paraId="1A998C99">
            <w:pPr>
              <w:spacing w:line="360" w:lineRule="auto"/>
              <w:ind w:firstLine="480" w:firstLineChars="200"/>
              <w:jc w:val="center"/>
              <w:rPr>
                <w:bCs/>
                <w:kern w:val="0"/>
                <w:sz w:val="24"/>
              </w:rPr>
            </w:pPr>
          </w:p>
          <w:p w14:paraId="3EDE15F7">
            <w:pPr>
              <w:spacing w:line="360" w:lineRule="auto"/>
              <w:ind w:firstLine="480" w:firstLineChars="200"/>
              <w:rPr>
                <w:bCs/>
                <w:sz w:val="24"/>
              </w:rPr>
            </w:pPr>
            <w:r>
              <w:rPr>
                <w:bCs/>
                <w:sz w:val="24"/>
              </w:rPr>
              <w:t>式中：L</w:t>
            </w:r>
            <w:r>
              <w:rPr>
                <w:bCs/>
                <w:sz w:val="24"/>
                <w:vertAlign w:val="subscript"/>
              </w:rPr>
              <w:t>P</w:t>
            </w:r>
            <w:r>
              <w:rPr>
                <w:bCs/>
                <w:sz w:val="24"/>
              </w:rPr>
              <w:t>（r）——距离噪声源r处的等效A声级值，dB（A）；</w:t>
            </w:r>
          </w:p>
          <w:p w14:paraId="1459C7A5">
            <w:pPr>
              <w:spacing w:line="360" w:lineRule="auto"/>
              <w:ind w:firstLine="1200" w:firstLineChars="500"/>
              <w:rPr>
                <w:bCs/>
                <w:sz w:val="24"/>
              </w:rPr>
            </w:pPr>
            <w:r>
              <w:rPr>
                <w:bCs/>
                <w:sz w:val="24"/>
              </w:rPr>
              <w:t>L</w:t>
            </w:r>
            <w:r>
              <w:rPr>
                <w:bCs/>
                <w:sz w:val="24"/>
                <w:vertAlign w:val="subscript"/>
              </w:rPr>
              <w:t>P</w:t>
            </w:r>
            <w:r>
              <w:rPr>
                <w:bCs/>
                <w:sz w:val="24"/>
              </w:rPr>
              <w:t>（r</w:t>
            </w:r>
            <w:r>
              <w:rPr>
                <w:bCs/>
                <w:sz w:val="24"/>
                <w:vertAlign w:val="subscript"/>
              </w:rPr>
              <w:t>0</w:t>
            </w:r>
            <w:r>
              <w:rPr>
                <w:bCs/>
                <w:sz w:val="24"/>
              </w:rPr>
              <w:t>）——距离噪声源r</w:t>
            </w:r>
            <w:r>
              <w:rPr>
                <w:bCs/>
                <w:sz w:val="24"/>
                <w:vertAlign w:val="subscript"/>
              </w:rPr>
              <w:t>0</w:t>
            </w:r>
            <w:r>
              <w:rPr>
                <w:bCs/>
                <w:sz w:val="24"/>
              </w:rPr>
              <w:t>处的等效A声级值，dB（A）；</w:t>
            </w:r>
          </w:p>
          <w:p w14:paraId="17C2F657">
            <w:pPr>
              <w:spacing w:line="360" w:lineRule="auto"/>
              <w:ind w:firstLine="1200" w:firstLineChars="500"/>
              <w:rPr>
                <w:bCs/>
                <w:sz w:val="24"/>
              </w:rPr>
            </w:pPr>
            <w:r>
              <w:rPr>
                <w:bCs/>
                <w:sz w:val="24"/>
              </w:rPr>
              <w:t>r ——预测点距噪声源距离，（m）；</w:t>
            </w:r>
          </w:p>
          <w:p w14:paraId="7EFFFD42">
            <w:pPr>
              <w:spacing w:line="360" w:lineRule="auto"/>
              <w:ind w:firstLine="1200" w:firstLineChars="500"/>
              <w:rPr>
                <w:bCs/>
                <w:sz w:val="24"/>
              </w:rPr>
            </w:pPr>
            <w:r>
              <w:rPr>
                <w:bCs/>
                <w:sz w:val="24"/>
              </w:rPr>
              <w:t>r</w:t>
            </w:r>
            <w:r>
              <w:rPr>
                <w:bCs/>
                <w:sz w:val="24"/>
                <w:vertAlign w:val="subscript"/>
              </w:rPr>
              <w:t>0</w:t>
            </w:r>
            <w:r>
              <w:rPr>
                <w:bCs/>
                <w:sz w:val="24"/>
              </w:rPr>
              <w:t>——源强外1m处。</w:t>
            </w:r>
          </w:p>
          <w:p w14:paraId="4BDBE1DB">
            <w:pPr>
              <w:pStyle w:val="65"/>
              <w:adjustRightInd/>
              <w:spacing w:line="360" w:lineRule="auto"/>
              <w:ind w:firstLine="480" w:firstLineChars="200"/>
              <w:jc w:val="both"/>
              <w:rPr>
                <w:rFonts w:ascii="黑体" w:hAnsi="黑体" w:cs="黑体"/>
              </w:rPr>
            </w:pPr>
            <w:r>
              <w:rPr>
                <w:rFonts w:hint="eastAsia"/>
              </w:rPr>
              <w:t>b.</w:t>
            </w:r>
            <w:r>
              <w:rPr>
                <w:bCs/>
              </w:rPr>
              <w:pict>
                <v:shape id="Object 4" o:spid="_x0000_s1295" o:spt="75" type="#_x0000_t75" style="position:absolute;left:0pt;margin-left:164.2pt;margin-top:10.55pt;height:33pt;width:127pt;z-index:-251650048;mso-width-relative:page;mso-height-relative:page;" o:ole="t" filled="f" o:preferrelative="t" stroked="f" coordsize="21600,21600">
                  <v:path/>
                  <v:fill on="f" focussize="0,0"/>
                  <v:stroke on="f" joinstyle="miter"/>
                  <v:imagedata r:id="rId14" o:title=""/>
                  <o:lock v:ext="edit" aspectratio="t"/>
                </v:shape>
                <o:OLEObject Type="Embed" ProgID="Equation.3" ShapeID="Object 4" DrawAspect="Content" ObjectID="_1468075729" r:id="rId13">
                  <o:LockedField>false</o:LockedField>
                </o:OLEObject>
              </w:pict>
            </w:r>
            <w:r>
              <w:rPr>
                <w:bCs/>
              </w:rPr>
              <w:t>噪声贡献值计算公式为：</w:t>
            </w:r>
          </w:p>
          <w:p w14:paraId="28C6669C">
            <w:pPr>
              <w:spacing w:line="360" w:lineRule="auto"/>
              <w:ind w:firstLine="480" w:firstLineChars="200"/>
              <w:jc w:val="center"/>
              <w:rPr>
                <w:bCs/>
                <w:sz w:val="24"/>
              </w:rPr>
            </w:pPr>
          </w:p>
          <w:p w14:paraId="6B33F102">
            <w:pPr>
              <w:spacing w:line="360" w:lineRule="auto"/>
              <w:ind w:firstLine="480" w:firstLineChars="200"/>
              <w:rPr>
                <w:bCs/>
                <w:sz w:val="24"/>
              </w:rPr>
            </w:pPr>
            <w:r>
              <w:rPr>
                <w:bCs/>
                <w:sz w:val="24"/>
              </w:rPr>
              <w:t>式中：L</w:t>
            </w:r>
            <w:r>
              <w:rPr>
                <w:bCs/>
                <w:sz w:val="24"/>
                <w:vertAlign w:val="subscript"/>
              </w:rPr>
              <w:t>eqg</w:t>
            </w:r>
            <w:r>
              <w:rPr>
                <w:bCs/>
                <w:sz w:val="24"/>
              </w:rPr>
              <w:t>——建设项目声源在预测点的等效声级贡献值，dB（A）；</w:t>
            </w:r>
          </w:p>
          <w:p w14:paraId="0AB3958C">
            <w:pPr>
              <w:spacing w:line="360" w:lineRule="auto"/>
              <w:ind w:firstLine="1200" w:firstLineChars="500"/>
              <w:rPr>
                <w:bCs/>
                <w:sz w:val="24"/>
              </w:rPr>
            </w:pPr>
            <w:r>
              <w:rPr>
                <w:bCs/>
                <w:sz w:val="24"/>
              </w:rPr>
              <w:t>L</w:t>
            </w:r>
            <w:r>
              <w:rPr>
                <w:bCs/>
                <w:sz w:val="24"/>
                <w:vertAlign w:val="subscript"/>
              </w:rPr>
              <w:t>Ai</w:t>
            </w:r>
            <w:r>
              <w:rPr>
                <w:bCs/>
                <w:sz w:val="24"/>
              </w:rPr>
              <w:t>——i声源在预测点产生的A声级，dB（A）；</w:t>
            </w:r>
          </w:p>
          <w:p w14:paraId="3BB465CE">
            <w:pPr>
              <w:spacing w:line="360" w:lineRule="auto"/>
              <w:ind w:firstLine="1200" w:firstLineChars="500"/>
              <w:rPr>
                <w:bCs/>
                <w:sz w:val="24"/>
              </w:rPr>
            </w:pPr>
            <w:r>
              <w:rPr>
                <w:bCs/>
                <w:sz w:val="24"/>
              </w:rPr>
              <w:t>T ——预测计算的时间段，s；</w:t>
            </w:r>
          </w:p>
          <w:p w14:paraId="08A3F109">
            <w:pPr>
              <w:spacing w:line="360" w:lineRule="auto"/>
              <w:ind w:firstLine="1200" w:firstLineChars="500"/>
              <w:rPr>
                <w:bCs/>
                <w:sz w:val="24"/>
              </w:rPr>
            </w:pPr>
            <w:r>
              <w:rPr>
                <w:bCs/>
                <w:sz w:val="24"/>
              </w:rPr>
              <w:t>t</w:t>
            </w:r>
            <w:r>
              <w:rPr>
                <w:bCs/>
                <w:sz w:val="24"/>
                <w:vertAlign w:val="subscript"/>
              </w:rPr>
              <w:t>i</w:t>
            </w:r>
            <w:r>
              <w:rPr>
                <w:bCs/>
                <w:sz w:val="24"/>
              </w:rPr>
              <w:t>——i声源在T时段内的运行时间，s。</w:t>
            </w:r>
          </w:p>
          <w:p w14:paraId="6EEEAAD4">
            <w:pPr>
              <w:spacing w:line="360" w:lineRule="auto"/>
              <w:ind w:firstLine="480" w:firstLineChars="200"/>
              <w:rPr>
                <w:bCs/>
                <w:sz w:val="24"/>
              </w:rPr>
            </w:pPr>
            <w:r>
              <w:rPr>
                <w:bCs/>
                <w:sz w:val="24"/>
              </w:rPr>
              <w:t>c.噪声预测值计算公式为：</w:t>
            </w:r>
          </w:p>
          <w:p w14:paraId="306AFA65">
            <w:pPr>
              <w:pStyle w:val="65"/>
              <w:jc w:val="center"/>
              <w:rPr>
                <w:color w:val="auto"/>
              </w:rPr>
            </w:pPr>
            <w:r>
              <w:rPr>
                <w:bCs/>
                <w:color w:val="auto"/>
              </w:rPr>
              <w:drawing>
                <wp:inline distT="0" distB="0" distL="114300" distR="114300">
                  <wp:extent cx="2019300" cy="371475"/>
                  <wp:effectExtent l="0" t="0" r="0" b="9525"/>
                  <wp:docPr id="8" name="图片 2" descr="1667287223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1667287223159"/>
                          <pic:cNvPicPr>
                            <a:picLocks noChangeAspect="1"/>
                          </pic:cNvPicPr>
                        </pic:nvPicPr>
                        <pic:blipFill>
                          <a:blip r:embed="rId15"/>
                          <a:stretch>
                            <a:fillRect/>
                          </a:stretch>
                        </pic:blipFill>
                        <pic:spPr>
                          <a:xfrm>
                            <a:off x="0" y="0"/>
                            <a:ext cx="2019300" cy="371475"/>
                          </a:xfrm>
                          <a:prstGeom prst="rect">
                            <a:avLst/>
                          </a:prstGeom>
                          <a:noFill/>
                          <a:ln>
                            <a:noFill/>
                          </a:ln>
                        </pic:spPr>
                      </pic:pic>
                    </a:graphicData>
                  </a:graphic>
                </wp:inline>
              </w:drawing>
            </w:r>
          </w:p>
          <w:p w14:paraId="2050D305">
            <w:pPr>
              <w:spacing w:line="360" w:lineRule="auto"/>
              <w:ind w:firstLine="720" w:firstLineChars="300"/>
              <w:rPr>
                <w:bCs/>
                <w:sz w:val="24"/>
              </w:rPr>
            </w:pPr>
            <w:r>
              <w:rPr>
                <w:bCs/>
                <w:sz w:val="24"/>
              </w:rPr>
              <w:t>式中：Leq——预测点的噪声预测值，dB；</w:t>
            </w:r>
          </w:p>
          <w:p w14:paraId="3DE35608">
            <w:pPr>
              <w:spacing w:line="360" w:lineRule="auto"/>
              <w:ind w:firstLine="1440" w:firstLineChars="600"/>
              <w:rPr>
                <w:bCs/>
                <w:sz w:val="24"/>
              </w:rPr>
            </w:pPr>
            <w:r>
              <w:rPr>
                <w:bCs/>
                <w:sz w:val="24"/>
              </w:rPr>
              <w:t>Leqg——建设项目声源在预测点的等效声级贡献值，dB（A）；</w:t>
            </w:r>
          </w:p>
          <w:p w14:paraId="2E67A2C3">
            <w:pPr>
              <w:spacing w:line="336" w:lineRule="auto"/>
              <w:ind w:firstLine="1440" w:firstLineChars="600"/>
              <w:rPr>
                <w:sz w:val="24"/>
              </w:rPr>
            </w:pPr>
            <w:r>
              <w:rPr>
                <w:bCs/>
                <w:sz w:val="24"/>
              </w:rPr>
              <w:t>Leqb——预测点的背景值，dB（A）。</w:t>
            </w:r>
          </w:p>
          <w:p w14:paraId="0B9717A5">
            <w:pPr>
              <w:spacing w:line="360" w:lineRule="auto"/>
              <w:ind w:firstLine="480" w:firstLineChars="200"/>
              <w:rPr>
                <w:sz w:val="24"/>
              </w:rPr>
            </w:pPr>
            <w:r>
              <w:rPr>
                <w:rFonts w:hint="eastAsia"/>
                <w:sz w:val="24"/>
              </w:rPr>
              <w:t>d.</w:t>
            </w:r>
            <w:r>
              <w:rPr>
                <w:sz w:val="24"/>
              </w:rPr>
              <w:t>工业企业噪声计算</w:t>
            </w:r>
          </w:p>
          <w:p w14:paraId="6CE8B44E">
            <w:pPr>
              <w:spacing w:line="360" w:lineRule="auto"/>
              <w:ind w:firstLine="480" w:firstLineChars="200"/>
              <w:rPr>
                <w:sz w:val="24"/>
              </w:rPr>
            </w:pPr>
            <w:r>
              <w:rPr>
                <w:sz w:val="24"/>
              </w:rPr>
              <w:t>设第</w:t>
            </w:r>
            <w:r>
              <w:rPr>
                <w:rFonts w:eastAsia="TimesNewRomanPSMT"/>
                <w:sz w:val="24"/>
              </w:rPr>
              <w:t>i</w:t>
            </w:r>
            <w:r>
              <w:rPr>
                <w:sz w:val="24"/>
              </w:rPr>
              <w:t>个室外声源在预测点产生的</w:t>
            </w:r>
            <w:r>
              <w:rPr>
                <w:rFonts w:eastAsia="TimesNewRomanPSMT"/>
                <w:sz w:val="24"/>
              </w:rPr>
              <w:t>A</w:t>
            </w:r>
            <w:r>
              <w:rPr>
                <w:sz w:val="24"/>
              </w:rPr>
              <w:t>声级为</w:t>
            </w:r>
            <w:r>
              <w:rPr>
                <w:rFonts w:eastAsia="TimesNewRomanPSMT"/>
                <w:sz w:val="24"/>
              </w:rPr>
              <w:t>L</w:t>
            </w:r>
            <w:r>
              <w:rPr>
                <w:rFonts w:eastAsia="TimesNewRomanPSMT"/>
                <w:sz w:val="24"/>
                <w:vertAlign w:val="subscript"/>
              </w:rPr>
              <w:t>Ai</w:t>
            </w:r>
            <w:r>
              <w:rPr>
                <w:sz w:val="24"/>
              </w:rPr>
              <w:t>，在</w:t>
            </w:r>
            <w:r>
              <w:rPr>
                <w:rFonts w:eastAsia="TimesNewRomanPSMT"/>
                <w:sz w:val="24"/>
              </w:rPr>
              <w:t>T</w:t>
            </w:r>
            <w:r>
              <w:rPr>
                <w:sz w:val="24"/>
              </w:rPr>
              <w:t>时间内该声源工作时间为</w:t>
            </w:r>
            <w:r>
              <w:rPr>
                <w:rFonts w:eastAsia="TimesNewRomanPSMT"/>
                <w:sz w:val="24"/>
              </w:rPr>
              <w:t>t</w:t>
            </w:r>
            <w:r>
              <w:rPr>
                <w:rFonts w:eastAsia="TimesNewRomanPSMT"/>
                <w:sz w:val="24"/>
                <w:vertAlign w:val="subscript"/>
              </w:rPr>
              <w:t>i</w:t>
            </w:r>
            <w:r>
              <w:rPr>
                <w:sz w:val="24"/>
              </w:rPr>
              <w:t>；第</w:t>
            </w:r>
            <w:r>
              <w:rPr>
                <w:rFonts w:eastAsia="TimesNewRomanPSMT"/>
                <w:sz w:val="24"/>
              </w:rPr>
              <w:t>j</w:t>
            </w:r>
            <w:r>
              <w:rPr>
                <w:sz w:val="24"/>
              </w:rPr>
              <w:t>个等效室外声源在预测点产生的</w:t>
            </w:r>
            <w:r>
              <w:rPr>
                <w:rFonts w:eastAsia="TimesNewRomanPSMT"/>
                <w:sz w:val="24"/>
              </w:rPr>
              <w:t>A</w:t>
            </w:r>
            <w:r>
              <w:rPr>
                <w:sz w:val="24"/>
              </w:rPr>
              <w:t>声级为</w:t>
            </w:r>
            <w:r>
              <w:rPr>
                <w:rFonts w:eastAsia="TimesNewRomanPSMT"/>
                <w:sz w:val="24"/>
              </w:rPr>
              <w:t>L</w:t>
            </w:r>
            <w:r>
              <w:rPr>
                <w:rFonts w:eastAsia="TimesNewRomanPSMT"/>
                <w:sz w:val="24"/>
                <w:vertAlign w:val="subscript"/>
              </w:rPr>
              <w:t>Aj</w:t>
            </w:r>
            <w:r>
              <w:rPr>
                <w:sz w:val="24"/>
              </w:rPr>
              <w:t>，在</w:t>
            </w:r>
            <w:r>
              <w:rPr>
                <w:rFonts w:eastAsia="TimesNewRomanPSMT"/>
                <w:sz w:val="24"/>
              </w:rPr>
              <w:t>T</w:t>
            </w:r>
            <w:r>
              <w:rPr>
                <w:sz w:val="24"/>
              </w:rPr>
              <w:t>时间内该声源工作时间为</w:t>
            </w:r>
            <w:r>
              <w:rPr>
                <w:rFonts w:eastAsia="TimesNewRomanPSMT"/>
                <w:sz w:val="24"/>
              </w:rPr>
              <w:t>t</w:t>
            </w:r>
            <w:r>
              <w:rPr>
                <w:rFonts w:eastAsia="TimesNewRomanPSMT"/>
                <w:sz w:val="24"/>
                <w:vertAlign w:val="subscript"/>
              </w:rPr>
              <w:t>j</w:t>
            </w:r>
            <w:r>
              <w:rPr>
                <w:sz w:val="24"/>
              </w:rPr>
              <w:t>，则拟建工程声源对预测点产生的贡献值（</w:t>
            </w:r>
            <w:r>
              <w:rPr>
                <w:rFonts w:eastAsia="TimesNewRomanPSMT"/>
                <w:sz w:val="24"/>
              </w:rPr>
              <w:t>L</w:t>
            </w:r>
            <w:r>
              <w:rPr>
                <w:rFonts w:eastAsia="TimesNewRomanPSMT"/>
                <w:sz w:val="24"/>
                <w:vertAlign w:val="subscript"/>
              </w:rPr>
              <w:t>eqg</w:t>
            </w:r>
            <w:r>
              <w:rPr>
                <w:sz w:val="24"/>
              </w:rPr>
              <w:t>）为：</w:t>
            </w:r>
          </w:p>
          <w:p w14:paraId="5C059DBF">
            <w:pPr>
              <w:spacing w:line="360" w:lineRule="auto"/>
              <w:ind w:firstLine="480" w:firstLineChars="200"/>
              <w:jc w:val="center"/>
              <w:rPr>
                <w:sz w:val="24"/>
              </w:rPr>
            </w:pPr>
            <w:r>
              <w:rPr>
                <w:sz w:val="24"/>
              </w:rPr>
              <w:drawing>
                <wp:inline distT="0" distB="0" distL="114300" distR="114300">
                  <wp:extent cx="2076450" cy="456565"/>
                  <wp:effectExtent l="19050" t="0" r="0" b="0"/>
                  <wp:docPr id="3"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8"/>
                          <pic:cNvPicPr>
                            <a:picLocks noChangeAspect="1"/>
                          </pic:cNvPicPr>
                        </pic:nvPicPr>
                        <pic:blipFill>
                          <a:blip r:embed="rId16"/>
                          <a:stretch>
                            <a:fillRect/>
                          </a:stretch>
                        </pic:blipFill>
                        <pic:spPr>
                          <a:xfrm>
                            <a:off x="0" y="0"/>
                            <a:ext cx="2086375" cy="458859"/>
                          </a:xfrm>
                          <a:prstGeom prst="rect">
                            <a:avLst/>
                          </a:prstGeom>
                          <a:noFill/>
                          <a:ln>
                            <a:noFill/>
                          </a:ln>
                        </pic:spPr>
                      </pic:pic>
                    </a:graphicData>
                  </a:graphic>
                </wp:inline>
              </w:drawing>
            </w:r>
          </w:p>
          <w:p w14:paraId="6F050409">
            <w:pPr>
              <w:spacing w:line="360" w:lineRule="auto"/>
              <w:ind w:firstLine="480" w:firstLineChars="200"/>
              <w:rPr>
                <w:sz w:val="24"/>
              </w:rPr>
            </w:pPr>
            <w:r>
              <w:rPr>
                <w:sz w:val="24"/>
              </w:rPr>
              <w:t>式中：L</w:t>
            </w:r>
            <w:r>
              <w:rPr>
                <w:sz w:val="24"/>
                <w:vertAlign w:val="subscript"/>
              </w:rPr>
              <w:t>eqg</w:t>
            </w:r>
            <w:r>
              <w:rPr>
                <w:sz w:val="24"/>
              </w:rPr>
              <w:t>——建设项目声源在预测点产生的噪声贡献值，dB；</w:t>
            </w:r>
          </w:p>
          <w:p w14:paraId="6F75FBC5">
            <w:pPr>
              <w:spacing w:line="360" w:lineRule="auto"/>
              <w:ind w:firstLine="480" w:firstLineChars="200"/>
              <w:rPr>
                <w:sz w:val="24"/>
              </w:rPr>
            </w:pPr>
            <w:r>
              <w:rPr>
                <w:sz w:val="24"/>
              </w:rPr>
              <w:t>T——用于计算等效声级的时间，s；</w:t>
            </w:r>
          </w:p>
          <w:p w14:paraId="3ADA03A4">
            <w:pPr>
              <w:spacing w:line="360" w:lineRule="auto"/>
              <w:ind w:firstLine="480" w:firstLineChars="200"/>
              <w:rPr>
                <w:sz w:val="24"/>
              </w:rPr>
            </w:pPr>
            <w:r>
              <w:rPr>
                <w:sz w:val="24"/>
              </w:rPr>
              <w:t>N——室外声源个数；</w:t>
            </w:r>
          </w:p>
          <w:p w14:paraId="73137A13">
            <w:pPr>
              <w:spacing w:line="360" w:lineRule="auto"/>
              <w:ind w:firstLine="480" w:firstLineChars="200"/>
              <w:rPr>
                <w:sz w:val="24"/>
              </w:rPr>
            </w:pPr>
            <w:r>
              <w:rPr>
                <w:sz w:val="24"/>
              </w:rPr>
              <w:t>t</w:t>
            </w:r>
            <w:r>
              <w:rPr>
                <w:sz w:val="24"/>
                <w:vertAlign w:val="subscript"/>
              </w:rPr>
              <w:t>i</w:t>
            </w:r>
            <w:r>
              <w:rPr>
                <w:sz w:val="24"/>
              </w:rPr>
              <w:t>——在T时间内i声源工作时间，s；</w:t>
            </w:r>
          </w:p>
          <w:p w14:paraId="7736D415">
            <w:pPr>
              <w:spacing w:line="360" w:lineRule="auto"/>
              <w:ind w:firstLine="480" w:firstLineChars="200"/>
              <w:rPr>
                <w:sz w:val="24"/>
              </w:rPr>
            </w:pPr>
            <w:r>
              <w:rPr>
                <w:sz w:val="24"/>
              </w:rPr>
              <w:t>M——等效室外声源个数；</w:t>
            </w:r>
          </w:p>
          <w:p w14:paraId="5B1174F3">
            <w:pPr>
              <w:spacing w:line="360" w:lineRule="auto"/>
              <w:ind w:firstLine="480" w:firstLineChars="200"/>
              <w:rPr>
                <w:sz w:val="24"/>
              </w:rPr>
            </w:pPr>
            <w:r>
              <w:rPr>
                <w:sz w:val="24"/>
              </w:rPr>
              <w:t>t</w:t>
            </w:r>
            <w:r>
              <w:rPr>
                <w:sz w:val="24"/>
                <w:vertAlign w:val="subscript"/>
              </w:rPr>
              <w:t>j</w:t>
            </w:r>
            <w:r>
              <w:rPr>
                <w:sz w:val="24"/>
              </w:rPr>
              <w:t>——在T时间内j声源工作时间，s。</w:t>
            </w:r>
          </w:p>
          <w:p w14:paraId="40CDE18A">
            <w:pPr>
              <w:spacing w:line="360" w:lineRule="auto"/>
              <w:ind w:firstLine="480" w:firstLineChars="200"/>
              <w:rPr>
                <w:bCs/>
                <w:sz w:val="24"/>
              </w:rPr>
            </w:pPr>
            <w:r>
              <w:rPr>
                <w:rFonts w:hint="eastAsia"/>
                <w:bCs/>
                <w:sz w:val="24"/>
              </w:rPr>
              <w:t>本项目50m范围内不涉及声环境保护目标，因此本次评价对项目厂界噪声值进行预测。经预测，正常生产情况下各厂界噪声值见表27。</w:t>
            </w:r>
          </w:p>
          <w:p w14:paraId="4990A6BF">
            <w:pPr>
              <w:jc w:val="center"/>
              <w:rPr>
                <w:rFonts w:hAnsi="黑体"/>
                <w:b/>
                <w:sz w:val="24"/>
              </w:rPr>
            </w:pPr>
            <w:r>
              <w:rPr>
                <w:rFonts w:hint="eastAsia" w:hAnsi="黑体"/>
                <w:b/>
                <w:sz w:val="24"/>
              </w:rPr>
              <w:t>表27   本项目所在厂区厂界噪声预测结果一览表   单位：</w:t>
            </w:r>
            <w:r>
              <w:rPr>
                <w:rFonts w:hAnsi="黑体"/>
                <w:b/>
                <w:sz w:val="24"/>
              </w:rPr>
              <w:t>dB(A)</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6" w:space="0"/>
                <w:insideV w:val="single" w:color="auto" w:sz="4" w:space="0"/>
              </w:tblBorders>
              <w:tblLayout w:type="autofit"/>
              <w:tblCellMar>
                <w:top w:w="0" w:type="dxa"/>
                <w:left w:w="108" w:type="dxa"/>
                <w:bottom w:w="0" w:type="dxa"/>
                <w:right w:w="108" w:type="dxa"/>
              </w:tblCellMar>
            </w:tblPr>
            <w:tblGrid>
              <w:gridCol w:w="2826"/>
              <w:gridCol w:w="2059"/>
              <w:gridCol w:w="1671"/>
              <w:gridCol w:w="1668"/>
            </w:tblGrid>
            <w:tr w14:paraId="42447695">
              <w:tblPrEx>
                <w:tblBorders>
                  <w:top w:val="single" w:color="auto" w:sz="4" w:space="0"/>
                  <w:left w:val="single" w:color="auto" w:sz="4" w:space="0"/>
                  <w:bottom w:val="single" w:color="auto" w:sz="4" w:space="0"/>
                  <w:right w:val="single" w:color="auto" w:sz="4" w:space="0"/>
                  <w:insideH w:val="single" w:color="auto" w:sz="6" w:space="0"/>
                  <w:insideV w:val="single" w:color="auto" w:sz="4" w:space="0"/>
                </w:tblBorders>
                <w:tblCellMar>
                  <w:top w:w="0" w:type="dxa"/>
                  <w:left w:w="108" w:type="dxa"/>
                  <w:bottom w:w="0" w:type="dxa"/>
                  <w:right w:w="108" w:type="dxa"/>
                </w:tblCellMar>
              </w:tblPrEx>
              <w:trPr>
                <w:cantSplit/>
                <w:trHeight w:val="227" w:hRule="atLeast"/>
              </w:trPr>
              <w:tc>
                <w:tcPr>
                  <w:tcW w:w="1718" w:type="pct"/>
                  <w:vAlign w:val="center"/>
                </w:tcPr>
                <w:p w14:paraId="1DED387E">
                  <w:pPr>
                    <w:adjustRightInd w:val="0"/>
                    <w:snapToGrid w:val="0"/>
                    <w:jc w:val="center"/>
                    <w:rPr>
                      <w:szCs w:val="21"/>
                    </w:rPr>
                  </w:pPr>
                  <w:r>
                    <w:rPr>
                      <w:rFonts w:hint="eastAsia"/>
                      <w:szCs w:val="21"/>
                    </w:rPr>
                    <w:t>预测点位</w:t>
                  </w:r>
                </w:p>
              </w:tc>
              <w:tc>
                <w:tcPr>
                  <w:tcW w:w="1252" w:type="pct"/>
                  <w:vAlign w:val="center"/>
                </w:tcPr>
                <w:p w14:paraId="4CCF7DD9">
                  <w:pPr>
                    <w:adjustRightInd w:val="0"/>
                    <w:snapToGrid w:val="0"/>
                    <w:jc w:val="center"/>
                    <w:rPr>
                      <w:szCs w:val="21"/>
                    </w:rPr>
                  </w:pPr>
                  <w:r>
                    <w:rPr>
                      <w:rFonts w:hint="eastAsia"/>
                      <w:szCs w:val="21"/>
                    </w:rPr>
                    <w:t>贡献值</w:t>
                  </w:r>
                </w:p>
              </w:tc>
              <w:tc>
                <w:tcPr>
                  <w:tcW w:w="1016" w:type="pct"/>
                  <w:vAlign w:val="center"/>
                </w:tcPr>
                <w:p w14:paraId="278E83FA">
                  <w:pPr>
                    <w:adjustRightInd w:val="0"/>
                    <w:snapToGrid w:val="0"/>
                    <w:jc w:val="center"/>
                    <w:rPr>
                      <w:szCs w:val="21"/>
                    </w:rPr>
                  </w:pPr>
                  <w:r>
                    <w:rPr>
                      <w:rFonts w:hint="eastAsia"/>
                      <w:szCs w:val="21"/>
                    </w:rPr>
                    <w:t>是否达标</w:t>
                  </w:r>
                </w:p>
              </w:tc>
              <w:tc>
                <w:tcPr>
                  <w:tcW w:w="1014" w:type="pct"/>
                  <w:vAlign w:val="center"/>
                </w:tcPr>
                <w:p w14:paraId="19C60814">
                  <w:pPr>
                    <w:adjustRightInd w:val="0"/>
                    <w:snapToGrid w:val="0"/>
                    <w:jc w:val="center"/>
                    <w:rPr>
                      <w:szCs w:val="21"/>
                    </w:rPr>
                  </w:pPr>
                  <w:r>
                    <w:rPr>
                      <w:rFonts w:hint="eastAsia"/>
                      <w:szCs w:val="21"/>
                    </w:rPr>
                    <w:t>执行标准</w:t>
                  </w:r>
                </w:p>
              </w:tc>
            </w:tr>
            <w:tr w14:paraId="333D7355">
              <w:tblPrEx>
                <w:tblBorders>
                  <w:top w:val="single" w:color="auto" w:sz="4" w:space="0"/>
                  <w:left w:val="single" w:color="auto" w:sz="4" w:space="0"/>
                  <w:bottom w:val="single" w:color="auto" w:sz="4" w:space="0"/>
                  <w:right w:val="single" w:color="auto" w:sz="4" w:space="0"/>
                  <w:insideH w:val="single" w:color="auto" w:sz="6" w:space="0"/>
                  <w:insideV w:val="single" w:color="auto" w:sz="4" w:space="0"/>
                </w:tblBorders>
                <w:tblCellMar>
                  <w:top w:w="0" w:type="dxa"/>
                  <w:left w:w="108" w:type="dxa"/>
                  <w:bottom w:w="0" w:type="dxa"/>
                  <w:right w:w="108" w:type="dxa"/>
                </w:tblCellMar>
              </w:tblPrEx>
              <w:trPr>
                <w:cantSplit/>
                <w:trHeight w:val="227" w:hRule="atLeast"/>
              </w:trPr>
              <w:tc>
                <w:tcPr>
                  <w:tcW w:w="1718" w:type="pct"/>
                  <w:vAlign w:val="center"/>
                </w:tcPr>
                <w:p w14:paraId="7624F148">
                  <w:pPr>
                    <w:adjustRightInd w:val="0"/>
                    <w:snapToGrid w:val="0"/>
                    <w:jc w:val="center"/>
                    <w:rPr>
                      <w:szCs w:val="21"/>
                    </w:rPr>
                  </w:pPr>
                  <w:r>
                    <w:rPr>
                      <w:rFonts w:hint="eastAsia"/>
                      <w:szCs w:val="21"/>
                    </w:rPr>
                    <w:t>东厂界</w:t>
                  </w:r>
                </w:p>
              </w:tc>
              <w:tc>
                <w:tcPr>
                  <w:tcW w:w="1252" w:type="pct"/>
                  <w:vAlign w:val="center"/>
                </w:tcPr>
                <w:p w14:paraId="03B92A6B">
                  <w:pPr>
                    <w:tabs>
                      <w:tab w:val="center" w:pos="813"/>
                      <w:tab w:val="right" w:pos="1505"/>
                    </w:tabs>
                    <w:adjustRightInd w:val="0"/>
                    <w:snapToGrid w:val="0"/>
                    <w:jc w:val="center"/>
                    <w:rPr>
                      <w:szCs w:val="21"/>
                    </w:rPr>
                  </w:pPr>
                  <w:r>
                    <w:rPr>
                      <w:rFonts w:hint="eastAsia"/>
                      <w:szCs w:val="21"/>
                    </w:rPr>
                    <w:t>48.3</w:t>
                  </w:r>
                </w:p>
              </w:tc>
              <w:tc>
                <w:tcPr>
                  <w:tcW w:w="1016" w:type="pct"/>
                  <w:vAlign w:val="center"/>
                </w:tcPr>
                <w:p w14:paraId="45671261">
                  <w:pPr>
                    <w:adjustRightInd w:val="0"/>
                    <w:snapToGrid w:val="0"/>
                    <w:jc w:val="center"/>
                    <w:rPr>
                      <w:szCs w:val="21"/>
                    </w:rPr>
                  </w:pPr>
                  <w:r>
                    <w:rPr>
                      <w:rFonts w:hint="eastAsia"/>
                      <w:szCs w:val="21"/>
                    </w:rPr>
                    <w:t>是</w:t>
                  </w:r>
                </w:p>
              </w:tc>
              <w:tc>
                <w:tcPr>
                  <w:tcW w:w="1014" w:type="pct"/>
                  <w:vMerge w:val="restart"/>
                  <w:vAlign w:val="center"/>
                </w:tcPr>
                <w:p w14:paraId="1095DCC3">
                  <w:pPr>
                    <w:tabs>
                      <w:tab w:val="left" w:pos="560"/>
                    </w:tabs>
                    <w:adjustRightInd w:val="0"/>
                    <w:snapToGrid w:val="0"/>
                    <w:jc w:val="center"/>
                    <w:rPr>
                      <w:szCs w:val="21"/>
                    </w:rPr>
                  </w:pPr>
                  <w:r>
                    <w:rPr>
                      <w:rFonts w:hint="eastAsia"/>
                      <w:szCs w:val="21"/>
                    </w:rPr>
                    <w:t>昼间60/夜间50</w:t>
                  </w:r>
                </w:p>
              </w:tc>
            </w:tr>
            <w:tr w14:paraId="29B6B605">
              <w:tblPrEx>
                <w:tblBorders>
                  <w:top w:val="single" w:color="auto" w:sz="4" w:space="0"/>
                  <w:left w:val="single" w:color="auto" w:sz="4" w:space="0"/>
                  <w:bottom w:val="single" w:color="auto" w:sz="4" w:space="0"/>
                  <w:right w:val="single" w:color="auto" w:sz="4" w:space="0"/>
                  <w:insideH w:val="single" w:color="auto" w:sz="6" w:space="0"/>
                  <w:insideV w:val="single" w:color="auto" w:sz="4" w:space="0"/>
                </w:tblBorders>
                <w:tblCellMar>
                  <w:top w:w="0" w:type="dxa"/>
                  <w:left w:w="108" w:type="dxa"/>
                  <w:bottom w:w="0" w:type="dxa"/>
                  <w:right w:w="108" w:type="dxa"/>
                </w:tblCellMar>
              </w:tblPrEx>
              <w:trPr>
                <w:cantSplit/>
                <w:trHeight w:val="227" w:hRule="atLeast"/>
              </w:trPr>
              <w:tc>
                <w:tcPr>
                  <w:tcW w:w="1718" w:type="pct"/>
                  <w:vAlign w:val="center"/>
                </w:tcPr>
                <w:p w14:paraId="2B12F041">
                  <w:pPr>
                    <w:adjustRightInd w:val="0"/>
                    <w:snapToGrid w:val="0"/>
                    <w:jc w:val="center"/>
                    <w:rPr>
                      <w:szCs w:val="21"/>
                    </w:rPr>
                  </w:pPr>
                  <w:r>
                    <w:rPr>
                      <w:rFonts w:hint="eastAsia"/>
                      <w:szCs w:val="21"/>
                    </w:rPr>
                    <w:t>南厂界</w:t>
                  </w:r>
                </w:p>
              </w:tc>
              <w:tc>
                <w:tcPr>
                  <w:tcW w:w="1252" w:type="pct"/>
                  <w:vAlign w:val="center"/>
                </w:tcPr>
                <w:p w14:paraId="0DFA0D94">
                  <w:pPr>
                    <w:adjustRightInd w:val="0"/>
                    <w:snapToGrid w:val="0"/>
                    <w:jc w:val="center"/>
                    <w:rPr>
                      <w:szCs w:val="21"/>
                    </w:rPr>
                  </w:pPr>
                  <w:r>
                    <w:rPr>
                      <w:rFonts w:hint="eastAsia"/>
                      <w:szCs w:val="21"/>
                    </w:rPr>
                    <w:t>35.3</w:t>
                  </w:r>
                </w:p>
              </w:tc>
              <w:tc>
                <w:tcPr>
                  <w:tcW w:w="1016" w:type="pct"/>
                  <w:vAlign w:val="center"/>
                </w:tcPr>
                <w:p w14:paraId="141F2793">
                  <w:pPr>
                    <w:adjustRightInd w:val="0"/>
                    <w:snapToGrid w:val="0"/>
                    <w:jc w:val="center"/>
                    <w:rPr>
                      <w:szCs w:val="21"/>
                    </w:rPr>
                  </w:pPr>
                  <w:r>
                    <w:rPr>
                      <w:rFonts w:hint="eastAsia"/>
                      <w:szCs w:val="21"/>
                    </w:rPr>
                    <w:t>是</w:t>
                  </w:r>
                </w:p>
              </w:tc>
              <w:tc>
                <w:tcPr>
                  <w:tcW w:w="1014" w:type="pct"/>
                  <w:vMerge w:val="continue"/>
                  <w:vAlign w:val="center"/>
                </w:tcPr>
                <w:p w14:paraId="3EBDC757">
                  <w:pPr>
                    <w:adjustRightInd w:val="0"/>
                    <w:snapToGrid w:val="0"/>
                    <w:jc w:val="center"/>
                    <w:rPr>
                      <w:szCs w:val="21"/>
                    </w:rPr>
                  </w:pPr>
                </w:p>
              </w:tc>
            </w:tr>
            <w:tr w14:paraId="1B19C7A9">
              <w:tblPrEx>
                <w:tblBorders>
                  <w:top w:val="single" w:color="auto" w:sz="4" w:space="0"/>
                  <w:left w:val="single" w:color="auto" w:sz="4" w:space="0"/>
                  <w:bottom w:val="single" w:color="auto" w:sz="4" w:space="0"/>
                  <w:right w:val="single" w:color="auto" w:sz="4" w:space="0"/>
                  <w:insideH w:val="single" w:color="auto" w:sz="6" w:space="0"/>
                  <w:insideV w:val="single" w:color="auto" w:sz="4" w:space="0"/>
                </w:tblBorders>
                <w:tblCellMar>
                  <w:top w:w="0" w:type="dxa"/>
                  <w:left w:w="108" w:type="dxa"/>
                  <w:bottom w:w="0" w:type="dxa"/>
                  <w:right w:w="108" w:type="dxa"/>
                </w:tblCellMar>
              </w:tblPrEx>
              <w:trPr>
                <w:cantSplit/>
                <w:trHeight w:val="227" w:hRule="atLeast"/>
              </w:trPr>
              <w:tc>
                <w:tcPr>
                  <w:tcW w:w="1718" w:type="pct"/>
                  <w:vAlign w:val="center"/>
                </w:tcPr>
                <w:p w14:paraId="70792F2E">
                  <w:pPr>
                    <w:adjustRightInd w:val="0"/>
                    <w:snapToGrid w:val="0"/>
                    <w:jc w:val="center"/>
                    <w:rPr>
                      <w:szCs w:val="21"/>
                    </w:rPr>
                  </w:pPr>
                  <w:r>
                    <w:rPr>
                      <w:rFonts w:hint="eastAsia"/>
                      <w:szCs w:val="21"/>
                    </w:rPr>
                    <w:t>西厂界</w:t>
                  </w:r>
                </w:p>
              </w:tc>
              <w:tc>
                <w:tcPr>
                  <w:tcW w:w="1252" w:type="pct"/>
                  <w:vAlign w:val="center"/>
                </w:tcPr>
                <w:p w14:paraId="07B70D4C">
                  <w:pPr>
                    <w:adjustRightInd w:val="0"/>
                    <w:snapToGrid w:val="0"/>
                    <w:jc w:val="center"/>
                    <w:rPr>
                      <w:szCs w:val="21"/>
                    </w:rPr>
                  </w:pPr>
                  <w:r>
                    <w:rPr>
                      <w:rFonts w:hint="eastAsia"/>
                      <w:szCs w:val="21"/>
                    </w:rPr>
                    <w:t>39.6</w:t>
                  </w:r>
                </w:p>
              </w:tc>
              <w:tc>
                <w:tcPr>
                  <w:tcW w:w="1016" w:type="pct"/>
                  <w:vAlign w:val="center"/>
                </w:tcPr>
                <w:p w14:paraId="661ACD5B">
                  <w:pPr>
                    <w:adjustRightInd w:val="0"/>
                    <w:snapToGrid w:val="0"/>
                    <w:jc w:val="center"/>
                    <w:rPr>
                      <w:szCs w:val="21"/>
                    </w:rPr>
                  </w:pPr>
                  <w:r>
                    <w:rPr>
                      <w:rFonts w:hint="eastAsia"/>
                      <w:szCs w:val="21"/>
                    </w:rPr>
                    <w:t>是</w:t>
                  </w:r>
                </w:p>
              </w:tc>
              <w:tc>
                <w:tcPr>
                  <w:tcW w:w="1014" w:type="pct"/>
                  <w:vMerge w:val="continue"/>
                  <w:vAlign w:val="center"/>
                </w:tcPr>
                <w:p w14:paraId="5CE4948D">
                  <w:pPr>
                    <w:adjustRightInd w:val="0"/>
                    <w:snapToGrid w:val="0"/>
                    <w:jc w:val="center"/>
                    <w:rPr>
                      <w:szCs w:val="21"/>
                    </w:rPr>
                  </w:pPr>
                </w:p>
              </w:tc>
            </w:tr>
            <w:tr w14:paraId="4F4C9C4A">
              <w:tblPrEx>
                <w:tblBorders>
                  <w:top w:val="single" w:color="auto" w:sz="4" w:space="0"/>
                  <w:left w:val="single" w:color="auto" w:sz="4" w:space="0"/>
                  <w:bottom w:val="single" w:color="auto" w:sz="4" w:space="0"/>
                  <w:right w:val="single" w:color="auto" w:sz="4" w:space="0"/>
                  <w:insideH w:val="single" w:color="auto" w:sz="6" w:space="0"/>
                  <w:insideV w:val="single" w:color="auto" w:sz="4" w:space="0"/>
                </w:tblBorders>
                <w:tblCellMar>
                  <w:top w:w="0" w:type="dxa"/>
                  <w:left w:w="108" w:type="dxa"/>
                  <w:bottom w:w="0" w:type="dxa"/>
                  <w:right w:w="108" w:type="dxa"/>
                </w:tblCellMar>
              </w:tblPrEx>
              <w:trPr>
                <w:cantSplit/>
                <w:trHeight w:val="227" w:hRule="atLeast"/>
              </w:trPr>
              <w:tc>
                <w:tcPr>
                  <w:tcW w:w="1718" w:type="pct"/>
                  <w:vAlign w:val="center"/>
                </w:tcPr>
                <w:p w14:paraId="5A07252C">
                  <w:pPr>
                    <w:adjustRightInd w:val="0"/>
                    <w:snapToGrid w:val="0"/>
                    <w:jc w:val="center"/>
                    <w:rPr>
                      <w:szCs w:val="21"/>
                    </w:rPr>
                  </w:pPr>
                  <w:r>
                    <w:rPr>
                      <w:rFonts w:hint="eastAsia"/>
                      <w:szCs w:val="21"/>
                    </w:rPr>
                    <w:t>北厂界</w:t>
                  </w:r>
                </w:p>
              </w:tc>
              <w:tc>
                <w:tcPr>
                  <w:tcW w:w="1252" w:type="pct"/>
                  <w:vAlign w:val="center"/>
                </w:tcPr>
                <w:p w14:paraId="3DC4FC7B">
                  <w:pPr>
                    <w:adjustRightInd w:val="0"/>
                    <w:snapToGrid w:val="0"/>
                    <w:jc w:val="center"/>
                    <w:rPr>
                      <w:szCs w:val="21"/>
                    </w:rPr>
                  </w:pPr>
                  <w:r>
                    <w:rPr>
                      <w:rFonts w:hint="eastAsia"/>
                      <w:szCs w:val="21"/>
                    </w:rPr>
                    <w:t>33.4</w:t>
                  </w:r>
                </w:p>
              </w:tc>
              <w:tc>
                <w:tcPr>
                  <w:tcW w:w="1016" w:type="pct"/>
                  <w:vAlign w:val="center"/>
                </w:tcPr>
                <w:p w14:paraId="29DA1CF8">
                  <w:pPr>
                    <w:adjustRightInd w:val="0"/>
                    <w:snapToGrid w:val="0"/>
                    <w:jc w:val="center"/>
                    <w:rPr>
                      <w:szCs w:val="21"/>
                    </w:rPr>
                  </w:pPr>
                  <w:r>
                    <w:rPr>
                      <w:rFonts w:hint="eastAsia"/>
                      <w:szCs w:val="21"/>
                    </w:rPr>
                    <w:t>是</w:t>
                  </w:r>
                </w:p>
              </w:tc>
              <w:tc>
                <w:tcPr>
                  <w:tcW w:w="1014" w:type="pct"/>
                  <w:vMerge w:val="continue"/>
                  <w:vAlign w:val="center"/>
                </w:tcPr>
                <w:p w14:paraId="758EB696">
                  <w:pPr>
                    <w:adjustRightInd w:val="0"/>
                    <w:snapToGrid w:val="0"/>
                    <w:jc w:val="center"/>
                    <w:rPr>
                      <w:szCs w:val="21"/>
                    </w:rPr>
                  </w:pPr>
                </w:p>
              </w:tc>
            </w:tr>
          </w:tbl>
          <w:p w14:paraId="0CF69D66">
            <w:pPr>
              <w:spacing w:line="360" w:lineRule="auto"/>
              <w:ind w:firstLine="480" w:firstLineChars="200"/>
              <w:jc w:val="left"/>
              <w:rPr>
                <w:b/>
                <w:spacing w:val="6"/>
                <w:sz w:val="24"/>
                <w:u w:val="single"/>
              </w:rPr>
            </w:pPr>
            <w:r>
              <w:rPr>
                <w:rFonts w:hint="eastAsia"/>
                <w:sz w:val="24"/>
              </w:rPr>
              <w:t>由上表可知，项目四厂界噪声预测值均能满足《工业企业厂界环境噪声排放标准》（</w:t>
            </w:r>
            <w:r>
              <w:rPr>
                <w:sz w:val="24"/>
              </w:rPr>
              <w:t>GB12348-2008</w:t>
            </w:r>
            <w:r>
              <w:rPr>
                <w:rFonts w:hint="eastAsia"/>
                <w:sz w:val="24"/>
              </w:rPr>
              <w:t>）2类标准要求。</w:t>
            </w:r>
          </w:p>
          <w:p w14:paraId="580AD0AD">
            <w:pPr>
              <w:spacing w:line="360" w:lineRule="auto"/>
              <w:ind w:firstLine="480" w:firstLineChars="200"/>
              <w:rPr>
                <w:sz w:val="24"/>
              </w:rPr>
            </w:pPr>
            <w:r>
              <w:rPr>
                <w:sz w:val="24"/>
              </w:rPr>
              <w:t>本项目噪声监测要求见下表。</w:t>
            </w:r>
          </w:p>
          <w:p w14:paraId="6B23B70B">
            <w:pPr>
              <w:ind w:firstLine="482" w:firstLineChars="200"/>
              <w:jc w:val="center"/>
              <w:rPr>
                <w:rFonts w:eastAsiaTheme="minorEastAsia"/>
                <w:b/>
                <w:sz w:val="24"/>
              </w:rPr>
            </w:pPr>
            <w:r>
              <w:rPr>
                <w:rFonts w:hAnsiTheme="minorEastAsia" w:eastAsiaTheme="minorEastAsia"/>
                <w:b/>
                <w:sz w:val="24"/>
              </w:rPr>
              <w:t>表</w:t>
            </w:r>
            <w:r>
              <w:rPr>
                <w:rFonts w:eastAsiaTheme="minorEastAsia"/>
                <w:b/>
                <w:sz w:val="24"/>
              </w:rPr>
              <w:t>2</w:t>
            </w:r>
            <w:r>
              <w:rPr>
                <w:rFonts w:hint="eastAsia" w:eastAsiaTheme="minorEastAsia"/>
                <w:b/>
                <w:sz w:val="24"/>
              </w:rPr>
              <w:t>8</w:t>
            </w:r>
            <w:r>
              <w:rPr>
                <w:rFonts w:eastAsiaTheme="minorEastAsia"/>
                <w:b/>
                <w:sz w:val="24"/>
              </w:rPr>
              <w:t xml:space="preserve">    </w:t>
            </w:r>
            <w:r>
              <w:rPr>
                <w:rFonts w:hAnsiTheme="minorEastAsia" w:eastAsiaTheme="minorEastAsia"/>
                <w:b/>
                <w:sz w:val="24"/>
              </w:rPr>
              <w:t>噪声监测要求一览表</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3" w:type="dxa"/>
                <w:bottom w:w="0" w:type="dxa"/>
                <w:right w:w="23" w:type="dxa"/>
              </w:tblCellMar>
            </w:tblPr>
            <w:tblGrid>
              <w:gridCol w:w="2281"/>
              <w:gridCol w:w="2517"/>
              <w:gridCol w:w="3426"/>
            </w:tblGrid>
            <w:tr w14:paraId="2B269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12" w:hRule="atLeast"/>
              </w:trPr>
              <w:tc>
                <w:tcPr>
                  <w:tcW w:w="1387" w:type="pct"/>
                  <w:vAlign w:val="center"/>
                </w:tcPr>
                <w:p w14:paraId="246E8034">
                  <w:pPr>
                    <w:adjustRightInd w:val="0"/>
                    <w:snapToGrid w:val="0"/>
                    <w:jc w:val="center"/>
                    <w:rPr>
                      <w:bCs/>
                      <w:szCs w:val="21"/>
                    </w:rPr>
                  </w:pPr>
                  <w:r>
                    <w:rPr>
                      <w:bCs/>
                      <w:szCs w:val="21"/>
                    </w:rPr>
                    <w:t>监测点位</w:t>
                  </w:r>
                </w:p>
              </w:tc>
              <w:tc>
                <w:tcPr>
                  <w:tcW w:w="1530" w:type="pct"/>
                  <w:vAlign w:val="center"/>
                </w:tcPr>
                <w:p w14:paraId="447C8A47">
                  <w:pPr>
                    <w:adjustRightInd w:val="0"/>
                    <w:snapToGrid w:val="0"/>
                    <w:jc w:val="center"/>
                    <w:rPr>
                      <w:bCs/>
                      <w:szCs w:val="21"/>
                    </w:rPr>
                  </w:pPr>
                  <w:r>
                    <w:rPr>
                      <w:bCs/>
                      <w:szCs w:val="21"/>
                    </w:rPr>
                    <w:t>监测频次</w:t>
                  </w:r>
                </w:p>
              </w:tc>
              <w:tc>
                <w:tcPr>
                  <w:tcW w:w="2083" w:type="pct"/>
                  <w:vAlign w:val="center"/>
                </w:tcPr>
                <w:p w14:paraId="43D14C7D">
                  <w:pPr>
                    <w:adjustRightInd w:val="0"/>
                    <w:snapToGrid w:val="0"/>
                    <w:jc w:val="center"/>
                    <w:rPr>
                      <w:bCs/>
                      <w:szCs w:val="21"/>
                    </w:rPr>
                  </w:pPr>
                  <w:r>
                    <w:rPr>
                      <w:bCs/>
                      <w:szCs w:val="21"/>
                    </w:rPr>
                    <w:t>标准要求</w:t>
                  </w:r>
                </w:p>
              </w:tc>
            </w:tr>
            <w:tr w14:paraId="55603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12" w:hRule="atLeast"/>
              </w:trPr>
              <w:tc>
                <w:tcPr>
                  <w:tcW w:w="1387" w:type="pct"/>
                  <w:vAlign w:val="center"/>
                </w:tcPr>
                <w:p w14:paraId="42482D8D">
                  <w:pPr>
                    <w:adjustRightInd w:val="0"/>
                    <w:snapToGrid w:val="0"/>
                    <w:jc w:val="center"/>
                    <w:rPr>
                      <w:bCs/>
                      <w:szCs w:val="21"/>
                    </w:rPr>
                  </w:pPr>
                  <w:r>
                    <w:rPr>
                      <w:bCs/>
                      <w:szCs w:val="21"/>
                    </w:rPr>
                    <w:t>东厂界</w:t>
                  </w:r>
                </w:p>
              </w:tc>
              <w:tc>
                <w:tcPr>
                  <w:tcW w:w="1530" w:type="pct"/>
                  <w:vMerge w:val="restart"/>
                  <w:vAlign w:val="center"/>
                </w:tcPr>
                <w:p w14:paraId="5AFDB205">
                  <w:pPr>
                    <w:adjustRightInd w:val="0"/>
                    <w:snapToGrid w:val="0"/>
                    <w:jc w:val="center"/>
                    <w:rPr>
                      <w:bCs/>
                      <w:szCs w:val="21"/>
                    </w:rPr>
                  </w:pPr>
                  <w:r>
                    <w:rPr>
                      <w:rFonts w:hint="eastAsia"/>
                      <w:bCs/>
                      <w:szCs w:val="21"/>
                    </w:rPr>
                    <w:t>每季度监测1次</w:t>
                  </w:r>
                </w:p>
              </w:tc>
              <w:tc>
                <w:tcPr>
                  <w:tcW w:w="2083" w:type="pct"/>
                  <w:vMerge w:val="restart"/>
                  <w:vAlign w:val="center"/>
                </w:tcPr>
                <w:p w14:paraId="272A8EBE">
                  <w:pPr>
                    <w:adjustRightInd w:val="0"/>
                    <w:snapToGrid w:val="0"/>
                    <w:jc w:val="center"/>
                    <w:rPr>
                      <w:bCs/>
                      <w:szCs w:val="21"/>
                    </w:rPr>
                  </w:pPr>
                  <w:r>
                    <w:rPr>
                      <w:szCs w:val="21"/>
                    </w:rPr>
                    <w:t>《工业企业厂界环境噪声排放标准》（GB12348-2008）</w:t>
                  </w:r>
                  <w:r>
                    <w:rPr>
                      <w:rFonts w:hint="eastAsia"/>
                      <w:szCs w:val="21"/>
                    </w:rPr>
                    <w:t>2类</w:t>
                  </w:r>
                  <w:r>
                    <w:rPr>
                      <w:szCs w:val="21"/>
                    </w:rPr>
                    <w:t>标准</w:t>
                  </w:r>
                </w:p>
              </w:tc>
            </w:tr>
            <w:tr w14:paraId="0D3D0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12" w:hRule="atLeast"/>
              </w:trPr>
              <w:tc>
                <w:tcPr>
                  <w:tcW w:w="1387" w:type="pct"/>
                  <w:vAlign w:val="center"/>
                </w:tcPr>
                <w:p w14:paraId="4A62DCAE">
                  <w:pPr>
                    <w:adjustRightInd w:val="0"/>
                    <w:snapToGrid w:val="0"/>
                    <w:jc w:val="center"/>
                    <w:rPr>
                      <w:bCs/>
                      <w:szCs w:val="21"/>
                    </w:rPr>
                  </w:pPr>
                  <w:r>
                    <w:rPr>
                      <w:bCs/>
                      <w:szCs w:val="21"/>
                    </w:rPr>
                    <w:t>南厂界</w:t>
                  </w:r>
                </w:p>
              </w:tc>
              <w:tc>
                <w:tcPr>
                  <w:tcW w:w="1530" w:type="pct"/>
                  <w:vMerge w:val="continue"/>
                  <w:vAlign w:val="center"/>
                </w:tcPr>
                <w:p w14:paraId="7F2428C8">
                  <w:pPr>
                    <w:adjustRightInd w:val="0"/>
                    <w:snapToGrid w:val="0"/>
                    <w:jc w:val="center"/>
                    <w:rPr>
                      <w:bCs/>
                      <w:szCs w:val="21"/>
                    </w:rPr>
                  </w:pPr>
                </w:p>
              </w:tc>
              <w:tc>
                <w:tcPr>
                  <w:tcW w:w="2083" w:type="pct"/>
                  <w:vMerge w:val="continue"/>
                  <w:vAlign w:val="center"/>
                </w:tcPr>
                <w:p w14:paraId="4C5D4C2B">
                  <w:pPr>
                    <w:adjustRightInd w:val="0"/>
                    <w:snapToGrid w:val="0"/>
                    <w:jc w:val="center"/>
                    <w:rPr>
                      <w:bCs/>
                      <w:szCs w:val="21"/>
                    </w:rPr>
                  </w:pPr>
                </w:p>
              </w:tc>
            </w:tr>
            <w:tr w14:paraId="47AF4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12" w:hRule="atLeast"/>
              </w:trPr>
              <w:tc>
                <w:tcPr>
                  <w:tcW w:w="1387" w:type="pct"/>
                  <w:vAlign w:val="center"/>
                </w:tcPr>
                <w:p w14:paraId="0020977F">
                  <w:pPr>
                    <w:adjustRightInd w:val="0"/>
                    <w:snapToGrid w:val="0"/>
                    <w:jc w:val="center"/>
                    <w:rPr>
                      <w:bCs/>
                      <w:szCs w:val="21"/>
                    </w:rPr>
                  </w:pPr>
                  <w:r>
                    <w:rPr>
                      <w:bCs/>
                      <w:szCs w:val="21"/>
                    </w:rPr>
                    <w:t>西厂界</w:t>
                  </w:r>
                </w:p>
              </w:tc>
              <w:tc>
                <w:tcPr>
                  <w:tcW w:w="1530" w:type="pct"/>
                  <w:vMerge w:val="continue"/>
                  <w:vAlign w:val="center"/>
                </w:tcPr>
                <w:p w14:paraId="02EAA40A">
                  <w:pPr>
                    <w:adjustRightInd w:val="0"/>
                    <w:snapToGrid w:val="0"/>
                    <w:jc w:val="center"/>
                    <w:rPr>
                      <w:bCs/>
                      <w:szCs w:val="21"/>
                    </w:rPr>
                  </w:pPr>
                </w:p>
              </w:tc>
              <w:tc>
                <w:tcPr>
                  <w:tcW w:w="2083" w:type="pct"/>
                  <w:vMerge w:val="continue"/>
                  <w:vAlign w:val="center"/>
                </w:tcPr>
                <w:p w14:paraId="1B92D482">
                  <w:pPr>
                    <w:adjustRightInd w:val="0"/>
                    <w:snapToGrid w:val="0"/>
                    <w:jc w:val="center"/>
                    <w:rPr>
                      <w:bCs/>
                      <w:szCs w:val="21"/>
                    </w:rPr>
                  </w:pPr>
                </w:p>
              </w:tc>
            </w:tr>
            <w:tr w14:paraId="00BD4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12" w:hRule="atLeast"/>
              </w:trPr>
              <w:tc>
                <w:tcPr>
                  <w:tcW w:w="1387" w:type="pct"/>
                  <w:vAlign w:val="center"/>
                </w:tcPr>
                <w:p w14:paraId="4F2A610F">
                  <w:pPr>
                    <w:adjustRightInd w:val="0"/>
                    <w:snapToGrid w:val="0"/>
                    <w:jc w:val="center"/>
                    <w:rPr>
                      <w:bCs/>
                      <w:szCs w:val="21"/>
                    </w:rPr>
                  </w:pPr>
                  <w:r>
                    <w:rPr>
                      <w:rFonts w:hint="eastAsia"/>
                      <w:bCs/>
                      <w:szCs w:val="21"/>
                    </w:rPr>
                    <w:t>北厂界</w:t>
                  </w:r>
                </w:p>
              </w:tc>
              <w:tc>
                <w:tcPr>
                  <w:tcW w:w="1530" w:type="pct"/>
                  <w:vMerge w:val="continue"/>
                  <w:vAlign w:val="center"/>
                </w:tcPr>
                <w:p w14:paraId="60F0160C">
                  <w:pPr>
                    <w:adjustRightInd w:val="0"/>
                    <w:snapToGrid w:val="0"/>
                    <w:jc w:val="center"/>
                    <w:rPr>
                      <w:bCs/>
                      <w:szCs w:val="21"/>
                    </w:rPr>
                  </w:pPr>
                </w:p>
              </w:tc>
              <w:tc>
                <w:tcPr>
                  <w:tcW w:w="2083" w:type="pct"/>
                  <w:vMerge w:val="continue"/>
                  <w:vAlign w:val="center"/>
                </w:tcPr>
                <w:p w14:paraId="73FE4412">
                  <w:pPr>
                    <w:adjustRightInd w:val="0"/>
                    <w:snapToGrid w:val="0"/>
                    <w:jc w:val="center"/>
                    <w:rPr>
                      <w:bCs/>
                      <w:szCs w:val="21"/>
                    </w:rPr>
                  </w:pPr>
                </w:p>
              </w:tc>
            </w:tr>
          </w:tbl>
          <w:p w14:paraId="1FB1DA2E">
            <w:pPr>
              <w:spacing w:line="360" w:lineRule="auto"/>
              <w:ind w:firstLine="482" w:firstLineChars="200"/>
              <w:jc w:val="left"/>
              <w:rPr>
                <w:sz w:val="24"/>
              </w:rPr>
            </w:pPr>
            <w:r>
              <w:rPr>
                <w:rFonts w:eastAsia="黑体"/>
                <w:b/>
                <w:sz w:val="24"/>
              </w:rPr>
              <w:t>4、固废</w:t>
            </w:r>
          </w:p>
          <w:p w14:paraId="2A3F2A4D">
            <w:pPr>
              <w:spacing w:line="360" w:lineRule="auto"/>
              <w:ind w:firstLine="482" w:firstLineChars="200"/>
              <w:jc w:val="left"/>
              <w:rPr>
                <w:b/>
                <w:sz w:val="24"/>
              </w:rPr>
            </w:pPr>
            <w:r>
              <w:rPr>
                <w:b/>
                <w:sz w:val="24"/>
              </w:rPr>
              <w:t>4.1</w:t>
            </w:r>
            <w:r>
              <w:rPr>
                <w:rFonts w:hint="eastAsia"/>
                <w:b/>
                <w:sz w:val="24"/>
              </w:rPr>
              <w:t>固体废物产生及处置情况</w:t>
            </w:r>
          </w:p>
          <w:p w14:paraId="4931EC10">
            <w:pPr>
              <w:adjustRightInd w:val="0"/>
              <w:snapToGrid w:val="0"/>
              <w:spacing w:line="360" w:lineRule="auto"/>
              <w:ind w:firstLine="480" w:firstLineChars="200"/>
              <w:rPr>
                <w:bCs/>
                <w:sz w:val="24"/>
              </w:rPr>
            </w:pPr>
            <w:r>
              <w:rPr>
                <w:rFonts w:hint="eastAsia"/>
                <w:bCs/>
                <w:sz w:val="24"/>
              </w:rPr>
              <w:t>本项目运营期产生的固体废物主要为危险废物、一般固体废物及生活垃圾。</w:t>
            </w:r>
          </w:p>
          <w:p w14:paraId="39DFB8F8">
            <w:pPr>
              <w:spacing w:line="360" w:lineRule="auto"/>
              <w:ind w:firstLine="482" w:firstLineChars="200"/>
              <w:jc w:val="left"/>
              <w:rPr>
                <w:b/>
                <w:bCs/>
                <w:sz w:val="24"/>
              </w:rPr>
            </w:pPr>
            <w:r>
              <w:rPr>
                <w:rFonts w:hint="eastAsia"/>
                <w:b/>
                <w:bCs/>
                <w:sz w:val="24"/>
              </w:rPr>
              <w:t>4.1.1一般固废</w:t>
            </w:r>
          </w:p>
          <w:p w14:paraId="5383E4E0">
            <w:pPr>
              <w:spacing w:line="360" w:lineRule="auto"/>
              <w:ind w:firstLine="480" w:firstLineChars="200"/>
              <w:jc w:val="left"/>
              <w:rPr>
                <w:b/>
                <w:bCs/>
                <w:sz w:val="24"/>
              </w:rPr>
            </w:pPr>
            <w:r>
              <w:rPr>
                <w:rFonts w:hint="eastAsia"/>
                <w:bCs/>
                <w:sz w:val="24"/>
              </w:rPr>
              <w:t>项目一般固废主要包括</w:t>
            </w:r>
            <w:r>
              <w:rPr>
                <w:rFonts w:hint="eastAsia"/>
                <w:bCs/>
                <w:color w:val="000000"/>
                <w:sz w:val="24"/>
              </w:rPr>
              <w:t>污水处理站污泥</w:t>
            </w:r>
            <w:r>
              <w:rPr>
                <w:rFonts w:hint="eastAsia"/>
                <w:bCs/>
                <w:sz w:val="24"/>
              </w:rPr>
              <w:t>、油烟净化器收集废油及生活垃圾</w:t>
            </w:r>
            <w:r>
              <w:rPr>
                <w:rFonts w:hint="eastAsia"/>
                <w:bCs/>
                <w:spacing w:val="6"/>
                <w:sz w:val="24"/>
              </w:rPr>
              <w:t>。</w:t>
            </w:r>
          </w:p>
          <w:p w14:paraId="00211502">
            <w:pPr>
              <w:adjustRightInd w:val="0"/>
              <w:snapToGrid w:val="0"/>
              <w:spacing w:line="360" w:lineRule="auto"/>
              <w:ind w:firstLine="480" w:firstLineChars="200"/>
              <w:rPr>
                <w:bCs/>
                <w:color w:val="000000"/>
                <w:spacing w:val="6"/>
                <w:sz w:val="24"/>
              </w:rPr>
            </w:pPr>
            <w:r>
              <w:rPr>
                <w:rFonts w:hint="eastAsia"/>
                <w:bCs/>
                <w:sz w:val="24"/>
              </w:rPr>
              <w:t>（</w:t>
            </w:r>
            <w:r>
              <w:rPr>
                <w:bCs/>
                <w:sz w:val="24"/>
              </w:rPr>
              <w:t>1</w:t>
            </w:r>
            <w:r>
              <w:rPr>
                <w:rFonts w:hint="eastAsia"/>
                <w:bCs/>
                <w:sz w:val="24"/>
              </w:rPr>
              <w:t>）</w:t>
            </w:r>
            <w:r>
              <w:rPr>
                <w:rFonts w:hint="eastAsia" w:ascii="宋体" w:hAnsi="宋体" w:cs="宋体"/>
                <w:bCs/>
                <w:color w:val="000000"/>
                <w:spacing w:val="6"/>
                <w:sz w:val="24"/>
              </w:rPr>
              <w:t>污水处理站污泥</w:t>
            </w:r>
          </w:p>
          <w:p w14:paraId="488AD8CE">
            <w:pPr>
              <w:adjustRightInd w:val="0"/>
              <w:snapToGrid w:val="0"/>
              <w:spacing w:line="360" w:lineRule="auto"/>
              <w:ind w:firstLine="504" w:firstLineChars="200"/>
              <w:rPr>
                <w:bCs/>
                <w:color w:val="000000"/>
                <w:spacing w:val="6"/>
                <w:sz w:val="24"/>
              </w:rPr>
            </w:pPr>
            <w:r>
              <w:rPr>
                <w:rFonts w:hint="eastAsia"/>
                <w:bCs/>
                <w:color w:val="000000"/>
                <w:spacing w:val="6"/>
                <w:sz w:val="24"/>
              </w:rPr>
              <w:t>项目废水处理过程中会产生污泥，污水处理设施污泥产生量与SS、COD去除效果有关。根据污水处理设施供应单位提供资料，去除1kgCOD产生0.15kg干污泥。本项目COD去除量为14.33t/a，SS去除量为7.12t/a，则干污泥产生量约为9.27t/a。</w:t>
            </w:r>
          </w:p>
          <w:p w14:paraId="5426718A">
            <w:pPr>
              <w:adjustRightInd w:val="0"/>
              <w:snapToGrid w:val="0"/>
              <w:spacing w:line="360" w:lineRule="auto"/>
              <w:ind w:firstLine="504" w:firstLineChars="200"/>
              <w:rPr>
                <w:bCs/>
                <w:color w:val="000000"/>
                <w:spacing w:val="6"/>
                <w:sz w:val="24"/>
              </w:rPr>
            </w:pPr>
            <w:r>
              <w:rPr>
                <w:rFonts w:hint="eastAsia"/>
                <w:bCs/>
                <w:color w:val="000000"/>
                <w:spacing w:val="6"/>
                <w:sz w:val="24"/>
              </w:rPr>
              <w:t>污泥经污泥池收集后，采用压滤机进行压滤，含水率约70%，则含水污泥产生量为30.9t/a，该污泥不含重金属或持久性有机污染物，经查阅《国家危险废物名录》，本项目污水处理设施污泥不属于危险废物，污泥进行压滤脱水后出售至有机肥生产厂家综合利用。</w:t>
            </w:r>
          </w:p>
          <w:p w14:paraId="6DF310E3">
            <w:pPr>
              <w:autoSpaceDE w:val="0"/>
              <w:autoSpaceDN w:val="0"/>
              <w:spacing w:line="360" w:lineRule="auto"/>
              <w:ind w:firstLine="480" w:firstLineChars="200"/>
              <w:jc w:val="left"/>
              <w:rPr>
                <w:sz w:val="24"/>
              </w:rPr>
            </w:pPr>
            <w:r>
              <w:rPr>
                <w:rFonts w:hint="eastAsia"/>
                <w:sz w:val="24"/>
              </w:rPr>
              <w:t>（</w:t>
            </w:r>
            <w:r>
              <w:rPr>
                <w:sz w:val="24"/>
              </w:rPr>
              <w:t>2</w:t>
            </w:r>
            <w:r>
              <w:rPr>
                <w:rFonts w:hint="eastAsia"/>
                <w:sz w:val="24"/>
              </w:rPr>
              <w:t>）</w:t>
            </w:r>
            <w:r>
              <w:rPr>
                <w:rFonts w:hint="eastAsia"/>
                <w:bCs/>
                <w:sz w:val="24"/>
              </w:rPr>
              <w:t>油烟净化器收集废油</w:t>
            </w:r>
          </w:p>
          <w:p w14:paraId="0C6A3D52">
            <w:pPr>
              <w:adjustRightInd w:val="0"/>
              <w:snapToGrid w:val="0"/>
              <w:spacing w:line="360" w:lineRule="auto"/>
              <w:ind w:firstLine="480" w:firstLineChars="200"/>
              <w:rPr>
                <w:bCs/>
                <w:sz w:val="24"/>
              </w:rPr>
            </w:pPr>
            <w:r>
              <w:rPr>
                <w:rFonts w:hint="eastAsia"/>
                <w:bCs/>
                <w:sz w:val="24"/>
              </w:rPr>
              <w:t>项目静电油烟净化器经过油烟过程会产生废油污，根据油烟废气处理效率，废油产生量约为2.456t/a，由于项目为动物油脂生产，生产过程产生的废油主要为动物油，经一般固废间（20m</w:t>
            </w:r>
            <w:r>
              <w:rPr>
                <w:rFonts w:hint="eastAsia"/>
                <w:bCs/>
                <w:sz w:val="24"/>
                <w:vertAlign w:val="superscript"/>
              </w:rPr>
              <w:t>2</w:t>
            </w:r>
            <w:r>
              <w:rPr>
                <w:rFonts w:hint="eastAsia"/>
                <w:bCs/>
                <w:sz w:val="24"/>
              </w:rPr>
              <w:t>）暂存后，外售餐厨废物处理企业处理。</w:t>
            </w:r>
          </w:p>
          <w:p w14:paraId="570ECA3C">
            <w:pPr>
              <w:spacing w:line="360" w:lineRule="auto"/>
              <w:ind w:firstLine="480" w:firstLineChars="200"/>
              <w:jc w:val="left"/>
              <w:rPr>
                <w:sz w:val="24"/>
              </w:rPr>
            </w:pPr>
            <w:r>
              <w:rPr>
                <w:rFonts w:hint="eastAsia"/>
                <w:bCs/>
                <w:sz w:val="24"/>
              </w:rPr>
              <w:t>（3）</w:t>
            </w:r>
            <w:r>
              <w:rPr>
                <w:rFonts w:hint="eastAsia"/>
                <w:sz w:val="24"/>
              </w:rPr>
              <w:t>生活垃圾</w:t>
            </w:r>
          </w:p>
          <w:p w14:paraId="7ADB6431">
            <w:pPr>
              <w:spacing w:line="360" w:lineRule="auto"/>
              <w:ind w:firstLine="480" w:firstLineChars="200"/>
              <w:jc w:val="left"/>
              <w:rPr>
                <w:sz w:val="24"/>
              </w:rPr>
            </w:pPr>
            <w:r>
              <w:rPr>
                <w:rFonts w:hint="eastAsia"/>
                <w:sz w:val="24"/>
              </w:rPr>
              <w:t>本项目劳动定员10人，年工作时间为300</w:t>
            </w:r>
            <w:r>
              <w:rPr>
                <w:sz w:val="24"/>
              </w:rPr>
              <w:t>d</w:t>
            </w:r>
            <w:r>
              <w:rPr>
                <w:rFonts w:hint="eastAsia"/>
                <w:sz w:val="24"/>
              </w:rPr>
              <w:t>，生活垃圾产生量按</w:t>
            </w:r>
            <w:r>
              <w:rPr>
                <w:sz w:val="24"/>
              </w:rPr>
              <w:t>0.5kg/</w:t>
            </w:r>
            <w:r>
              <w:rPr>
                <w:rFonts w:hint="eastAsia"/>
                <w:sz w:val="24"/>
              </w:rPr>
              <w:t>（人</w:t>
            </w:r>
            <w:r>
              <w:rPr>
                <w:sz w:val="24"/>
              </w:rPr>
              <w:t>•d</w:t>
            </w:r>
            <w:r>
              <w:rPr>
                <w:rFonts w:hint="eastAsia"/>
                <w:sz w:val="24"/>
              </w:rPr>
              <w:t>）计，则生活垃圾产生量为1.5</w:t>
            </w:r>
            <w:r>
              <w:rPr>
                <w:sz w:val="24"/>
              </w:rPr>
              <w:t>t/a</w:t>
            </w:r>
            <w:r>
              <w:rPr>
                <w:rFonts w:hint="eastAsia"/>
                <w:sz w:val="24"/>
              </w:rPr>
              <w:t>。生活垃圾在厂内垃圾箱暂存，定期交由环卫部门统一处理。</w:t>
            </w:r>
          </w:p>
          <w:p w14:paraId="2BF2629B">
            <w:pPr>
              <w:spacing w:line="360" w:lineRule="auto"/>
              <w:ind w:firstLine="482" w:firstLineChars="200"/>
              <w:jc w:val="left"/>
              <w:rPr>
                <w:b/>
                <w:bCs/>
                <w:sz w:val="24"/>
              </w:rPr>
            </w:pPr>
            <w:r>
              <w:rPr>
                <w:rFonts w:hint="eastAsia"/>
                <w:b/>
                <w:bCs/>
                <w:sz w:val="24"/>
              </w:rPr>
              <w:t>4.1.2危险废物</w:t>
            </w:r>
          </w:p>
          <w:p w14:paraId="27CD6B70">
            <w:pPr>
              <w:spacing w:line="348" w:lineRule="auto"/>
              <w:ind w:firstLine="480" w:firstLineChars="200"/>
              <w:rPr>
                <w:rFonts w:ascii="宋体" w:cs="宋体"/>
                <w:kern w:val="0"/>
                <w:sz w:val="24"/>
              </w:rPr>
            </w:pPr>
            <w:r>
              <w:rPr>
                <w:rFonts w:hint="eastAsia"/>
                <w:bCs/>
                <w:sz w:val="24"/>
              </w:rPr>
              <w:t>项目危险废物为</w:t>
            </w:r>
            <w:r>
              <w:rPr>
                <w:rFonts w:hint="eastAsia" w:ascii="宋体" w:cs="宋体"/>
                <w:kern w:val="0"/>
                <w:sz w:val="24"/>
              </w:rPr>
              <w:t>废活性炭及废导热油</w:t>
            </w:r>
            <w:r>
              <w:rPr>
                <w:rFonts w:ascii="宋体" w:cs="宋体"/>
                <w:kern w:val="0"/>
                <w:sz w:val="24"/>
              </w:rPr>
              <w:t>。</w:t>
            </w:r>
          </w:p>
          <w:p w14:paraId="0A2D8C9A">
            <w:pPr>
              <w:spacing w:line="360" w:lineRule="auto"/>
              <w:ind w:firstLine="480" w:firstLineChars="200"/>
              <w:rPr>
                <w:sz w:val="24"/>
              </w:rPr>
            </w:pPr>
            <w:r>
              <w:rPr>
                <w:rFonts w:hint="eastAsia"/>
                <w:sz w:val="24"/>
              </w:rPr>
              <w:t>（1）废活性炭</w:t>
            </w:r>
          </w:p>
          <w:p w14:paraId="06CCA26E">
            <w:pPr>
              <w:spacing w:line="360" w:lineRule="auto"/>
              <w:ind w:firstLine="480" w:firstLineChars="200"/>
              <w:rPr>
                <w:sz w:val="24"/>
              </w:rPr>
            </w:pPr>
            <w:r>
              <w:rPr>
                <w:sz w:val="24"/>
              </w:rPr>
              <w:t>项目恶臭废气采用</w:t>
            </w:r>
            <w:r>
              <w:rPr>
                <w:rFonts w:hint="eastAsia"/>
                <w:sz w:val="24"/>
              </w:rPr>
              <w:t>“</w:t>
            </w:r>
            <w:r>
              <w:rPr>
                <w:sz w:val="24"/>
              </w:rPr>
              <w:t>碱液喷淋+</w:t>
            </w:r>
            <w:r>
              <w:rPr>
                <w:rFonts w:hint="eastAsia"/>
                <w:sz w:val="24"/>
              </w:rPr>
              <w:t>除雾器+</w:t>
            </w:r>
            <w:r>
              <w:rPr>
                <w:sz w:val="24"/>
              </w:rPr>
              <w:t>活性炭</w:t>
            </w:r>
            <w:r>
              <w:rPr>
                <w:rFonts w:hint="eastAsia"/>
                <w:sz w:val="24"/>
              </w:rPr>
              <w:t>吸附”</w:t>
            </w:r>
            <w:r>
              <w:rPr>
                <w:sz w:val="24"/>
              </w:rPr>
              <w:t>进行处理</w:t>
            </w:r>
            <w:r>
              <w:rPr>
                <w:rFonts w:hint="eastAsia"/>
                <w:sz w:val="24"/>
              </w:rPr>
              <w:t>，</w:t>
            </w:r>
            <w:r>
              <w:rPr>
                <w:sz w:val="24"/>
              </w:rPr>
              <w:t>根据</w:t>
            </w:r>
            <w:r>
              <w:rPr>
                <w:rFonts w:hint="eastAsia"/>
                <w:sz w:val="24"/>
              </w:rPr>
              <w:t>各</w:t>
            </w:r>
            <w:r>
              <w:rPr>
                <w:sz w:val="24"/>
              </w:rPr>
              <w:t>废气处理设施的处理效率，活性炭恶臭废气吸附量按</w:t>
            </w:r>
            <w:r>
              <w:rPr>
                <w:rFonts w:hint="eastAsia"/>
                <w:sz w:val="24"/>
              </w:rPr>
              <w:t>1.21</w:t>
            </w:r>
            <w:r>
              <w:rPr>
                <w:sz w:val="24"/>
              </w:rPr>
              <w:t>t/a计</w:t>
            </w:r>
            <w:r>
              <w:rPr>
                <w:rFonts w:hint="eastAsia"/>
                <w:sz w:val="24"/>
              </w:rPr>
              <w:t>。</w:t>
            </w:r>
            <w:r>
              <w:rPr>
                <w:sz w:val="24"/>
              </w:rPr>
              <w:t>活性炭吸附能力为1kg（污染物）/3kg（活性炭），活性炭的使用量为</w:t>
            </w:r>
            <w:r>
              <w:rPr>
                <w:rFonts w:hint="eastAsia"/>
                <w:sz w:val="24"/>
              </w:rPr>
              <w:t>3.63</w:t>
            </w:r>
            <w:r>
              <w:rPr>
                <w:sz w:val="24"/>
              </w:rPr>
              <w:t>t/a，则废活性炭（活性炭+吸附有机物）的产生量为</w:t>
            </w:r>
            <w:r>
              <w:rPr>
                <w:rFonts w:hint="eastAsia"/>
                <w:sz w:val="24"/>
              </w:rPr>
              <w:t>4.84</w:t>
            </w:r>
            <w:r>
              <w:rPr>
                <w:sz w:val="24"/>
              </w:rPr>
              <w:t>t/a，</w:t>
            </w:r>
            <w:r>
              <w:rPr>
                <w:rFonts w:hint="eastAsia"/>
                <w:sz w:val="24"/>
              </w:rPr>
              <w:t>更换的</w:t>
            </w:r>
            <w:r>
              <w:rPr>
                <w:sz w:val="24"/>
              </w:rPr>
              <w:t>废活性炭属于</w:t>
            </w:r>
            <w:r>
              <w:rPr>
                <w:rFonts w:hint="eastAsia"/>
                <w:sz w:val="24"/>
              </w:rPr>
              <w:t>危险废物。根据《国家危险废物名录》（2021年版），废活性炭属于HW49其他废物，行业来源为非特定行业，危废代码为900-039-49，危险特性为T。废活性炭</w:t>
            </w:r>
            <w:r>
              <w:rPr>
                <w:sz w:val="24"/>
              </w:rPr>
              <w:t>在厂内危废暂存间（</w:t>
            </w:r>
            <w:r>
              <w:rPr>
                <w:rFonts w:hint="eastAsia"/>
                <w:sz w:val="24"/>
              </w:rPr>
              <w:t>10</w:t>
            </w:r>
            <w:r>
              <w:rPr>
                <w:sz w:val="24"/>
              </w:rPr>
              <w:t>m</w:t>
            </w:r>
            <w:r>
              <w:rPr>
                <w:sz w:val="24"/>
                <w:vertAlign w:val="superscript"/>
              </w:rPr>
              <w:t>2</w:t>
            </w:r>
            <w:r>
              <w:rPr>
                <w:sz w:val="24"/>
              </w:rPr>
              <w:t>）密闭暂存后</w:t>
            </w:r>
            <w:r>
              <w:rPr>
                <w:rFonts w:hint="eastAsia"/>
                <w:sz w:val="24"/>
              </w:rPr>
              <w:t>，定期</w:t>
            </w:r>
            <w:r>
              <w:rPr>
                <w:sz w:val="24"/>
              </w:rPr>
              <w:t>交有资质单位</w:t>
            </w:r>
            <w:r>
              <w:rPr>
                <w:rFonts w:hint="eastAsia"/>
                <w:sz w:val="24"/>
              </w:rPr>
              <w:t>处置</w:t>
            </w:r>
            <w:r>
              <w:rPr>
                <w:sz w:val="24"/>
              </w:rPr>
              <w:t>。</w:t>
            </w:r>
          </w:p>
          <w:p w14:paraId="08AEDC9C">
            <w:pPr>
              <w:spacing w:line="360" w:lineRule="auto"/>
              <w:ind w:firstLine="480" w:firstLineChars="200"/>
              <w:rPr>
                <w:sz w:val="24"/>
              </w:rPr>
            </w:pPr>
            <w:r>
              <w:rPr>
                <w:rFonts w:hint="eastAsia"/>
                <w:sz w:val="24"/>
              </w:rPr>
              <w:t>（2）废导热油</w:t>
            </w:r>
          </w:p>
          <w:p w14:paraId="5EE8E981">
            <w:pPr>
              <w:spacing w:line="360" w:lineRule="auto"/>
              <w:ind w:firstLine="480" w:firstLineChars="200"/>
              <w:rPr>
                <w:bCs/>
                <w:sz w:val="24"/>
              </w:rPr>
            </w:pPr>
            <w:r>
              <w:rPr>
                <w:rFonts w:hint="eastAsia"/>
                <w:bCs/>
                <w:sz w:val="24"/>
              </w:rPr>
              <w:t>根据导热油供应厂家提供资料，导热油约10a更换一次，项目导热油在线量约8t，即每次导热油更换产生的废导热油约8t，</w:t>
            </w:r>
            <w:r>
              <w:rPr>
                <w:rFonts w:hint="eastAsia"/>
                <w:sz w:val="24"/>
              </w:rPr>
              <w:t>根据《国家危险废物名录》（2021年版），</w:t>
            </w:r>
            <w:r>
              <w:rPr>
                <w:rFonts w:hint="eastAsia"/>
                <w:bCs/>
                <w:sz w:val="24"/>
              </w:rPr>
              <w:t>废导热油属于危险废物，危险废物类别为HW08废矿物油与含矿物油废物，危险废物代码为900-249-08，废导热油由有处置资质的厂家负责更换并直接带走，不在厂区内暂存。</w:t>
            </w:r>
          </w:p>
          <w:p w14:paraId="74C923A3">
            <w:pPr>
              <w:spacing w:line="360" w:lineRule="auto"/>
              <w:ind w:firstLine="480" w:firstLineChars="200"/>
              <w:rPr>
                <w:bCs/>
                <w:sz w:val="24"/>
              </w:rPr>
            </w:pPr>
            <w:r>
              <w:rPr>
                <w:rFonts w:hint="eastAsia"/>
                <w:bCs/>
                <w:sz w:val="24"/>
              </w:rPr>
              <w:t>本项目危险废物汇总见表29。</w:t>
            </w:r>
          </w:p>
          <w:p w14:paraId="66CAEAE5">
            <w:pPr>
              <w:pStyle w:val="60"/>
              <w:ind w:firstLine="480"/>
              <w:rPr>
                <w:rFonts w:eastAsiaTheme="minorEastAsia"/>
                <w:sz w:val="24"/>
              </w:rPr>
            </w:pPr>
            <w:r>
              <w:rPr>
                <w:rFonts w:hAnsiTheme="minorEastAsia" w:eastAsiaTheme="minorEastAsia"/>
                <w:sz w:val="24"/>
              </w:rPr>
              <w:t>表</w:t>
            </w:r>
            <w:r>
              <w:rPr>
                <w:rFonts w:hint="eastAsia" w:eastAsiaTheme="minorEastAsia"/>
                <w:sz w:val="24"/>
              </w:rPr>
              <w:t>29</w:t>
            </w:r>
            <w:r>
              <w:rPr>
                <w:rFonts w:eastAsiaTheme="minorEastAsia"/>
                <w:sz w:val="24"/>
              </w:rPr>
              <w:t xml:space="preserve">    </w:t>
            </w:r>
            <w:r>
              <w:rPr>
                <w:rFonts w:hAnsiTheme="minorEastAsia" w:eastAsiaTheme="minorEastAsia"/>
                <w:sz w:val="24"/>
              </w:rPr>
              <w:t>危险废物汇总表</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48"/>
              <w:gridCol w:w="961"/>
              <w:gridCol w:w="1114"/>
              <w:gridCol w:w="836"/>
              <w:gridCol w:w="553"/>
              <w:gridCol w:w="551"/>
              <w:gridCol w:w="691"/>
              <w:gridCol w:w="692"/>
              <w:gridCol w:w="551"/>
              <w:gridCol w:w="553"/>
              <w:gridCol w:w="874"/>
            </w:tblGrid>
            <w:tr w14:paraId="40D1A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16" w:type="pct"/>
                  <w:vAlign w:val="center"/>
                </w:tcPr>
                <w:p w14:paraId="1E9DAB72">
                  <w:pPr>
                    <w:snapToGrid w:val="0"/>
                    <w:jc w:val="center"/>
                    <w:rPr>
                      <w:bCs/>
                      <w:szCs w:val="21"/>
                    </w:rPr>
                  </w:pPr>
                  <w:r>
                    <w:rPr>
                      <w:rFonts w:hint="eastAsia"/>
                      <w:bCs/>
                      <w:szCs w:val="21"/>
                    </w:rPr>
                    <w:t>危险废物名称</w:t>
                  </w:r>
                </w:p>
              </w:tc>
              <w:tc>
                <w:tcPr>
                  <w:tcW w:w="584" w:type="pct"/>
                  <w:vAlign w:val="center"/>
                </w:tcPr>
                <w:p w14:paraId="5B717A31">
                  <w:pPr>
                    <w:snapToGrid w:val="0"/>
                    <w:jc w:val="center"/>
                    <w:rPr>
                      <w:bCs/>
                      <w:szCs w:val="21"/>
                    </w:rPr>
                  </w:pPr>
                  <w:r>
                    <w:rPr>
                      <w:rFonts w:hint="eastAsia"/>
                      <w:bCs/>
                      <w:szCs w:val="21"/>
                    </w:rPr>
                    <w:t>危险废物类别</w:t>
                  </w:r>
                </w:p>
              </w:tc>
              <w:tc>
                <w:tcPr>
                  <w:tcW w:w="677" w:type="pct"/>
                  <w:vAlign w:val="center"/>
                </w:tcPr>
                <w:p w14:paraId="7BB2E0FE">
                  <w:pPr>
                    <w:snapToGrid w:val="0"/>
                    <w:jc w:val="center"/>
                    <w:rPr>
                      <w:bCs/>
                      <w:szCs w:val="21"/>
                    </w:rPr>
                  </w:pPr>
                  <w:r>
                    <w:rPr>
                      <w:rFonts w:hint="eastAsia"/>
                      <w:bCs/>
                      <w:szCs w:val="21"/>
                    </w:rPr>
                    <w:t>危险废物</w:t>
                  </w:r>
                </w:p>
                <w:p w14:paraId="445B0574">
                  <w:pPr>
                    <w:snapToGrid w:val="0"/>
                    <w:jc w:val="center"/>
                    <w:rPr>
                      <w:bCs/>
                      <w:szCs w:val="21"/>
                    </w:rPr>
                  </w:pPr>
                  <w:r>
                    <w:rPr>
                      <w:rFonts w:hint="eastAsia"/>
                      <w:bCs/>
                      <w:szCs w:val="21"/>
                    </w:rPr>
                    <w:t>代码</w:t>
                  </w:r>
                </w:p>
              </w:tc>
              <w:tc>
                <w:tcPr>
                  <w:tcW w:w="508" w:type="pct"/>
                  <w:vAlign w:val="center"/>
                </w:tcPr>
                <w:p w14:paraId="2859DEBE">
                  <w:pPr>
                    <w:snapToGrid w:val="0"/>
                    <w:jc w:val="center"/>
                    <w:rPr>
                      <w:bCs/>
                      <w:szCs w:val="21"/>
                    </w:rPr>
                  </w:pPr>
                  <w:r>
                    <w:rPr>
                      <w:rFonts w:hint="eastAsia"/>
                      <w:bCs/>
                      <w:szCs w:val="21"/>
                    </w:rPr>
                    <w:t>产生量</w:t>
                  </w:r>
                </w:p>
              </w:tc>
              <w:tc>
                <w:tcPr>
                  <w:tcW w:w="336" w:type="pct"/>
                  <w:vAlign w:val="center"/>
                </w:tcPr>
                <w:p w14:paraId="4479BB52">
                  <w:pPr>
                    <w:snapToGrid w:val="0"/>
                    <w:jc w:val="center"/>
                    <w:rPr>
                      <w:bCs/>
                      <w:szCs w:val="21"/>
                    </w:rPr>
                  </w:pPr>
                  <w:r>
                    <w:rPr>
                      <w:rFonts w:hint="eastAsia"/>
                      <w:bCs/>
                      <w:szCs w:val="21"/>
                    </w:rPr>
                    <w:t>产生工序</w:t>
                  </w:r>
                </w:p>
              </w:tc>
              <w:tc>
                <w:tcPr>
                  <w:tcW w:w="335" w:type="pct"/>
                  <w:vAlign w:val="center"/>
                </w:tcPr>
                <w:p w14:paraId="67F524CE">
                  <w:pPr>
                    <w:snapToGrid w:val="0"/>
                    <w:jc w:val="center"/>
                    <w:rPr>
                      <w:bCs/>
                      <w:szCs w:val="21"/>
                    </w:rPr>
                  </w:pPr>
                  <w:r>
                    <w:rPr>
                      <w:rFonts w:hint="eastAsia"/>
                      <w:bCs/>
                      <w:szCs w:val="21"/>
                    </w:rPr>
                    <w:t>形态</w:t>
                  </w:r>
                </w:p>
              </w:tc>
              <w:tc>
                <w:tcPr>
                  <w:tcW w:w="420" w:type="pct"/>
                  <w:vAlign w:val="center"/>
                </w:tcPr>
                <w:p w14:paraId="26629197">
                  <w:pPr>
                    <w:snapToGrid w:val="0"/>
                    <w:jc w:val="center"/>
                    <w:rPr>
                      <w:bCs/>
                      <w:szCs w:val="21"/>
                    </w:rPr>
                  </w:pPr>
                  <w:r>
                    <w:rPr>
                      <w:rFonts w:hint="eastAsia"/>
                      <w:bCs/>
                      <w:szCs w:val="21"/>
                    </w:rPr>
                    <w:t>主要</w:t>
                  </w:r>
                </w:p>
                <w:p w14:paraId="471DFD67">
                  <w:pPr>
                    <w:snapToGrid w:val="0"/>
                    <w:jc w:val="center"/>
                    <w:rPr>
                      <w:bCs/>
                      <w:szCs w:val="21"/>
                    </w:rPr>
                  </w:pPr>
                  <w:r>
                    <w:rPr>
                      <w:rFonts w:hint="eastAsia"/>
                      <w:bCs/>
                      <w:szCs w:val="21"/>
                    </w:rPr>
                    <w:t>成分</w:t>
                  </w:r>
                </w:p>
              </w:tc>
              <w:tc>
                <w:tcPr>
                  <w:tcW w:w="421" w:type="pct"/>
                  <w:vAlign w:val="center"/>
                </w:tcPr>
                <w:p w14:paraId="12D7E347">
                  <w:pPr>
                    <w:snapToGrid w:val="0"/>
                    <w:jc w:val="center"/>
                    <w:rPr>
                      <w:bCs/>
                      <w:szCs w:val="21"/>
                    </w:rPr>
                  </w:pPr>
                  <w:r>
                    <w:rPr>
                      <w:rFonts w:hint="eastAsia"/>
                      <w:bCs/>
                      <w:szCs w:val="21"/>
                    </w:rPr>
                    <w:t>有害</w:t>
                  </w:r>
                </w:p>
                <w:p w14:paraId="5A8595FA">
                  <w:pPr>
                    <w:snapToGrid w:val="0"/>
                    <w:jc w:val="center"/>
                    <w:rPr>
                      <w:bCs/>
                      <w:szCs w:val="21"/>
                    </w:rPr>
                  </w:pPr>
                  <w:r>
                    <w:rPr>
                      <w:rFonts w:hint="eastAsia"/>
                      <w:bCs/>
                      <w:szCs w:val="21"/>
                    </w:rPr>
                    <w:t>成分</w:t>
                  </w:r>
                </w:p>
              </w:tc>
              <w:tc>
                <w:tcPr>
                  <w:tcW w:w="335" w:type="pct"/>
                  <w:vAlign w:val="center"/>
                </w:tcPr>
                <w:p w14:paraId="4BFEC68A">
                  <w:pPr>
                    <w:snapToGrid w:val="0"/>
                    <w:jc w:val="center"/>
                    <w:rPr>
                      <w:bCs/>
                      <w:szCs w:val="21"/>
                    </w:rPr>
                  </w:pPr>
                  <w:r>
                    <w:rPr>
                      <w:rFonts w:hint="eastAsia"/>
                      <w:bCs/>
                      <w:szCs w:val="21"/>
                    </w:rPr>
                    <w:t>产废周期</w:t>
                  </w:r>
                </w:p>
              </w:tc>
              <w:tc>
                <w:tcPr>
                  <w:tcW w:w="336" w:type="pct"/>
                  <w:vAlign w:val="center"/>
                </w:tcPr>
                <w:p w14:paraId="3372A767">
                  <w:pPr>
                    <w:snapToGrid w:val="0"/>
                    <w:jc w:val="center"/>
                    <w:rPr>
                      <w:bCs/>
                      <w:szCs w:val="21"/>
                    </w:rPr>
                  </w:pPr>
                  <w:r>
                    <w:rPr>
                      <w:rFonts w:hint="eastAsia"/>
                      <w:bCs/>
                      <w:szCs w:val="21"/>
                    </w:rPr>
                    <w:t>危险特性</w:t>
                  </w:r>
                </w:p>
              </w:tc>
              <w:tc>
                <w:tcPr>
                  <w:tcW w:w="531" w:type="pct"/>
                  <w:vAlign w:val="center"/>
                </w:tcPr>
                <w:p w14:paraId="1D93D32A">
                  <w:pPr>
                    <w:snapToGrid w:val="0"/>
                    <w:jc w:val="center"/>
                    <w:rPr>
                      <w:bCs/>
                      <w:szCs w:val="21"/>
                    </w:rPr>
                  </w:pPr>
                  <w:r>
                    <w:rPr>
                      <w:rFonts w:hint="eastAsia"/>
                      <w:bCs/>
                      <w:szCs w:val="21"/>
                    </w:rPr>
                    <w:t>污染防治措施</w:t>
                  </w:r>
                </w:p>
              </w:tc>
            </w:tr>
            <w:tr w14:paraId="4EED5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16" w:type="pct"/>
                  <w:vAlign w:val="center"/>
                </w:tcPr>
                <w:p w14:paraId="1E212DA1">
                  <w:pPr>
                    <w:snapToGrid w:val="0"/>
                    <w:jc w:val="center"/>
                    <w:rPr>
                      <w:bCs/>
                      <w:szCs w:val="21"/>
                    </w:rPr>
                  </w:pPr>
                  <w:r>
                    <w:rPr>
                      <w:rFonts w:hint="eastAsia"/>
                      <w:bCs/>
                      <w:szCs w:val="21"/>
                    </w:rPr>
                    <w:t>废活性炭</w:t>
                  </w:r>
                </w:p>
              </w:tc>
              <w:tc>
                <w:tcPr>
                  <w:tcW w:w="584" w:type="pct"/>
                  <w:vAlign w:val="center"/>
                </w:tcPr>
                <w:p w14:paraId="46DEB5D7">
                  <w:pPr>
                    <w:snapToGrid w:val="0"/>
                    <w:jc w:val="center"/>
                    <w:rPr>
                      <w:bCs/>
                      <w:szCs w:val="21"/>
                    </w:rPr>
                  </w:pPr>
                  <w:r>
                    <w:rPr>
                      <w:rFonts w:hint="eastAsia"/>
                      <w:bCs/>
                      <w:szCs w:val="21"/>
                    </w:rPr>
                    <w:t>HW49其他废物</w:t>
                  </w:r>
                </w:p>
              </w:tc>
              <w:tc>
                <w:tcPr>
                  <w:tcW w:w="677" w:type="pct"/>
                  <w:vAlign w:val="center"/>
                </w:tcPr>
                <w:p w14:paraId="32A7BAF8">
                  <w:pPr>
                    <w:snapToGrid w:val="0"/>
                    <w:jc w:val="center"/>
                    <w:rPr>
                      <w:bCs/>
                      <w:szCs w:val="21"/>
                    </w:rPr>
                  </w:pPr>
                  <w:r>
                    <w:rPr>
                      <w:rFonts w:hint="eastAsia"/>
                      <w:bCs/>
                      <w:szCs w:val="21"/>
                    </w:rPr>
                    <w:t>900-039-49</w:t>
                  </w:r>
                </w:p>
              </w:tc>
              <w:tc>
                <w:tcPr>
                  <w:tcW w:w="508" w:type="pct"/>
                  <w:vAlign w:val="center"/>
                </w:tcPr>
                <w:p w14:paraId="703F35D1">
                  <w:pPr>
                    <w:snapToGrid w:val="0"/>
                    <w:jc w:val="center"/>
                    <w:rPr>
                      <w:bCs/>
                      <w:szCs w:val="21"/>
                    </w:rPr>
                  </w:pPr>
                  <w:r>
                    <w:rPr>
                      <w:rFonts w:hint="eastAsia"/>
                      <w:szCs w:val="21"/>
                    </w:rPr>
                    <w:t>4.84t</w:t>
                  </w:r>
                  <w:r>
                    <w:rPr>
                      <w:szCs w:val="21"/>
                    </w:rPr>
                    <w:t>/a</w:t>
                  </w:r>
                </w:p>
              </w:tc>
              <w:tc>
                <w:tcPr>
                  <w:tcW w:w="336" w:type="pct"/>
                  <w:vAlign w:val="center"/>
                </w:tcPr>
                <w:p w14:paraId="760D1163">
                  <w:pPr>
                    <w:snapToGrid w:val="0"/>
                    <w:jc w:val="center"/>
                    <w:rPr>
                      <w:bCs/>
                      <w:szCs w:val="21"/>
                    </w:rPr>
                  </w:pPr>
                  <w:r>
                    <w:rPr>
                      <w:rFonts w:hint="eastAsia"/>
                      <w:bCs/>
                      <w:szCs w:val="21"/>
                    </w:rPr>
                    <w:t>废气处理</w:t>
                  </w:r>
                </w:p>
              </w:tc>
              <w:tc>
                <w:tcPr>
                  <w:tcW w:w="335" w:type="pct"/>
                  <w:vAlign w:val="center"/>
                </w:tcPr>
                <w:p w14:paraId="1B7D3BA6">
                  <w:pPr>
                    <w:snapToGrid w:val="0"/>
                    <w:jc w:val="center"/>
                    <w:rPr>
                      <w:bCs/>
                      <w:szCs w:val="21"/>
                    </w:rPr>
                  </w:pPr>
                  <w:r>
                    <w:rPr>
                      <w:rFonts w:hint="eastAsia"/>
                      <w:bCs/>
                      <w:szCs w:val="21"/>
                    </w:rPr>
                    <w:t>固态</w:t>
                  </w:r>
                </w:p>
              </w:tc>
              <w:tc>
                <w:tcPr>
                  <w:tcW w:w="420" w:type="pct"/>
                  <w:vAlign w:val="center"/>
                </w:tcPr>
                <w:p w14:paraId="0951013A">
                  <w:pPr>
                    <w:snapToGrid w:val="0"/>
                    <w:jc w:val="center"/>
                    <w:rPr>
                      <w:bCs/>
                      <w:szCs w:val="21"/>
                    </w:rPr>
                  </w:pPr>
                  <w:r>
                    <w:rPr>
                      <w:rFonts w:hint="eastAsia"/>
                      <w:szCs w:val="21"/>
                    </w:rPr>
                    <w:t>活性炭</w:t>
                  </w:r>
                </w:p>
              </w:tc>
              <w:tc>
                <w:tcPr>
                  <w:tcW w:w="421" w:type="pct"/>
                  <w:vAlign w:val="center"/>
                </w:tcPr>
                <w:p w14:paraId="48928D03">
                  <w:pPr>
                    <w:snapToGrid w:val="0"/>
                    <w:jc w:val="center"/>
                    <w:rPr>
                      <w:bCs/>
                      <w:szCs w:val="21"/>
                    </w:rPr>
                  </w:pPr>
                  <w:r>
                    <w:rPr>
                      <w:rFonts w:hint="eastAsia"/>
                      <w:szCs w:val="21"/>
                    </w:rPr>
                    <w:t>氨、硫化氢</w:t>
                  </w:r>
                </w:p>
              </w:tc>
              <w:tc>
                <w:tcPr>
                  <w:tcW w:w="335" w:type="pct"/>
                  <w:vAlign w:val="center"/>
                </w:tcPr>
                <w:p w14:paraId="4DCDD314">
                  <w:pPr>
                    <w:adjustRightInd w:val="0"/>
                    <w:snapToGrid w:val="0"/>
                    <w:spacing w:line="380" w:lineRule="exact"/>
                    <w:jc w:val="center"/>
                    <w:rPr>
                      <w:szCs w:val="21"/>
                    </w:rPr>
                  </w:pPr>
                  <w:r>
                    <w:rPr>
                      <w:rFonts w:hint="eastAsia"/>
                      <w:szCs w:val="21"/>
                    </w:rPr>
                    <w:t>90d</w:t>
                  </w:r>
                </w:p>
              </w:tc>
              <w:tc>
                <w:tcPr>
                  <w:tcW w:w="336" w:type="pct"/>
                  <w:vAlign w:val="center"/>
                </w:tcPr>
                <w:p w14:paraId="72D1AF82">
                  <w:pPr>
                    <w:adjustRightInd w:val="0"/>
                    <w:snapToGrid w:val="0"/>
                    <w:spacing w:line="380" w:lineRule="exact"/>
                    <w:jc w:val="center"/>
                    <w:rPr>
                      <w:szCs w:val="21"/>
                    </w:rPr>
                  </w:pPr>
                  <w:r>
                    <w:rPr>
                      <w:szCs w:val="21"/>
                    </w:rPr>
                    <w:t>T</w:t>
                  </w:r>
                </w:p>
              </w:tc>
              <w:tc>
                <w:tcPr>
                  <w:tcW w:w="531" w:type="pct"/>
                  <w:vAlign w:val="center"/>
                </w:tcPr>
                <w:p w14:paraId="34F1EE3E">
                  <w:pPr>
                    <w:snapToGrid w:val="0"/>
                    <w:jc w:val="center"/>
                    <w:rPr>
                      <w:bCs/>
                      <w:szCs w:val="21"/>
                    </w:rPr>
                  </w:pPr>
                  <w:r>
                    <w:rPr>
                      <w:rFonts w:hint="eastAsia"/>
                      <w:bCs/>
                      <w:szCs w:val="21"/>
                    </w:rPr>
                    <w:t>危废间（10m</w:t>
                  </w:r>
                  <w:r>
                    <w:rPr>
                      <w:rFonts w:hint="eastAsia"/>
                      <w:bCs/>
                      <w:szCs w:val="21"/>
                      <w:vertAlign w:val="superscript"/>
                    </w:rPr>
                    <w:t>2</w:t>
                  </w:r>
                  <w:r>
                    <w:rPr>
                      <w:rFonts w:hint="eastAsia"/>
                      <w:bCs/>
                      <w:szCs w:val="21"/>
                    </w:rPr>
                    <w:t>）暂存，交由有资质单位处置</w:t>
                  </w:r>
                </w:p>
              </w:tc>
            </w:tr>
            <w:tr w14:paraId="1D65C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16" w:type="pct"/>
                  <w:vAlign w:val="center"/>
                </w:tcPr>
                <w:p w14:paraId="5E7260E7">
                  <w:pPr>
                    <w:snapToGrid w:val="0"/>
                    <w:jc w:val="center"/>
                    <w:rPr>
                      <w:bCs/>
                      <w:szCs w:val="21"/>
                    </w:rPr>
                  </w:pPr>
                  <w:r>
                    <w:rPr>
                      <w:rFonts w:hint="eastAsia"/>
                      <w:bCs/>
                      <w:szCs w:val="21"/>
                    </w:rPr>
                    <w:t>废导热油</w:t>
                  </w:r>
                </w:p>
              </w:tc>
              <w:tc>
                <w:tcPr>
                  <w:tcW w:w="584" w:type="pct"/>
                  <w:vAlign w:val="center"/>
                </w:tcPr>
                <w:p w14:paraId="066C69B8">
                  <w:pPr>
                    <w:snapToGrid w:val="0"/>
                    <w:jc w:val="center"/>
                    <w:rPr>
                      <w:bCs/>
                      <w:szCs w:val="21"/>
                    </w:rPr>
                  </w:pPr>
                  <w:r>
                    <w:rPr>
                      <w:bCs/>
                      <w:szCs w:val="21"/>
                    </w:rPr>
                    <w:t>HW08</w:t>
                  </w:r>
                  <w:r>
                    <w:rPr>
                      <w:rFonts w:hint="eastAsia"/>
                      <w:bCs/>
                      <w:szCs w:val="21"/>
                    </w:rPr>
                    <w:t>废矿物油与含矿物油废物</w:t>
                  </w:r>
                </w:p>
              </w:tc>
              <w:tc>
                <w:tcPr>
                  <w:tcW w:w="677" w:type="pct"/>
                  <w:vAlign w:val="center"/>
                </w:tcPr>
                <w:p w14:paraId="16638551">
                  <w:pPr>
                    <w:snapToGrid w:val="0"/>
                    <w:jc w:val="center"/>
                    <w:rPr>
                      <w:bCs/>
                      <w:szCs w:val="21"/>
                    </w:rPr>
                  </w:pPr>
                  <w:r>
                    <w:rPr>
                      <w:rFonts w:hint="eastAsia"/>
                      <w:bCs/>
                      <w:szCs w:val="21"/>
                    </w:rPr>
                    <w:t>900-249-08</w:t>
                  </w:r>
                </w:p>
              </w:tc>
              <w:tc>
                <w:tcPr>
                  <w:tcW w:w="508" w:type="pct"/>
                  <w:vAlign w:val="center"/>
                </w:tcPr>
                <w:p w14:paraId="1B00E68A">
                  <w:pPr>
                    <w:snapToGrid w:val="0"/>
                    <w:jc w:val="center"/>
                    <w:rPr>
                      <w:bCs/>
                      <w:szCs w:val="21"/>
                    </w:rPr>
                  </w:pPr>
                  <w:r>
                    <w:rPr>
                      <w:rFonts w:hint="eastAsia"/>
                      <w:bCs/>
                      <w:szCs w:val="21"/>
                    </w:rPr>
                    <w:t>8</w:t>
                  </w:r>
                  <w:r>
                    <w:rPr>
                      <w:bCs/>
                      <w:szCs w:val="21"/>
                    </w:rPr>
                    <w:t>t/</w:t>
                  </w:r>
                  <w:r>
                    <w:rPr>
                      <w:rFonts w:hint="eastAsia"/>
                      <w:bCs/>
                      <w:szCs w:val="21"/>
                    </w:rPr>
                    <w:t>10</w:t>
                  </w:r>
                  <w:r>
                    <w:rPr>
                      <w:bCs/>
                      <w:szCs w:val="21"/>
                    </w:rPr>
                    <w:t>a</w:t>
                  </w:r>
                </w:p>
              </w:tc>
              <w:tc>
                <w:tcPr>
                  <w:tcW w:w="336" w:type="pct"/>
                  <w:vAlign w:val="center"/>
                </w:tcPr>
                <w:p w14:paraId="0F28FA16">
                  <w:pPr>
                    <w:snapToGrid w:val="0"/>
                    <w:jc w:val="center"/>
                    <w:rPr>
                      <w:bCs/>
                      <w:szCs w:val="21"/>
                    </w:rPr>
                  </w:pPr>
                  <w:r>
                    <w:rPr>
                      <w:rFonts w:hint="eastAsia"/>
                      <w:bCs/>
                      <w:szCs w:val="21"/>
                    </w:rPr>
                    <w:t>导热油炉维护</w:t>
                  </w:r>
                </w:p>
              </w:tc>
              <w:tc>
                <w:tcPr>
                  <w:tcW w:w="335" w:type="pct"/>
                  <w:vAlign w:val="center"/>
                </w:tcPr>
                <w:p w14:paraId="05AAFE9E">
                  <w:pPr>
                    <w:snapToGrid w:val="0"/>
                    <w:jc w:val="center"/>
                    <w:rPr>
                      <w:bCs/>
                      <w:szCs w:val="21"/>
                    </w:rPr>
                  </w:pPr>
                  <w:r>
                    <w:rPr>
                      <w:rFonts w:hint="eastAsia"/>
                      <w:bCs/>
                      <w:szCs w:val="21"/>
                    </w:rPr>
                    <w:t>液态</w:t>
                  </w:r>
                </w:p>
              </w:tc>
              <w:tc>
                <w:tcPr>
                  <w:tcW w:w="420" w:type="pct"/>
                  <w:vAlign w:val="center"/>
                </w:tcPr>
                <w:p w14:paraId="6F75425B">
                  <w:pPr>
                    <w:snapToGrid w:val="0"/>
                    <w:jc w:val="center"/>
                    <w:rPr>
                      <w:bCs/>
                      <w:szCs w:val="21"/>
                    </w:rPr>
                  </w:pPr>
                  <w:r>
                    <w:rPr>
                      <w:rFonts w:hint="eastAsia"/>
                      <w:bCs/>
                      <w:szCs w:val="21"/>
                    </w:rPr>
                    <w:t>导热油</w:t>
                  </w:r>
                </w:p>
              </w:tc>
              <w:tc>
                <w:tcPr>
                  <w:tcW w:w="421" w:type="pct"/>
                  <w:vAlign w:val="center"/>
                </w:tcPr>
                <w:p w14:paraId="3E87E373">
                  <w:pPr>
                    <w:snapToGrid w:val="0"/>
                    <w:jc w:val="center"/>
                    <w:rPr>
                      <w:bCs/>
                      <w:szCs w:val="21"/>
                    </w:rPr>
                  </w:pPr>
                  <w:r>
                    <w:rPr>
                      <w:rFonts w:hint="eastAsia"/>
                      <w:bCs/>
                      <w:szCs w:val="21"/>
                    </w:rPr>
                    <w:t>导热油</w:t>
                  </w:r>
                </w:p>
              </w:tc>
              <w:tc>
                <w:tcPr>
                  <w:tcW w:w="335" w:type="pct"/>
                  <w:vAlign w:val="center"/>
                </w:tcPr>
                <w:p w14:paraId="05FE226B">
                  <w:pPr>
                    <w:snapToGrid w:val="0"/>
                    <w:jc w:val="center"/>
                    <w:rPr>
                      <w:bCs/>
                      <w:szCs w:val="21"/>
                    </w:rPr>
                  </w:pPr>
                  <w:r>
                    <w:rPr>
                      <w:bCs/>
                      <w:szCs w:val="21"/>
                    </w:rPr>
                    <w:t>10a</w:t>
                  </w:r>
                </w:p>
              </w:tc>
              <w:tc>
                <w:tcPr>
                  <w:tcW w:w="336" w:type="pct"/>
                  <w:vAlign w:val="center"/>
                </w:tcPr>
                <w:p w14:paraId="3CEF34C6">
                  <w:pPr>
                    <w:snapToGrid w:val="0"/>
                    <w:jc w:val="center"/>
                    <w:rPr>
                      <w:bCs/>
                      <w:szCs w:val="21"/>
                    </w:rPr>
                  </w:pPr>
                  <w:r>
                    <w:rPr>
                      <w:bCs/>
                      <w:szCs w:val="21"/>
                    </w:rPr>
                    <w:t>T</w:t>
                  </w:r>
                  <w:r>
                    <w:rPr>
                      <w:rFonts w:hint="eastAsia"/>
                      <w:bCs/>
                      <w:szCs w:val="21"/>
                    </w:rPr>
                    <w:t>,</w:t>
                  </w:r>
                  <w:r>
                    <w:rPr>
                      <w:bCs/>
                      <w:szCs w:val="21"/>
                    </w:rPr>
                    <w:t>In</w:t>
                  </w:r>
                </w:p>
              </w:tc>
              <w:tc>
                <w:tcPr>
                  <w:tcW w:w="531" w:type="pct"/>
                  <w:vAlign w:val="center"/>
                </w:tcPr>
                <w:p w14:paraId="3057A5E6">
                  <w:pPr>
                    <w:snapToGrid w:val="0"/>
                    <w:jc w:val="center"/>
                    <w:rPr>
                      <w:bCs/>
                      <w:szCs w:val="21"/>
                    </w:rPr>
                  </w:pPr>
                  <w:r>
                    <w:rPr>
                      <w:rFonts w:hint="eastAsia"/>
                      <w:bCs/>
                      <w:szCs w:val="21"/>
                    </w:rPr>
                    <w:t>由有处置资质的厂家负责更换并直接带走，不在厂区内暂存</w:t>
                  </w:r>
                </w:p>
              </w:tc>
            </w:tr>
          </w:tbl>
          <w:p w14:paraId="0C0848E5">
            <w:pPr>
              <w:spacing w:line="360" w:lineRule="auto"/>
              <w:ind w:firstLine="480" w:firstLineChars="200"/>
              <w:rPr>
                <w:sz w:val="24"/>
              </w:rPr>
            </w:pPr>
            <w:r>
              <w:rPr>
                <w:rFonts w:hint="eastAsia"/>
                <w:sz w:val="24"/>
              </w:rPr>
              <w:t>本项目危险废物贮存场所基本情况见下表。</w:t>
            </w:r>
          </w:p>
          <w:p w14:paraId="61E90BDB">
            <w:pPr>
              <w:pStyle w:val="60"/>
              <w:ind w:firstLine="480"/>
              <w:rPr>
                <w:rFonts w:hAnsi="宋体" w:eastAsia="宋体"/>
                <w:sz w:val="24"/>
              </w:rPr>
            </w:pPr>
            <w:r>
              <w:rPr>
                <w:rFonts w:hAnsi="宋体" w:eastAsia="宋体"/>
                <w:sz w:val="24"/>
              </w:rPr>
              <w:t>表</w:t>
            </w:r>
            <w:r>
              <w:rPr>
                <w:rFonts w:hint="eastAsia" w:eastAsia="宋体"/>
                <w:sz w:val="24"/>
              </w:rPr>
              <w:t xml:space="preserve">30    </w:t>
            </w:r>
            <w:r>
              <w:rPr>
                <w:rFonts w:hAnsi="宋体" w:eastAsia="宋体"/>
                <w:sz w:val="24"/>
              </w:rPr>
              <w:t>危险废物贮存场所基本情况一览表</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3" w:type="dxa"/>
                <w:bottom w:w="0" w:type="dxa"/>
                <w:right w:w="23" w:type="dxa"/>
              </w:tblCellMar>
            </w:tblPr>
            <w:tblGrid>
              <w:gridCol w:w="479"/>
              <w:gridCol w:w="1016"/>
              <w:gridCol w:w="1461"/>
              <w:gridCol w:w="1396"/>
              <w:gridCol w:w="697"/>
              <w:gridCol w:w="979"/>
              <w:gridCol w:w="977"/>
              <w:gridCol w:w="699"/>
              <w:gridCol w:w="520"/>
            </w:tblGrid>
            <w:tr w14:paraId="6AFCE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trPr>
              <w:tc>
                <w:tcPr>
                  <w:tcW w:w="291" w:type="pct"/>
                  <w:vAlign w:val="center"/>
                </w:tcPr>
                <w:p w14:paraId="54B0AD77">
                  <w:pPr>
                    <w:pStyle w:val="62"/>
                    <w:adjustRightInd w:val="0"/>
                    <w:snapToGrid w:val="0"/>
                  </w:pPr>
                  <w:r>
                    <w:rPr>
                      <w:rFonts w:hint="eastAsia"/>
                    </w:rPr>
                    <w:t>序号</w:t>
                  </w:r>
                </w:p>
              </w:tc>
              <w:tc>
                <w:tcPr>
                  <w:tcW w:w="618" w:type="pct"/>
                  <w:vAlign w:val="center"/>
                </w:tcPr>
                <w:p w14:paraId="745D0D49">
                  <w:pPr>
                    <w:pStyle w:val="62"/>
                    <w:adjustRightInd w:val="0"/>
                    <w:snapToGrid w:val="0"/>
                  </w:pPr>
                  <w:r>
                    <w:rPr>
                      <w:rFonts w:hint="eastAsia"/>
                    </w:rPr>
                    <w:t>危险废物名称</w:t>
                  </w:r>
                </w:p>
              </w:tc>
              <w:tc>
                <w:tcPr>
                  <w:tcW w:w="888" w:type="pct"/>
                  <w:vAlign w:val="center"/>
                </w:tcPr>
                <w:p w14:paraId="73DECADC">
                  <w:pPr>
                    <w:pStyle w:val="62"/>
                    <w:adjustRightInd w:val="0"/>
                    <w:snapToGrid w:val="0"/>
                  </w:pPr>
                  <w:r>
                    <w:rPr>
                      <w:rFonts w:hint="eastAsia"/>
                    </w:rPr>
                    <w:t>危险废物类别</w:t>
                  </w:r>
                </w:p>
              </w:tc>
              <w:tc>
                <w:tcPr>
                  <w:tcW w:w="849" w:type="pct"/>
                  <w:vAlign w:val="center"/>
                </w:tcPr>
                <w:p w14:paraId="0A5D6893">
                  <w:pPr>
                    <w:pStyle w:val="62"/>
                    <w:adjustRightInd w:val="0"/>
                    <w:snapToGrid w:val="0"/>
                  </w:pPr>
                  <w:r>
                    <w:rPr>
                      <w:rFonts w:hint="eastAsia"/>
                    </w:rPr>
                    <w:t>危险废物代码</w:t>
                  </w:r>
                </w:p>
              </w:tc>
              <w:tc>
                <w:tcPr>
                  <w:tcW w:w="424" w:type="pct"/>
                  <w:vAlign w:val="center"/>
                </w:tcPr>
                <w:p w14:paraId="26144EF0">
                  <w:pPr>
                    <w:pStyle w:val="62"/>
                    <w:adjustRightInd w:val="0"/>
                    <w:snapToGrid w:val="0"/>
                  </w:pPr>
                  <w:r>
                    <w:rPr>
                      <w:rFonts w:hint="eastAsia"/>
                    </w:rPr>
                    <w:t>位置</w:t>
                  </w:r>
                </w:p>
              </w:tc>
              <w:tc>
                <w:tcPr>
                  <w:tcW w:w="595" w:type="pct"/>
                  <w:vAlign w:val="center"/>
                </w:tcPr>
                <w:p w14:paraId="06285A04">
                  <w:pPr>
                    <w:pStyle w:val="62"/>
                    <w:adjustRightInd w:val="0"/>
                    <w:snapToGrid w:val="0"/>
                  </w:pPr>
                  <w:r>
                    <w:rPr>
                      <w:rFonts w:hint="eastAsia"/>
                    </w:rPr>
                    <w:t>占地面积</w:t>
                  </w:r>
                </w:p>
              </w:tc>
              <w:tc>
                <w:tcPr>
                  <w:tcW w:w="594" w:type="pct"/>
                  <w:vAlign w:val="center"/>
                </w:tcPr>
                <w:p w14:paraId="436095F7">
                  <w:pPr>
                    <w:pStyle w:val="62"/>
                    <w:adjustRightInd w:val="0"/>
                    <w:snapToGrid w:val="0"/>
                  </w:pPr>
                  <w:r>
                    <w:rPr>
                      <w:rFonts w:hint="eastAsia"/>
                    </w:rPr>
                    <w:t>贮存方式</w:t>
                  </w:r>
                </w:p>
              </w:tc>
              <w:tc>
                <w:tcPr>
                  <w:tcW w:w="425" w:type="pct"/>
                  <w:vAlign w:val="center"/>
                </w:tcPr>
                <w:p w14:paraId="4EE07872">
                  <w:pPr>
                    <w:pStyle w:val="62"/>
                    <w:adjustRightInd w:val="0"/>
                    <w:snapToGrid w:val="0"/>
                  </w:pPr>
                  <w:r>
                    <w:rPr>
                      <w:rFonts w:hint="eastAsia"/>
                    </w:rPr>
                    <w:t>贮存</w:t>
                  </w:r>
                </w:p>
                <w:p w14:paraId="48604196">
                  <w:pPr>
                    <w:pStyle w:val="62"/>
                    <w:adjustRightInd w:val="0"/>
                    <w:snapToGrid w:val="0"/>
                  </w:pPr>
                  <w:r>
                    <w:rPr>
                      <w:rFonts w:hint="eastAsia"/>
                    </w:rPr>
                    <w:t>能力</w:t>
                  </w:r>
                </w:p>
              </w:tc>
              <w:tc>
                <w:tcPr>
                  <w:tcW w:w="317" w:type="pct"/>
                  <w:vAlign w:val="center"/>
                </w:tcPr>
                <w:p w14:paraId="7754ED65">
                  <w:pPr>
                    <w:pStyle w:val="62"/>
                    <w:adjustRightInd w:val="0"/>
                    <w:snapToGrid w:val="0"/>
                  </w:pPr>
                  <w:r>
                    <w:rPr>
                      <w:rFonts w:hint="eastAsia"/>
                    </w:rPr>
                    <w:t>贮存</w:t>
                  </w:r>
                </w:p>
                <w:p w14:paraId="1FDE67E5">
                  <w:pPr>
                    <w:pStyle w:val="62"/>
                    <w:adjustRightInd w:val="0"/>
                    <w:snapToGrid w:val="0"/>
                  </w:pPr>
                  <w:r>
                    <w:rPr>
                      <w:rFonts w:hint="eastAsia"/>
                    </w:rPr>
                    <w:t>周期</w:t>
                  </w:r>
                </w:p>
              </w:tc>
            </w:tr>
            <w:tr w14:paraId="43A1E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trPr>
              <w:tc>
                <w:tcPr>
                  <w:tcW w:w="291" w:type="pct"/>
                  <w:vAlign w:val="center"/>
                </w:tcPr>
                <w:p w14:paraId="28803B2A">
                  <w:pPr>
                    <w:pStyle w:val="62"/>
                    <w:adjustRightInd w:val="0"/>
                    <w:snapToGrid w:val="0"/>
                  </w:pPr>
                  <w:r>
                    <w:t>1</w:t>
                  </w:r>
                </w:p>
              </w:tc>
              <w:tc>
                <w:tcPr>
                  <w:tcW w:w="618" w:type="pct"/>
                  <w:vAlign w:val="center"/>
                </w:tcPr>
                <w:p w14:paraId="0CE3E564">
                  <w:pPr>
                    <w:snapToGrid w:val="0"/>
                    <w:jc w:val="center"/>
                    <w:rPr>
                      <w:bCs/>
                      <w:szCs w:val="21"/>
                    </w:rPr>
                  </w:pPr>
                  <w:r>
                    <w:rPr>
                      <w:rFonts w:hint="eastAsia"/>
                      <w:bCs/>
                      <w:szCs w:val="21"/>
                    </w:rPr>
                    <w:t>废活性炭</w:t>
                  </w:r>
                </w:p>
              </w:tc>
              <w:tc>
                <w:tcPr>
                  <w:tcW w:w="888" w:type="pct"/>
                  <w:vAlign w:val="center"/>
                </w:tcPr>
                <w:p w14:paraId="33B1FA5D">
                  <w:pPr>
                    <w:snapToGrid w:val="0"/>
                    <w:jc w:val="center"/>
                    <w:rPr>
                      <w:bCs/>
                      <w:szCs w:val="21"/>
                    </w:rPr>
                  </w:pPr>
                  <w:r>
                    <w:rPr>
                      <w:rFonts w:hint="eastAsia"/>
                      <w:bCs/>
                      <w:szCs w:val="21"/>
                    </w:rPr>
                    <w:t>HW49其他废物</w:t>
                  </w:r>
                </w:p>
              </w:tc>
              <w:tc>
                <w:tcPr>
                  <w:tcW w:w="849" w:type="pct"/>
                  <w:vAlign w:val="center"/>
                </w:tcPr>
                <w:p w14:paraId="2ED8EC42">
                  <w:pPr>
                    <w:snapToGrid w:val="0"/>
                    <w:jc w:val="center"/>
                    <w:rPr>
                      <w:bCs/>
                      <w:szCs w:val="21"/>
                    </w:rPr>
                  </w:pPr>
                  <w:r>
                    <w:rPr>
                      <w:bCs/>
                      <w:szCs w:val="21"/>
                    </w:rPr>
                    <w:t>900-039-49</w:t>
                  </w:r>
                </w:p>
              </w:tc>
              <w:tc>
                <w:tcPr>
                  <w:tcW w:w="424" w:type="pct"/>
                  <w:vAlign w:val="center"/>
                </w:tcPr>
                <w:p w14:paraId="40300171">
                  <w:pPr>
                    <w:widowControl/>
                    <w:adjustRightInd w:val="0"/>
                    <w:snapToGrid w:val="0"/>
                    <w:jc w:val="center"/>
                  </w:pPr>
                  <w:r>
                    <w:t>车间东北</w:t>
                  </w:r>
                  <w:r>
                    <w:rPr>
                      <w:rFonts w:hint="eastAsia"/>
                    </w:rPr>
                    <w:t>侧</w:t>
                  </w:r>
                </w:p>
              </w:tc>
              <w:tc>
                <w:tcPr>
                  <w:tcW w:w="595" w:type="pct"/>
                  <w:vAlign w:val="center"/>
                </w:tcPr>
                <w:p w14:paraId="2588326A">
                  <w:pPr>
                    <w:widowControl/>
                    <w:adjustRightInd w:val="0"/>
                    <w:snapToGrid w:val="0"/>
                    <w:jc w:val="center"/>
                  </w:pPr>
                  <w:r>
                    <w:rPr>
                      <w:rFonts w:hint="eastAsia"/>
                    </w:rPr>
                    <w:t>10m</w:t>
                  </w:r>
                  <w:r>
                    <w:rPr>
                      <w:rFonts w:hint="eastAsia"/>
                      <w:vertAlign w:val="superscript"/>
                    </w:rPr>
                    <w:t>2</w:t>
                  </w:r>
                </w:p>
              </w:tc>
              <w:tc>
                <w:tcPr>
                  <w:tcW w:w="594" w:type="pct"/>
                  <w:vAlign w:val="center"/>
                </w:tcPr>
                <w:p w14:paraId="69DDA0FD">
                  <w:pPr>
                    <w:pStyle w:val="62"/>
                    <w:adjustRightInd w:val="0"/>
                    <w:snapToGrid w:val="0"/>
                  </w:pPr>
                  <w:r>
                    <w:rPr>
                      <w:rFonts w:hint="eastAsia"/>
                    </w:rPr>
                    <w:t>铁制容器密闭贮存</w:t>
                  </w:r>
                </w:p>
              </w:tc>
              <w:tc>
                <w:tcPr>
                  <w:tcW w:w="425" w:type="pct"/>
                  <w:vAlign w:val="center"/>
                </w:tcPr>
                <w:p w14:paraId="6ADEEC64">
                  <w:pPr>
                    <w:pStyle w:val="62"/>
                    <w:adjustRightInd w:val="0"/>
                    <w:snapToGrid w:val="0"/>
                  </w:pPr>
                  <w:r>
                    <w:rPr>
                      <w:rFonts w:hint="eastAsia"/>
                    </w:rPr>
                    <w:t>1.5</w:t>
                  </w:r>
                  <w:r>
                    <w:t>t</w:t>
                  </w:r>
                </w:p>
              </w:tc>
              <w:tc>
                <w:tcPr>
                  <w:tcW w:w="317" w:type="pct"/>
                  <w:vAlign w:val="center"/>
                </w:tcPr>
                <w:p w14:paraId="15C5459F">
                  <w:pPr>
                    <w:widowControl/>
                    <w:adjustRightInd w:val="0"/>
                    <w:snapToGrid w:val="0"/>
                    <w:jc w:val="center"/>
                  </w:pPr>
                  <w:r>
                    <w:rPr>
                      <w:rFonts w:hint="eastAsia"/>
                    </w:rPr>
                    <w:t>90d</w:t>
                  </w:r>
                </w:p>
              </w:tc>
            </w:tr>
          </w:tbl>
          <w:p w14:paraId="6EEE5D51">
            <w:pPr>
              <w:spacing w:line="360" w:lineRule="auto"/>
              <w:ind w:firstLine="480" w:firstLineChars="200"/>
              <w:rPr>
                <w:bCs/>
                <w:sz w:val="24"/>
              </w:rPr>
            </w:pPr>
            <w:r>
              <w:rPr>
                <w:rFonts w:hint="eastAsia"/>
                <w:bCs/>
                <w:sz w:val="24"/>
              </w:rPr>
              <w:t>本项目固废产生种类及处理措施一览表详见下表。</w:t>
            </w:r>
          </w:p>
          <w:p w14:paraId="614ED39A">
            <w:pPr>
              <w:jc w:val="center"/>
              <w:rPr>
                <w:b/>
                <w:bCs/>
                <w:color w:val="000000"/>
                <w:sz w:val="24"/>
              </w:rPr>
            </w:pPr>
            <w:r>
              <w:rPr>
                <w:rFonts w:hint="eastAsia"/>
                <w:b/>
                <w:color w:val="000000"/>
                <w:sz w:val="24"/>
              </w:rPr>
              <w:t>表31    项目固体废物种类及处理处置措施表</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08"/>
              <w:gridCol w:w="1542"/>
              <w:gridCol w:w="983"/>
              <w:gridCol w:w="980"/>
              <w:gridCol w:w="980"/>
              <w:gridCol w:w="3031"/>
            </w:tblGrid>
            <w:tr w14:paraId="4AA94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7" w:hRule="atLeast"/>
              </w:trPr>
              <w:tc>
                <w:tcPr>
                  <w:tcW w:w="430" w:type="pct"/>
                  <w:tcBorders>
                    <w:top w:val="single" w:color="auto" w:sz="4" w:space="0"/>
                    <w:left w:val="single" w:color="auto" w:sz="4" w:space="0"/>
                    <w:bottom w:val="single" w:color="auto" w:sz="4" w:space="0"/>
                    <w:right w:val="single" w:color="auto" w:sz="4" w:space="0"/>
                  </w:tcBorders>
                  <w:vAlign w:val="center"/>
                </w:tcPr>
                <w:p w14:paraId="4374EA34">
                  <w:pPr>
                    <w:pStyle w:val="72"/>
                    <w:snapToGrid w:val="0"/>
                    <w:spacing w:line="240" w:lineRule="auto"/>
                    <w:rPr>
                      <w:rFonts w:ascii="Times New Roman" w:hAnsi="Times New Roman"/>
                      <w:bCs/>
                      <w:color w:val="auto"/>
                      <w:sz w:val="21"/>
                      <w:szCs w:val="21"/>
                      <w:lang w:val="zh-CN"/>
                    </w:rPr>
                  </w:pPr>
                  <w:r>
                    <w:rPr>
                      <w:rFonts w:ascii="Times New Roman"/>
                      <w:bCs/>
                      <w:color w:val="auto"/>
                      <w:sz w:val="21"/>
                      <w:szCs w:val="21"/>
                      <w:lang w:val="zh-CN"/>
                    </w:rPr>
                    <w:t>序号</w:t>
                  </w:r>
                </w:p>
              </w:tc>
              <w:tc>
                <w:tcPr>
                  <w:tcW w:w="937" w:type="pct"/>
                  <w:tcBorders>
                    <w:top w:val="single" w:color="auto" w:sz="4" w:space="0"/>
                    <w:left w:val="single" w:color="auto" w:sz="4" w:space="0"/>
                    <w:bottom w:val="single" w:color="auto" w:sz="4" w:space="0"/>
                    <w:right w:val="single" w:color="auto" w:sz="4" w:space="0"/>
                  </w:tcBorders>
                  <w:vAlign w:val="center"/>
                </w:tcPr>
                <w:p w14:paraId="68EE2BE6">
                  <w:pPr>
                    <w:pStyle w:val="72"/>
                    <w:snapToGrid w:val="0"/>
                    <w:spacing w:line="240" w:lineRule="auto"/>
                    <w:rPr>
                      <w:rFonts w:ascii="Times New Roman" w:hAnsi="Times New Roman"/>
                      <w:bCs/>
                      <w:color w:val="auto"/>
                      <w:sz w:val="21"/>
                      <w:szCs w:val="21"/>
                      <w:lang w:val="zh-CN"/>
                    </w:rPr>
                  </w:pPr>
                  <w:r>
                    <w:rPr>
                      <w:rFonts w:ascii="Times New Roman"/>
                      <w:bCs/>
                      <w:color w:val="auto"/>
                      <w:sz w:val="21"/>
                      <w:szCs w:val="21"/>
                      <w:lang w:val="zh-CN"/>
                    </w:rPr>
                    <w:t>污染物</w:t>
                  </w:r>
                </w:p>
              </w:tc>
              <w:tc>
                <w:tcPr>
                  <w:tcW w:w="597" w:type="pct"/>
                  <w:tcBorders>
                    <w:top w:val="single" w:color="auto" w:sz="4" w:space="0"/>
                    <w:left w:val="single" w:color="auto" w:sz="4" w:space="0"/>
                    <w:bottom w:val="single" w:color="auto" w:sz="4" w:space="0"/>
                    <w:right w:val="single" w:color="auto" w:sz="4" w:space="0"/>
                  </w:tcBorders>
                  <w:vAlign w:val="center"/>
                </w:tcPr>
                <w:p w14:paraId="2D1AA6D2">
                  <w:pPr>
                    <w:pStyle w:val="72"/>
                    <w:snapToGrid w:val="0"/>
                    <w:spacing w:line="240" w:lineRule="auto"/>
                    <w:rPr>
                      <w:rFonts w:ascii="Times New Roman" w:hAnsi="Times New Roman"/>
                      <w:bCs/>
                      <w:color w:val="auto"/>
                      <w:sz w:val="21"/>
                      <w:szCs w:val="21"/>
                      <w:lang w:val="zh-CN"/>
                    </w:rPr>
                  </w:pPr>
                  <w:r>
                    <w:rPr>
                      <w:rFonts w:ascii="Times New Roman"/>
                      <w:bCs/>
                      <w:color w:val="auto"/>
                      <w:sz w:val="21"/>
                      <w:szCs w:val="21"/>
                      <w:lang w:val="zh-CN"/>
                    </w:rPr>
                    <w:t>产生途径</w:t>
                  </w:r>
                </w:p>
              </w:tc>
              <w:tc>
                <w:tcPr>
                  <w:tcW w:w="596" w:type="pct"/>
                  <w:tcBorders>
                    <w:top w:val="single" w:color="auto" w:sz="4" w:space="0"/>
                    <w:left w:val="single" w:color="auto" w:sz="4" w:space="0"/>
                    <w:bottom w:val="single" w:color="auto" w:sz="4" w:space="0"/>
                    <w:right w:val="single" w:color="auto" w:sz="4" w:space="0"/>
                  </w:tcBorders>
                  <w:vAlign w:val="center"/>
                </w:tcPr>
                <w:p w14:paraId="1DA7F2CC">
                  <w:pPr>
                    <w:pStyle w:val="72"/>
                    <w:snapToGrid w:val="0"/>
                    <w:spacing w:line="240" w:lineRule="auto"/>
                    <w:rPr>
                      <w:rFonts w:ascii="Times New Roman" w:hAnsi="Times New Roman"/>
                      <w:bCs/>
                      <w:color w:val="auto"/>
                      <w:sz w:val="21"/>
                      <w:szCs w:val="21"/>
                      <w:lang w:val="zh-CN"/>
                    </w:rPr>
                  </w:pPr>
                  <w:r>
                    <w:rPr>
                      <w:rFonts w:ascii="Times New Roman"/>
                      <w:bCs/>
                      <w:color w:val="auto"/>
                      <w:sz w:val="21"/>
                      <w:szCs w:val="21"/>
                      <w:lang w:val="zh-CN"/>
                    </w:rPr>
                    <w:t>产生量</w:t>
                  </w:r>
                </w:p>
              </w:tc>
              <w:tc>
                <w:tcPr>
                  <w:tcW w:w="596" w:type="pct"/>
                  <w:tcBorders>
                    <w:top w:val="single" w:color="auto" w:sz="4" w:space="0"/>
                    <w:left w:val="single" w:color="auto" w:sz="4" w:space="0"/>
                    <w:bottom w:val="single" w:color="auto" w:sz="4" w:space="0"/>
                    <w:right w:val="single" w:color="auto" w:sz="4" w:space="0"/>
                  </w:tcBorders>
                  <w:vAlign w:val="center"/>
                </w:tcPr>
                <w:p w14:paraId="7249B60A">
                  <w:pPr>
                    <w:pStyle w:val="72"/>
                    <w:snapToGrid w:val="0"/>
                    <w:spacing w:line="240" w:lineRule="auto"/>
                    <w:rPr>
                      <w:rFonts w:ascii="Times New Roman" w:hAnsi="Times New Roman"/>
                      <w:bCs/>
                      <w:color w:val="auto"/>
                      <w:sz w:val="21"/>
                      <w:szCs w:val="21"/>
                      <w:lang w:val="zh-CN"/>
                    </w:rPr>
                  </w:pPr>
                  <w:r>
                    <w:rPr>
                      <w:rFonts w:ascii="Times New Roman"/>
                      <w:bCs/>
                      <w:color w:val="auto"/>
                      <w:sz w:val="21"/>
                      <w:szCs w:val="21"/>
                      <w:lang w:val="zh-CN"/>
                    </w:rPr>
                    <w:t>属性</w:t>
                  </w:r>
                </w:p>
              </w:tc>
              <w:tc>
                <w:tcPr>
                  <w:tcW w:w="1843" w:type="pct"/>
                  <w:tcBorders>
                    <w:top w:val="single" w:color="auto" w:sz="4" w:space="0"/>
                    <w:left w:val="single" w:color="auto" w:sz="4" w:space="0"/>
                    <w:bottom w:val="single" w:color="auto" w:sz="4" w:space="0"/>
                    <w:right w:val="single" w:color="auto" w:sz="4" w:space="0"/>
                  </w:tcBorders>
                  <w:vAlign w:val="center"/>
                </w:tcPr>
                <w:p w14:paraId="009F838F">
                  <w:pPr>
                    <w:pStyle w:val="72"/>
                    <w:snapToGrid w:val="0"/>
                    <w:spacing w:line="240" w:lineRule="auto"/>
                    <w:rPr>
                      <w:rFonts w:ascii="Times New Roman" w:hAnsi="Times New Roman"/>
                      <w:bCs/>
                      <w:color w:val="auto"/>
                      <w:sz w:val="21"/>
                      <w:szCs w:val="21"/>
                      <w:lang w:val="zh-CN"/>
                    </w:rPr>
                  </w:pPr>
                  <w:r>
                    <w:rPr>
                      <w:rFonts w:ascii="Times New Roman"/>
                      <w:bCs/>
                      <w:color w:val="auto"/>
                      <w:sz w:val="21"/>
                      <w:szCs w:val="21"/>
                      <w:lang w:val="zh-CN"/>
                    </w:rPr>
                    <w:t>处理或处置方式</w:t>
                  </w:r>
                </w:p>
              </w:tc>
            </w:tr>
            <w:tr w14:paraId="4D27A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trPr>
              <w:tc>
                <w:tcPr>
                  <w:tcW w:w="430" w:type="pct"/>
                  <w:tcBorders>
                    <w:top w:val="single" w:color="auto" w:sz="4" w:space="0"/>
                    <w:left w:val="single" w:color="auto" w:sz="4" w:space="0"/>
                    <w:right w:val="single" w:color="auto" w:sz="4" w:space="0"/>
                  </w:tcBorders>
                  <w:vAlign w:val="center"/>
                </w:tcPr>
                <w:p w14:paraId="6B975EC3">
                  <w:pPr>
                    <w:adjustRightInd w:val="0"/>
                    <w:snapToGrid w:val="0"/>
                    <w:jc w:val="center"/>
                    <w:rPr>
                      <w:bCs/>
                      <w:szCs w:val="21"/>
                    </w:rPr>
                  </w:pPr>
                  <w:r>
                    <w:rPr>
                      <w:bCs/>
                      <w:szCs w:val="21"/>
                    </w:rPr>
                    <w:t>1</w:t>
                  </w:r>
                </w:p>
              </w:tc>
              <w:tc>
                <w:tcPr>
                  <w:tcW w:w="937" w:type="pct"/>
                  <w:tcBorders>
                    <w:top w:val="single" w:color="auto" w:sz="4" w:space="0"/>
                    <w:left w:val="single" w:color="auto" w:sz="4" w:space="0"/>
                    <w:right w:val="single" w:color="auto" w:sz="4" w:space="0"/>
                  </w:tcBorders>
                  <w:vAlign w:val="center"/>
                </w:tcPr>
                <w:p w14:paraId="2C7CC92A">
                  <w:pPr>
                    <w:pStyle w:val="72"/>
                    <w:snapToGrid w:val="0"/>
                    <w:spacing w:line="240" w:lineRule="auto"/>
                    <w:rPr>
                      <w:rFonts w:ascii="Times New Roman" w:hAnsi="Times New Roman"/>
                      <w:color w:val="auto"/>
                      <w:sz w:val="21"/>
                      <w:szCs w:val="21"/>
                    </w:rPr>
                  </w:pPr>
                  <w:r>
                    <w:rPr>
                      <w:rFonts w:ascii="Times New Roman"/>
                      <w:color w:val="auto"/>
                      <w:sz w:val="21"/>
                      <w:szCs w:val="21"/>
                    </w:rPr>
                    <w:t>污水处理站污泥</w:t>
                  </w:r>
                </w:p>
              </w:tc>
              <w:tc>
                <w:tcPr>
                  <w:tcW w:w="597" w:type="pct"/>
                  <w:tcBorders>
                    <w:top w:val="single" w:color="auto" w:sz="4" w:space="0"/>
                    <w:left w:val="single" w:color="auto" w:sz="4" w:space="0"/>
                    <w:bottom w:val="single" w:color="auto" w:sz="4" w:space="0"/>
                    <w:right w:val="single" w:color="auto" w:sz="4" w:space="0"/>
                  </w:tcBorders>
                  <w:vAlign w:val="center"/>
                </w:tcPr>
                <w:p w14:paraId="5A3824AA">
                  <w:pPr>
                    <w:pStyle w:val="72"/>
                    <w:snapToGrid w:val="0"/>
                    <w:spacing w:line="240" w:lineRule="auto"/>
                    <w:rPr>
                      <w:rFonts w:ascii="Times New Roman" w:hAnsi="Times New Roman"/>
                      <w:bCs/>
                      <w:color w:val="auto"/>
                      <w:sz w:val="21"/>
                      <w:szCs w:val="21"/>
                      <w:lang w:val="zh-CN"/>
                    </w:rPr>
                  </w:pPr>
                  <w:r>
                    <w:rPr>
                      <w:rFonts w:ascii="Times New Roman" w:hAnsi="Times New Roman"/>
                      <w:bCs/>
                      <w:color w:val="auto"/>
                      <w:sz w:val="21"/>
                      <w:szCs w:val="21"/>
                      <w:lang w:val="zh-CN"/>
                    </w:rPr>
                    <w:t>废水处理</w:t>
                  </w:r>
                </w:p>
              </w:tc>
              <w:tc>
                <w:tcPr>
                  <w:tcW w:w="596" w:type="pct"/>
                  <w:tcBorders>
                    <w:top w:val="single" w:color="auto" w:sz="4" w:space="0"/>
                    <w:left w:val="single" w:color="auto" w:sz="4" w:space="0"/>
                    <w:bottom w:val="single" w:color="auto" w:sz="4" w:space="0"/>
                    <w:right w:val="single" w:color="auto" w:sz="4" w:space="0"/>
                  </w:tcBorders>
                  <w:vAlign w:val="center"/>
                </w:tcPr>
                <w:p w14:paraId="097066D2">
                  <w:pPr>
                    <w:pStyle w:val="72"/>
                    <w:snapToGrid w:val="0"/>
                    <w:spacing w:line="240" w:lineRule="auto"/>
                    <w:rPr>
                      <w:rFonts w:ascii="Times New Roman" w:hAnsi="Times New Roman"/>
                      <w:color w:val="auto"/>
                      <w:sz w:val="21"/>
                      <w:szCs w:val="21"/>
                    </w:rPr>
                  </w:pPr>
                  <w:r>
                    <w:rPr>
                      <w:rFonts w:ascii="Times New Roman" w:hAnsi="Times New Roman"/>
                      <w:color w:val="auto"/>
                      <w:sz w:val="21"/>
                      <w:szCs w:val="21"/>
                    </w:rPr>
                    <w:t>30.9t/a</w:t>
                  </w:r>
                </w:p>
              </w:tc>
              <w:tc>
                <w:tcPr>
                  <w:tcW w:w="596" w:type="pct"/>
                  <w:tcBorders>
                    <w:top w:val="single" w:color="auto" w:sz="4" w:space="0"/>
                    <w:left w:val="single" w:color="auto" w:sz="4" w:space="0"/>
                    <w:bottom w:val="single" w:color="auto" w:sz="4" w:space="0"/>
                    <w:right w:val="single" w:color="auto" w:sz="4" w:space="0"/>
                  </w:tcBorders>
                  <w:vAlign w:val="center"/>
                </w:tcPr>
                <w:p w14:paraId="2F6933F3">
                  <w:pPr>
                    <w:pStyle w:val="72"/>
                    <w:snapToGrid w:val="0"/>
                    <w:spacing w:line="240" w:lineRule="auto"/>
                    <w:rPr>
                      <w:rFonts w:ascii="Times New Roman" w:hAnsi="Times New Roman"/>
                      <w:bCs/>
                      <w:color w:val="auto"/>
                      <w:sz w:val="21"/>
                      <w:szCs w:val="21"/>
                      <w:lang w:val="zh-CN"/>
                    </w:rPr>
                  </w:pPr>
                  <w:r>
                    <w:rPr>
                      <w:rFonts w:ascii="Times New Roman" w:hAnsi="Times New Roman"/>
                      <w:bCs/>
                      <w:color w:val="auto"/>
                      <w:sz w:val="21"/>
                      <w:szCs w:val="21"/>
                      <w:lang w:val="zh-CN"/>
                    </w:rPr>
                    <w:t>一般固废</w:t>
                  </w:r>
                </w:p>
              </w:tc>
              <w:tc>
                <w:tcPr>
                  <w:tcW w:w="1843" w:type="pct"/>
                  <w:tcBorders>
                    <w:top w:val="single" w:color="auto" w:sz="4" w:space="0"/>
                    <w:left w:val="single" w:color="auto" w:sz="4" w:space="0"/>
                    <w:bottom w:val="single" w:color="auto" w:sz="4" w:space="0"/>
                    <w:right w:val="single" w:color="auto" w:sz="4" w:space="0"/>
                  </w:tcBorders>
                  <w:vAlign w:val="center"/>
                </w:tcPr>
                <w:p w14:paraId="4CE894E0">
                  <w:pPr>
                    <w:adjustRightInd w:val="0"/>
                    <w:snapToGrid w:val="0"/>
                    <w:jc w:val="center"/>
                    <w:rPr>
                      <w:szCs w:val="21"/>
                    </w:rPr>
                  </w:pPr>
                  <w:r>
                    <w:rPr>
                      <w:rFonts w:hAnsi="宋体"/>
                      <w:szCs w:val="21"/>
                    </w:rPr>
                    <w:t>出售至有机肥生产厂家综合利用</w:t>
                  </w:r>
                </w:p>
              </w:tc>
            </w:tr>
            <w:tr w14:paraId="5B306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trPr>
              <w:tc>
                <w:tcPr>
                  <w:tcW w:w="430" w:type="pct"/>
                  <w:tcBorders>
                    <w:top w:val="single" w:color="auto" w:sz="4" w:space="0"/>
                    <w:left w:val="single" w:color="auto" w:sz="4" w:space="0"/>
                    <w:right w:val="single" w:color="auto" w:sz="4" w:space="0"/>
                  </w:tcBorders>
                  <w:vAlign w:val="center"/>
                </w:tcPr>
                <w:p w14:paraId="56EDAA4A">
                  <w:pPr>
                    <w:pStyle w:val="72"/>
                    <w:snapToGrid w:val="0"/>
                    <w:spacing w:line="240" w:lineRule="auto"/>
                    <w:rPr>
                      <w:rFonts w:ascii="Times New Roman" w:hAnsi="Times New Roman"/>
                      <w:bCs/>
                      <w:color w:val="auto"/>
                      <w:sz w:val="21"/>
                      <w:szCs w:val="21"/>
                    </w:rPr>
                  </w:pPr>
                  <w:r>
                    <w:rPr>
                      <w:rFonts w:ascii="Times New Roman" w:hAnsi="Times New Roman"/>
                      <w:bCs/>
                      <w:color w:val="auto"/>
                      <w:sz w:val="21"/>
                      <w:szCs w:val="21"/>
                    </w:rPr>
                    <w:t>2</w:t>
                  </w:r>
                </w:p>
              </w:tc>
              <w:tc>
                <w:tcPr>
                  <w:tcW w:w="937" w:type="pct"/>
                  <w:tcBorders>
                    <w:left w:val="single" w:color="auto" w:sz="4" w:space="0"/>
                    <w:bottom w:val="single" w:color="auto" w:sz="4" w:space="0"/>
                    <w:right w:val="single" w:color="auto" w:sz="4" w:space="0"/>
                  </w:tcBorders>
                  <w:vAlign w:val="center"/>
                </w:tcPr>
                <w:p w14:paraId="4AB8DF85">
                  <w:pPr>
                    <w:pStyle w:val="72"/>
                    <w:snapToGrid w:val="0"/>
                    <w:spacing w:line="240" w:lineRule="auto"/>
                    <w:rPr>
                      <w:rFonts w:ascii="Times New Roman" w:hAnsi="Times New Roman"/>
                      <w:color w:val="auto"/>
                      <w:sz w:val="21"/>
                      <w:szCs w:val="21"/>
                    </w:rPr>
                  </w:pPr>
                  <w:r>
                    <w:rPr>
                      <w:rFonts w:ascii="Times New Roman"/>
                      <w:color w:val="auto"/>
                      <w:sz w:val="21"/>
                      <w:szCs w:val="21"/>
                    </w:rPr>
                    <w:t>油烟净化器收集废油</w:t>
                  </w:r>
                </w:p>
              </w:tc>
              <w:tc>
                <w:tcPr>
                  <w:tcW w:w="597" w:type="pct"/>
                  <w:tcBorders>
                    <w:top w:val="single" w:color="auto" w:sz="4" w:space="0"/>
                    <w:left w:val="single" w:color="auto" w:sz="4" w:space="0"/>
                    <w:bottom w:val="single" w:color="auto" w:sz="4" w:space="0"/>
                    <w:right w:val="single" w:color="auto" w:sz="4" w:space="0"/>
                  </w:tcBorders>
                  <w:vAlign w:val="center"/>
                </w:tcPr>
                <w:p w14:paraId="2BCB866D">
                  <w:pPr>
                    <w:pStyle w:val="72"/>
                    <w:snapToGrid w:val="0"/>
                    <w:spacing w:line="240" w:lineRule="auto"/>
                    <w:rPr>
                      <w:rFonts w:ascii="Times New Roman" w:hAnsi="Times New Roman"/>
                      <w:bCs/>
                      <w:color w:val="auto"/>
                      <w:sz w:val="21"/>
                      <w:szCs w:val="21"/>
                      <w:lang w:val="zh-CN"/>
                    </w:rPr>
                  </w:pPr>
                  <w:r>
                    <w:rPr>
                      <w:rFonts w:ascii="Times New Roman" w:hAnsi="Times New Roman"/>
                      <w:bCs/>
                      <w:color w:val="auto"/>
                      <w:sz w:val="21"/>
                      <w:szCs w:val="21"/>
                      <w:lang w:val="zh-CN"/>
                    </w:rPr>
                    <w:t>废气处理</w:t>
                  </w:r>
                </w:p>
              </w:tc>
              <w:tc>
                <w:tcPr>
                  <w:tcW w:w="596" w:type="pct"/>
                  <w:tcBorders>
                    <w:top w:val="single" w:color="auto" w:sz="4" w:space="0"/>
                    <w:left w:val="single" w:color="auto" w:sz="4" w:space="0"/>
                    <w:bottom w:val="single" w:color="auto" w:sz="4" w:space="0"/>
                    <w:right w:val="single" w:color="auto" w:sz="4" w:space="0"/>
                  </w:tcBorders>
                  <w:vAlign w:val="center"/>
                </w:tcPr>
                <w:p w14:paraId="17FB5BA8">
                  <w:pPr>
                    <w:pStyle w:val="72"/>
                    <w:snapToGrid w:val="0"/>
                    <w:spacing w:line="240" w:lineRule="auto"/>
                    <w:rPr>
                      <w:rFonts w:ascii="Times New Roman" w:hAnsi="Times New Roman"/>
                      <w:color w:val="auto"/>
                      <w:sz w:val="21"/>
                      <w:szCs w:val="21"/>
                    </w:rPr>
                  </w:pPr>
                  <w:r>
                    <w:rPr>
                      <w:rFonts w:ascii="Times New Roman" w:hAnsi="Times New Roman"/>
                      <w:color w:val="auto"/>
                      <w:sz w:val="21"/>
                      <w:szCs w:val="21"/>
                    </w:rPr>
                    <w:t>2.456t/a</w:t>
                  </w:r>
                </w:p>
              </w:tc>
              <w:tc>
                <w:tcPr>
                  <w:tcW w:w="596" w:type="pct"/>
                  <w:tcBorders>
                    <w:top w:val="single" w:color="auto" w:sz="4" w:space="0"/>
                    <w:left w:val="single" w:color="auto" w:sz="4" w:space="0"/>
                    <w:bottom w:val="single" w:color="auto" w:sz="4" w:space="0"/>
                    <w:right w:val="single" w:color="auto" w:sz="4" w:space="0"/>
                  </w:tcBorders>
                  <w:vAlign w:val="center"/>
                </w:tcPr>
                <w:p w14:paraId="001A3CC9">
                  <w:pPr>
                    <w:adjustRightInd w:val="0"/>
                    <w:snapToGrid w:val="0"/>
                    <w:jc w:val="center"/>
                    <w:rPr>
                      <w:szCs w:val="21"/>
                    </w:rPr>
                  </w:pPr>
                  <w:r>
                    <w:rPr>
                      <w:bCs/>
                      <w:szCs w:val="21"/>
                      <w:lang w:val="zh-CN"/>
                    </w:rPr>
                    <w:t>一般固废</w:t>
                  </w:r>
                </w:p>
              </w:tc>
              <w:tc>
                <w:tcPr>
                  <w:tcW w:w="1843" w:type="pct"/>
                  <w:tcBorders>
                    <w:top w:val="single" w:color="auto" w:sz="4" w:space="0"/>
                    <w:left w:val="single" w:color="auto" w:sz="4" w:space="0"/>
                    <w:right w:val="single" w:color="auto" w:sz="4" w:space="0"/>
                  </w:tcBorders>
                  <w:vAlign w:val="center"/>
                </w:tcPr>
                <w:p w14:paraId="5D5F0338">
                  <w:pPr>
                    <w:adjustRightInd w:val="0"/>
                    <w:snapToGrid w:val="0"/>
                    <w:jc w:val="center"/>
                    <w:rPr>
                      <w:szCs w:val="21"/>
                    </w:rPr>
                  </w:pPr>
                  <w:r>
                    <w:rPr>
                      <w:rFonts w:hAnsi="宋体"/>
                      <w:szCs w:val="21"/>
                    </w:rPr>
                    <w:t>外售餐厨废物处理企业处理</w:t>
                  </w:r>
                </w:p>
              </w:tc>
            </w:tr>
            <w:tr w14:paraId="49432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430" w:type="pct"/>
                  <w:tcBorders>
                    <w:left w:val="single" w:color="auto" w:sz="4" w:space="0"/>
                    <w:right w:val="single" w:color="auto" w:sz="4" w:space="0"/>
                  </w:tcBorders>
                  <w:vAlign w:val="center"/>
                </w:tcPr>
                <w:p w14:paraId="6B5E060C">
                  <w:pPr>
                    <w:pStyle w:val="72"/>
                    <w:snapToGrid w:val="0"/>
                    <w:spacing w:line="240" w:lineRule="auto"/>
                    <w:rPr>
                      <w:rFonts w:ascii="Times New Roman" w:hAnsi="Times New Roman"/>
                      <w:bCs/>
                      <w:color w:val="auto"/>
                      <w:sz w:val="21"/>
                      <w:szCs w:val="21"/>
                    </w:rPr>
                  </w:pPr>
                  <w:r>
                    <w:rPr>
                      <w:rFonts w:ascii="Times New Roman" w:hAnsi="Times New Roman"/>
                      <w:bCs/>
                      <w:color w:val="auto"/>
                      <w:sz w:val="21"/>
                      <w:szCs w:val="21"/>
                    </w:rPr>
                    <w:t>3</w:t>
                  </w:r>
                </w:p>
              </w:tc>
              <w:tc>
                <w:tcPr>
                  <w:tcW w:w="937" w:type="pct"/>
                  <w:tcBorders>
                    <w:top w:val="single" w:color="auto" w:sz="4" w:space="0"/>
                    <w:left w:val="single" w:color="auto" w:sz="4" w:space="0"/>
                    <w:bottom w:val="single" w:color="auto" w:sz="4" w:space="0"/>
                    <w:right w:val="single" w:color="auto" w:sz="4" w:space="0"/>
                  </w:tcBorders>
                  <w:vAlign w:val="center"/>
                </w:tcPr>
                <w:p w14:paraId="3271E7E1">
                  <w:pPr>
                    <w:adjustRightInd w:val="0"/>
                    <w:snapToGrid w:val="0"/>
                    <w:jc w:val="center"/>
                    <w:rPr>
                      <w:bCs/>
                      <w:szCs w:val="21"/>
                    </w:rPr>
                  </w:pPr>
                  <w:r>
                    <w:rPr>
                      <w:rFonts w:hAnsi="宋体"/>
                      <w:bCs/>
                      <w:szCs w:val="21"/>
                    </w:rPr>
                    <w:t>废活性炭</w:t>
                  </w:r>
                </w:p>
              </w:tc>
              <w:tc>
                <w:tcPr>
                  <w:tcW w:w="597" w:type="pct"/>
                  <w:tcBorders>
                    <w:left w:val="single" w:color="auto" w:sz="4" w:space="0"/>
                    <w:bottom w:val="single" w:color="auto" w:sz="4" w:space="0"/>
                    <w:right w:val="single" w:color="auto" w:sz="4" w:space="0"/>
                  </w:tcBorders>
                  <w:vAlign w:val="center"/>
                </w:tcPr>
                <w:p w14:paraId="765BF78A">
                  <w:pPr>
                    <w:adjustRightInd w:val="0"/>
                    <w:snapToGrid w:val="0"/>
                    <w:jc w:val="center"/>
                    <w:rPr>
                      <w:bCs/>
                      <w:szCs w:val="21"/>
                    </w:rPr>
                  </w:pPr>
                  <w:r>
                    <w:rPr>
                      <w:rFonts w:hAnsi="宋体"/>
                      <w:bCs/>
                      <w:szCs w:val="21"/>
                    </w:rPr>
                    <w:t>废气处理</w:t>
                  </w:r>
                </w:p>
              </w:tc>
              <w:tc>
                <w:tcPr>
                  <w:tcW w:w="596" w:type="pct"/>
                  <w:tcBorders>
                    <w:top w:val="single" w:color="auto" w:sz="4" w:space="0"/>
                    <w:left w:val="single" w:color="auto" w:sz="4" w:space="0"/>
                    <w:bottom w:val="single" w:color="auto" w:sz="4" w:space="0"/>
                    <w:right w:val="single" w:color="auto" w:sz="4" w:space="0"/>
                  </w:tcBorders>
                  <w:vAlign w:val="center"/>
                </w:tcPr>
                <w:p w14:paraId="6D2B3F4E">
                  <w:pPr>
                    <w:adjustRightInd w:val="0"/>
                    <w:snapToGrid w:val="0"/>
                    <w:jc w:val="center"/>
                    <w:rPr>
                      <w:bCs/>
                      <w:szCs w:val="21"/>
                    </w:rPr>
                  </w:pPr>
                  <w:r>
                    <w:rPr>
                      <w:rFonts w:hint="eastAsia"/>
                      <w:bCs/>
                      <w:szCs w:val="21"/>
                    </w:rPr>
                    <w:t>4.84</w:t>
                  </w:r>
                  <w:r>
                    <w:rPr>
                      <w:bCs/>
                      <w:szCs w:val="21"/>
                    </w:rPr>
                    <w:t>t/a</w:t>
                  </w:r>
                </w:p>
              </w:tc>
              <w:tc>
                <w:tcPr>
                  <w:tcW w:w="596" w:type="pct"/>
                  <w:tcBorders>
                    <w:top w:val="single" w:color="auto" w:sz="4" w:space="0"/>
                    <w:left w:val="single" w:color="auto" w:sz="4" w:space="0"/>
                    <w:bottom w:val="single" w:color="auto" w:sz="4" w:space="0"/>
                    <w:right w:val="single" w:color="auto" w:sz="4" w:space="0"/>
                  </w:tcBorders>
                  <w:vAlign w:val="center"/>
                </w:tcPr>
                <w:p w14:paraId="168F228A">
                  <w:pPr>
                    <w:pStyle w:val="72"/>
                    <w:snapToGrid w:val="0"/>
                    <w:spacing w:line="240" w:lineRule="auto"/>
                    <w:rPr>
                      <w:rFonts w:ascii="Times New Roman" w:hAnsi="Times New Roman"/>
                      <w:bCs/>
                      <w:color w:val="auto"/>
                      <w:sz w:val="21"/>
                      <w:szCs w:val="21"/>
                      <w:lang w:val="zh-CN"/>
                    </w:rPr>
                  </w:pPr>
                  <w:r>
                    <w:rPr>
                      <w:rFonts w:ascii="Times New Roman"/>
                      <w:bCs/>
                      <w:color w:val="auto"/>
                      <w:sz w:val="21"/>
                      <w:szCs w:val="21"/>
                      <w:lang w:val="zh-CN"/>
                    </w:rPr>
                    <w:t>危险废物</w:t>
                  </w:r>
                </w:p>
              </w:tc>
              <w:tc>
                <w:tcPr>
                  <w:tcW w:w="1843" w:type="pct"/>
                  <w:tcBorders>
                    <w:top w:val="single" w:color="auto" w:sz="4" w:space="0"/>
                    <w:left w:val="single" w:color="auto" w:sz="4" w:space="0"/>
                    <w:right w:val="single" w:color="auto" w:sz="4" w:space="0"/>
                  </w:tcBorders>
                  <w:vAlign w:val="center"/>
                </w:tcPr>
                <w:p w14:paraId="6F7D470E">
                  <w:pPr>
                    <w:pStyle w:val="72"/>
                    <w:snapToGrid w:val="0"/>
                    <w:spacing w:line="240" w:lineRule="auto"/>
                    <w:rPr>
                      <w:rFonts w:ascii="Times New Roman" w:hAnsi="Times New Roman"/>
                      <w:bCs/>
                      <w:sz w:val="21"/>
                      <w:szCs w:val="21"/>
                    </w:rPr>
                  </w:pPr>
                  <w:r>
                    <w:rPr>
                      <w:rFonts w:ascii="Times New Roman"/>
                      <w:bCs/>
                      <w:color w:val="auto"/>
                      <w:sz w:val="21"/>
                      <w:szCs w:val="21"/>
                    </w:rPr>
                    <w:t>暂存于危废暂存间</w:t>
                  </w:r>
                  <w:r>
                    <w:rPr>
                      <w:rFonts w:ascii="Times New Roman"/>
                      <w:bCs/>
                      <w:sz w:val="21"/>
                      <w:szCs w:val="21"/>
                    </w:rPr>
                    <w:t>（</w:t>
                  </w:r>
                  <w:r>
                    <w:rPr>
                      <w:rFonts w:ascii="Times New Roman" w:hAnsi="Times New Roman"/>
                      <w:bCs/>
                      <w:sz w:val="21"/>
                      <w:szCs w:val="21"/>
                    </w:rPr>
                    <w:t>10m</w:t>
                  </w:r>
                  <w:r>
                    <w:rPr>
                      <w:rFonts w:ascii="Times New Roman" w:hAnsi="Times New Roman"/>
                      <w:bCs/>
                      <w:sz w:val="21"/>
                      <w:szCs w:val="21"/>
                      <w:vertAlign w:val="superscript"/>
                    </w:rPr>
                    <w:t>2</w:t>
                  </w:r>
                  <w:r>
                    <w:rPr>
                      <w:rFonts w:ascii="Times New Roman"/>
                      <w:bCs/>
                      <w:sz w:val="21"/>
                      <w:szCs w:val="21"/>
                    </w:rPr>
                    <w:t>）</w:t>
                  </w:r>
                  <w:r>
                    <w:rPr>
                      <w:rFonts w:ascii="Times New Roman"/>
                      <w:bCs/>
                      <w:color w:val="auto"/>
                      <w:sz w:val="21"/>
                      <w:szCs w:val="21"/>
                    </w:rPr>
                    <w:t>后定期委托有资质单位处理</w:t>
                  </w:r>
                </w:p>
              </w:tc>
            </w:tr>
            <w:tr w14:paraId="34769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430" w:type="pct"/>
                  <w:tcBorders>
                    <w:left w:val="single" w:color="auto" w:sz="4" w:space="0"/>
                    <w:right w:val="single" w:color="auto" w:sz="4" w:space="0"/>
                  </w:tcBorders>
                  <w:vAlign w:val="center"/>
                </w:tcPr>
                <w:p w14:paraId="333B2248">
                  <w:pPr>
                    <w:pStyle w:val="72"/>
                    <w:snapToGrid w:val="0"/>
                    <w:spacing w:line="240" w:lineRule="auto"/>
                    <w:rPr>
                      <w:rFonts w:ascii="Times New Roman" w:hAnsi="Times New Roman"/>
                      <w:bCs/>
                      <w:color w:val="auto"/>
                      <w:sz w:val="21"/>
                      <w:szCs w:val="21"/>
                    </w:rPr>
                  </w:pPr>
                  <w:r>
                    <w:rPr>
                      <w:rFonts w:ascii="Times New Roman" w:hAnsi="Times New Roman"/>
                      <w:bCs/>
                      <w:color w:val="auto"/>
                      <w:sz w:val="21"/>
                      <w:szCs w:val="21"/>
                    </w:rPr>
                    <w:t>4</w:t>
                  </w:r>
                </w:p>
              </w:tc>
              <w:tc>
                <w:tcPr>
                  <w:tcW w:w="937" w:type="pct"/>
                  <w:tcBorders>
                    <w:top w:val="single" w:color="auto" w:sz="4" w:space="0"/>
                    <w:left w:val="single" w:color="auto" w:sz="4" w:space="0"/>
                    <w:bottom w:val="single" w:color="auto" w:sz="4" w:space="0"/>
                    <w:right w:val="single" w:color="auto" w:sz="4" w:space="0"/>
                  </w:tcBorders>
                  <w:vAlign w:val="center"/>
                </w:tcPr>
                <w:p w14:paraId="4B9D80C6">
                  <w:pPr>
                    <w:adjustRightInd w:val="0"/>
                    <w:snapToGrid w:val="0"/>
                    <w:jc w:val="center"/>
                    <w:rPr>
                      <w:rFonts w:hAnsi="宋体"/>
                      <w:bCs/>
                      <w:szCs w:val="21"/>
                    </w:rPr>
                  </w:pPr>
                  <w:r>
                    <w:rPr>
                      <w:rFonts w:hAnsi="宋体"/>
                      <w:bCs/>
                      <w:szCs w:val="21"/>
                    </w:rPr>
                    <w:t>废导热油</w:t>
                  </w:r>
                </w:p>
              </w:tc>
              <w:tc>
                <w:tcPr>
                  <w:tcW w:w="597" w:type="pct"/>
                  <w:tcBorders>
                    <w:left w:val="single" w:color="auto" w:sz="4" w:space="0"/>
                    <w:bottom w:val="single" w:color="auto" w:sz="4" w:space="0"/>
                    <w:right w:val="single" w:color="auto" w:sz="4" w:space="0"/>
                  </w:tcBorders>
                  <w:vAlign w:val="center"/>
                </w:tcPr>
                <w:p w14:paraId="45742AF8">
                  <w:pPr>
                    <w:adjustRightInd w:val="0"/>
                    <w:snapToGrid w:val="0"/>
                    <w:jc w:val="center"/>
                    <w:rPr>
                      <w:rFonts w:hAnsi="宋体"/>
                      <w:bCs/>
                      <w:szCs w:val="21"/>
                    </w:rPr>
                  </w:pPr>
                  <w:r>
                    <w:rPr>
                      <w:rFonts w:hAnsi="宋体"/>
                      <w:bCs/>
                      <w:szCs w:val="21"/>
                    </w:rPr>
                    <w:t>导热油炉维护</w:t>
                  </w:r>
                </w:p>
              </w:tc>
              <w:tc>
                <w:tcPr>
                  <w:tcW w:w="596" w:type="pct"/>
                  <w:tcBorders>
                    <w:top w:val="single" w:color="auto" w:sz="4" w:space="0"/>
                    <w:left w:val="single" w:color="auto" w:sz="4" w:space="0"/>
                    <w:bottom w:val="single" w:color="auto" w:sz="4" w:space="0"/>
                    <w:right w:val="single" w:color="auto" w:sz="4" w:space="0"/>
                  </w:tcBorders>
                  <w:vAlign w:val="center"/>
                </w:tcPr>
                <w:p w14:paraId="669B7DFB">
                  <w:pPr>
                    <w:adjustRightInd w:val="0"/>
                    <w:snapToGrid w:val="0"/>
                    <w:jc w:val="center"/>
                    <w:rPr>
                      <w:bCs/>
                      <w:szCs w:val="21"/>
                    </w:rPr>
                  </w:pPr>
                  <w:r>
                    <w:rPr>
                      <w:rFonts w:hint="eastAsia"/>
                      <w:bCs/>
                      <w:szCs w:val="21"/>
                    </w:rPr>
                    <w:t>8</w:t>
                  </w:r>
                  <w:r>
                    <w:rPr>
                      <w:bCs/>
                      <w:szCs w:val="21"/>
                    </w:rPr>
                    <w:t>t/</w:t>
                  </w:r>
                  <w:r>
                    <w:rPr>
                      <w:rFonts w:hint="eastAsia"/>
                      <w:bCs/>
                      <w:szCs w:val="21"/>
                    </w:rPr>
                    <w:t>10</w:t>
                  </w:r>
                  <w:r>
                    <w:rPr>
                      <w:bCs/>
                      <w:szCs w:val="21"/>
                    </w:rPr>
                    <w:t>a</w:t>
                  </w:r>
                </w:p>
              </w:tc>
              <w:tc>
                <w:tcPr>
                  <w:tcW w:w="596" w:type="pct"/>
                  <w:tcBorders>
                    <w:top w:val="single" w:color="auto" w:sz="4" w:space="0"/>
                    <w:left w:val="single" w:color="auto" w:sz="4" w:space="0"/>
                    <w:bottom w:val="single" w:color="auto" w:sz="4" w:space="0"/>
                    <w:right w:val="single" w:color="auto" w:sz="4" w:space="0"/>
                  </w:tcBorders>
                  <w:vAlign w:val="center"/>
                </w:tcPr>
                <w:p w14:paraId="35771969">
                  <w:pPr>
                    <w:pStyle w:val="72"/>
                    <w:snapToGrid w:val="0"/>
                    <w:spacing w:line="240" w:lineRule="auto"/>
                    <w:rPr>
                      <w:rFonts w:ascii="Times New Roman"/>
                      <w:bCs/>
                      <w:color w:val="auto"/>
                      <w:sz w:val="21"/>
                      <w:szCs w:val="21"/>
                      <w:lang w:val="zh-CN"/>
                    </w:rPr>
                  </w:pPr>
                  <w:r>
                    <w:rPr>
                      <w:rFonts w:ascii="Times New Roman"/>
                      <w:bCs/>
                      <w:color w:val="auto"/>
                      <w:sz w:val="21"/>
                      <w:szCs w:val="21"/>
                      <w:lang w:val="zh-CN"/>
                    </w:rPr>
                    <w:t>危险废物</w:t>
                  </w:r>
                </w:p>
              </w:tc>
              <w:tc>
                <w:tcPr>
                  <w:tcW w:w="1843" w:type="pct"/>
                  <w:tcBorders>
                    <w:top w:val="single" w:color="auto" w:sz="4" w:space="0"/>
                    <w:left w:val="single" w:color="auto" w:sz="4" w:space="0"/>
                    <w:right w:val="single" w:color="auto" w:sz="4" w:space="0"/>
                  </w:tcBorders>
                  <w:vAlign w:val="center"/>
                </w:tcPr>
                <w:p w14:paraId="07B3EFDC">
                  <w:pPr>
                    <w:pStyle w:val="72"/>
                    <w:snapToGrid w:val="0"/>
                    <w:spacing w:line="240" w:lineRule="auto"/>
                    <w:rPr>
                      <w:rFonts w:ascii="Times New Roman"/>
                      <w:bCs/>
                      <w:color w:val="auto"/>
                      <w:sz w:val="21"/>
                      <w:szCs w:val="21"/>
                    </w:rPr>
                  </w:pPr>
                  <w:r>
                    <w:rPr>
                      <w:rFonts w:hint="eastAsia" w:ascii="Times New Roman"/>
                      <w:bCs/>
                      <w:color w:val="auto"/>
                      <w:sz w:val="21"/>
                      <w:szCs w:val="21"/>
                    </w:rPr>
                    <w:t>由有处置资质的厂家负责更换并直接带走，不在厂区内暂存</w:t>
                  </w:r>
                </w:p>
              </w:tc>
            </w:tr>
            <w:tr w14:paraId="3669F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trPr>
              <w:tc>
                <w:tcPr>
                  <w:tcW w:w="430" w:type="pct"/>
                  <w:tcBorders>
                    <w:left w:val="single" w:color="auto" w:sz="4" w:space="0"/>
                    <w:bottom w:val="single" w:color="auto" w:sz="4" w:space="0"/>
                    <w:right w:val="single" w:color="auto" w:sz="4" w:space="0"/>
                  </w:tcBorders>
                  <w:vAlign w:val="center"/>
                </w:tcPr>
                <w:p w14:paraId="3A3522C4">
                  <w:pPr>
                    <w:pStyle w:val="72"/>
                    <w:snapToGrid w:val="0"/>
                    <w:spacing w:line="240" w:lineRule="auto"/>
                    <w:rPr>
                      <w:rFonts w:ascii="Times New Roman" w:hAnsi="Times New Roman"/>
                      <w:bCs/>
                      <w:color w:val="auto"/>
                      <w:sz w:val="21"/>
                      <w:szCs w:val="21"/>
                    </w:rPr>
                  </w:pPr>
                  <w:r>
                    <w:rPr>
                      <w:rFonts w:hint="eastAsia" w:ascii="Times New Roman" w:hAnsi="Times New Roman"/>
                      <w:bCs/>
                      <w:color w:val="auto"/>
                      <w:sz w:val="21"/>
                      <w:szCs w:val="21"/>
                    </w:rPr>
                    <w:t>5</w:t>
                  </w:r>
                </w:p>
              </w:tc>
              <w:tc>
                <w:tcPr>
                  <w:tcW w:w="937" w:type="pct"/>
                  <w:tcBorders>
                    <w:top w:val="single" w:color="auto" w:sz="4" w:space="0"/>
                    <w:left w:val="single" w:color="auto" w:sz="4" w:space="0"/>
                    <w:bottom w:val="single" w:color="auto" w:sz="4" w:space="0"/>
                    <w:right w:val="single" w:color="auto" w:sz="4" w:space="0"/>
                  </w:tcBorders>
                  <w:vAlign w:val="center"/>
                </w:tcPr>
                <w:p w14:paraId="6F342189">
                  <w:pPr>
                    <w:pStyle w:val="72"/>
                    <w:snapToGrid w:val="0"/>
                    <w:spacing w:line="240" w:lineRule="auto"/>
                    <w:rPr>
                      <w:rFonts w:ascii="Times New Roman" w:hAnsi="Times New Roman"/>
                      <w:bCs/>
                      <w:color w:val="auto"/>
                      <w:sz w:val="21"/>
                      <w:szCs w:val="21"/>
                      <w:lang w:val="zh-CN"/>
                    </w:rPr>
                  </w:pPr>
                  <w:r>
                    <w:rPr>
                      <w:rFonts w:ascii="Times New Roman"/>
                      <w:bCs/>
                      <w:color w:val="auto"/>
                      <w:sz w:val="21"/>
                      <w:szCs w:val="21"/>
                      <w:lang w:val="zh-CN"/>
                    </w:rPr>
                    <w:t>生活垃圾</w:t>
                  </w:r>
                </w:p>
              </w:tc>
              <w:tc>
                <w:tcPr>
                  <w:tcW w:w="597" w:type="pct"/>
                  <w:tcBorders>
                    <w:top w:val="single" w:color="auto" w:sz="4" w:space="0"/>
                    <w:left w:val="single" w:color="auto" w:sz="4" w:space="0"/>
                    <w:bottom w:val="single" w:color="auto" w:sz="4" w:space="0"/>
                    <w:right w:val="single" w:color="auto" w:sz="4" w:space="0"/>
                  </w:tcBorders>
                  <w:vAlign w:val="center"/>
                </w:tcPr>
                <w:p w14:paraId="6758B173">
                  <w:pPr>
                    <w:pStyle w:val="72"/>
                    <w:snapToGrid w:val="0"/>
                    <w:spacing w:line="240" w:lineRule="auto"/>
                    <w:rPr>
                      <w:rFonts w:ascii="Times New Roman" w:hAnsi="Times New Roman"/>
                      <w:bCs/>
                      <w:color w:val="auto"/>
                      <w:sz w:val="21"/>
                      <w:szCs w:val="21"/>
                      <w:lang w:val="zh-CN"/>
                    </w:rPr>
                  </w:pPr>
                  <w:r>
                    <w:rPr>
                      <w:rFonts w:ascii="Times New Roman"/>
                      <w:bCs/>
                      <w:color w:val="auto"/>
                      <w:sz w:val="21"/>
                      <w:szCs w:val="21"/>
                      <w:lang w:val="zh-CN"/>
                    </w:rPr>
                    <w:t>职工生活</w:t>
                  </w:r>
                </w:p>
              </w:tc>
              <w:tc>
                <w:tcPr>
                  <w:tcW w:w="596" w:type="pct"/>
                  <w:tcBorders>
                    <w:top w:val="single" w:color="auto" w:sz="4" w:space="0"/>
                    <w:left w:val="single" w:color="auto" w:sz="4" w:space="0"/>
                    <w:bottom w:val="single" w:color="auto" w:sz="4" w:space="0"/>
                    <w:right w:val="single" w:color="auto" w:sz="4" w:space="0"/>
                  </w:tcBorders>
                  <w:vAlign w:val="center"/>
                </w:tcPr>
                <w:p w14:paraId="2CFBE46C">
                  <w:pPr>
                    <w:pStyle w:val="72"/>
                    <w:snapToGrid w:val="0"/>
                    <w:spacing w:line="240" w:lineRule="auto"/>
                    <w:rPr>
                      <w:rFonts w:ascii="Times New Roman" w:hAnsi="Times New Roman"/>
                      <w:bCs/>
                      <w:color w:val="auto"/>
                      <w:sz w:val="21"/>
                      <w:szCs w:val="21"/>
                      <w:lang w:val="zh-CN"/>
                    </w:rPr>
                  </w:pPr>
                  <w:r>
                    <w:rPr>
                      <w:rFonts w:hint="eastAsia" w:ascii="Times New Roman" w:hAnsi="Times New Roman"/>
                      <w:color w:val="auto"/>
                      <w:sz w:val="21"/>
                      <w:szCs w:val="21"/>
                    </w:rPr>
                    <w:t>1.5</w:t>
                  </w:r>
                  <w:r>
                    <w:rPr>
                      <w:rFonts w:ascii="Times New Roman" w:hAnsi="Times New Roman"/>
                      <w:bCs/>
                      <w:color w:val="auto"/>
                      <w:sz w:val="21"/>
                      <w:szCs w:val="21"/>
                    </w:rPr>
                    <w:t>t</w:t>
                  </w:r>
                  <w:r>
                    <w:rPr>
                      <w:rFonts w:ascii="Times New Roman" w:hAnsi="Times New Roman"/>
                      <w:bCs/>
                      <w:color w:val="auto"/>
                      <w:sz w:val="21"/>
                      <w:szCs w:val="21"/>
                      <w:lang w:val="zh-CN"/>
                    </w:rPr>
                    <w:t>/a</w:t>
                  </w:r>
                </w:p>
              </w:tc>
              <w:tc>
                <w:tcPr>
                  <w:tcW w:w="596" w:type="pct"/>
                  <w:tcBorders>
                    <w:top w:val="single" w:color="auto" w:sz="4" w:space="0"/>
                    <w:left w:val="single" w:color="auto" w:sz="4" w:space="0"/>
                    <w:bottom w:val="single" w:color="auto" w:sz="4" w:space="0"/>
                    <w:right w:val="single" w:color="auto" w:sz="4" w:space="0"/>
                  </w:tcBorders>
                  <w:vAlign w:val="center"/>
                </w:tcPr>
                <w:p w14:paraId="50221932">
                  <w:pPr>
                    <w:pStyle w:val="72"/>
                    <w:snapToGrid w:val="0"/>
                    <w:spacing w:line="240" w:lineRule="auto"/>
                    <w:rPr>
                      <w:rFonts w:ascii="Times New Roman" w:hAnsi="Times New Roman"/>
                      <w:bCs/>
                      <w:color w:val="auto"/>
                      <w:sz w:val="21"/>
                      <w:szCs w:val="21"/>
                      <w:lang w:val="zh-CN"/>
                    </w:rPr>
                  </w:pPr>
                  <w:r>
                    <w:rPr>
                      <w:rFonts w:ascii="Times New Roman"/>
                      <w:bCs/>
                      <w:color w:val="auto"/>
                      <w:sz w:val="21"/>
                      <w:szCs w:val="21"/>
                      <w:lang w:val="zh-CN"/>
                    </w:rPr>
                    <w:t>生活垃圾</w:t>
                  </w:r>
                </w:p>
              </w:tc>
              <w:tc>
                <w:tcPr>
                  <w:tcW w:w="1843" w:type="pct"/>
                  <w:tcBorders>
                    <w:top w:val="single" w:color="auto" w:sz="4" w:space="0"/>
                    <w:left w:val="single" w:color="auto" w:sz="4" w:space="0"/>
                    <w:bottom w:val="single" w:color="auto" w:sz="4" w:space="0"/>
                    <w:right w:val="single" w:color="auto" w:sz="4" w:space="0"/>
                  </w:tcBorders>
                  <w:vAlign w:val="center"/>
                </w:tcPr>
                <w:p w14:paraId="414DD2AF">
                  <w:pPr>
                    <w:pStyle w:val="72"/>
                    <w:snapToGrid w:val="0"/>
                    <w:spacing w:line="240" w:lineRule="auto"/>
                    <w:rPr>
                      <w:rFonts w:ascii="Times New Roman" w:hAnsi="Times New Roman"/>
                      <w:bCs/>
                      <w:color w:val="auto"/>
                      <w:sz w:val="21"/>
                      <w:szCs w:val="21"/>
                    </w:rPr>
                  </w:pPr>
                  <w:r>
                    <w:rPr>
                      <w:rFonts w:ascii="Times New Roman"/>
                      <w:bCs/>
                      <w:color w:val="auto"/>
                      <w:sz w:val="21"/>
                      <w:szCs w:val="21"/>
                    </w:rPr>
                    <w:t>收集后交由环卫部门集中处置</w:t>
                  </w:r>
                </w:p>
              </w:tc>
            </w:tr>
          </w:tbl>
          <w:p w14:paraId="67B38CD6">
            <w:pPr>
              <w:spacing w:line="360" w:lineRule="auto"/>
              <w:ind w:firstLine="480" w:firstLineChars="200"/>
              <w:rPr>
                <w:color w:val="000000"/>
                <w:sz w:val="24"/>
              </w:rPr>
            </w:pPr>
            <w:r>
              <w:rPr>
                <w:rFonts w:hint="eastAsia"/>
                <w:color w:val="000000"/>
                <w:sz w:val="24"/>
              </w:rPr>
              <w:t>综上，本项目固废均得到合理处置，对周围环境影响较小。</w:t>
            </w:r>
          </w:p>
          <w:p w14:paraId="6BF51793">
            <w:pPr>
              <w:spacing w:line="360" w:lineRule="auto"/>
              <w:ind w:firstLine="482" w:firstLineChars="200"/>
              <w:jc w:val="left"/>
              <w:rPr>
                <w:b/>
                <w:sz w:val="24"/>
                <w:u w:val="single"/>
              </w:rPr>
            </w:pPr>
            <w:r>
              <w:rPr>
                <w:rFonts w:hint="eastAsia"/>
                <w:b/>
                <w:sz w:val="24"/>
                <w:u w:val="single"/>
              </w:rPr>
              <w:t>4.2固体废物环境管理要求</w:t>
            </w:r>
          </w:p>
          <w:p w14:paraId="6093168B">
            <w:pPr>
              <w:pStyle w:val="136"/>
              <w:spacing w:line="360" w:lineRule="auto"/>
              <w:ind w:left="476"/>
              <w:rPr>
                <w:rFonts w:ascii="Times New Roman" w:hAnsi="Times New Roman" w:cs="Times New Roman"/>
                <w:b/>
                <w:spacing w:val="-1"/>
                <w:u w:val="single"/>
                <w:lang w:eastAsia="zh-CN"/>
              </w:rPr>
            </w:pPr>
            <w:r>
              <w:rPr>
                <w:rFonts w:ascii="Times New Roman" w:hAnsi="Times New Roman" w:cs="Times New Roman"/>
                <w:b/>
                <w:spacing w:val="-1"/>
                <w:u w:val="single"/>
                <w:lang w:eastAsia="zh-CN"/>
              </w:rPr>
              <w:t>（</w:t>
            </w:r>
            <w:r>
              <w:rPr>
                <w:rFonts w:hint="eastAsia" w:ascii="Times New Roman" w:hAnsi="Times New Roman" w:cs="Times New Roman"/>
                <w:b/>
                <w:spacing w:val="-1"/>
                <w:u w:val="single"/>
                <w:lang w:eastAsia="zh-CN"/>
              </w:rPr>
              <w:t>1</w:t>
            </w:r>
            <w:r>
              <w:rPr>
                <w:rFonts w:ascii="Times New Roman" w:hAnsi="Times New Roman" w:cs="Times New Roman"/>
                <w:b/>
                <w:spacing w:val="-1"/>
                <w:u w:val="single"/>
                <w:lang w:eastAsia="zh-CN"/>
              </w:rPr>
              <w:t>）一般工业固体废物贮存场所（设施）</w:t>
            </w:r>
          </w:p>
          <w:p w14:paraId="3F47C613">
            <w:pPr>
              <w:pStyle w:val="136"/>
              <w:spacing w:line="360" w:lineRule="auto"/>
              <w:ind w:firstLine="478" w:firstLineChars="200"/>
              <w:rPr>
                <w:rFonts w:ascii="Times New Roman" w:hAnsi="Times New Roman" w:cs="Times New Roman"/>
                <w:b/>
                <w:spacing w:val="-1"/>
                <w:u w:val="single"/>
                <w:lang w:eastAsia="zh-CN"/>
              </w:rPr>
            </w:pPr>
            <w:r>
              <w:rPr>
                <w:rFonts w:ascii="Times New Roman" w:hAnsi="Times New Roman" w:cs="Times New Roman"/>
                <w:b/>
                <w:spacing w:val="-1"/>
                <w:u w:val="single"/>
                <w:lang w:eastAsia="zh-CN"/>
              </w:rPr>
              <w:t>本项目一般工业固废应按照相关要求分类收集贮存，暂存场所应满足《一般工业固体废物贮存和填埋污染物控制标准》（GB18599-2020）、《环境保护图形标志-固体废物贮存（处置）场》（GB15562.2-1995）及修改单等规定要求。</w:t>
            </w:r>
          </w:p>
          <w:p w14:paraId="466A5609">
            <w:pPr>
              <w:pStyle w:val="136"/>
              <w:spacing w:line="360" w:lineRule="auto"/>
              <w:ind w:firstLine="478" w:firstLineChars="200"/>
              <w:rPr>
                <w:rFonts w:cs="Times New Roman" w:asciiTheme="majorEastAsia" w:hAnsiTheme="majorEastAsia" w:eastAsiaTheme="majorEastAsia"/>
                <w:b/>
                <w:spacing w:val="-1"/>
                <w:u w:val="single"/>
                <w:lang w:eastAsia="zh-CN"/>
              </w:rPr>
            </w:pPr>
            <w:r>
              <w:rPr>
                <w:rFonts w:cs="Times New Roman" w:asciiTheme="majorEastAsia" w:hAnsiTheme="majorEastAsia" w:eastAsiaTheme="majorEastAsia"/>
                <w:b/>
                <w:spacing w:val="-1"/>
                <w:u w:val="single"/>
                <w:lang w:eastAsia="zh-CN"/>
              </w:rPr>
              <w:t>①不相容的一般工业固体废物应设置不同的分区进行贮存和消纳作业。</w:t>
            </w:r>
          </w:p>
          <w:p w14:paraId="1DDCDD32">
            <w:pPr>
              <w:pStyle w:val="136"/>
              <w:spacing w:line="360" w:lineRule="auto"/>
              <w:ind w:firstLine="478" w:firstLineChars="200"/>
              <w:rPr>
                <w:rFonts w:cs="Times New Roman" w:asciiTheme="majorEastAsia" w:hAnsiTheme="majorEastAsia" w:eastAsiaTheme="majorEastAsia"/>
                <w:b/>
                <w:spacing w:val="-1"/>
                <w:u w:val="single"/>
                <w:lang w:eastAsia="zh-CN"/>
              </w:rPr>
            </w:pPr>
            <w:r>
              <w:rPr>
                <w:rFonts w:cs="Times New Roman" w:asciiTheme="majorEastAsia" w:hAnsiTheme="majorEastAsia" w:eastAsiaTheme="majorEastAsia"/>
                <w:b/>
                <w:spacing w:val="-1"/>
                <w:u w:val="single"/>
                <w:lang w:eastAsia="zh-CN"/>
              </w:rPr>
              <w:t>②危险废物和生活垃圾不得进入一般工业固体废物贮存场。</w:t>
            </w:r>
          </w:p>
          <w:p w14:paraId="0FC27D04">
            <w:pPr>
              <w:pStyle w:val="136"/>
              <w:spacing w:line="360" w:lineRule="auto"/>
              <w:ind w:firstLine="478" w:firstLineChars="200"/>
              <w:rPr>
                <w:rFonts w:ascii="Times New Roman" w:hAnsi="Times New Roman" w:cs="Times New Roman"/>
                <w:b/>
                <w:spacing w:val="-1"/>
                <w:u w:val="single"/>
                <w:lang w:eastAsia="zh-CN"/>
              </w:rPr>
            </w:pPr>
            <w:r>
              <w:rPr>
                <w:rFonts w:cs="Times New Roman" w:asciiTheme="majorEastAsia" w:hAnsiTheme="majorEastAsia" w:eastAsiaTheme="majorEastAsia"/>
                <w:b/>
                <w:spacing w:val="-1"/>
                <w:u w:val="single"/>
                <w:lang w:eastAsia="zh-CN"/>
              </w:rPr>
              <w:t>③贮</w:t>
            </w:r>
            <w:r>
              <w:rPr>
                <w:rFonts w:ascii="Times New Roman" w:hAnsi="Times New Roman" w:cs="Times New Roman"/>
                <w:b/>
                <w:spacing w:val="-1"/>
                <w:u w:val="single"/>
                <w:lang w:eastAsia="zh-CN"/>
              </w:rPr>
              <w:t>存场的环境保护图形标志应符合《环境保护图形标志-固体废物贮存（处置）场》（GB15562.2）的规定，并应定期检查和维护。</w:t>
            </w:r>
          </w:p>
          <w:p w14:paraId="321280F4">
            <w:pPr>
              <w:pStyle w:val="136"/>
              <w:spacing w:line="360" w:lineRule="auto"/>
              <w:ind w:firstLine="478" w:firstLineChars="200"/>
              <w:rPr>
                <w:rFonts w:cs="Times New Roman" w:asciiTheme="majorEastAsia" w:hAnsiTheme="majorEastAsia" w:eastAsiaTheme="majorEastAsia"/>
                <w:b/>
                <w:spacing w:val="-1"/>
                <w:u w:val="single"/>
                <w:lang w:eastAsia="zh-CN"/>
              </w:rPr>
            </w:pPr>
            <w:r>
              <w:rPr>
                <w:rFonts w:cs="Times New Roman" w:asciiTheme="majorEastAsia" w:hAnsiTheme="majorEastAsia" w:eastAsiaTheme="majorEastAsia"/>
                <w:b/>
                <w:spacing w:val="-1"/>
                <w:u w:val="single"/>
                <w:lang w:eastAsia="zh-CN"/>
              </w:rPr>
              <w:t>④易产生扬尘的贮存或消纳场应采取分区作业、覆盖、洒水等有效抑尘措施防止扬尘污染。</w:t>
            </w:r>
          </w:p>
          <w:p w14:paraId="7BF3269E">
            <w:pPr>
              <w:pStyle w:val="136"/>
              <w:spacing w:line="360" w:lineRule="auto"/>
              <w:ind w:firstLine="478" w:firstLineChars="200"/>
              <w:rPr>
                <w:rFonts w:cs="Times New Roman" w:asciiTheme="majorEastAsia" w:hAnsiTheme="majorEastAsia" w:eastAsiaTheme="majorEastAsia"/>
                <w:b/>
                <w:spacing w:val="-1"/>
                <w:u w:val="single"/>
                <w:lang w:eastAsia="zh-CN"/>
              </w:rPr>
            </w:pPr>
            <w:r>
              <w:rPr>
                <w:rFonts w:cs="Times New Roman" w:asciiTheme="majorEastAsia" w:hAnsiTheme="majorEastAsia" w:eastAsiaTheme="majorEastAsia"/>
                <w:b/>
                <w:spacing w:val="-1"/>
                <w:u w:val="single"/>
                <w:lang w:eastAsia="zh-CN"/>
              </w:rPr>
              <w:t>⑤贮存场投入运行之前，企业应制定突发环境事件应急预案或在突发事件应急预案中制定环境应急预案专章，说明各种可能发生的突发环境事件情景及应急处置措施。</w:t>
            </w:r>
          </w:p>
          <w:p w14:paraId="138C982C">
            <w:pPr>
              <w:pStyle w:val="136"/>
              <w:spacing w:line="360" w:lineRule="auto"/>
              <w:ind w:firstLine="478" w:firstLineChars="200"/>
              <w:rPr>
                <w:rFonts w:cs="Times New Roman" w:asciiTheme="majorEastAsia" w:hAnsiTheme="majorEastAsia" w:eastAsiaTheme="majorEastAsia"/>
                <w:b/>
                <w:spacing w:val="-1"/>
                <w:u w:val="single"/>
                <w:lang w:eastAsia="zh-CN"/>
              </w:rPr>
            </w:pPr>
            <w:r>
              <w:rPr>
                <w:rFonts w:cs="Times New Roman" w:asciiTheme="majorEastAsia" w:hAnsiTheme="majorEastAsia" w:eastAsiaTheme="majorEastAsia"/>
                <w:b/>
                <w:spacing w:val="-1"/>
                <w:u w:val="single"/>
                <w:lang w:eastAsia="zh-CN"/>
              </w:rPr>
              <w:t>⑥贮存场应制定运行计划，运行管理人员应定期参加企业的岗位培训。</w:t>
            </w:r>
          </w:p>
          <w:p w14:paraId="02DB4C09">
            <w:pPr>
              <w:pStyle w:val="136"/>
              <w:spacing w:line="360" w:lineRule="auto"/>
              <w:ind w:firstLine="478" w:firstLineChars="200"/>
              <w:rPr>
                <w:rFonts w:ascii="Times New Roman" w:hAnsi="Times New Roman" w:cs="Times New Roman"/>
                <w:b/>
                <w:spacing w:val="-1"/>
                <w:u w:val="single"/>
                <w:lang w:eastAsia="zh-CN"/>
              </w:rPr>
            </w:pPr>
            <w:r>
              <w:rPr>
                <w:rFonts w:cs="Times New Roman" w:asciiTheme="majorEastAsia" w:hAnsiTheme="majorEastAsia" w:eastAsiaTheme="majorEastAsia"/>
                <w:b/>
                <w:spacing w:val="-1"/>
                <w:u w:val="single"/>
                <w:lang w:eastAsia="zh-CN"/>
              </w:rPr>
              <w:t>⑦</w:t>
            </w:r>
            <w:r>
              <w:rPr>
                <w:rFonts w:ascii="Times New Roman" w:hAnsi="Times New Roman" w:cs="Times New Roman"/>
                <w:b/>
                <w:spacing w:val="-1"/>
                <w:u w:val="single"/>
                <w:lang w:eastAsia="zh-CN"/>
              </w:rPr>
              <w:t>贮存场运行企业应建立档案管理制度，并按照国家档案管理等法律法规进行 整理与归档，永久保存。</w:t>
            </w:r>
          </w:p>
          <w:p w14:paraId="4F10254E">
            <w:pPr>
              <w:pStyle w:val="136"/>
              <w:spacing w:line="360" w:lineRule="auto"/>
              <w:ind w:left="476"/>
              <w:rPr>
                <w:rFonts w:ascii="Times New Roman" w:hAnsi="Times New Roman" w:cs="Times New Roman"/>
                <w:b/>
                <w:spacing w:val="-1"/>
                <w:u w:val="single"/>
                <w:lang w:eastAsia="zh-CN"/>
              </w:rPr>
            </w:pPr>
            <w:r>
              <w:rPr>
                <w:rFonts w:ascii="Times New Roman" w:hAnsi="Times New Roman" w:cs="Times New Roman"/>
                <w:b/>
                <w:spacing w:val="-1"/>
                <w:u w:val="single"/>
                <w:lang w:eastAsia="zh-CN"/>
              </w:rPr>
              <w:t>（</w:t>
            </w:r>
            <w:r>
              <w:rPr>
                <w:rFonts w:hint="eastAsia" w:ascii="Times New Roman" w:hAnsi="Times New Roman" w:cs="Times New Roman"/>
                <w:b/>
                <w:spacing w:val="-1"/>
                <w:u w:val="single"/>
                <w:lang w:eastAsia="zh-CN"/>
              </w:rPr>
              <w:t>2</w:t>
            </w:r>
            <w:r>
              <w:rPr>
                <w:rFonts w:ascii="Times New Roman" w:hAnsi="Times New Roman" w:cs="Times New Roman"/>
                <w:b/>
                <w:spacing w:val="-1"/>
                <w:u w:val="single"/>
                <w:lang w:eastAsia="zh-CN"/>
              </w:rPr>
              <w:t>）危险废物贮存场所（设施）</w:t>
            </w:r>
          </w:p>
          <w:p w14:paraId="2C5991C0">
            <w:pPr>
              <w:pStyle w:val="136"/>
              <w:spacing w:line="360" w:lineRule="auto"/>
              <w:ind w:firstLine="478" w:firstLineChars="200"/>
              <w:rPr>
                <w:rFonts w:ascii="Times New Roman" w:hAnsi="Times New Roman" w:cs="Times New Roman"/>
                <w:b/>
                <w:spacing w:val="-1"/>
                <w:u w:val="single"/>
                <w:lang w:eastAsia="zh-CN"/>
              </w:rPr>
            </w:pPr>
            <w:r>
              <w:rPr>
                <w:rFonts w:ascii="Times New Roman" w:hAnsi="Times New Roman" w:cs="Times New Roman"/>
                <w:b/>
                <w:spacing w:val="-1"/>
                <w:u w:val="single"/>
                <w:lang w:eastAsia="zh-CN"/>
              </w:rPr>
              <w:t>危险废物贮存场所拟按《危险废物贮存污染物控制标准》（GB18597-2023）要求设置，要求做到以下几点：</w:t>
            </w:r>
          </w:p>
          <w:p w14:paraId="20D208E0">
            <w:pPr>
              <w:pStyle w:val="136"/>
              <w:spacing w:line="360" w:lineRule="auto"/>
              <w:ind w:firstLine="478" w:firstLineChars="200"/>
              <w:rPr>
                <w:rFonts w:ascii="Times New Roman" w:hAnsi="Times New Roman" w:cs="Times New Roman"/>
                <w:b/>
                <w:spacing w:val="-1"/>
                <w:u w:val="single"/>
                <w:lang w:eastAsia="zh-CN"/>
              </w:rPr>
            </w:pPr>
            <w:r>
              <w:rPr>
                <w:rFonts w:cs="Times New Roman" w:asciiTheme="minorEastAsia" w:hAnsiTheme="minorEastAsia" w:eastAsiaTheme="minorEastAsia"/>
                <w:b/>
                <w:spacing w:val="-1"/>
                <w:u w:val="single"/>
                <w:lang w:eastAsia="zh-CN"/>
              </w:rPr>
              <w:t>①</w:t>
            </w:r>
            <w:r>
              <w:rPr>
                <w:rFonts w:ascii="Times New Roman" w:cs="Times New Roman" w:hAnsiTheme="minorEastAsia" w:eastAsiaTheme="minorEastAsia"/>
                <w:b/>
                <w:spacing w:val="-1"/>
                <w:u w:val="single"/>
                <w:lang w:eastAsia="zh-CN"/>
              </w:rPr>
              <w:t>废</w:t>
            </w:r>
            <w:r>
              <w:rPr>
                <w:rFonts w:ascii="Times New Roman" w:hAnsi="Times New Roman" w:cs="Times New Roman"/>
                <w:b/>
                <w:spacing w:val="-1"/>
                <w:u w:val="single"/>
                <w:lang w:eastAsia="zh-CN"/>
              </w:rPr>
              <w:t>物贮存设施必须按照</w:t>
            </w:r>
            <w:r>
              <w:rPr>
                <w:rFonts w:ascii="Times New Roman" w:cs="Times New Roman"/>
                <w:b/>
                <w:u w:val="single"/>
                <w:lang w:eastAsia="zh-CN"/>
              </w:rPr>
              <w:t>《危险废物识别标志设置技术规范》（</w:t>
            </w:r>
            <w:r>
              <w:rPr>
                <w:rFonts w:ascii="Times New Roman" w:hAnsi="Times New Roman" w:cs="Times New Roman"/>
                <w:b/>
                <w:u w:val="single"/>
                <w:lang w:eastAsia="zh-CN"/>
              </w:rPr>
              <w:t>HJ1276-2022</w:t>
            </w:r>
            <w:r>
              <w:rPr>
                <w:rFonts w:ascii="Times New Roman" w:cs="Times New Roman"/>
                <w:b/>
                <w:u w:val="single"/>
                <w:lang w:eastAsia="zh-CN"/>
              </w:rPr>
              <w:t>）要求设</w:t>
            </w:r>
            <w:r>
              <w:rPr>
                <w:b/>
                <w:u w:val="single"/>
                <w:lang w:eastAsia="zh-CN"/>
              </w:rPr>
              <w:t>置环境保护图形标志</w:t>
            </w:r>
            <w:r>
              <w:rPr>
                <w:rFonts w:hint="eastAsia" w:ascii="Times New Roman" w:hAnsi="Times New Roman" w:cs="Times New Roman"/>
                <w:b/>
                <w:spacing w:val="-1"/>
                <w:u w:val="single"/>
                <w:lang w:eastAsia="zh-CN"/>
              </w:rPr>
              <w:t>，</w:t>
            </w:r>
            <w:r>
              <w:rPr>
                <w:rFonts w:ascii="Times New Roman" w:hAnsi="Times New Roman" w:cs="Times New Roman"/>
                <w:b/>
                <w:spacing w:val="-1"/>
                <w:u w:val="single"/>
                <w:lang w:eastAsia="zh-CN"/>
              </w:rPr>
              <w:t>落实相关信息公开制度；</w:t>
            </w:r>
          </w:p>
          <w:p w14:paraId="797A1D2D">
            <w:pPr>
              <w:pStyle w:val="136"/>
              <w:spacing w:line="360" w:lineRule="auto"/>
              <w:ind w:firstLine="478" w:firstLineChars="200"/>
              <w:rPr>
                <w:rFonts w:cs="Times New Roman" w:asciiTheme="majorEastAsia" w:hAnsiTheme="majorEastAsia" w:eastAsiaTheme="majorEastAsia"/>
                <w:b/>
                <w:spacing w:val="-1"/>
                <w:u w:val="single"/>
                <w:lang w:eastAsia="zh-CN"/>
              </w:rPr>
            </w:pPr>
            <w:r>
              <w:rPr>
                <w:rFonts w:cs="Times New Roman" w:asciiTheme="majorEastAsia" w:hAnsiTheme="majorEastAsia" w:eastAsiaTheme="majorEastAsia"/>
                <w:b/>
                <w:spacing w:val="-1"/>
                <w:u w:val="single"/>
                <w:lang w:eastAsia="zh-CN"/>
              </w:rPr>
              <w:t>②废物贮存设施周围应设置围堰或围墙，禁止无关人员进入；</w:t>
            </w:r>
          </w:p>
          <w:p w14:paraId="30CFC9AE">
            <w:pPr>
              <w:pStyle w:val="136"/>
              <w:spacing w:line="360" w:lineRule="auto"/>
              <w:ind w:firstLine="478" w:firstLineChars="200"/>
              <w:rPr>
                <w:rFonts w:cs="Times New Roman" w:asciiTheme="majorEastAsia" w:hAnsiTheme="majorEastAsia" w:eastAsiaTheme="majorEastAsia"/>
                <w:b/>
                <w:spacing w:val="-1"/>
                <w:u w:val="single"/>
                <w:lang w:eastAsia="zh-CN"/>
              </w:rPr>
            </w:pPr>
            <w:r>
              <w:rPr>
                <w:rFonts w:cs="Times New Roman" w:asciiTheme="majorEastAsia" w:hAnsiTheme="majorEastAsia" w:eastAsiaTheme="majorEastAsia"/>
                <w:b/>
                <w:spacing w:val="-1"/>
                <w:u w:val="single"/>
                <w:lang w:eastAsia="zh-CN"/>
              </w:rPr>
              <w:t>③废物贮存设施应配备照明设施、应急防护工具，在关键位置设置在线视频监控，装载废物的容器应完好无损；</w:t>
            </w:r>
          </w:p>
          <w:p w14:paraId="5D0E9F03">
            <w:pPr>
              <w:pStyle w:val="136"/>
              <w:spacing w:line="360" w:lineRule="auto"/>
              <w:ind w:firstLine="478" w:firstLineChars="200"/>
              <w:rPr>
                <w:rFonts w:cs="Times New Roman" w:asciiTheme="majorEastAsia" w:hAnsiTheme="majorEastAsia" w:eastAsiaTheme="majorEastAsia"/>
                <w:b/>
                <w:spacing w:val="-1"/>
                <w:u w:val="single"/>
                <w:lang w:eastAsia="zh-CN"/>
              </w:rPr>
            </w:pPr>
            <w:r>
              <w:rPr>
                <w:rFonts w:cs="Times New Roman" w:asciiTheme="majorEastAsia" w:hAnsiTheme="majorEastAsia" w:eastAsiaTheme="majorEastAsia"/>
                <w:b/>
                <w:spacing w:val="-1"/>
                <w:u w:val="single"/>
                <w:lang w:eastAsia="zh-CN"/>
              </w:rPr>
              <w:t>④贮存场所地面硬化及防渗处理，设置废水倒排渠道，地面冲洗废水纳入企业废水处理设施处理或危险废物管理；</w:t>
            </w:r>
          </w:p>
          <w:p w14:paraId="39F27968">
            <w:pPr>
              <w:pStyle w:val="136"/>
              <w:spacing w:line="360" w:lineRule="auto"/>
              <w:ind w:firstLine="478" w:firstLineChars="200"/>
              <w:rPr>
                <w:rFonts w:cs="Times New Roman" w:asciiTheme="majorEastAsia" w:hAnsiTheme="majorEastAsia" w:eastAsiaTheme="majorEastAsia"/>
                <w:b/>
                <w:spacing w:val="-1"/>
                <w:u w:val="single"/>
                <w:lang w:eastAsia="zh-CN"/>
              </w:rPr>
            </w:pPr>
            <w:r>
              <w:rPr>
                <w:rFonts w:cs="Times New Roman" w:asciiTheme="majorEastAsia" w:hAnsiTheme="majorEastAsia" w:eastAsiaTheme="majorEastAsia"/>
                <w:b/>
                <w:spacing w:val="-1"/>
                <w:u w:val="single"/>
                <w:lang w:eastAsia="zh-CN"/>
              </w:rPr>
              <w:t>⑤建设单位收集危险废物后，放置在厂内的危废暂存间的同时做好危险废物情况的记录，记录上注明危险废物名称、数量及处置单位名称；</w:t>
            </w:r>
          </w:p>
          <w:p w14:paraId="518489DF">
            <w:pPr>
              <w:pStyle w:val="136"/>
              <w:spacing w:line="360" w:lineRule="auto"/>
              <w:ind w:firstLine="478" w:firstLineChars="200"/>
              <w:rPr>
                <w:rFonts w:cs="Times New Roman" w:asciiTheme="majorEastAsia" w:hAnsiTheme="majorEastAsia" w:eastAsiaTheme="majorEastAsia"/>
                <w:b/>
                <w:spacing w:val="-1"/>
                <w:u w:val="single"/>
                <w:lang w:eastAsia="zh-CN"/>
              </w:rPr>
            </w:pPr>
            <w:r>
              <w:rPr>
                <w:rFonts w:cs="Times New Roman" w:asciiTheme="majorEastAsia" w:hAnsiTheme="majorEastAsia" w:eastAsiaTheme="majorEastAsia"/>
                <w:b/>
                <w:spacing w:val="-1"/>
                <w:u w:val="single"/>
                <w:lang w:eastAsia="zh-CN"/>
              </w:rPr>
              <w:t>⑥危险废物申报登记，建设单位应做到危废转移申报、转移联单等相关手续，需满足《关于加强危险废物交换和转移管理工作的通知》要求。加强对固体废物管理，做好跟踪管理，建立管理台账，如实记载危险废物的种类、数量、性质、产生环节、流向、贮存、利用处置等信息；</w:t>
            </w:r>
          </w:p>
          <w:p w14:paraId="2926A08E">
            <w:pPr>
              <w:pStyle w:val="136"/>
              <w:spacing w:line="360" w:lineRule="auto"/>
              <w:ind w:firstLine="478" w:firstLineChars="200"/>
              <w:rPr>
                <w:rFonts w:cs="Times New Roman" w:asciiTheme="majorEastAsia" w:hAnsiTheme="majorEastAsia" w:eastAsiaTheme="majorEastAsia"/>
                <w:b/>
                <w:spacing w:val="-1"/>
                <w:u w:val="single"/>
                <w:lang w:eastAsia="zh-CN"/>
              </w:rPr>
            </w:pPr>
            <w:r>
              <w:rPr>
                <w:rFonts w:cs="Times New Roman" w:asciiTheme="majorEastAsia" w:hAnsiTheme="majorEastAsia" w:eastAsiaTheme="majorEastAsia"/>
                <w:b/>
                <w:spacing w:val="-1"/>
                <w:u w:val="single"/>
                <w:lang w:eastAsia="zh-CN"/>
              </w:rPr>
              <w:t>⑦在转移危险废物前，须按照国家有关规定报批危险废物转移计划；经批准后，应向移出地环境保护行政主管部门申请。产生单位应当在危险废物转移前三日报告移出地环境保护行政主管部门，并同时将预期到达时间报告接受地环境保护行政主管部门；</w:t>
            </w:r>
          </w:p>
          <w:p w14:paraId="4354974E">
            <w:pPr>
              <w:pStyle w:val="136"/>
              <w:spacing w:line="360" w:lineRule="auto"/>
              <w:ind w:firstLine="478" w:firstLineChars="200"/>
              <w:rPr>
                <w:rFonts w:ascii="Times New Roman" w:hAnsi="Times New Roman" w:cs="Times New Roman"/>
                <w:b/>
                <w:spacing w:val="-1"/>
                <w:u w:val="single"/>
                <w:lang w:eastAsia="zh-CN"/>
              </w:rPr>
            </w:pPr>
            <w:r>
              <w:rPr>
                <w:rFonts w:cs="Times New Roman" w:asciiTheme="majorEastAsia" w:hAnsiTheme="majorEastAsia" w:eastAsiaTheme="majorEastAsia"/>
                <w:b/>
                <w:spacing w:val="-1"/>
                <w:u w:val="single"/>
                <w:lang w:eastAsia="zh-CN"/>
              </w:rPr>
              <w:t>⑧危险废物委托处置单位应具备相应资质，运输车辆须经主管单位检查，并持有</w:t>
            </w:r>
            <w:r>
              <w:rPr>
                <w:rFonts w:hint="eastAsia" w:cs="Times New Roman" w:asciiTheme="majorEastAsia" w:hAnsiTheme="majorEastAsia" w:eastAsiaTheme="majorEastAsia"/>
                <w:b/>
                <w:spacing w:val="-1"/>
                <w:u w:val="single"/>
                <w:lang w:eastAsia="zh-CN"/>
              </w:rPr>
              <w:t>有关</w:t>
            </w:r>
            <w:r>
              <w:rPr>
                <w:rFonts w:cs="Times New Roman" w:asciiTheme="majorEastAsia" w:hAnsiTheme="majorEastAsia" w:eastAsiaTheme="majorEastAsia"/>
                <w:b/>
                <w:spacing w:val="-1"/>
                <w:u w:val="single"/>
                <w:lang w:eastAsia="zh-CN"/>
              </w:rPr>
              <w:t>单位签</w:t>
            </w:r>
            <w:r>
              <w:rPr>
                <w:rFonts w:ascii="Times New Roman" w:hAnsi="Times New Roman" w:cs="Times New Roman"/>
                <w:b/>
                <w:spacing w:val="-1"/>
                <w:u w:val="single"/>
                <w:lang w:eastAsia="zh-CN"/>
              </w:rPr>
              <w:t>发的许可证，承载危险废物的车辆须有明显的标志。</w:t>
            </w:r>
          </w:p>
          <w:p w14:paraId="240310BE">
            <w:pPr>
              <w:spacing w:line="360" w:lineRule="auto"/>
              <w:ind w:firstLine="482" w:firstLineChars="200"/>
              <w:jc w:val="left"/>
              <w:rPr>
                <w:b/>
                <w:sz w:val="24"/>
              </w:rPr>
            </w:pPr>
            <w:r>
              <w:rPr>
                <w:rFonts w:hint="eastAsia"/>
                <w:b/>
                <w:sz w:val="24"/>
              </w:rPr>
              <w:t>5、地下水、土壤环境影响分析</w:t>
            </w:r>
          </w:p>
          <w:p w14:paraId="582DB082">
            <w:pPr>
              <w:spacing w:line="360" w:lineRule="auto"/>
              <w:ind w:firstLine="480" w:firstLineChars="200"/>
              <w:rPr>
                <w:sz w:val="24"/>
              </w:rPr>
            </w:pPr>
            <w:r>
              <w:rPr>
                <w:rFonts w:hint="eastAsia"/>
                <w:sz w:val="24"/>
              </w:rPr>
              <w:t>本项目属于C1353肉制品及副产品加工、C4430热力生产和供应，主要从事饲料用动物油脂和动物油渣制品生产及销售。</w:t>
            </w:r>
          </w:p>
          <w:p w14:paraId="626BD939">
            <w:pPr>
              <w:spacing w:line="360" w:lineRule="auto"/>
              <w:ind w:firstLine="480" w:firstLineChars="200"/>
              <w:rPr>
                <w:sz w:val="24"/>
              </w:rPr>
            </w:pPr>
            <w:r>
              <w:rPr>
                <w:rFonts w:hint="eastAsia"/>
                <w:sz w:val="24"/>
              </w:rPr>
              <w:t>正常工况下，本项目对土壤及地下水主要污染为废气，涉及废气污染物为</w:t>
            </w:r>
            <w:r>
              <w:rPr>
                <w:rFonts w:hint="eastAsia"/>
                <w:spacing w:val="-4"/>
                <w:sz w:val="24"/>
              </w:rPr>
              <w:t>油烟、</w:t>
            </w:r>
            <w:r>
              <w:rPr>
                <w:spacing w:val="-4"/>
                <w:sz w:val="24"/>
              </w:rPr>
              <w:t>NH</w:t>
            </w:r>
            <w:r>
              <w:rPr>
                <w:spacing w:val="-4"/>
                <w:sz w:val="24"/>
                <w:vertAlign w:val="subscript"/>
              </w:rPr>
              <w:t>3</w:t>
            </w:r>
            <w:r>
              <w:rPr>
                <w:rFonts w:hint="eastAsia"/>
                <w:spacing w:val="-4"/>
                <w:sz w:val="24"/>
              </w:rPr>
              <w:t>、</w:t>
            </w:r>
            <w:r>
              <w:rPr>
                <w:spacing w:val="-4"/>
                <w:sz w:val="24"/>
              </w:rPr>
              <w:t>H</w:t>
            </w:r>
            <w:r>
              <w:rPr>
                <w:spacing w:val="-4"/>
                <w:sz w:val="24"/>
                <w:vertAlign w:val="subscript"/>
              </w:rPr>
              <w:t>2</w:t>
            </w:r>
            <w:r>
              <w:rPr>
                <w:spacing w:val="-4"/>
                <w:sz w:val="24"/>
              </w:rPr>
              <w:t>S、</w:t>
            </w:r>
            <w:r>
              <w:rPr>
                <w:rFonts w:hint="eastAsia"/>
                <w:color w:val="000000"/>
                <w:sz w:val="24"/>
              </w:rPr>
              <w:t>臭气浓度、</w:t>
            </w:r>
            <w:r>
              <w:rPr>
                <w:rFonts w:hint="eastAsia"/>
                <w:spacing w:val="-4"/>
                <w:sz w:val="24"/>
              </w:rPr>
              <w:t>烟尘、</w:t>
            </w:r>
            <w:r>
              <w:rPr>
                <w:spacing w:val="-4"/>
                <w:sz w:val="24"/>
              </w:rPr>
              <w:t>SO</w:t>
            </w:r>
            <w:r>
              <w:rPr>
                <w:spacing w:val="-4"/>
                <w:sz w:val="24"/>
                <w:vertAlign w:val="subscript"/>
              </w:rPr>
              <w:t>2</w:t>
            </w:r>
            <w:r>
              <w:rPr>
                <w:rFonts w:hint="eastAsia"/>
                <w:spacing w:val="-4"/>
                <w:sz w:val="24"/>
              </w:rPr>
              <w:t>及</w:t>
            </w:r>
            <w:r>
              <w:rPr>
                <w:spacing w:val="-4"/>
                <w:sz w:val="24"/>
              </w:rPr>
              <w:t>NO</w:t>
            </w:r>
            <w:r>
              <w:rPr>
                <w:spacing w:val="-4"/>
                <w:sz w:val="24"/>
                <w:vertAlign w:val="subscript"/>
              </w:rPr>
              <w:t>X</w:t>
            </w:r>
            <w:r>
              <w:rPr>
                <w:rFonts w:hint="eastAsia"/>
                <w:sz w:val="24"/>
              </w:rPr>
              <w:t>，各废气产生工序进行二次密闭处理，减少无组织废气排放，收集废气经废气处理措施处理后达标排放，对土壤及地下水环境影响较小。</w:t>
            </w:r>
          </w:p>
          <w:p w14:paraId="48916F26">
            <w:pPr>
              <w:spacing w:line="360" w:lineRule="auto"/>
              <w:ind w:firstLine="480" w:firstLineChars="200"/>
              <w:rPr>
                <w:sz w:val="24"/>
              </w:rPr>
            </w:pPr>
            <w:r>
              <w:rPr>
                <w:rFonts w:hint="eastAsia"/>
                <w:sz w:val="24"/>
              </w:rPr>
              <w:t>在非正常工况下，项目废水发生泄漏时，如厂区地面未采取防渗措施，污染物会经过表土入渗，对土壤、地下水环境造成影响，因此项目厂区需进行分区防渗。</w:t>
            </w:r>
          </w:p>
          <w:p w14:paraId="5971AADE">
            <w:pPr>
              <w:spacing w:line="360" w:lineRule="auto"/>
              <w:ind w:firstLine="472" w:firstLineChars="196"/>
              <w:rPr>
                <w:b/>
                <w:bCs/>
                <w:sz w:val="24"/>
                <w:u w:val="single"/>
              </w:rPr>
            </w:pPr>
            <w:r>
              <w:rPr>
                <w:rFonts w:hint="eastAsia"/>
                <w:b/>
                <w:bCs/>
                <w:sz w:val="24"/>
                <w:u w:val="single"/>
              </w:rPr>
              <w:t>根据《环境影响评价技术导则 地下水环境》（</w:t>
            </w:r>
            <w:r>
              <w:rPr>
                <w:b/>
                <w:bCs/>
                <w:sz w:val="24"/>
                <w:u w:val="single"/>
              </w:rPr>
              <w:t>HJ610-2016</w:t>
            </w:r>
            <w:r>
              <w:rPr>
                <w:rFonts w:hint="eastAsia"/>
                <w:b/>
                <w:bCs/>
                <w:sz w:val="24"/>
                <w:u w:val="single"/>
              </w:rPr>
              <w:t>）的相关内容，将厂区分为重点防渗区、一般防渗区及简单防渗区，本项目厂区的具体污染防渗分区见下表。</w:t>
            </w:r>
          </w:p>
          <w:p w14:paraId="2CBFDC07">
            <w:pPr>
              <w:snapToGrid w:val="0"/>
              <w:jc w:val="center"/>
              <w:rPr>
                <w:rFonts w:hAnsi="宋体"/>
                <w:b/>
                <w:sz w:val="24"/>
                <w:u w:val="single"/>
              </w:rPr>
            </w:pPr>
          </w:p>
          <w:p w14:paraId="54D8C241">
            <w:pPr>
              <w:snapToGrid w:val="0"/>
              <w:jc w:val="center"/>
              <w:rPr>
                <w:rFonts w:hAnsi="宋体"/>
                <w:b/>
                <w:sz w:val="24"/>
                <w:u w:val="single"/>
              </w:rPr>
            </w:pPr>
            <w:r>
              <w:rPr>
                <w:rFonts w:hint="eastAsia" w:hAnsi="宋体"/>
                <w:b/>
                <w:sz w:val="24"/>
                <w:u w:val="single"/>
              </w:rPr>
              <w:t>表</w:t>
            </w:r>
            <w:r>
              <w:rPr>
                <w:rFonts w:hint="eastAsia"/>
                <w:b/>
                <w:sz w:val="24"/>
                <w:u w:val="single"/>
              </w:rPr>
              <w:t xml:space="preserve">32    </w:t>
            </w:r>
            <w:r>
              <w:rPr>
                <w:rFonts w:hint="eastAsia" w:hAnsi="宋体"/>
                <w:b/>
                <w:sz w:val="24"/>
                <w:u w:val="single"/>
              </w:rPr>
              <w:t>本项目厂区污染防治分区一览表</w:t>
            </w:r>
          </w:p>
          <w:tbl>
            <w:tblPr>
              <w:tblStyle w:val="29"/>
              <w:tblW w:w="5000"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0" w:type="dxa"/>
                <w:bottom w:w="0" w:type="dxa"/>
                <w:right w:w="0" w:type="dxa"/>
              </w:tblCellMar>
            </w:tblPr>
            <w:tblGrid>
              <w:gridCol w:w="529"/>
              <w:gridCol w:w="3585"/>
              <w:gridCol w:w="1275"/>
              <w:gridCol w:w="2829"/>
            </w:tblGrid>
            <w:tr w14:paraId="2169D86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97" w:hRule="atLeast"/>
              </w:trPr>
              <w:tc>
                <w:tcPr>
                  <w:tcW w:w="322" w:type="pct"/>
                  <w:tcBorders>
                    <w:top w:val="single" w:color="auto" w:sz="6" w:space="0"/>
                    <w:left w:val="single" w:color="auto" w:sz="6" w:space="0"/>
                    <w:bottom w:val="single" w:color="auto" w:sz="6" w:space="0"/>
                    <w:right w:val="single" w:color="auto" w:sz="6" w:space="0"/>
                  </w:tcBorders>
                  <w:vAlign w:val="center"/>
                </w:tcPr>
                <w:p w14:paraId="67C922DD">
                  <w:pPr>
                    <w:ind w:left="28" w:leftChars="-38" w:right="-80" w:rightChars="-38" w:hanging="108" w:hangingChars="51"/>
                    <w:jc w:val="center"/>
                    <w:rPr>
                      <w:b/>
                      <w:bCs/>
                      <w:szCs w:val="21"/>
                      <w:u w:val="single"/>
                    </w:rPr>
                  </w:pPr>
                  <w:r>
                    <w:rPr>
                      <w:rFonts w:hint="eastAsia"/>
                      <w:b/>
                      <w:szCs w:val="21"/>
                      <w:u w:val="single"/>
                    </w:rPr>
                    <w:t>序号</w:t>
                  </w:r>
                </w:p>
              </w:tc>
              <w:tc>
                <w:tcPr>
                  <w:tcW w:w="2181" w:type="pct"/>
                  <w:tcBorders>
                    <w:top w:val="single" w:color="auto" w:sz="6" w:space="0"/>
                    <w:left w:val="single" w:color="auto" w:sz="6" w:space="0"/>
                    <w:bottom w:val="single" w:color="auto" w:sz="6" w:space="0"/>
                    <w:right w:val="single" w:color="auto" w:sz="6" w:space="0"/>
                  </w:tcBorders>
                  <w:vAlign w:val="center"/>
                </w:tcPr>
                <w:p w14:paraId="3E8D2382">
                  <w:pPr>
                    <w:jc w:val="center"/>
                    <w:rPr>
                      <w:b/>
                      <w:bCs/>
                      <w:szCs w:val="21"/>
                      <w:u w:val="single"/>
                    </w:rPr>
                  </w:pPr>
                  <w:r>
                    <w:rPr>
                      <w:rFonts w:hint="eastAsia"/>
                      <w:b/>
                      <w:szCs w:val="21"/>
                      <w:u w:val="single"/>
                    </w:rPr>
                    <w:t>防渗区域及部位</w:t>
                  </w:r>
                </w:p>
              </w:tc>
              <w:tc>
                <w:tcPr>
                  <w:tcW w:w="776" w:type="pct"/>
                  <w:tcBorders>
                    <w:top w:val="single" w:color="auto" w:sz="6" w:space="0"/>
                    <w:left w:val="single" w:color="auto" w:sz="6" w:space="0"/>
                    <w:bottom w:val="single" w:color="auto" w:sz="6" w:space="0"/>
                    <w:right w:val="single" w:color="auto" w:sz="6" w:space="0"/>
                  </w:tcBorders>
                  <w:vAlign w:val="center"/>
                </w:tcPr>
                <w:p w14:paraId="131A5FAA">
                  <w:pPr>
                    <w:jc w:val="center"/>
                    <w:rPr>
                      <w:b/>
                      <w:bCs/>
                      <w:szCs w:val="21"/>
                      <w:u w:val="single"/>
                    </w:rPr>
                  </w:pPr>
                  <w:r>
                    <w:rPr>
                      <w:rFonts w:hint="eastAsia"/>
                      <w:b/>
                      <w:szCs w:val="21"/>
                      <w:u w:val="single"/>
                    </w:rPr>
                    <w:t>防渗分区等级</w:t>
                  </w:r>
                </w:p>
              </w:tc>
              <w:tc>
                <w:tcPr>
                  <w:tcW w:w="1722" w:type="pct"/>
                  <w:tcBorders>
                    <w:top w:val="single" w:color="auto" w:sz="6" w:space="0"/>
                    <w:left w:val="single" w:color="auto" w:sz="6" w:space="0"/>
                    <w:bottom w:val="single" w:color="auto" w:sz="6" w:space="0"/>
                    <w:right w:val="single" w:color="auto" w:sz="6" w:space="0"/>
                  </w:tcBorders>
                  <w:vAlign w:val="center"/>
                </w:tcPr>
                <w:p w14:paraId="0A7E6CDA">
                  <w:pPr>
                    <w:jc w:val="center"/>
                    <w:rPr>
                      <w:b/>
                      <w:bCs/>
                      <w:szCs w:val="21"/>
                      <w:u w:val="single"/>
                    </w:rPr>
                  </w:pPr>
                  <w:r>
                    <w:rPr>
                      <w:rFonts w:hint="eastAsia"/>
                      <w:b/>
                      <w:szCs w:val="21"/>
                      <w:u w:val="single"/>
                    </w:rPr>
                    <w:t>防渗性能</w:t>
                  </w:r>
                </w:p>
              </w:tc>
            </w:tr>
            <w:tr w14:paraId="1688F4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83" w:hRule="atLeast"/>
              </w:trPr>
              <w:tc>
                <w:tcPr>
                  <w:tcW w:w="322" w:type="pct"/>
                  <w:tcBorders>
                    <w:top w:val="single" w:color="auto" w:sz="6" w:space="0"/>
                    <w:left w:val="single" w:color="auto" w:sz="6" w:space="0"/>
                    <w:bottom w:val="single" w:color="auto" w:sz="6" w:space="0"/>
                    <w:right w:val="single" w:color="auto" w:sz="6" w:space="0"/>
                  </w:tcBorders>
                  <w:vAlign w:val="center"/>
                </w:tcPr>
                <w:p w14:paraId="78CEC3CD">
                  <w:pPr>
                    <w:jc w:val="center"/>
                    <w:rPr>
                      <w:b/>
                      <w:bCs/>
                      <w:szCs w:val="21"/>
                      <w:u w:val="single"/>
                    </w:rPr>
                  </w:pPr>
                  <w:r>
                    <w:rPr>
                      <w:b/>
                      <w:szCs w:val="21"/>
                      <w:u w:val="single"/>
                    </w:rPr>
                    <w:t>1</w:t>
                  </w:r>
                </w:p>
              </w:tc>
              <w:tc>
                <w:tcPr>
                  <w:tcW w:w="2181" w:type="pct"/>
                  <w:tcBorders>
                    <w:top w:val="single" w:color="auto" w:sz="6" w:space="0"/>
                    <w:left w:val="single" w:color="auto" w:sz="6" w:space="0"/>
                    <w:bottom w:val="single" w:color="auto" w:sz="6" w:space="0"/>
                    <w:right w:val="single" w:color="auto" w:sz="6" w:space="0"/>
                  </w:tcBorders>
                  <w:vAlign w:val="center"/>
                </w:tcPr>
                <w:p w14:paraId="24B2AC8B">
                  <w:pPr>
                    <w:jc w:val="center"/>
                    <w:rPr>
                      <w:b/>
                      <w:spacing w:val="-6"/>
                      <w:szCs w:val="21"/>
                      <w:u w:val="single"/>
                    </w:rPr>
                  </w:pPr>
                  <w:r>
                    <w:rPr>
                      <w:rFonts w:hint="eastAsia"/>
                      <w:b/>
                      <w:spacing w:val="-6"/>
                      <w:szCs w:val="21"/>
                      <w:u w:val="single"/>
                    </w:rPr>
                    <w:t>危废暂存间、污水处理站及</w:t>
                  </w:r>
                  <w:r>
                    <w:rPr>
                      <w:rFonts w:hint="eastAsia"/>
                      <w:b/>
                      <w:color w:val="000000"/>
                      <w:spacing w:val="-6"/>
                      <w:kern w:val="0"/>
                      <w:szCs w:val="21"/>
                      <w:u w:val="single"/>
                    </w:rPr>
                    <w:t>污水输送管线</w:t>
                  </w:r>
                  <w:r>
                    <w:rPr>
                      <w:rFonts w:hint="eastAsia"/>
                      <w:b/>
                      <w:spacing w:val="-6"/>
                      <w:szCs w:val="21"/>
                      <w:u w:val="single"/>
                    </w:rPr>
                    <w:t>、油脂储罐区、油脂暂存池、</w:t>
                  </w:r>
                  <w:r>
                    <w:rPr>
                      <w:rFonts w:hint="eastAsia"/>
                      <w:b/>
                      <w:color w:val="000000"/>
                      <w:spacing w:val="-6"/>
                      <w:kern w:val="0"/>
                      <w:szCs w:val="21"/>
                      <w:u w:val="single"/>
                    </w:rPr>
                    <w:t>LNG储罐</w:t>
                  </w:r>
                </w:p>
              </w:tc>
              <w:tc>
                <w:tcPr>
                  <w:tcW w:w="776" w:type="pct"/>
                  <w:tcBorders>
                    <w:top w:val="single" w:color="auto" w:sz="6" w:space="0"/>
                    <w:left w:val="single" w:color="auto" w:sz="6" w:space="0"/>
                    <w:bottom w:val="single" w:color="auto" w:sz="6" w:space="0"/>
                    <w:right w:val="single" w:color="auto" w:sz="6" w:space="0"/>
                  </w:tcBorders>
                  <w:vAlign w:val="center"/>
                </w:tcPr>
                <w:p w14:paraId="09BDB3B3">
                  <w:pPr>
                    <w:jc w:val="center"/>
                    <w:rPr>
                      <w:b/>
                      <w:szCs w:val="21"/>
                      <w:u w:val="single"/>
                    </w:rPr>
                  </w:pPr>
                  <w:r>
                    <w:rPr>
                      <w:rFonts w:hint="eastAsia"/>
                      <w:b/>
                      <w:szCs w:val="21"/>
                      <w:u w:val="single"/>
                    </w:rPr>
                    <w:t>重点防渗区</w:t>
                  </w:r>
                </w:p>
              </w:tc>
              <w:tc>
                <w:tcPr>
                  <w:tcW w:w="1722" w:type="pct"/>
                  <w:tcBorders>
                    <w:top w:val="single" w:color="auto" w:sz="6" w:space="0"/>
                    <w:left w:val="single" w:color="auto" w:sz="6" w:space="0"/>
                    <w:bottom w:val="single" w:color="auto" w:sz="6" w:space="0"/>
                    <w:right w:val="single" w:color="auto" w:sz="6" w:space="0"/>
                  </w:tcBorders>
                  <w:vAlign w:val="center"/>
                </w:tcPr>
                <w:p w14:paraId="63381BDE">
                  <w:pPr>
                    <w:wordWrap w:val="0"/>
                    <w:jc w:val="center"/>
                    <w:rPr>
                      <w:b/>
                      <w:spacing w:val="-14"/>
                      <w:szCs w:val="21"/>
                      <w:u w:val="single"/>
                    </w:rPr>
                  </w:pPr>
                  <w:r>
                    <w:rPr>
                      <w:rFonts w:hint="eastAsia"/>
                      <w:b/>
                      <w:szCs w:val="21"/>
                      <w:u w:val="single"/>
                    </w:rPr>
                    <w:t>等效粘土防渗层</w:t>
                  </w:r>
                  <w:r>
                    <w:rPr>
                      <w:b/>
                      <w:szCs w:val="21"/>
                      <w:u w:val="single"/>
                    </w:rPr>
                    <w:t>Mb≥6m</w:t>
                  </w:r>
                  <w:r>
                    <w:rPr>
                      <w:rFonts w:hint="eastAsia"/>
                      <w:b/>
                      <w:szCs w:val="21"/>
                      <w:u w:val="single"/>
                    </w:rPr>
                    <w:t>，</w:t>
                  </w:r>
                  <w:r>
                    <w:rPr>
                      <w:b/>
                      <w:spacing w:val="-14"/>
                      <w:szCs w:val="21"/>
                      <w:u w:val="single"/>
                    </w:rPr>
                    <w:t>K≤1×10</w:t>
                  </w:r>
                  <w:r>
                    <w:rPr>
                      <w:b/>
                      <w:spacing w:val="-14"/>
                      <w:szCs w:val="21"/>
                      <w:u w:val="single"/>
                      <w:vertAlign w:val="superscript"/>
                    </w:rPr>
                    <w:t>-</w:t>
                  </w:r>
                  <w:r>
                    <w:rPr>
                      <w:rFonts w:hint="eastAsia"/>
                      <w:b/>
                      <w:spacing w:val="-14"/>
                      <w:szCs w:val="21"/>
                      <w:u w:val="single"/>
                      <w:vertAlign w:val="superscript"/>
                    </w:rPr>
                    <w:t>7</w:t>
                  </w:r>
                  <w:r>
                    <w:rPr>
                      <w:b/>
                      <w:spacing w:val="-14"/>
                      <w:szCs w:val="21"/>
                      <w:u w:val="single"/>
                    </w:rPr>
                    <w:t>cm/s</w:t>
                  </w:r>
                  <w:r>
                    <w:rPr>
                      <w:rFonts w:hint="eastAsia"/>
                      <w:b/>
                      <w:spacing w:val="-14"/>
                      <w:szCs w:val="21"/>
                      <w:u w:val="single"/>
                    </w:rPr>
                    <w:t>；或参照</w:t>
                  </w:r>
                  <w:r>
                    <w:rPr>
                      <w:b/>
                      <w:spacing w:val="-14"/>
                      <w:szCs w:val="21"/>
                      <w:u w:val="single"/>
                    </w:rPr>
                    <w:t>GB18598</w:t>
                  </w:r>
                  <w:r>
                    <w:rPr>
                      <w:rFonts w:hint="eastAsia"/>
                      <w:b/>
                      <w:spacing w:val="-14"/>
                      <w:szCs w:val="21"/>
                      <w:u w:val="single"/>
                    </w:rPr>
                    <w:t>执行</w:t>
                  </w:r>
                </w:p>
              </w:tc>
            </w:tr>
            <w:tr w14:paraId="1219D94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91" w:hRule="atLeast"/>
              </w:trPr>
              <w:tc>
                <w:tcPr>
                  <w:tcW w:w="322" w:type="pct"/>
                  <w:tcBorders>
                    <w:top w:val="single" w:color="auto" w:sz="6" w:space="0"/>
                    <w:left w:val="single" w:color="auto" w:sz="6" w:space="0"/>
                    <w:bottom w:val="single" w:color="auto" w:sz="6" w:space="0"/>
                    <w:right w:val="single" w:color="auto" w:sz="6" w:space="0"/>
                  </w:tcBorders>
                  <w:vAlign w:val="center"/>
                </w:tcPr>
                <w:p w14:paraId="1BEA62AC">
                  <w:pPr>
                    <w:jc w:val="center"/>
                    <w:rPr>
                      <w:b/>
                      <w:bCs/>
                      <w:szCs w:val="21"/>
                      <w:u w:val="single"/>
                    </w:rPr>
                  </w:pPr>
                  <w:r>
                    <w:rPr>
                      <w:b/>
                      <w:szCs w:val="21"/>
                      <w:u w:val="single"/>
                    </w:rPr>
                    <w:t>2</w:t>
                  </w:r>
                </w:p>
              </w:tc>
              <w:tc>
                <w:tcPr>
                  <w:tcW w:w="2181" w:type="pct"/>
                  <w:tcBorders>
                    <w:top w:val="single" w:color="auto" w:sz="6" w:space="0"/>
                    <w:left w:val="single" w:color="auto" w:sz="6" w:space="0"/>
                    <w:bottom w:val="single" w:color="auto" w:sz="6" w:space="0"/>
                    <w:right w:val="single" w:color="auto" w:sz="6" w:space="0"/>
                  </w:tcBorders>
                  <w:vAlign w:val="center"/>
                </w:tcPr>
                <w:p w14:paraId="486EC227">
                  <w:pPr>
                    <w:jc w:val="center"/>
                    <w:rPr>
                      <w:rFonts w:hAnsi="宋体"/>
                      <w:b/>
                      <w:bCs/>
                      <w:szCs w:val="21"/>
                      <w:u w:val="single"/>
                    </w:rPr>
                  </w:pPr>
                  <w:r>
                    <w:rPr>
                      <w:rFonts w:hint="eastAsia"/>
                      <w:b/>
                      <w:szCs w:val="21"/>
                      <w:u w:val="single"/>
                    </w:rPr>
                    <w:t>生产车间其他区域、</w:t>
                  </w:r>
                  <w:r>
                    <w:rPr>
                      <w:rFonts w:hint="eastAsia" w:hAnsi="宋体"/>
                      <w:b/>
                      <w:bCs/>
                      <w:szCs w:val="21"/>
                      <w:u w:val="single"/>
                    </w:rPr>
                    <w:t>锅炉房及</w:t>
                  </w:r>
                </w:p>
                <w:p w14:paraId="592BDFF9">
                  <w:pPr>
                    <w:jc w:val="center"/>
                    <w:rPr>
                      <w:b/>
                      <w:bCs/>
                      <w:szCs w:val="21"/>
                      <w:u w:val="single"/>
                    </w:rPr>
                  </w:pPr>
                  <w:r>
                    <w:rPr>
                      <w:rFonts w:hint="eastAsia" w:hAnsi="宋体"/>
                      <w:b/>
                      <w:bCs/>
                      <w:szCs w:val="21"/>
                      <w:u w:val="single"/>
                    </w:rPr>
                    <w:t>一般固废间</w:t>
                  </w:r>
                </w:p>
              </w:tc>
              <w:tc>
                <w:tcPr>
                  <w:tcW w:w="776" w:type="pct"/>
                  <w:tcBorders>
                    <w:top w:val="single" w:color="auto" w:sz="6" w:space="0"/>
                    <w:left w:val="single" w:color="auto" w:sz="6" w:space="0"/>
                    <w:bottom w:val="single" w:color="auto" w:sz="6" w:space="0"/>
                    <w:right w:val="single" w:color="auto" w:sz="6" w:space="0"/>
                  </w:tcBorders>
                  <w:vAlign w:val="center"/>
                </w:tcPr>
                <w:p w14:paraId="15648CE8">
                  <w:pPr>
                    <w:ind w:left="25" w:leftChars="-38" w:right="-80" w:rightChars="-38" w:hanging="105" w:hangingChars="50"/>
                    <w:jc w:val="center"/>
                    <w:rPr>
                      <w:b/>
                      <w:bCs/>
                      <w:szCs w:val="21"/>
                      <w:u w:val="single"/>
                    </w:rPr>
                  </w:pPr>
                  <w:r>
                    <w:rPr>
                      <w:rFonts w:hint="eastAsia"/>
                      <w:b/>
                      <w:szCs w:val="21"/>
                      <w:u w:val="single"/>
                    </w:rPr>
                    <w:t>一般防渗区</w:t>
                  </w:r>
                </w:p>
              </w:tc>
              <w:tc>
                <w:tcPr>
                  <w:tcW w:w="1722" w:type="pct"/>
                  <w:tcBorders>
                    <w:top w:val="single" w:color="auto" w:sz="6" w:space="0"/>
                    <w:left w:val="single" w:color="auto" w:sz="6" w:space="0"/>
                    <w:bottom w:val="single" w:color="auto" w:sz="6" w:space="0"/>
                    <w:right w:val="single" w:color="auto" w:sz="6" w:space="0"/>
                  </w:tcBorders>
                  <w:vAlign w:val="center"/>
                </w:tcPr>
                <w:p w14:paraId="53610431">
                  <w:pPr>
                    <w:wordWrap w:val="0"/>
                    <w:jc w:val="center"/>
                    <w:rPr>
                      <w:b/>
                      <w:bCs/>
                      <w:spacing w:val="-14"/>
                      <w:szCs w:val="21"/>
                      <w:u w:val="single"/>
                    </w:rPr>
                  </w:pPr>
                  <w:r>
                    <w:rPr>
                      <w:rFonts w:hint="eastAsia"/>
                      <w:b/>
                      <w:bCs/>
                      <w:szCs w:val="21"/>
                      <w:u w:val="single"/>
                    </w:rPr>
                    <w:t>等效黏土防渗层</w:t>
                  </w:r>
                  <w:r>
                    <w:rPr>
                      <w:b/>
                      <w:bCs/>
                      <w:szCs w:val="21"/>
                      <w:u w:val="single"/>
                    </w:rPr>
                    <w:t>Mb≥1.5m</w:t>
                  </w:r>
                  <w:r>
                    <w:rPr>
                      <w:rFonts w:hint="eastAsia"/>
                      <w:b/>
                      <w:bCs/>
                      <w:szCs w:val="21"/>
                      <w:u w:val="single"/>
                    </w:rPr>
                    <w:t>，</w:t>
                  </w:r>
                  <w:r>
                    <w:rPr>
                      <w:b/>
                      <w:bCs/>
                      <w:spacing w:val="-14"/>
                      <w:szCs w:val="21"/>
                      <w:u w:val="single"/>
                    </w:rPr>
                    <w:t>K≤1×10</w:t>
                  </w:r>
                  <w:r>
                    <w:rPr>
                      <w:b/>
                      <w:bCs/>
                      <w:spacing w:val="-14"/>
                      <w:szCs w:val="21"/>
                      <w:u w:val="single"/>
                      <w:vertAlign w:val="superscript"/>
                    </w:rPr>
                    <w:t>-7</w:t>
                  </w:r>
                  <w:r>
                    <w:rPr>
                      <w:b/>
                      <w:bCs/>
                      <w:spacing w:val="-14"/>
                      <w:szCs w:val="21"/>
                      <w:u w:val="single"/>
                    </w:rPr>
                    <w:t>cm/s</w:t>
                  </w:r>
                  <w:r>
                    <w:rPr>
                      <w:rFonts w:hint="eastAsia"/>
                      <w:b/>
                      <w:spacing w:val="-14"/>
                      <w:szCs w:val="21"/>
                      <w:u w:val="single"/>
                    </w:rPr>
                    <w:t>；或参照</w:t>
                  </w:r>
                  <w:r>
                    <w:rPr>
                      <w:b/>
                      <w:spacing w:val="-14"/>
                      <w:szCs w:val="21"/>
                      <w:u w:val="single"/>
                    </w:rPr>
                    <w:t>GB16889</w:t>
                  </w:r>
                  <w:r>
                    <w:rPr>
                      <w:rFonts w:hint="eastAsia"/>
                      <w:b/>
                      <w:spacing w:val="-14"/>
                      <w:szCs w:val="21"/>
                      <w:u w:val="single"/>
                    </w:rPr>
                    <w:t>执行</w:t>
                  </w:r>
                </w:p>
              </w:tc>
            </w:tr>
            <w:tr w14:paraId="1E97042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07" w:hRule="atLeast"/>
              </w:trPr>
              <w:tc>
                <w:tcPr>
                  <w:tcW w:w="322" w:type="pct"/>
                  <w:tcBorders>
                    <w:top w:val="single" w:color="auto" w:sz="6" w:space="0"/>
                    <w:left w:val="single" w:color="auto" w:sz="6" w:space="0"/>
                    <w:bottom w:val="single" w:color="auto" w:sz="6" w:space="0"/>
                    <w:right w:val="single" w:color="auto" w:sz="6" w:space="0"/>
                  </w:tcBorders>
                  <w:vAlign w:val="center"/>
                </w:tcPr>
                <w:p w14:paraId="3C90E176">
                  <w:pPr>
                    <w:jc w:val="center"/>
                    <w:rPr>
                      <w:b/>
                      <w:szCs w:val="21"/>
                      <w:u w:val="single"/>
                    </w:rPr>
                  </w:pPr>
                  <w:r>
                    <w:rPr>
                      <w:rFonts w:hint="eastAsia"/>
                      <w:b/>
                      <w:szCs w:val="21"/>
                      <w:u w:val="single"/>
                    </w:rPr>
                    <w:t>3</w:t>
                  </w:r>
                </w:p>
              </w:tc>
              <w:tc>
                <w:tcPr>
                  <w:tcW w:w="2181" w:type="pct"/>
                  <w:tcBorders>
                    <w:top w:val="single" w:color="auto" w:sz="6" w:space="0"/>
                    <w:left w:val="single" w:color="auto" w:sz="6" w:space="0"/>
                    <w:bottom w:val="single" w:color="auto" w:sz="6" w:space="0"/>
                    <w:right w:val="single" w:color="auto" w:sz="6" w:space="0"/>
                  </w:tcBorders>
                  <w:vAlign w:val="center"/>
                </w:tcPr>
                <w:p w14:paraId="58B3B5DA">
                  <w:pPr>
                    <w:jc w:val="center"/>
                    <w:rPr>
                      <w:b/>
                      <w:bCs/>
                      <w:szCs w:val="21"/>
                      <w:u w:val="single"/>
                    </w:rPr>
                  </w:pPr>
                  <w:r>
                    <w:rPr>
                      <w:rFonts w:hint="eastAsia"/>
                      <w:b/>
                      <w:szCs w:val="21"/>
                      <w:u w:val="single"/>
                    </w:rPr>
                    <w:t>办公区及厂区道路</w:t>
                  </w:r>
                </w:p>
              </w:tc>
              <w:tc>
                <w:tcPr>
                  <w:tcW w:w="776" w:type="pct"/>
                  <w:tcBorders>
                    <w:top w:val="single" w:color="auto" w:sz="6" w:space="0"/>
                    <w:left w:val="single" w:color="auto" w:sz="6" w:space="0"/>
                    <w:bottom w:val="single" w:color="auto" w:sz="6" w:space="0"/>
                    <w:right w:val="single" w:color="auto" w:sz="6" w:space="0"/>
                  </w:tcBorders>
                  <w:vAlign w:val="center"/>
                </w:tcPr>
                <w:p w14:paraId="558067DB">
                  <w:pPr>
                    <w:ind w:left="25" w:leftChars="-38" w:right="-80" w:rightChars="-38" w:hanging="105" w:hangingChars="50"/>
                    <w:jc w:val="center"/>
                    <w:rPr>
                      <w:b/>
                      <w:bCs/>
                      <w:szCs w:val="21"/>
                      <w:u w:val="single"/>
                    </w:rPr>
                  </w:pPr>
                  <w:r>
                    <w:rPr>
                      <w:rFonts w:hint="eastAsia"/>
                      <w:b/>
                      <w:szCs w:val="21"/>
                      <w:u w:val="single"/>
                    </w:rPr>
                    <w:t>简单防渗区</w:t>
                  </w:r>
                </w:p>
              </w:tc>
              <w:tc>
                <w:tcPr>
                  <w:tcW w:w="1722" w:type="pct"/>
                  <w:tcBorders>
                    <w:top w:val="single" w:color="auto" w:sz="6" w:space="0"/>
                    <w:left w:val="single" w:color="auto" w:sz="6" w:space="0"/>
                    <w:bottom w:val="single" w:color="auto" w:sz="6" w:space="0"/>
                    <w:right w:val="single" w:color="auto" w:sz="6" w:space="0"/>
                  </w:tcBorders>
                  <w:vAlign w:val="center"/>
                </w:tcPr>
                <w:p w14:paraId="75EFCF74">
                  <w:pPr>
                    <w:ind w:left="25" w:leftChars="-38" w:right="-80" w:rightChars="-38" w:hanging="105" w:hangingChars="50"/>
                    <w:jc w:val="center"/>
                    <w:rPr>
                      <w:b/>
                      <w:bCs/>
                      <w:szCs w:val="21"/>
                      <w:u w:val="single"/>
                    </w:rPr>
                  </w:pPr>
                  <w:r>
                    <w:rPr>
                      <w:rFonts w:hint="eastAsia" w:hAnsi="宋体"/>
                      <w:b/>
                      <w:bCs/>
                      <w:szCs w:val="21"/>
                      <w:u w:val="single"/>
                    </w:rPr>
                    <w:t>一般地面硬化</w:t>
                  </w:r>
                </w:p>
              </w:tc>
            </w:tr>
          </w:tbl>
          <w:p w14:paraId="4DF4F150">
            <w:pPr>
              <w:spacing w:line="360" w:lineRule="auto"/>
              <w:ind w:firstLine="482" w:firstLineChars="200"/>
              <w:jc w:val="left"/>
              <w:rPr>
                <w:b/>
                <w:sz w:val="24"/>
                <w:u w:val="single"/>
              </w:rPr>
            </w:pPr>
            <w:r>
              <w:rPr>
                <w:rFonts w:hint="eastAsia"/>
                <w:b/>
                <w:sz w:val="24"/>
                <w:u w:val="single"/>
              </w:rPr>
              <w:t>重点防渗区采用</w:t>
            </w:r>
            <w:r>
              <w:rPr>
                <w:b/>
                <w:sz w:val="24"/>
                <w:u w:val="single"/>
              </w:rPr>
              <w:t>2mm</w:t>
            </w:r>
            <w:r>
              <w:rPr>
                <w:rFonts w:hint="eastAsia"/>
                <w:b/>
                <w:sz w:val="24"/>
                <w:u w:val="single"/>
              </w:rPr>
              <w:t>厚高密度聚乙烯，或至少</w:t>
            </w:r>
            <w:r>
              <w:rPr>
                <w:b/>
                <w:sz w:val="24"/>
                <w:u w:val="single"/>
              </w:rPr>
              <w:t>2mm</w:t>
            </w:r>
            <w:r>
              <w:rPr>
                <w:rFonts w:hint="eastAsia"/>
                <w:b/>
                <w:sz w:val="24"/>
                <w:u w:val="single"/>
              </w:rPr>
              <w:t>厚其它人工材料进行防渗处理，渗透系数</w:t>
            </w:r>
            <w:r>
              <w:rPr>
                <w:b/>
                <w:sz w:val="24"/>
                <w:u w:val="single"/>
              </w:rPr>
              <w:t>≤10</w:t>
            </w:r>
            <w:r>
              <w:rPr>
                <w:b/>
                <w:sz w:val="24"/>
                <w:u w:val="single"/>
                <w:vertAlign w:val="superscript"/>
              </w:rPr>
              <w:t>-</w:t>
            </w:r>
            <w:r>
              <w:rPr>
                <w:rFonts w:hint="eastAsia"/>
                <w:b/>
                <w:sz w:val="24"/>
                <w:u w:val="single"/>
                <w:vertAlign w:val="superscript"/>
              </w:rPr>
              <w:t>7</w:t>
            </w:r>
            <w:r>
              <w:rPr>
                <w:b/>
                <w:sz w:val="24"/>
                <w:u w:val="single"/>
              </w:rPr>
              <w:t>cm/s</w:t>
            </w:r>
            <w:r>
              <w:rPr>
                <w:rFonts w:hint="eastAsia"/>
                <w:b/>
                <w:sz w:val="24"/>
                <w:u w:val="single"/>
              </w:rPr>
              <w:t>，成品储油区设置0.5m围堰防止物料外渗。在项目厂区采取分区防渗的情况下，项目建设不会对地下水和土壤造成影响。</w:t>
            </w:r>
          </w:p>
          <w:p w14:paraId="35457F9D">
            <w:pPr>
              <w:spacing w:line="360" w:lineRule="auto"/>
              <w:ind w:firstLine="480" w:firstLineChars="200"/>
              <w:rPr>
                <w:sz w:val="24"/>
              </w:rPr>
            </w:pPr>
            <w:r>
              <w:rPr>
                <w:rFonts w:hint="eastAsia"/>
                <w:sz w:val="24"/>
              </w:rPr>
              <w:t>综上所述，建设单位应严格落实各项环境保护措施，按要求对厂区地面进行分区防渗处理，油脂储罐设置围堰，加强厂区管理，定期对各重点防渗区进行检查，确保物料泄漏时能够及时应对，防止物料泄漏对土壤及地下水环境产生不良影响。</w:t>
            </w:r>
          </w:p>
          <w:p w14:paraId="35BBB3C2">
            <w:pPr>
              <w:spacing w:line="360" w:lineRule="auto"/>
              <w:ind w:firstLine="482" w:firstLineChars="200"/>
              <w:rPr>
                <w:b/>
                <w:sz w:val="24"/>
              </w:rPr>
            </w:pPr>
            <w:r>
              <w:rPr>
                <w:rFonts w:hint="eastAsia"/>
                <w:b/>
                <w:sz w:val="24"/>
              </w:rPr>
              <w:t>6、环境风险分析</w:t>
            </w:r>
          </w:p>
          <w:p w14:paraId="26DA509E">
            <w:pPr>
              <w:adjustRightInd w:val="0"/>
              <w:snapToGrid w:val="0"/>
              <w:spacing w:line="360" w:lineRule="auto"/>
              <w:ind w:firstLine="480" w:firstLineChars="200"/>
              <w:rPr>
                <w:bCs/>
                <w:sz w:val="24"/>
              </w:rPr>
            </w:pPr>
            <w:r>
              <w:rPr>
                <w:rFonts w:hint="eastAsia"/>
                <w:bCs/>
                <w:sz w:val="24"/>
              </w:rPr>
              <w:t>本项目涉及危险物质为导热油及天然气，根据表33可知，项目危险物质储存量均未超过临界值，因此结合《建设项目环境影响报告表编制技术指南（污染影响类）》（试行）专项评价设置原则“有毒有害和易燃易爆危险物质存储量超过临界量的建设项目需开展环境风险专项评价”，</w:t>
            </w:r>
            <w:r>
              <w:rPr>
                <w:rFonts w:hint="eastAsia"/>
                <w:sz w:val="24"/>
              </w:rPr>
              <w:t>本项目不需设置环境风险专章，因此本次评价将明确有毒有害和易燃易爆等危险物质和风险源分布情况及可能影响途径，并提出相应环境风险防范措施。</w:t>
            </w:r>
          </w:p>
          <w:p w14:paraId="59D0DA70">
            <w:pPr>
              <w:pStyle w:val="4"/>
              <w:snapToGrid w:val="0"/>
              <w:spacing w:before="0" w:after="0" w:line="360" w:lineRule="auto"/>
              <w:ind w:firstLine="482" w:firstLineChars="200"/>
              <w:rPr>
                <w:bCs/>
                <w:sz w:val="24"/>
                <w:szCs w:val="24"/>
                <w:u w:val="single"/>
              </w:rPr>
            </w:pPr>
            <w:r>
              <w:rPr>
                <w:rFonts w:hint="eastAsia"/>
                <w:bCs/>
                <w:sz w:val="24"/>
                <w:szCs w:val="24"/>
                <w:u w:val="single"/>
              </w:rPr>
              <w:t>6.1危险物质分布情况</w:t>
            </w:r>
          </w:p>
          <w:p w14:paraId="4B75656F">
            <w:pPr>
              <w:snapToGrid w:val="0"/>
              <w:spacing w:line="360" w:lineRule="auto"/>
              <w:ind w:firstLine="482" w:firstLineChars="200"/>
              <w:rPr>
                <w:b/>
                <w:sz w:val="24"/>
                <w:u w:val="single"/>
              </w:rPr>
            </w:pPr>
            <w:r>
              <w:rPr>
                <w:rFonts w:hint="eastAsia"/>
                <w:b/>
                <w:sz w:val="24"/>
                <w:u w:val="single"/>
              </w:rPr>
              <w:t>结合《建设项目环境风险评价技术导则》（</w:t>
            </w:r>
            <w:r>
              <w:rPr>
                <w:b/>
                <w:sz w:val="24"/>
                <w:u w:val="single"/>
              </w:rPr>
              <w:t>HJ169-2018</w:t>
            </w:r>
            <w:r>
              <w:rPr>
                <w:rFonts w:hint="eastAsia"/>
                <w:b/>
                <w:sz w:val="24"/>
                <w:u w:val="single"/>
              </w:rPr>
              <w:t>）附录</w:t>
            </w:r>
            <w:r>
              <w:rPr>
                <w:b/>
                <w:sz w:val="24"/>
                <w:u w:val="single"/>
              </w:rPr>
              <w:t>B</w:t>
            </w:r>
            <w:r>
              <w:rPr>
                <w:rFonts w:hint="eastAsia"/>
                <w:b/>
                <w:sz w:val="24"/>
                <w:u w:val="single"/>
              </w:rPr>
              <w:t>中环境风险物质，</w:t>
            </w:r>
            <w:r>
              <w:rPr>
                <w:rFonts w:hint="eastAsia"/>
                <w:b/>
                <w:bCs/>
                <w:sz w:val="24"/>
                <w:u w:val="single"/>
              </w:rPr>
              <w:t>本项目生产过程中涉及的危险化学品储存情况见下表。</w:t>
            </w:r>
          </w:p>
          <w:p w14:paraId="46333B77">
            <w:pPr>
              <w:jc w:val="center"/>
              <w:rPr>
                <w:b/>
                <w:bCs/>
                <w:sz w:val="24"/>
              </w:rPr>
            </w:pPr>
            <w:r>
              <w:rPr>
                <w:rFonts w:hint="eastAsia"/>
                <w:b/>
                <w:bCs/>
                <w:sz w:val="24"/>
              </w:rPr>
              <w:t>表33   本项目危险物质数量和分布情况一览表</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70"/>
              <w:gridCol w:w="1118"/>
              <w:gridCol w:w="1123"/>
              <w:gridCol w:w="982"/>
              <w:gridCol w:w="1400"/>
              <w:gridCol w:w="980"/>
              <w:gridCol w:w="2051"/>
            </w:tblGrid>
            <w:tr w14:paraId="7C27F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rPr>
              <w:tc>
                <w:tcPr>
                  <w:tcW w:w="346" w:type="pct"/>
                  <w:tcBorders>
                    <w:top w:val="single" w:color="auto" w:sz="4" w:space="0"/>
                    <w:left w:val="single" w:color="auto" w:sz="4" w:space="0"/>
                    <w:bottom w:val="single" w:color="auto" w:sz="4" w:space="0"/>
                    <w:right w:val="single" w:color="auto" w:sz="4" w:space="0"/>
                  </w:tcBorders>
                  <w:vAlign w:val="center"/>
                </w:tcPr>
                <w:p w14:paraId="6F3BE1D2">
                  <w:pPr>
                    <w:pStyle w:val="55"/>
                    <w:spacing w:beforeLines="0" w:afterLines="0" w:line="240" w:lineRule="auto"/>
                    <w:rPr>
                      <w:rFonts w:ascii="Times New Roman"/>
                      <w:b/>
                      <w:kern w:val="2"/>
                      <w:szCs w:val="21"/>
                      <w:u w:val="single"/>
                    </w:rPr>
                  </w:pPr>
                  <w:r>
                    <w:rPr>
                      <w:rFonts w:ascii="Times New Roman" w:hAnsi="宋体"/>
                      <w:b/>
                      <w:szCs w:val="21"/>
                      <w:u w:val="single"/>
                    </w:rPr>
                    <w:t>序号</w:t>
                  </w:r>
                </w:p>
              </w:tc>
              <w:tc>
                <w:tcPr>
                  <w:tcW w:w="679" w:type="pct"/>
                  <w:tcBorders>
                    <w:top w:val="single" w:color="auto" w:sz="4" w:space="0"/>
                    <w:left w:val="single" w:color="auto" w:sz="4" w:space="0"/>
                    <w:bottom w:val="single" w:color="auto" w:sz="4" w:space="0"/>
                    <w:right w:val="single" w:color="auto" w:sz="4" w:space="0"/>
                  </w:tcBorders>
                  <w:vAlign w:val="center"/>
                </w:tcPr>
                <w:p w14:paraId="799A7233">
                  <w:pPr>
                    <w:pStyle w:val="55"/>
                    <w:spacing w:beforeLines="0" w:afterLines="0" w:line="240" w:lineRule="auto"/>
                    <w:rPr>
                      <w:rFonts w:ascii="Times New Roman"/>
                      <w:b/>
                      <w:kern w:val="2"/>
                      <w:szCs w:val="21"/>
                      <w:u w:val="single"/>
                    </w:rPr>
                  </w:pPr>
                  <w:r>
                    <w:rPr>
                      <w:rFonts w:ascii="Times New Roman" w:hAnsi="宋体"/>
                      <w:b/>
                      <w:szCs w:val="21"/>
                      <w:u w:val="single"/>
                    </w:rPr>
                    <w:t>储运单元</w:t>
                  </w:r>
                </w:p>
              </w:tc>
              <w:tc>
                <w:tcPr>
                  <w:tcW w:w="682" w:type="pct"/>
                  <w:tcBorders>
                    <w:top w:val="single" w:color="auto" w:sz="4" w:space="0"/>
                    <w:left w:val="single" w:color="auto" w:sz="4" w:space="0"/>
                    <w:bottom w:val="single" w:color="auto" w:sz="4" w:space="0"/>
                    <w:right w:val="single" w:color="auto" w:sz="4" w:space="0"/>
                  </w:tcBorders>
                  <w:vAlign w:val="center"/>
                </w:tcPr>
                <w:p w14:paraId="3C27AD68">
                  <w:pPr>
                    <w:pStyle w:val="55"/>
                    <w:spacing w:beforeLines="0" w:afterLines="0" w:line="240" w:lineRule="auto"/>
                    <w:rPr>
                      <w:rFonts w:ascii="Times New Roman"/>
                      <w:b/>
                      <w:kern w:val="2"/>
                      <w:szCs w:val="21"/>
                      <w:u w:val="single"/>
                    </w:rPr>
                  </w:pPr>
                  <w:r>
                    <w:rPr>
                      <w:rFonts w:ascii="Times New Roman" w:hAnsi="宋体"/>
                      <w:b/>
                      <w:szCs w:val="21"/>
                      <w:u w:val="single"/>
                    </w:rPr>
                    <w:t>物料名称</w:t>
                  </w:r>
                </w:p>
              </w:tc>
              <w:tc>
                <w:tcPr>
                  <w:tcW w:w="597" w:type="pct"/>
                  <w:tcBorders>
                    <w:top w:val="single" w:color="auto" w:sz="4" w:space="0"/>
                    <w:left w:val="single" w:color="auto" w:sz="4" w:space="0"/>
                    <w:bottom w:val="single" w:color="auto" w:sz="4" w:space="0"/>
                    <w:right w:val="single" w:color="auto" w:sz="4" w:space="0"/>
                  </w:tcBorders>
                  <w:vAlign w:val="center"/>
                </w:tcPr>
                <w:p w14:paraId="2DBFC8F2">
                  <w:pPr>
                    <w:pStyle w:val="55"/>
                    <w:spacing w:beforeLines="0" w:afterLines="0" w:line="240" w:lineRule="auto"/>
                    <w:rPr>
                      <w:rFonts w:ascii="Times New Roman"/>
                      <w:b/>
                      <w:kern w:val="2"/>
                      <w:szCs w:val="21"/>
                      <w:u w:val="single"/>
                    </w:rPr>
                  </w:pPr>
                  <w:r>
                    <w:rPr>
                      <w:rFonts w:ascii="Times New Roman" w:hAnsi="宋体"/>
                      <w:b/>
                      <w:szCs w:val="21"/>
                      <w:u w:val="single"/>
                    </w:rPr>
                    <w:t>形态</w:t>
                  </w:r>
                </w:p>
              </w:tc>
              <w:tc>
                <w:tcPr>
                  <w:tcW w:w="851" w:type="pct"/>
                  <w:tcBorders>
                    <w:top w:val="single" w:color="auto" w:sz="4" w:space="0"/>
                    <w:left w:val="single" w:color="auto" w:sz="4" w:space="0"/>
                    <w:bottom w:val="single" w:color="auto" w:sz="4" w:space="0"/>
                    <w:right w:val="single" w:color="auto" w:sz="4" w:space="0"/>
                  </w:tcBorders>
                  <w:vAlign w:val="center"/>
                </w:tcPr>
                <w:p w14:paraId="4871B1D0">
                  <w:pPr>
                    <w:pStyle w:val="55"/>
                    <w:spacing w:beforeLines="0" w:afterLines="0" w:line="240" w:lineRule="auto"/>
                    <w:rPr>
                      <w:rFonts w:ascii="Times New Roman" w:hAnsi="宋体"/>
                      <w:b/>
                      <w:szCs w:val="21"/>
                      <w:u w:val="single"/>
                    </w:rPr>
                  </w:pPr>
                  <w:r>
                    <w:rPr>
                      <w:rFonts w:ascii="Times New Roman" w:hAnsi="宋体"/>
                      <w:b/>
                      <w:szCs w:val="21"/>
                      <w:u w:val="single"/>
                    </w:rPr>
                    <w:t>最大</w:t>
                  </w:r>
                  <w:r>
                    <w:rPr>
                      <w:rFonts w:hint="eastAsia" w:ascii="Times New Roman" w:hAnsi="宋体"/>
                      <w:b/>
                      <w:szCs w:val="21"/>
                      <w:u w:val="single"/>
                    </w:rPr>
                    <w:t>存在</w:t>
                  </w:r>
                  <w:r>
                    <w:rPr>
                      <w:rFonts w:ascii="Times New Roman" w:hAnsi="宋体"/>
                      <w:b/>
                      <w:szCs w:val="21"/>
                      <w:u w:val="single"/>
                    </w:rPr>
                    <w:t>量</w:t>
                  </w:r>
                </w:p>
                <w:p w14:paraId="70E32C95">
                  <w:pPr>
                    <w:jc w:val="center"/>
                    <w:rPr>
                      <w:b/>
                      <w:u w:val="single"/>
                    </w:rPr>
                  </w:pPr>
                  <w:r>
                    <w:rPr>
                      <w:rFonts w:hint="eastAsia"/>
                      <w:b/>
                      <w:u w:val="single"/>
                    </w:rPr>
                    <w:t>（在线量）</w:t>
                  </w:r>
                </w:p>
              </w:tc>
              <w:tc>
                <w:tcPr>
                  <w:tcW w:w="596" w:type="pct"/>
                  <w:tcBorders>
                    <w:top w:val="single" w:color="auto" w:sz="4" w:space="0"/>
                    <w:left w:val="single" w:color="auto" w:sz="4" w:space="0"/>
                    <w:bottom w:val="single" w:color="auto" w:sz="4" w:space="0"/>
                    <w:right w:val="single" w:color="auto" w:sz="4" w:space="0"/>
                  </w:tcBorders>
                  <w:vAlign w:val="center"/>
                </w:tcPr>
                <w:p w14:paraId="34A4603F">
                  <w:pPr>
                    <w:pStyle w:val="55"/>
                    <w:spacing w:beforeLines="0" w:afterLines="0" w:line="240" w:lineRule="auto"/>
                    <w:rPr>
                      <w:rFonts w:ascii="Times New Roman"/>
                      <w:b/>
                      <w:szCs w:val="21"/>
                      <w:u w:val="single"/>
                    </w:rPr>
                  </w:pPr>
                  <w:r>
                    <w:rPr>
                      <w:rFonts w:ascii="Times New Roman" w:hAnsi="宋体"/>
                      <w:b/>
                      <w:szCs w:val="21"/>
                      <w:u w:val="single"/>
                    </w:rPr>
                    <w:t>临界值</w:t>
                  </w:r>
                </w:p>
              </w:tc>
              <w:tc>
                <w:tcPr>
                  <w:tcW w:w="1247" w:type="pct"/>
                  <w:tcBorders>
                    <w:top w:val="single" w:color="auto" w:sz="4" w:space="0"/>
                    <w:left w:val="single" w:color="auto" w:sz="4" w:space="0"/>
                    <w:bottom w:val="single" w:color="auto" w:sz="4" w:space="0"/>
                    <w:right w:val="single" w:color="auto" w:sz="4" w:space="0"/>
                  </w:tcBorders>
                  <w:vAlign w:val="center"/>
                </w:tcPr>
                <w:p w14:paraId="261F6DB5">
                  <w:pPr>
                    <w:pStyle w:val="55"/>
                    <w:spacing w:beforeLines="0" w:afterLines="0" w:line="240" w:lineRule="auto"/>
                    <w:rPr>
                      <w:rFonts w:ascii="Times New Roman"/>
                      <w:b/>
                      <w:kern w:val="2"/>
                      <w:szCs w:val="21"/>
                      <w:u w:val="single"/>
                    </w:rPr>
                  </w:pPr>
                  <w:r>
                    <w:rPr>
                      <w:rFonts w:ascii="Times New Roman" w:hAnsi="宋体"/>
                      <w:b/>
                      <w:szCs w:val="21"/>
                      <w:u w:val="single"/>
                    </w:rPr>
                    <w:t>储存方式</w:t>
                  </w:r>
                </w:p>
              </w:tc>
            </w:tr>
            <w:tr w14:paraId="2049A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rPr>
              <w:tc>
                <w:tcPr>
                  <w:tcW w:w="346" w:type="pct"/>
                  <w:tcBorders>
                    <w:top w:val="single" w:color="auto" w:sz="4" w:space="0"/>
                    <w:left w:val="single" w:color="auto" w:sz="4" w:space="0"/>
                    <w:bottom w:val="single" w:color="auto" w:sz="4" w:space="0"/>
                    <w:right w:val="single" w:color="auto" w:sz="4" w:space="0"/>
                  </w:tcBorders>
                  <w:vAlign w:val="center"/>
                </w:tcPr>
                <w:p w14:paraId="3C44CDD5">
                  <w:pPr>
                    <w:widowControl/>
                    <w:adjustRightInd w:val="0"/>
                    <w:snapToGrid w:val="0"/>
                    <w:jc w:val="center"/>
                    <w:rPr>
                      <w:b/>
                      <w:szCs w:val="21"/>
                      <w:u w:val="single"/>
                    </w:rPr>
                  </w:pPr>
                  <w:r>
                    <w:rPr>
                      <w:b/>
                      <w:szCs w:val="21"/>
                      <w:u w:val="single"/>
                    </w:rPr>
                    <w:t>1</w:t>
                  </w:r>
                </w:p>
              </w:tc>
              <w:tc>
                <w:tcPr>
                  <w:tcW w:w="679" w:type="pct"/>
                  <w:tcBorders>
                    <w:top w:val="single" w:color="auto" w:sz="4" w:space="0"/>
                    <w:left w:val="single" w:color="auto" w:sz="4" w:space="0"/>
                    <w:bottom w:val="single" w:color="auto" w:sz="4" w:space="0"/>
                    <w:right w:val="single" w:color="auto" w:sz="4" w:space="0"/>
                  </w:tcBorders>
                  <w:vAlign w:val="center"/>
                </w:tcPr>
                <w:p w14:paraId="361768D2">
                  <w:pPr>
                    <w:widowControl/>
                    <w:adjustRightInd w:val="0"/>
                    <w:snapToGrid w:val="0"/>
                    <w:jc w:val="center"/>
                    <w:rPr>
                      <w:b/>
                      <w:szCs w:val="21"/>
                      <w:u w:val="single"/>
                    </w:rPr>
                  </w:pPr>
                  <w:r>
                    <w:rPr>
                      <w:rFonts w:hAnsi="宋体"/>
                      <w:b/>
                      <w:szCs w:val="21"/>
                      <w:u w:val="single"/>
                    </w:rPr>
                    <w:t>导热油炉</w:t>
                  </w:r>
                </w:p>
              </w:tc>
              <w:tc>
                <w:tcPr>
                  <w:tcW w:w="682" w:type="pct"/>
                  <w:tcBorders>
                    <w:top w:val="single" w:color="auto" w:sz="4" w:space="0"/>
                    <w:left w:val="single" w:color="auto" w:sz="4" w:space="0"/>
                    <w:bottom w:val="single" w:color="auto" w:sz="4" w:space="0"/>
                    <w:right w:val="single" w:color="auto" w:sz="4" w:space="0"/>
                  </w:tcBorders>
                  <w:vAlign w:val="center"/>
                </w:tcPr>
                <w:p w14:paraId="5B7518E4">
                  <w:pPr>
                    <w:widowControl/>
                    <w:adjustRightInd w:val="0"/>
                    <w:snapToGrid w:val="0"/>
                    <w:jc w:val="center"/>
                    <w:rPr>
                      <w:b/>
                      <w:color w:val="000000"/>
                      <w:szCs w:val="21"/>
                      <w:u w:val="single"/>
                    </w:rPr>
                  </w:pPr>
                  <w:r>
                    <w:rPr>
                      <w:rFonts w:hAnsi="宋体"/>
                      <w:b/>
                      <w:szCs w:val="21"/>
                      <w:u w:val="single"/>
                    </w:rPr>
                    <w:t>导热油</w:t>
                  </w:r>
                </w:p>
              </w:tc>
              <w:tc>
                <w:tcPr>
                  <w:tcW w:w="597" w:type="pct"/>
                  <w:tcBorders>
                    <w:top w:val="single" w:color="auto" w:sz="4" w:space="0"/>
                    <w:left w:val="single" w:color="auto" w:sz="4" w:space="0"/>
                    <w:bottom w:val="single" w:color="auto" w:sz="4" w:space="0"/>
                    <w:right w:val="single" w:color="auto" w:sz="4" w:space="0"/>
                  </w:tcBorders>
                  <w:vAlign w:val="center"/>
                </w:tcPr>
                <w:p w14:paraId="34C39E7F">
                  <w:pPr>
                    <w:pStyle w:val="55"/>
                    <w:spacing w:beforeLines="0" w:afterLines="0" w:line="240" w:lineRule="auto"/>
                    <w:rPr>
                      <w:rFonts w:ascii="Times New Roman"/>
                      <w:b/>
                      <w:kern w:val="2"/>
                      <w:szCs w:val="21"/>
                      <w:u w:val="single"/>
                    </w:rPr>
                  </w:pPr>
                  <w:r>
                    <w:rPr>
                      <w:rFonts w:ascii="Times New Roman" w:hAnsi="宋体"/>
                      <w:b/>
                      <w:szCs w:val="21"/>
                      <w:u w:val="single"/>
                    </w:rPr>
                    <w:t>液态</w:t>
                  </w:r>
                </w:p>
              </w:tc>
              <w:tc>
                <w:tcPr>
                  <w:tcW w:w="851" w:type="pct"/>
                  <w:tcBorders>
                    <w:top w:val="single" w:color="auto" w:sz="4" w:space="0"/>
                    <w:left w:val="single" w:color="auto" w:sz="4" w:space="0"/>
                    <w:bottom w:val="single" w:color="auto" w:sz="4" w:space="0"/>
                    <w:right w:val="single" w:color="auto" w:sz="4" w:space="0"/>
                  </w:tcBorders>
                  <w:vAlign w:val="center"/>
                </w:tcPr>
                <w:p w14:paraId="2D610476">
                  <w:pPr>
                    <w:widowControl/>
                    <w:adjustRightInd w:val="0"/>
                    <w:snapToGrid w:val="0"/>
                    <w:jc w:val="center"/>
                    <w:rPr>
                      <w:b/>
                      <w:szCs w:val="21"/>
                      <w:u w:val="single"/>
                    </w:rPr>
                  </w:pPr>
                  <w:r>
                    <w:rPr>
                      <w:rFonts w:hint="eastAsia"/>
                      <w:b/>
                      <w:szCs w:val="21"/>
                      <w:u w:val="single"/>
                    </w:rPr>
                    <w:t>8</w:t>
                  </w:r>
                  <w:r>
                    <w:rPr>
                      <w:b/>
                      <w:szCs w:val="21"/>
                      <w:u w:val="single"/>
                    </w:rPr>
                    <w:t>t</w:t>
                  </w:r>
                </w:p>
              </w:tc>
              <w:tc>
                <w:tcPr>
                  <w:tcW w:w="596" w:type="pct"/>
                  <w:tcBorders>
                    <w:top w:val="single" w:color="auto" w:sz="4" w:space="0"/>
                    <w:left w:val="single" w:color="auto" w:sz="4" w:space="0"/>
                    <w:bottom w:val="single" w:color="auto" w:sz="4" w:space="0"/>
                    <w:right w:val="single" w:color="auto" w:sz="4" w:space="0"/>
                  </w:tcBorders>
                  <w:vAlign w:val="center"/>
                </w:tcPr>
                <w:p w14:paraId="543C4C41">
                  <w:pPr>
                    <w:widowControl/>
                    <w:adjustRightInd w:val="0"/>
                    <w:snapToGrid w:val="0"/>
                    <w:jc w:val="center"/>
                    <w:rPr>
                      <w:b/>
                      <w:szCs w:val="21"/>
                      <w:u w:val="single"/>
                    </w:rPr>
                  </w:pPr>
                  <w:r>
                    <w:rPr>
                      <w:b/>
                      <w:szCs w:val="21"/>
                      <w:u w:val="single"/>
                    </w:rPr>
                    <w:t>2500t</w:t>
                  </w:r>
                </w:p>
              </w:tc>
              <w:tc>
                <w:tcPr>
                  <w:tcW w:w="1247" w:type="pct"/>
                  <w:tcBorders>
                    <w:top w:val="single" w:color="auto" w:sz="4" w:space="0"/>
                    <w:left w:val="single" w:color="auto" w:sz="4" w:space="0"/>
                    <w:bottom w:val="single" w:color="auto" w:sz="4" w:space="0"/>
                    <w:right w:val="single" w:color="auto" w:sz="4" w:space="0"/>
                  </w:tcBorders>
                  <w:vAlign w:val="center"/>
                </w:tcPr>
                <w:p w14:paraId="53B23FEA">
                  <w:pPr>
                    <w:widowControl/>
                    <w:adjustRightInd w:val="0"/>
                    <w:snapToGrid w:val="0"/>
                    <w:jc w:val="center"/>
                    <w:rPr>
                      <w:b/>
                      <w:szCs w:val="21"/>
                      <w:u w:val="single"/>
                    </w:rPr>
                  </w:pPr>
                  <w:r>
                    <w:rPr>
                      <w:rFonts w:hAnsi="宋体"/>
                      <w:b/>
                      <w:szCs w:val="21"/>
                      <w:u w:val="single"/>
                    </w:rPr>
                    <w:t>导热油炉及加热管道</w:t>
                  </w:r>
                </w:p>
              </w:tc>
            </w:tr>
            <w:tr w14:paraId="59A3A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rPr>
              <w:tc>
                <w:tcPr>
                  <w:tcW w:w="346" w:type="pct"/>
                  <w:tcBorders>
                    <w:top w:val="single" w:color="auto" w:sz="4" w:space="0"/>
                    <w:left w:val="single" w:color="auto" w:sz="4" w:space="0"/>
                    <w:bottom w:val="single" w:color="auto" w:sz="4" w:space="0"/>
                    <w:right w:val="single" w:color="auto" w:sz="4" w:space="0"/>
                  </w:tcBorders>
                  <w:vAlign w:val="center"/>
                </w:tcPr>
                <w:p w14:paraId="3262907A">
                  <w:pPr>
                    <w:widowControl/>
                    <w:adjustRightInd w:val="0"/>
                    <w:snapToGrid w:val="0"/>
                    <w:jc w:val="center"/>
                    <w:rPr>
                      <w:b/>
                      <w:szCs w:val="21"/>
                      <w:u w:val="single"/>
                    </w:rPr>
                  </w:pPr>
                  <w:r>
                    <w:rPr>
                      <w:b/>
                      <w:szCs w:val="21"/>
                      <w:u w:val="single"/>
                    </w:rPr>
                    <w:t>2</w:t>
                  </w:r>
                </w:p>
              </w:tc>
              <w:tc>
                <w:tcPr>
                  <w:tcW w:w="679" w:type="pct"/>
                  <w:tcBorders>
                    <w:top w:val="single" w:color="auto" w:sz="4" w:space="0"/>
                    <w:left w:val="single" w:color="auto" w:sz="4" w:space="0"/>
                    <w:bottom w:val="single" w:color="auto" w:sz="4" w:space="0"/>
                    <w:right w:val="single" w:color="auto" w:sz="4" w:space="0"/>
                  </w:tcBorders>
                  <w:vAlign w:val="center"/>
                </w:tcPr>
                <w:p w14:paraId="48B6D0DE">
                  <w:pPr>
                    <w:widowControl/>
                    <w:adjustRightInd w:val="0"/>
                    <w:snapToGrid w:val="0"/>
                    <w:jc w:val="center"/>
                    <w:rPr>
                      <w:b/>
                      <w:szCs w:val="21"/>
                      <w:u w:val="single"/>
                    </w:rPr>
                  </w:pPr>
                  <w:r>
                    <w:rPr>
                      <w:rFonts w:hint="eastAsia" w:hAnsi="宋体"/>
                      <w:b/>
                      <w:szCs w:val="21"/>
                      <w:u w:val="single"/>
                    </w:rPr>
                    <w:t>LNG</w:t>
                  </w:r>
                  <w:r>
                    <w:rPr>
                      <w:rFonts w:hAnsi="宋体"/>
                      <w:b/>
                      <w:szCs w:val="21"/>
                      <w:u w:val="single"/>
                    </w:rPr>
                    <w:t>储罐</w:t>
                  </w:r>
                </w:p>
              </w:tc>
              <w:tc>
                <w:tcPr>
                  <w:tcW w:w="682" w:type="pct"/>
                  <w:tcBorders>
                    <w:top w:val="single" w:color="auto" w:sz="4" w:space="0"/>
                    <w:left w:val="single" w:color="auto" w:sz="4" w:space="0"/>
                    <w:bottom w:val="single" w:color="auto" w:sz="4" w:space="0"/>
                    <w:right w:val="single" w:color="auto" w:sz="4" w:space="0"/>
                  </w:tcBorders>
                  <w:vAlign w:val="center"/>
                </w:tcPr>
                <w:p w14:paraId="611778E2">
                  <w:pPr>
                    <w:widowControl/>
                    <w:adjustRightInd w:val="0"/>
                    <w:snapToGrid w:val="0"/>
                    <w:jc w:val="center"/>
                    <w:rPr>
                      <w:b/>
                      <w:szCs w:val="21"/>
                      <w:u w:val="single"/>
                    </w:rPr>
                  </w:pPr>
                  <w:r>
                    <w:rPr>
                      <w:rFonts w:hAnsi="宋体"/>
                      <w:b/>
                      <w:szCs w:val="21"/>
                      <w:u w:val="single"/>
                    </w:rPr>
                    <w:t>液化天然气</w:t>
                  </w:r>
                </w:p>
              </w:tc>
              <w:tc>
                <w:tcPr>
                  <w:tcW w:w="597" w:type="pct"/>
                  <w:tcBorders>
                    <w:top w:val="single" w:color="auto" w:sz="4" w:space="0"/>
                    <w:left w:val="single" w:color="auto" w:sz="4" w:space="0"/>
                    <w:bottom w:val="single" w:color="auto" w:sz="4" w:space="0"/>
                    <w:right w:val="single" w:color="auto" w:sz="4" w:space="0"/>
                  </w:tcBorders>
                  <w:vAlign w:val="center"/>
                </w:tcPr>
                <w:p w14:paraId="3C65BF45">
                  <w:pPr>
                    <w:pStyle w:val="55"/>
                    <w:spacing w:beforeLines="0" w:afterLines="0" w:line="240" w:lineRule="auto"/>
                    <w:rPr>
                      <w:rFonts w:ascii="Times New Roman"/>
                      <w:b/>
                      <w:szCs w:val="21"/>
                      <w:u w:val="single"/>
                    </w:rPr>
                  </w:pPr>
                  <w:r>
                    <w:rPr>
                      <w:rFonts w:ascii="Times New Roman" w:hAnsi="宋体"/>
                      <w:b/>
                      <w:szCs w:val="21"/>
                      <w:u w:val="single"/>
                    </w:rPr>
                    <w:t>液态</w:t>
                  </w:r>
                </w:p>
              </w:tc>
              <w:tc>
                <w:tcPr>
                  <w:tcW w:w="851" w:type="pct"/>
                  <w:tcBorders>
                    <w:top w:val="single" w:color="auto" w:sz="4" w:space="0"/>
                    <w:left w:val="single" w:color="auto" w:sz="4" w:space="0"/>
                    <w:bottom w:val="single" w:color="auto" w:sz="4" w:space="0"/>
                    <w:right w:val="single" w:color="auto" w:sz="4" w:space="0"/>
                  </w:tcBorders>
                  <w:vAlign w:val="center"/>
                </w:tcPr>
                <w:p w14:paraId="425613E2">
                  <w:pPr>
                    <w:widowControl/>
                    <w:adjustRightInd w:val="0"/>
                    <w:snapToGrid w:val="0"/>
                    <w:jc w:val="center"/>
                    <w:rPr>
                      <w:b/>
                      <w:szCs w:val="21"/>
                      <w:u w:val="single"/>
                    </w:rPr>
                  </w:pPr>
                  <w:r>
                    <w:rPr>
                      <w:rFonts w:hint="eastAsia"/>
                      <w:b/>
                      <w:szCs w:val="21"/>
                      <w:u w:val="single"/>
                    </w:rPr>
                    <w:t>6.75</w:t>
                  </w:r>
                  <w:r>
                    <w:rPr>
                      <w:b/>
                      <w:szCs w:val="21"/>
                      <w:u w:val="single"/>
                    </w:rPr>
                    <w:t>t</w:t>
                  </w:r>
                </w:p>
              </w:tc>
              <w:tc>
                <w:tcPr>
                  <w:tcW w:w="596" w:type="pct"/>
                  <w:tcBorders>
                    <w:top w:val="single" w:color="auto" w:sz="4" w:space="0"/>
                    <w:left w:val="single" w:color="auto" w:sz="4" w:space="0"/>
                    <w:bottom w:val="single" w:color="auto" w:sz="4" w:space="0"/>
                    <w:right w:val="single" w:color="auto" w:sz="4" w:space="0"/>
                  </w:tcBorders>
                  <w:vAlign w:val="center"/>
                </w:tcPr>
                <w:p w14:paraId="02A77812">
                  <w:pPr>
                    <w:widowControl/>
                    <w:adjustRightInd w:val="0"/>
                    <w:snapToGrid w:val="0"/>
                    <w:jc w:val="center"/>
                    <w:rPr>
                      <w:b/>
                      <w:szCs w:val="21"/>
                      <w:u w:val="single"/>
                    </w:rPr>
                  </w:pPr>
                  <w:r>
                    <w:rPr>
                      <w:b/>
                      <w:szCs w:val="21"/>
                      <w:u w:val="single"/>
                    </w:rPr>
                    <w:t>10t</w:t>
                  </w:r>
                </w:p>
              </w:tc>
              <w:tc>
                <w:tcPr>
                  <w:tcW w:w="1247" w:type="pct"/>
                  <w:tcBorders>
                    <w:top w:val="single" w:color="auto" w:sz="4" w:space="0"/>
                    <w:left w:val="single" w:color="auto" w:sz="4" w:space="0"/>
                    <w:bottom w:val="single" w:color="auto" w:sz="4" w:space="0"/>
                    <w:right w:val="single" w:color="auto" w:sz="4" w:space="0"/>
                  </w:tcBorders>
                  <w:vAlign w:val="center"/>
                </w:tcPr>
                <w:p w14:paraId="016409FE">
                  <w:pPr>
                    <w:widowControl/>
                    <w:adjustRightInd w:val="0"/>
                    <w:snapToGrid w:val="0"/>
                    <w:jc w:val="center"/>
                    <w:rPr>
                      <w:b/>
                      <w:szCs w:val="21"/>
                      <w:u w:val="single"/>
                    </w:rPr>
                  </w:pPr>
                  <w:r>
                    <w:rPr>
                      <w:rFonts w:hAnsi="宋体"/>
                      <w:b/>
                      <w:szCs w:val="21"/>
                      <w:u w:val="single"/>
                    </w:rPr>
                    <w:t>储罐</w:t>
                  </w:r>
                </w:p>
              </w:tc>
            </w:tr>
          </w:tbl>
          <w:p w14:paraId="6210A09C">
            <w:pPr>
              <w:spacing w:line="360" w:lineRule="auto"/>
              <w:ind w:firstLine="482" w:firstLineChars="200"/>
              <w:jc w:val="left"/>
              <w:rPr>
                <w:b/>
                <w:sz w:val="24"/>
                <w:u w:val="single"/>
              </w:rPr>
            </w:pPr>
            <w:r>
              <w:rPr>
                <w:rFonts w:hint="eastAsia"/>
                <w:b/>
                <w:bCs/>
                <w:sz w:val="24"/>
                <w:u w:val="single"/>
              </w:rPr>
              <w:t>由上表可知，Q=0.8224＜1。</w:t>
            </w:r>
          </w:p>
          <w:p w14:paraId="26C4F83F">
            <w:pPr>
              <w:pStyle w:val="4"/>
              <w:snapToGrid w:val="0"/>
              <w:spacing w:before="0" w:after="0" w:line="360" w:lineRule="auto"/>
              <w:ind w:firstLine="482" w:firstLineChars="200"/>
              <w:rPr>
                <w:bCs/>
                <w:sz w:val="24"/>
                <w:szCs w:val="24"/>
                <w:u w:val="single"/>
              </w:rPr>
            </w:pPr>
            <w:r>
              <w:rPr>
                <w:rFonts w:hint="eastAsia"/>
                <w:bCs/>
                <w:sz w:val="24"/>
                <w:szCs w:val="24"/>
                <w:u w:val="single"/>
              </w:rPr>
              <w:t>6.2污染源识别</w:t>
            </w:r>
          </w:p>
          <w:p w14:paraId="49669D2C">
            <w:pPr>
              <w:spacing w:line="360" w:lineRule="auto"/>
              <w:ind w:firstLine="482" w:firstLineChars="200"/>
              <w:rPr>
                <w:b/>
                <w:sz w:val="24"/>
                <w:u w:val="single"/>
              </w:rPr>
            </w:pPr>
            <w:r>
              <w:rPr>
                <w:rFonts w:hint="eastAsia"/>
                <w:b/>
                <w:sz w:val="24"/>
                <w:u w:val="single"/>
              </w:rPr>
              <w:t>项目污染源识别见下表。</w:t>
            </w:r>
          </w:p>
          <w:p w14:paraId="4A2FBE8C">
            <w:pPr>
              <w:adjustRightInd w:val="0"/>
              <w:snapToGrid w:val="0"/>
              <w:jc w:val="center"/>
              <w:rPr>
                <w:rFonts w:eastAsiaTheme="minorEastAsia"/>
                <w:b/>
                <w:kern w:val="0"/>
                <w:sz w:val="24"/>
                <w:u w:val="single"/>
              </w:rPr>
            </w:pPr>
            <w:r>
              <w:rPr>
                <w:rFonts w:hAnsiTheme="minorEastAsia" w:eastAsiaTheme="minorEastAsia"/>
                <w:b/>
                <w:kern w:val="0"/>
                <w:sz w:val="24"/>
                <w:u w:val="single"/>
              </w:rPr>
              <w:t>表</w:t>
            </w:r>
            <w:r>
              <w:rPr>
                <w:rFonts w:hint="eastAsia" w:eastAsiaTheme="minorEastAsia"/>
                <w:b/>
                <w:kern w:val="0"/>
                <w:sz w:val="24"/>
                <w:u w:val="single"/>
              </w:rPr>
              <w:t xml:space="preserve">34    </w:t>
            </w:r>
            <w:r>
              <w:rPr>
                <w:rFonts w:hAnsiTheme="minorEastAsia" w:eastAsiaTheme="minorEastAsia"/>
                <w:b/>
                <w:kern w:val="0"/>
                <w:sz w:val="24"/>
                <w:u w:val="single"/>
              </w:rPr>
              <w:t>本项目环境风险识别表</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189"/>
              <w:gridCol w:w="1242"/>
              <w:gridCol w:w="1520"/>
              <w:gridCol w:w="1801"/>
              <w:gridCol w:w="2472"/>
            </w:tblGrid>
            <w:tr w14:paraId="0D7F4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723" w:type="pct"/>
                  <w:tcBorders>
                    <w:top w:val="single" w:color="auto" w:sz="4" w:space="0"/>
                    <w:left w:val="single" w:color="auto" w:sz="4" w:space="0"/>
                    <w:bottom w:val="single" w:color="auto" w:sz="4" w:space="0"/>
                    <w:right w:val="single" w:color="auto" w:sz="4" w:space="0"/>
                  </w:tcBorders>
                  <w:vAlign w:val="center"/>
                </w:tcPr>
                <w:p w14:paraId="64829C36">
                  <w:pPr>
                    <w:pStyle w:val="132"/>
                    <w:adjustRightInd/>
                    <w:snapToGrid/>
                    <w:rPr>
                      <w:rFonts w:cs="Times New Roman"/>
                      <w:b/>
                      <w:szCs w:val="21"/>
                      <w:u w:val="single"/>
                    </w:rPr>
                  </w:pPr>
                  <w:r>
                    <w:rPr>
                      <w:rFonts w:hint="eastAsia" w:cs="Times New Roman"/>
                      <w:b/>
                      <w:szCs w:val="21"/>
                      <w:u w:val="single"/>
                    </w:rPr>
                    <w:t>危险单元</w:t>
                  </w:r>
                </w:p>
              </w:tc>
              <w:tc>
                <w:tcPr>
                  <w:tcW w:w="755" w:type="pct"/>
                  <w:tcBorders>
                    <w:top w:val="single" w:color="auto" w:sz="4" w:space="0"/>
                    <w:left w:val="single" w:color="auto" w:sz="4" w:space="0"/>
                    <w:bottom w:val="single" w:color="auto" w:sz="4" w:space="0"/>
                    <w:right w:val="single" w:color="auto" w:sz="4" w:space="0"/>
                  </w:tcBorders>
                  <w:vAlign w:val="center"/>
                </w:tcPr>
                <w:p w14:paraId="1A4705EA">
                  <w:pPr>
                    <w:pStyle w:val="132"/>
                    <w:adjustRightInd/>
                    <w:snapToGrid/>
                    <w:rPr>
                      <w:rFonts w:cs="Times New Roman"/>
                      <w:b/>
                      <w:szCs w:val="21"/>
                      <w:u w:val="single"/>
                    </w:rPr>
                  </w:pPr>
                  <w:r>
                    <w:rPr>
                      <w:rFonts w:hint="eastAsia" w:cs="Times New Roman"/>
                      <w:b/>
                      <w:szCs w:val="21"/>
                      <w:u w:val="single"/>
                    </w:rPr>
                    <w:t>风险源</w:t>
                  </w:r>
                </w:p>
              </w:tc>
              <w:tc>
                <w:tcPr>
                  <w:tcW w:w="924" w:type="pct"/>
                  <w:tcBorders>
                    <w:top w:val="single" w:color="auto" w:sz="4" w:space="0"/>
                    <w:left w:val="single" w:color="auto" w:sz="4" w:space="0"/>
                    <w:bottom w:val="single" w:color="auto" w:sz="4" w:space="0"/>
                    <w:right w:val="single" w:color="auto" w:sz="4" w:space="0"/>
                  </w:tcBorders>
                  <w:vAlign w:val="center"/>
                </w:tcPr>
                <w:p w14:paraId="07FBD7BA">
                  <w:pPr>
                    <w:pStyle w:val="132"/>
                    <w:adjustRightInd/>
                    <w:snapToGrid/>
                    <w:rPr>
                      <w:rFonts w:cs="Times New Roman"/>
                      <w:b/>
                      <w:szCs w:val="21"/>
                      <w:u w:val="single"/>
                    </w:rPr>
                  </w:pPr>
                  <w:r>
                    <w:rPr>
                      <w:rFonts w:hint="eastAsia" w:cs="Times New Roman"/>
                      <w:b/>
                      <w:szCs w:val="21"/>
                      <w:u w:val="single"/>
                    </w:rPr>
                    <w:t>主要危险物质</w:t>
                  </w:r>
                </w:p>
              </w:tc>
              <w:tc>
                <w:tcPr>
                  <w:tcW w:w="1095" w:type="pct"/>
                  <w:tcBorders>
                    <w:top w:val="single" w:color="auto" w:sz="4" w:space="0"/>
                    <w:left w:val="single" w:color="auto" w:sz="4" w:space="0"/>
                    <w:bottom w:val="single" w:color="auto" w:sz="4" w:space="0"/>
                    <w:right w:val="single" w:color="auto" w:sz="4" w:space="0"/>
                  </w:tcBorders>
                  <w:vAlign w:val="center"/>
                </w:tcPr>
                <w:p w14:paraId="4570A8A2">
                  <w:pPr>
                    <w:pStyle w:val="132"/>
                    <w:adjustRightInd/>
                    <w:snapToGrid/>
                    <w:rPr>
                      <w:rFonts w:cs="Times New Roman"/>
                      <w:b/>
                      <w:szCs w:val="21"/>
                      <w:u w:val="single"/>
                    </w:rPr>
                  </w:pPr>
                  <w:r>
                    <w:rPr>
                      <w:rFonts w:hint="eastAsia" w:cs="Times New Roman"/>
                      <w:b/>
                      <w:szCs w:val="21"/>
                      <w:u w:val="single"/>
                    </w:rPr>
                    <w:t>环境风险类型</w:t>
                  </w:r>
                </w:p>
              </w:tc>
              <w:tc>
                <w:tcPr>
                  <w:tcW w:w="1503" w:type="pct"/>
                  <w:tcBorders>
                    <w:top w:val="single" w:color="auto" w:sz="4" w:space="0"/>
                    <w:left w:val="single" w:color="auto" w:sz="4" w:space="0"/>
                    <w:bottom w:val="single" w:color="auto" w:sz="4" w:space="0"/>
                    <w:right w:val="single" w:color="auto" w:sz="4" w:space="0"/>
                  </w:tcBorders>
                  <w:vAlign w:val="center"/>
                </w:tcPr>
                <w:p w14:paraId="5A218473">
                  <w:pPr>
                    <w:pStyle w:val="132"/>
                    <w:adjustRightInd/>
                    <w:snapToGrid/>
                    <w:rPr>
                      <w:rFonts w:cs="Times New Roman"/>
                      <w:b/>
                      <w:szCs w:val="21"/>
                      <w:u w:val="single"/>
                    </w:rPr>
                  </w:pPr>
                  <w:r>
                    <w:rPr>
                      <w:rFonts w:hint="eastAsia" w:cs="Times New Roman"/>
                      <w:b/>
                      <w:szCs w:val="21"/>
                      <w:u w:val="single"/>
                    </w:rPr>
                    <w:t>可能受影响的环境敏感目标</w:t>
                  </w:r>
                </w:p>
              </w:tc>
            </w:tr>
            <w:tr w14:paraId="37D59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723" w:type="pct"/>
                  <w:tcBorders>
                    <w:top w:val="single" w:color="auto" w:sz="4" w:space="0"/>
                    <w:left w:val="single" w:color="auto" w:sz="4" w:space="0"/>
                    <w:bottom w:val="single" w:color="auto" w:sz="4" w:space="0"/>
                    <w:right w:val="single" w:color="auto" w:sz="4" w:space="0"/>
                  </w:tcBorders>
                  <w:vAlign w:val="center"/>
                </w:tcPr>
                <w:p w14:paraId="0D8A7CEC">
                  <w:pPr>
                    <w:pStyle w:val="132"/>
                    <w:adjustRightInd/>
                    <w:snapToGrid/>
                    <w:rPr>
                      <w:rFonts w:cs="Times New Roman"/>
                      <w:b/>
                      <w:szCs w:val="21"/>
                      <w:u w:val="single"/>
                    </w:rPr>
                  </w:pPr>
                  <w:r>
                    <w:rPr>
                      <w:rFonts w:hint="eastAsia" w:hAnsi="宋体"/>
                      <w:b/>
                      <w:szCs w:val="21"/>
                      <w:u w:val="single"/>
                    </w:rPr>
                    <w:t>LNG</w:t>
                  </w:r>
                  <w:r>
                    <w:rPr>
                      <w:rFonts w:hAnsi="宋体" w:cs="Times New Roman"/>
                      <w:b/>
                      <w:szCs w:val="21"/>
                      <w:u w:val="single"/>
                    </w:rPr>
                    <w:t>储罐</w:t>
                  </w:r>
                </w:p>
              </w:tc>
              <w:tc>
                <w:tcPr>
                  <w:tcW w:w="755" w:type="pct"/>
                  <w:tcBorders>
                    <w:top w:val="single" w:color="auto" w:sz="4" w:space="0"/>
                    <w:left w:val="single" w:color="auto" w:sz="4" w:space="0"/>
                    <w:bottom w:val="single" w:color="auto" w:sz="4" w:space="0"/>
                    <w:right w:val="single" w:color="auto" w:sz="4" w:space="0"/>
                  </w:tcBorders>
                  <w:vAlign w:val="center"/>
                </w:tcPr>
                <w:p w14:paraId="20A37B70">
                  <w:pPr>
                    <w:pStyle w:val="132"/>
                    <w:adjustRightInd/>
                    <w:snapToGrid/>
                    <w:rPr>
                      <w:rFonts w:cs="Times New Roman"/>
                      <w:b/>
                      <w:szCs w:val="21"/>
                      <w:u w:val="single"/>
                    </w:rPr>
                  </w:pPr>
                  <w:r>
                    <w:rPr>
                      <w:rFonts w:hint="eastAsia" w:hAnsi="宋体"/>
                      <w:b/>
                      <w:szCs w:val="21"/>
                      <w:u w:val="single"/>
                    </w:rPr>
                    <w:t>LNG</w:t>
                  </w:r>
                  <w:r>
                    <w:rPr>
                      <w:rFonts w:hAnsi="宋体" w:cs="Times New Roman"/>
                      <w:b/>
                      <w:szCs w:val="21"/>
                      <w:u w:val="single"/>
                    </w:rPr>
                    <w:t>储罐</w:t>
                  </w:r>
                </w:p>
              </w:tc>
              <w:tc>
                <w:tcPr>
                  <w:tcW w:w="924" w:type="pct"/>
                  <w:tcBorders>
                    <w:top w:val="single" w:color="auto" w:sz="4" w:space="0"/>
                    <w:left w:val="single" w:color="auto" w:sz="4" w:space="0"/>
                    <w:bottom w:val="single" w:color="auto" w:sz="4" w:space="0"/>
                    <w:right w:val="single" w:color="auto" w:sz="4" w:space="0"/>
                  </w:tcBorders>
                  <w:vAlign w:val="center"/>
                </w:tcPr>
                <w:p w14:paraId="0B0A86E6">
                  <w:pPr>
                    <w:pStyle w:val="132"/>
                    <w:adjustRightInd/>
                    <w:snapToGrid/>
                    <w:rPr>
                      <w:rFonts w:cs="Times New Roman"/>
                      <w:b/>
                      <w:szCs w:val="21"/>
                      <w:u w:val="single"/>
                    </w:rPr>
                  </w:pPr>
                  <w:r>
                    <w:rPr>
                      <w:rFonts w:hint="eastAsia" w:cs="Times New Roman"/>
                      <w:b/>
                      <w:szCs w:val="21"/>
                      <w:u w:val="single"/>
                    </w:rPr>
                    <w:t>液化天然气</w:t>
                  </w:r>
                </w:p>
              </w:tc>
              <w:tc>
                <w:tcPr>
                  <w:tcW w:w="1095" w:type="pct"/>
                  <w:tcBorders>
                    <w:top w:val="single" w:color="auto" w:sz="4" w:space="0"/>
                    <w:left w:val="single" w:color="auto" w:sz="4" w:space="0"/>
                    <w:bottom w:val="single" w:color="auto" w:sz="4" w:space="0"/>
                    <w:right w:val="single" w:color="auto" w:sz="4" w:space="0"/>
                  </w:tcBorders>
                  <w:vAlign w:val="center"/>
                </w:tcPr>
                <w:p w14:paraId="7E04BB66">
                  <w:pPr>
                    <w:pStyle w:val="132"/>
                    <w:adjustRightInd/>
                    <w:snapToGrid/>
                    <w:rPr>
                      <w:rFonts w:cs="Times New Roman"/>
                      <w:b/>
                      <w:szCs w:val="21"/>
                      <w:u w:val="single"/>
                    </w:rPr>
                  </w:pPr>
                  <w:r>
                    <w:rPr>
                      <w:rFonts w:hint="eastAsia" w:cs="Times New Roman"/>
                      <w:b/>
                      <w:szCs w:val="21"/>
                      <w:u w:val="single"/>
                    </w:rPr>
                    <w:t>泄露、火灾、爆炸</w:t>
                  </w:r>
                </w:p>
              </w:tc>
              <w:tc>
                <w:tcPr>
                  <w:tcW w:w="1503" w:type="pct"/>
                  <w:tcBorders>
                    <w:top w:val="single" w:color="auto" w:sz="4" w:space="0"/>
                    <w:left w:val="single" w:color="auto" w:sz="4" w:space="0"/>
                    <w:bottom w:val="single" w:color="auto" w:sz="4" w:space="0"/>
                    <w:right w:val="single" w:color="auto" w:sz="4" w:space="0"/>
                  </w:tcBorders>
                  <w:vAlign w:val="center"/>
                </w:tcPr>
                <w:p w14:paraId="3C17E8AE">
                  <w:pPr>
                    <w:pStyle w:val="132"/>
                    <w:adjustRightInd/>
                    <w:snapToGrid/>
                    <w:rPr>
                      <w:rFonts w:cs="Times New Roman"/>
                      <w:b/>
                      <w:szCs w:val="21"/>
                      <w:u w:val="single"/>
                    </w:rPr>
                  </w:pPr>
                  <w:r>
                    <w:rPr>
                      <w:rFonts w:hint="eastAsia" w:cs="Times New Roman"/>
                      <w:b/>
                      <w:szCs w:val="21"/>
                      <w:u w:val="single"/>
                    </w:rPr>
                    <w:t>大气、地下水、土壤</w:t>
                  </w:r>
                </w:p>
              </w:tc>
            </w:tr>
            <w:tr w14:paraId="20776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723" w:type="pct"/>
                  <w:tcBorders>
                    <w:top w:val="single" w:color="auto" w:sz="4" w:space="0"/>
                    <w:left w:val="single" w:color="auto" w:sz="4" w:space="0"/>
                    <w:bottom w:val="single" w:color="auto" w:sz="4" w:space="0"/>
                    <w:right w:val="single" w:color="auto" w:sz="4" w:space="0"/>
                  </w:tcBorders>
                  <w:vAlign w:val="center"/>
                </w:tcPr>
                <w:p w14:paraId="2E0D8A0D">
                  <w:pPr>
                    <w:pStyle w:val="132"/>
                    <w:adjustRightInd/>
                    <w:snapToGrid/>
                    <w:rPr>
                      <w:rFonts w:cs="Times New Roman"/>
                      <w:b/>
                      <w:szCs w:val="21"/>
                      <w:u w:val="single"/>
                    </w:rPr>
                  </w:pPr>
                  <w:r>
                    <w:rPr>
                      <w:rFonts w:hint="eastAsia" w:cs="Times New Roman"/>
                      <w:b/>
                      <w:szCs w:val="21"/>
                      <w:u w:val="single"/>
                    </w:rPr>
                    <w:t>锅炉房</w:t>
                  </w:r>
                </w:p>
              </w:tc>
              <w:tc>
                <w:tcPr>
                  <w:tcW w:w="755" w:type="pct"/>
                  <w:tcBorders>
                    <w:top w:val="single" w:color="auto" w:sz="4" w:space="0"/>
                    <w:left w:val="single" w:color="auto" w:sz="4" w:space="0"/>
                    <w:bottom w:val="single" w:color="auto" w:sz="4" w:space="0"/>
                    <w:right w:val="single" w:color="auto" w:sz="4" w:space="0"/>
                  </w:tcBorders>
                  <w:vAlign w:val="center"/>
                </w:tcPr>
                <w:p w14:paraId="47D9E383">
                  <w:pPr>
                    <w:pStyle w:val="132"/>
                    <w:adjustRightInd/>
                    <w:snapToGrid/>
                    <w:rPr>
                      <w:rFonts w:cs="Times New Roman"/>
                      <w:b/>
                      <w:szCs w:val="21"/>
                      <w:u w:val="single"/>
                    </w:rPr>
                  </w:pPr>
                  <w:r>
                    <w:rPr>
                      <w:rFonts w:hint="eastAsia" w:cs="Times New Roman"/>
                      <w:b/>
                      <w:szCs w:val="21"/>
                      <w:u w:val="single"/>
                    </w:rPr>
                    <w:t>导热油锅炉</w:t>
                  </w:r>
                </w:p>
              </w:tc>
              <w:tc>
                <w:tcPr>
                  <w:tcW w:w="924" w:type="pct"/>
                  <w:tcBorders>
                    <w:top w:val="single" w:color="auto" w:sz="4" w:space="0"/>
                    <w:left w:val="single" w:color="auto" w:sz="4" w:space="0"/>
                    <w:bottom w:val="single" w:color="auto" w:sz="4" w:space="0"/>
                    <w:right w:val="single" w:color="auto" w:sz="4" w:space="0"/>
                  </w:tcBorders>
                  <w:vAlign w:val="center"/>
                </w:tcPr>
                <w:p w14:paraId="480735BD">
                  <w:pPr>
                    <w:pStyle w:val="132"/>
                    <w:adjustRightInd/>
                    <w:snapToGrid/>
                    <w:rPr>
                      <w:rFonts w:cs="Times New Roman"/>
                      <w:b/>
                      <w:szCs w:val="21"/>
                      <w:u w:val="single"/>
                    </w:rPr>
                  </w:pPr>
                  <w:r>
                    <w:rPr>
                      <w:rFonts w:hint="eastAsia" w:cs="Times New Roman"/>
                      <w:b/>
                      <w:szCs w:val="21"/>
                      <w:u w:val="single"/>
                    </w:rPr>
                    <w:t>导热油</w:t>
                  </w:r>
                </w:p>
              </w:tc>
              <w:tc>
                <w:tcPr>
                  <w:tcW w:w="1095" w:type="pct"/>
                  <w:tcBorders>
                    <w:top w:val="single" w:color="auto" w:sz="4" w:space="0"/>
                    <w:left w:val="single" w:color="auto" w:sz="4" w:space="0"/>
                    <w:bottom w:val="single" w:color="auto" w:sz="4" w:space="0"/>
                    <w:right w:val="single" w:color="auto" w:sz="4" w:space="0"/>
                  </w:tcBorders>
                  <w:vAlign w:val="center"/>
                </w:tcPr>
                <w:p w14:paraId="278AFDBF">
                  <w:pPr>
                    <w:pStyle w:val="132"/>
                    <w:adjustRightInd/>
                    <w:snapToGrid/>
                    <w:rPr>
                      <w:rFonts w:cs="Times New Roman"/>
                      <w:b/>
                      <w:szCs w:val="21"/>
                      <w:u w:val="single"/>
                    </w:rPr>
                  </w:pPr>
                  <w:r>
                    <w:rPr>
                      <w:rFonts w:hint="eastAsia" w:cs="Times New Roman"/>
                      <w:b/>
                      <w:szCs w:val="21"/>
                      <w:u w:val="single"/>
                    </w:rPr>
                    <w:t>泄露、火灾</w:t>
                  </w:r>
                </w:p>
              </w:tc>
              <w:tc>
                <w:tcPr>
                  <w:tcW w:w="1503" w:type="pct"/>
                  <w:tcBorders>
                    <w:top w:val="single" w:color="auto" w:sz="4" w:space="0"/>
                    <w:left w:val="single" w:color="auto" w:sz="4" w:space="0"/>
                    <w:bottom w:val="single" w:color="auto" w:sz="4" w:space="0"/>
                    <w:right w:val="single" w:color="auto" w:sz="4" w:space="0"/>
                  </w:tcBorders>
                  <w:vAlign w:val="center"/>
                </w:tcPr>
                <w:p w14:paraId="72491B2D">
                  <w:pPr>
                    <w:pStyle w:val="132"/>
                    <w:adjustRightInd/>
                    <w:snapToGrid/>
                    <w:rPr>
                      <w:rFonts w:cs="Times New Roman"/>
                      <w:b/>
                      <w:szCs w:val="21"/>
                      <w:u w:val="single"/>
                    </w:rPr>
                  </w:pPr>
                  <w:r>
                    <w:rPr>
                      <w:rFonts w:hint="eastAsia" w:cs="Times New Roman"/>
                      <w:b/>
                      <w:szCs w:val="21"/>
                      <w:u w:val="single"/>
                    </w:rPr>
                    <w:t>大气、地下水、土壤</w:t>
                  </w:r>
                </w:p>
              </w:tc>
            </w:tr>
          </w:tbl>
          <w:p w14:paraId="64F074EE">
            <w:pPr>
              <w:pStyle w:val="4"/>
              <w:snapToGrid w:val="0"/>
              <w:spacing w:before="0" w:after="0" w:line="360" w:lineRule="auto"/>
              <w:ind w:firstLine="482" w:firstLineChars="200"/>
              <w:rPr>
                <w:bCs/>
                <w:sz w:val="24"/>
                <w:szCs w:val="24"/>
                <w:u w:val="single"/>
              </w:rPr>
            </w:pPr>
            <w:r>
              <w:rPr>
                <w:rFonts w:hint="eastAsia"/>
                <w:bCs/>
                <w:sz w:val="24"/>
                <w:szCs w:val="24"/>
                <w:u w:val="single"/>
              </w:rPr>
              <w:t>6.3影响途经</w:t>
            </w:r>
          </w:p>
          <w:p w14:paraId="7107962B">
            <w:pPr>
              <w:spacing w:line="360" w:lineRule="auto"/>
              <w:ind w:firstLine="482" w:firstLineChars="200"/>
              <w:jc w:val="left"/>
              <w:rPr>
                <w:b/>
                <w:kern w:val="0"/>
                <w:sz w:val="24"/>
                <w:u w:val="single"/>
                <w:lang w:val="zh-CN"/>
              </w:rPr>
            </w:pPr>
            <w:r>
              <w:rPr>
                <w:rFonts w:hAnsi="宋体"/>
                <w:b/>
                <w:kern w:val="0"/>
                <w:sz w:val="24"/>
                <w:u w:val="single"/>
                <w:lang w:val="zh-CN"/>
              </w:rPr>
              <w:t>（</w:t>
            </w:r>
            <w:r>
              <w:rPr>
                <w:b/>
                <w:kern w:val="0"/>
                <w:sz w:val="24"/>
                <w:u w:val="single"/>
                <w:lang w:val="zh-CN"/>
              </w:rPr>
              <w:t>1</w:t>
            </w:r>
            <w:r>
              <w:rPr>
                <w:rFonts w:hAnsi="宋体"/>
                <w:b/>
                <w:kern w:val="0"/>
                <w:sz w:val="24"/>
                <w:u w:val="single"/>
                <w:lang w:val="zh-CN"/>
              </w:rPr>
              <w:t>）</w:t>
            </w:r>
            <w:r>
              <w:rPr>
                <w:b/>
                <w:kern w:val="0"/>
                <w:sz w:val="24"/>
                <w:u w:val="single"/>
                <w:lang w:val="zh-CN"/>
              </w:rPr>
              <w:t>本项目涉及的天然气为易燃易爆气体，当出现事故时，天然气管道破裂时释放的天然气可能带来下列危害：天然气若立即着火即产生燃烧热辐射，在危害距离内的人会受到热辐射伤害；天然气若未立即着火可形成爆炸气体云团，遇火就会发生爆炸，在危险距离以内，人会受到爆炸冲击波的伤害，建筑物会受到损伤；若天然气超过一定浓度时可能会导致漏点附近人员窒息。</w:t>
            </w:r>
          </w:p>
          <w:p w14:paraId="4C24CAC8">
            <w:pPr>
              <w:spacing w:line="360" w:lineRule="auto"/>
              <w:ind w:firstLine="482" w:firstLineChars="200"/>
              <w:jc w:val="left"/>
              <w:rPr>
                <w:b/>
                <w:kern w:val="0"/>
                <w:sz w:val="24"/>
                <w:u w:val="single"/>
                <w:lang w:val="zh-CN"/>
              </w:rPr>
            </w:pPr>
            <w:r>
              <w:rPr>
                <w:b/>
                <w:kern w:val="0"/>
                <w:sz w:val="24"/>
                <w:u w:val="single"/>
                <w:lang w:val="zh-CN"/>
              </w:rPr>
              <w:t>泄漏：天然气泄漏后会对周边环境产生一定影响。</w:t>
            </w:r>
          </w:p>
          <w:p w14:paraId="3C0A6D31">
            <w:pPr>
              <w:spacing w:line="360" w:lineRule="auto"/>
              <w:ind w:firstLine="482" w:firstLineChars="200"/>
              <w:jc w:val="left"/>
              <w:rPr>
                <w:b/>
                <w:kern w:val="0"/>
                <w:sz w:val="24"/>
                <w:u w:val="single"/>
                <w:lang w:val="zh-CN"/>
              </w:rPr>
            </w:pPr>
            <w:r>
              <w:rPr>
                <w:b/>
                <w:kern w:val="0"/>
                <w:sz w:val="24"/>
                <w:u w:val="single"/>
                <w:lang w:val="zh-CN"/>
              </w:rPr>
              <w:t>火灾、爆炸：天然气为易燃气体，与空气能形成爆炸性混合物，容易发生火灾爆炸，除爆炸冲击波和热辐射伤害之外，火灾和爆炸过程中天然气燃烧后主要产生水、CO、CO</w:t>
            </w:r>
            <w:r>
              <w:rPr>
                <w:b/>
                <w:kern w:val="0"/>
                <w:sz w:val="24"/>
                <w:u w:val="single"/>
                <w:vertAlign w:val="subscript"/>
                <w:lang w:val="zh-CN"/>
              </w:rPr>
              <w:t>2</w:t>
            </w:r>
            <w:r>
              <w:rPr>
                <w:b/>
                <w:kern w:val="0"/>
                <w:sz w:val="24"/>
                <w:u w:val="single"/>
                <w:lang w:val="zh-CN"/>
              </w:rPr>
              <w:t>、SO</w:t>
            </w:r>
            <w:r>
              <w:rPr>
                <w:b/>
                <w:kern w:val="0"/>
                <w:sz w:val="24"/>
                <w:u w:val="single"/>
                <w:vertAlign w:val="subscript"/>
                <w:lang w:val="zh-CN"/>
              </w:rPr>
              <w:t>2</w:t>
            </w:r>
            <w:r>
              <w:rPr>
                <w:b/>
                <w:kern w:val="0"/>
                <w:sz w:val="24"/>
                <w:u w:val="single"/>
                <w:lang w:val="zh-CN"/>
              </w:rPr>
              <w:t>等物质。</w:t>
            </w:r>
          </w:p>
          <w:p w14:paraId="1B047510">
            <w:pPr>
              <w:spacing w:line="360" w:lineRule="auto"/>
              <w:ind w:firstLine="482" w:firstLineChars="200"/>
              <w:jc w:val="left"/>
              <w:rPr>
                <w:b/>
                <w:kern w:val="0"/>
                <w:sz w:val="24"/>
                <w:u w:val="single"/>
                <w:lang w:val="zh-CN"/>
              </w:rPr>
            </w:pPr>
            <w:r>
              <w:rPr>
                <w:rFonts w:hAnsi="宋体"/>
                <w:b/>
                <w:kern w:val="0"/>
                <w:sz w:val="24"/>
                <w:u w:val="single"/>
                <w:lang w:val="zh-CN"/>
              </w:rPr>
              <w:t>（</w:t>
            </w:r>
            <w:r>
              <w:rPr>
                <w:b/>
                <w:kern w:val="0"/>
                <w:sz w:val="24"/>
                <w:u w:val="single"/>
                <w:lang w:val="zh-CN"/>
              </w:rPr>
              <w:t>2</w:t>
            </w:r>
            <w:r>
              <w:rPr>
                <w:rFonts w:hAnsi="宋体"/>
                <w:b/>
                <w:kern w:val="0"/>
                <w:sz w:val="24"/>
                <w:u w:val="single"/>
                <w:lang w:val="zh-CN"/>
              </w:rPr>
              <w:t>）本项目采用导热油炉为生产供热，导热油设备及加热管线老化或者维护不足可能导致导热油泄漏，造成土壤及地下水环境污染，</w:t>
            </w:r>
            <w:r>
              <w:rPr>
                <w:b/>
                <w:kern w:val="0"/>
                <w:sz w:val="24"/>
                <w:u w:val="single"/>
                <w:lang w:val="zh-CN"/>
              </w:rPr>
              <w:t>遇明火，容易发生火灾。</w:t>
            </w:r>
          </w:p>
          <w:p w14:paraId="4E49C14D">
            <w:pPr>
              <w:spacing w:line="360" w:lineRule="auto"/>
              <w:ind w:firstLine="482" w:firstLineChars="200"/>
              <w:jc w:val="left"/>
              <w:rPr>
                <w:rFonts w:hAnsiTheme="minorEastAsia" w:eastAsiaTheme="minorEastAsia"/>
                <w:b/>
                <w:kern w:val="0"/>
                <w:sz w:val="24"/>
                <w:u w:val="single"/>
              </w:rPr>
            </w:pPr>
            <w:r>
              <w:rPr>
                <w:rFonts w:hint="eastAsia" w:eastAsiaTheme="minorEastAsia"/>
                <w:b/>
                <w:kern w:val="0"/>
                <w:sz w:val="24"/>
                <w:u w:val="single"/>
              </w:rPr>
              <w:t>6</w:t>
            </w:r>
            <w:r>
              <w:rPr>
                <w:rFonts w:eastAsiaTheme="minorEastAsia"/>
                <w:b/>
                <w:kern w:val="0"/>
                <w:sz w:val="24"/>
                <w:u w:val="single"/>
              </w:rPr>
              <w:t>.4</w:t>
            </w:r>
            <w:r>
              <w:rPr>
                <w:rFonts w:hAnsiTheme="minorEastAsia" w:eastAsiaTheme="minorEastAsia"/>
                <w:b/>
                <w:kern w:val="0"/>
                <w:sz w:val="24"/>
                <w:u w:val="single"/>
              </w:rPr>
              <w:t>风险防范措施</w:t>
            </w:r>
          </w:p>
          <w:p w14:paraId="1A03C518">
            <w:pPr>
              <w:spacing w:line="360" w:lineRule="auto"/>
              <w:ind w:firstLine="479" w:firstLineChars="199"/>
              <w:rPr>
                <w:b/>
                <w:sz w:val="24"/>
                <w:u w:val="single"/>
              </w:rPr>
            </w:pPr>
            <w:r>
              <w:rPr>
                <w:rFonts w:hint="eastAsia" w:hAnsiTheme="minorEastAsia" w:eastAsiaTheme="minorEastAsia"/>
                <w:b/>
                <w:kern w:val="0"/>
                <w:sz w:val="24"/>
                <w:u w:val="single"/>
              </w:rPr>
              <w:t>（1）</w:t>
            </w:r>
            <w:r>
              <w:rPr>
                <w:rFonts w:hint="eastAsia"/>
                <w:b/>
                <w:sz w:val="24"/>
                <w:u w:val="single"/>
              </w:rPr>
              <w:t>LNG储罐、导热油炉</w:t>
            </w:r>
            <w:r>
              <w:rPr>
                <w:rFonts w:hint="eastAsia"/>
                <w:b/>
                <w:bCs/>
                <w:sz w:val="24"/>
                <w:u w:val="single"/>
              </w:rPr>
              <w:t>风险防范措施</w:t>
            </w:r>
          </w:p>
          <w:p w14:paraId="7C6A9371">
            <w:pPr>
              <w:spacing w:line="360" w:lineRule="auto"/>
              <w:ind w:firstLine="479" w:firstLineChars="199"/>
              <w:rPr>
                <w:b/>
                <w:sz w:val="24"/>
                <w:u w:val="single"/>
              </w:rPr>
            </w:pPr>
            <w:r>
              <w:rPr>
                <w:rFonts w:hint="eastAsia"/>
                <w:b/>
                <w:sz w:val="24"/>
                <w:u w:val="single"/>
              </w:rPr>
              <w:t>①</w:t>
            </w:r>
            <w:r>
              <w:rPr>
                <w:rFonts w:hint="eastAsia"/>
                <w:b/>
                <w:bCs/>
                <w:sz w:val="24"/>
                <w:u w:val="single"/>
              </w:rPr>
              <w:t>项目在建设过程中委托专业的有资质单位进行设计，设备的选型、安装、验收，工艺的布置以及相互之间的安全距离按照相应的规范和标准进行，建筑物按《建筑防火设计规范》的规定进行设计；</w:t>
            </w:r>
          </w:p>
          <w:p w14:paraId="2EAEEB9A">
            <w:pPr>
              <w:spacing w:line="360" w:lineRule="auto"/>
              <w:ind w:firstLine="479" w:firstLineChars="199"/>
              <w:rPr>
                <w:b/>
                <w:sz w:val="24"/>
                <w:u w:val="single"/>
              </w:rPr>
            </w:pPr>
            <w:r>
              <w:rPr>
                <w:rFonts w:hint="eastAsia"/>
                <w:b/>
                <w:sz w:val="24"/>
                <w:u w:val="single"/>
              </w:rPr>
              <w:t>②</w:t>
            </w:r>
            <w:r>
              <w:rPr>
                <w:rFonts w:hint="eastAsia"/>
                <w:b/>
                <w:bCs/>
                <w:sz w:val="24"/>
                <w:u w:val="single"/>
              </w:rPr>
              <w:t>项目使用的天然气罐区安全性能应符合相关技术标准要求，满足国家相关安全监督检验机构的监督检验。管道整体涂装醒目的黄色警示色，管道表面进行涂漆等防腐防锈能力操作，定期进行巡检和维护保养；</w:t>
            </w:r>
          </w:p>
          <w:p w14:paraId="276A24C8">
            <w:pPr>
              <w:spacing w:line="360" w:lineRule="auto"/>
              <w:ind w:firstLine="479" w:firstLineChars="199"/>
              <w:rPr>
                <w:b/>
                <w:sz w:val="24"/>
                <w:u w:val="single"/>
              </w:rPr>
            </w:pPr>
            <w:r>
              <w:rPr>
                <w:rFonts w:hint="eastAsia" w:ascii="宋体" w:hAnsi="宋体" w:cs="宋体"/>
                <w:b/>
                <w:kern w:val="0"/>
                <w:sz w:val="24"/>
                <w:u w:val="single"/>
              </w:rPr>
              <w:t>③</w:t>
            </w:r>
            <w:r>
              <w:rPr>
                <w:rFonts w:hint="eastAsia"/>
                <w:b/>
                <w:sz w:val="24"/>
                <w:u w:val="single"/>
              </w:rPr>
              <w:t>天然气输送管线的设计严格按照《城镇燃气设计规范》（GB50028-2006）和《建筑设计防火规范》（GB50016-2006）中的要求执行；</w:t>
            </w:r>
          </w:p>
          <w:p w14:paraId="17B7373C">
            <w:pPr>
              <w:autoSpaceDE w:val="0"/>
              <w:autoSpaceDN w:val="0"/>
              <w:adjustRightInd w:val="0"/>
              <w:snapToGrid w:val="0"/>
              <w:spacing w:line="360" w:lineRule="auto"/>
              <w:ind w:firstLine="482" w:firstLineChars="200"/>
              <w:rPr>
                <w:b/>
                <w:kern w:val="0"/>
                <w:sz w:val="24"/>
                <w:u w:val="single"/>
              </w:rPr>
            </w:pPr>
            <w:r>
              <w:rPr>
                <w:rFonts w:hint="eastAsia" w:ascii="宋体" w:hAnsi="宋体" w:cs="宋体"/>
                <w:b/>
                <w:kern w:val="0"/>
                <w:sz w:val="24"/>
                <w:u w:val="single"/>
              </w:rPr>
              <w:t>④</w:t>
            </w:r>
            <w:r>
              <w:rPr>
                <w:rFonts w:hint="eastAsia"/>
                <w:b/>
                <w:sz w:val="24"/>
                <w:u w:val="single"/>
              </w:rPr>
              <w:t>定期对LNG储罐区及燃气管道进行检查，需经常维护保养减少事故隐患；</w:t>
            </w:r>
            <w:r>
              <w:rPr>
                <w:b/>
                <w:kern w:val="0"/>
                <w:sz w:val="24"/>
                <w:u w:val="single"/>
              </w:rPr>
              <w:t>经常检查锅炉压力表、安全阀等安全附件，确保其可靠性。定期对锅炉内部进行检查，查看炉膛是否破裂，燃料输送管路是否完好，保证不发生</w:t>
            </w:r>
            <w:r>
              <w:rPr>
                <w:rFonts w:hint="eastAsia"/>
                <w:b/>
                <w:kern w:val="0"/>
                <w:sz w:val="24"/>
                <w:u w:val="single"/>
              </w:rPr>
              <w:t>导热油</w:t>
            </w:r>
            <w:r>
              <w:rPr>
                <w:b/>
                <w:kern w:val="0"/>
                <w:sz w:val="24"/>
                <w:u w:val="single"/>
              </w:rPr>
              <w:t>及燃料泄漏</w:t>
            </w:r>
            <w:r>
              <w:rPr>
                <w:rFonts w:hint="eastAsia"/>
                <w:b/>
                <w:kern w:val="0"/>
                <w:sz w:val="24"/>
                <w:u w:val="single"/>
              </w:rPr>
              <w:t>；</w:t>
            </w:r>
          </w:p>
          <w:p w14:paraId="6F1E66D3">
            <w:pPr>
              <w:autoSpaceDE w:val="0"/>
              <w:autoSpaceDN w:val="0"/>
              <w:adjustRightInd w:val="0"/>
              <w:snapToGrid w:val="0"/>
              <w:spacing w:line="360" w:lineRule="auto"/>
              <w:ind w:firstLine="482" w:firstLineChars="200"/>
              <w:rPr>
                <w:b/>
                <w:kern w:val="0"/>
                <w:sz w:val="24"/>
                <w:u w:val="single"/>
              </w:rPr>
            </w:pPr>
            <w:r>
              <w:rPr>
                <w:rFonts w:hint="eastAsia"/>
                <w:b/>
                <w:kern w:val="0"/>
                <w:sz w:val="24"/>
                <w:u w:val="single"/>
              </w:rPr>
              <w:t>⑤</w:t>
            </w:r>
            <w:r>
              <w:rPr>
                <w:b/>
                <w:kern w:val="0"/>
                <w:sz w:val="24"/>
                <w:u w:val="single"/>
              </w:rPr>
              <w:t>建设配套的辅助设备，如检测仪（检测空气中天然气的浓度值）、泄爆井（泄压通道）、防爆轴流风机、防爆墙、报警器、安全阀、通排风系统等，并配有相应的安全消防措施及泄露报警紧急切断装置</w:t>
            </w:r>
            <w:r>
              <w:rPr>
                <w:rFonts w:hint="eastAsia"/>
                <w:b/>
                <w:kern w:val="0"/>
                <w:sz w:val="24"/>
                <w:u w:val="single"/>
              </w:rPr>
              <w:t>；</w:t>
            </w:r>
          </w:p>
          <w:p w14:paraId="6775AF24">
            <w:pPr>
              <w:spacing w:line="360" w:lineRule="auto"/>
              <w:ind w:firstLine="482" w:firstLineChars="200"/>
              <w:rPr>
                <w:b/>
                <w:bCs/>
                <w:sz w:val="24"/>
                <w:u w:val="single"/>
              </w:rPr>
            </w:pPr>
            <w:r>
              <w:rPr>
                <w:rFonts w:hint="eastAsia"/>
                <w:b/>
                <w:bCs/>
                <w:sz w:val="24"/>
                <w:u w:val="single"/>
              </w:rPr>
              <w:t>⑥罐区设置明显警示标识，放置防护栏，禁止非专业工作人员进入罐区范围；</w:t>
            </w:r>
          </w:p>
          <w:p w14:paraId="44B4319B">
            <w:pPr>
              <w:spacing w:line="360" w:lineRule="auto"/>
              <w:ind w:firstLine="482" w:firstLineChars="200"/>
              <w:rPr>
                <w:b/>
                <w:bCs/>
                <w:sz w:val="24"/>
                <w:u w:val="single"/>
              </w:rPr>
            </w:pPr>
            <w:r>
              <w:rPr>
                <w:rFonts w:hint="eastAsia"/>
                <w:b/>
                <w:bCs/>
                <w:sz w:val="24"/>
                <w:u w:val="single"/>
              </w:rPr>
              <w:t>⑦设置接地静电消除装置，进行更换LNG罐车作业过程中，要求工作人员严格按照操作规程进行操作；</w:t>
            </w:r>
          </w:p>
          <w:p w14:paraId="70A24E67">
            <w:pPr>
              <w:autoSpaceDE w:val="0"/>
              <w:autoSpaceDN w:val="0"/>
              <w:adjustRightInd w:val="0"/>
              <w:snapToGrid w:val="0"/>
              <w:spacing w:line="360" w:lineRule="auto"/>
              <w:ind w:firstLine="482" w:firstLineChars="200"/>
              <w:rPr>
                <w:b/>
                <w:bCs/>
                <w:sz w:val="24"/>
                <w:u w:val="single"/>
              </w:rPr>
            </w:pPr>
            <w:r>
              <w:rPr>
                <w:rFonts w:hint="eastAsia"/>
                <w:b/>
                <w:bCs/>
                <w:sz w:val="24"/>
                <w:u w:val="single"/>
              </w:rPr>
              <w:t>⑧划定禁火区域，禁绝一切火源；</w:t>
            </w:r>
          </w:p>
          <w:p w14:paraId="12892260">
            <w:pPr>
              <w:autoSpaceDE w:val="0"/>
              <w:autoSpaceDN w:val="0"/>
              <w:adjustRightInd w:val="0"/>
              <w:snapToGrid w:val="0"/>
              <w:spacing w:line="360" w:lineRule="auto"/>
              <w:ind w:firstLine="482" w:firstLineChars="200"/>
              <w:rPr>
                <w:b/>
                <w:bCs/>
                <w:sz w:val="24"/>
                <w:u w:val="single"/>
              </w:rPr>
            </w:pPr>
            <w:r>
              <w:rPr>
                <w:rFonts w:hint="eastAsia"/>
                <w:b/>
                <w:bCs/>
                <w:sz w:val="24"/>
                <w:u w:val="single"/>
              </w:rPr>
              <w:t>⑨罐区外设置移动式干粉灭火器、移动式高倍数泡沫灭火器，液化天然气罐罐顶发生火灾时采用干粉灭火器进行灭火，使用移动式高倍数泡沫灭火器对收集的池液进行覆盖，减少液化天然气的挥发，同时采用消防水在罐区外侧进行冷却保护。</w:t>
            </w:r>
          </w:p>
          <w:p w14:paraId="0D5CF993">
            <w:pPr>
              <w:spacing w:line="360" w:lineRule="auto"/>
              <w:ind w:firstLine="482" w:firstLineChars="200"/>
              <w:rPr>
                <w:b/>
                <w:bCs/>
                <w:sz w:val="24"/>
                <w:u w:val="single"/>
              </w:rPr>
            </w:pPr>
            <w:r>
              <w:rPr>
                <w:rFonts w:hint="eastAsia"/>
                <w:b/>
                <w:bCs/>
                <w:sz w:val="24"/>
                <w:u w:val="single"/>
              </w:rPr>
              <w:t>（2）车间风险防范措施</w:t>
            </w:r>
          </w:p>
          <w:p w14:paraId="7BD4B831">
            <w:pPr>
              <w:spacing w:line="360" w:lineRule="auto"/>
              <w:ind w:firstLine="482" w:firstLineChars="200"/>
              <w:rPr>
                <w:b/>
                <w:bCs/>
                <w:sz w:val="24"/>
                <w:u w:val="single"/>
              </w:rPr>
            </w:pPr>
            <w:r>
              <w:rPr>
                <w:rFonts w:hint="eastAsia"/>
                <w:b/>
                <w:bCs/>
                <w:sz w:val="24"/>
                <w:u w:val="single"/>
              </w:rPr>
              <w:t>①车间工人应及时清理散落的原料等易燃物；车间的清洁常化、制度化；车间内不宜堆放大量原料和成品，划出一定面积堆放原料，贮存量最好不超过两个班次的用量；通道、门口、机器设备和设备周围不得堆放原料和成品。</w:t>
            </w:r>
          </w:p>
          <w:p w14:paraId="6A75917B">
            <w:pPr>
              <w:spacing w:line="360" w:lineRule="auto"/>
              <w:ind w:firstLine="482" w:firstLineChars="200"/>
              <w:rPr>
                <w:b/>
                <w:bCs/>
                <w:sz w:val="24"/>
                <w:u w:val="single"/>
              </w:rPr>
            </w:pPr>
            <w:r>
              <w:rPr>
                <w:rFonts w:hint="eastAsia"/>
                <w:b/>
                <w:bCs/>
                <w:sz w:val="24"/>
                <w:u w:val="single"/>
              </w:rPr>
              <w:t>②设备的安装使用和线路的敷设应符合《电气设备安装规程》的要求，且线路应定期检修、设备定期维护、保证用电安全。</w:t>
            </w:r>
          </w:p>
          <w:p w14:paraId="2631F687">
            <w:pPr>
              <w:spacing w:line="360" w:lineRule="auto"/>
              <w:ind w:firstLine="482" w:firstLineChars="200"/>
              <w:rPr>
                <w:b/>
                <w:bCs/>
                <w:sz w:val="24"/>
                <w:u w:val="single"/>
              </w:rPr>
            </w:pPr>
            <w:r>
              <w:rPr>
                <w:rFonts w:hint="eastAsia"/>
                <w:b/>
                <w:bCs/>
                <w:sz w:val="24"/>
                <w:u w:val="single"/>
              </w:rPr>
              <w:t>③不得在车间内使用明火，在厂房内张贴禁止明火警告牌。</w:t>
            </w:r>
          </w:p>
          <w:p w14:paraId="54FE80D7">
            <w:pPr>
              <w:spacing w:line="360" w:lineRule="auto"/>
              <w:ind w:firstLine="482" w:firstLineChars="200"/>
              <w:rPr>
                <w:b/>
                <w:bCs/>
                <w:sz w:val="24"/>
                <w:u w:val="single"/>
              </w:rPr>
            </w:pPr>
            <w:r>
              <w:rPr>
                <w:rFonts w:hint="eastAsia"/>
                <w:b/>
                <w:bCs/>
                <w:sz w:val="24"/>
                <w:u w:val="single"/>
              </w:rPr>
              <w:t>④严细安防检查、积极整治事故隐患。严格按照消防安全的相关规定，在厂区相应位置设置灭火器材。</w:t>
            </w:r>
          </w:p>
          <w:p w14:paraId="658A3167">
            <w:pPr>
              <w:spacing w:line="360" w:lineRule="auto"/>
              <w:ind w:firstLine="482" w:firstLineChars="200"/>
              <w:rPr>
                <w:b/>
                <w:bCs/>
                <w:sz w:val="24"/>
                <w:u w:val="single"/>
              </w:rPr>
            </w:pPr>
            <w:r>
              <w:rPr>
                <w:rFonts w:hint="eastAsia"/>
                <w:b/>
                <w:bCs/>
                <w:sz w:val="24"/>
                <w:u w:val="single"/>
              </w:rPr>
              <w:t>⑤加强安全管理。以班组管理为基础，充分发挥班组在防火安全管理中的作用，下班后清扫好工作岗位卫生，检查加工机械电源关闭情况和粉尘清扫情况等等，并做好交接班记录。</w:t>
            </w:r>
          </w:p>
          <w:p w14:paraId="1751BC70">
            <w:pPr>
              <w:spacing w:line="360" w:lineRule="auto"/>
              <w:ind w:firstLine="482" w:firstLineChars="200"/>
              <w:rPr>
                <w:b/>
                <w:bCs/>
                <w:sz w:val="24"/>
                <w:u w:val="single"/>
              </w:rPr>
            </w:pPr>
            <w:r>
              <w:rPr>
                <w:rFonts w:hint="eastAsia"/>
                <w:b/>
                <w:bCs/>
                <w:sz w:val="24"/>
                <w:u w:val="single"/>
              </w:rPr>
              <w:t>⑥根据本项目各建筑的防火要求，应设火灾自动报警控制系统，按不同的场所分设感温探测器、感烟探测器、手动报警按钮等火灾探测装置，遇到火灾时，消防中心可显示报警部位，通过紧急广播、警铃等发出报警信号和疏散通知，联动消防泵、排烟风机等消防设施运行。</w:t>
            </w:r>
          </w:p>
          <w:p w14:paraId="16B9992B">
            <w:pPr>
              <w:autoSpaceDE w:val="0"/>
              <w:autoSpaceDN w:val="0"/>
              <w:adjustRightInd w:val="0"/>
              <w:snapToGrid w:val="0"/>
              <w:spacing w:line="360" w:lineRule="auto"/>
              <w:ind w:firstLine="482" w:firstLineChars="200"/>
              <w:rPr>
                <w:b/>
                <w:kern w:val="0"/>
                <w:sz w:val="24"/>
                <w:u w:val="single"/>
              </w:rPr>
            </w:pPr>
            <w:r>
              <w:rPr>
                <w:rFonts w:hint="eastAsia"/>
                <w:b/>
                <w:bCs/>
                <w:sz w:val="24"/>
                <w:u w:val="single"/>
              </w:rPr>
              <w:t>⑦建设单位</w:t>
            </w:r>
            <w:r>
              <w:rPr>
                <w:b/>
                <w:kern w:val="0"/>
                <w:sz w:val="24"/>
                <w:u w:val="single"/>
              </w:rPr>
              <w:t>应建立安全保证体系、安全管理机构、安全规章制度，配备专职安全人员，做好各项安全管理措施，建立健全安全管理制度，加强车间的安全管理。</w:t>
            </w:r>
          </w:p>
          <w:p w14:paraId="4204A0C3">
            <w:pPr>
              <w:snapToGrid w:val="0"/>
              <w:spacing w:line="360" w:lineRule="auto"/>
              <w:ind w:firstLine="482" w:firstLineChars="200"/>
              <w:rPr>
                <w:b/>
                <w:sz w:val="24"/>
                <w:u w:val="single"/>
              </w:rPr>
            </w:pPr>
            <w:r>
              <w:rPr>
                <w:rFonts w:hint="eastAsia"/>
                <w:b/>
                <w:sz w:val="24"/>
                <w:u w:val="single"/>
              </w:rPr>
              <w:t>综上所述，本项目涉及的危险物质为液化天然气、导热油炉。项目风险物质危险性主要表现在泄漏、火灾等突发性事故，其次生产污染影响较小，建议企业结合本项目特点，制定应急预案及区域风险防范应急救援支援措施。在认真落实相关风险管理措施的情况下，本项目环境风险可防控。</w:t>
            </w:r>
          </w:p>
          <w:p w14:paraId="260CE4F6">
            <w:pPr>
              <w:spacing w:line="360" w:lineRule="auto"/>
              <w:ind w:firstLine="482" w:firstLineChars="200"/>
              <w:jc w:val="left"/>
              <w:rPr>
                <w:rFonts w:eastAsiaTheme="minorEastAsia"/>
                <w:b/>
                <w:kern w:val="0"/>
                <w:sz w:val="24"/>
                <w:u w:val="single"/>
              </w:rPr>
            </w:pPr>
            <w:r>
              <w:rPr>
                <w:rFonts w:hint="eastAsia" w:eastAsiaTheme="minorEastAsia"/>
                <w:b/>
                <w:kern w:val="0"/>
                <w:sz w:val="24"/>
                <w:u w:val="single"/>
              </w:rPr>
              <w:t>6</w:t>
            </w:r>
            <w:r>
              <w:rPr>
                <w:rFonts w:eastAsiaTheme="minorEastAsia"/>
                <w:b/>
                <w:kern w:val="0"/>
                <w:sz w:val="24"/>
                <w:u w:val="single"/>
              </w:rPr>
              <w:t>.</w:t>
            </w:r>
            <w:r>
              <w:rPr>
                <w:rFonts w:hint="eastAsia" w:eastAsiaTheme="minorEastAsia"/>
                <w:b/>
                <w:kern w:val="0"/>
                <w:sz w:val="24"/>
                <w:u w:val="single"/>
              </w:rPr>
              <w:t>5</w:t>
            </w:r>
            <w:r>
              <w:rPr>
                <w:rFonts w:hint="eastAsia"/>
                <w:b/>
                <w:bCs/>
                <w:sz w:val="24"/>
                <w:u w:val="single"/>
              </w:rPr>
              <w:t>突发环境事件应急预案要求</w:t>
            </w:r>
          </w:p>
          <w:p w14:paraId="73A48176">
            <w:pPr>
              <w:snapToGrid w:val="0"/>
              <w:spacing w:line="360" w:lineRule="auto"/>
              <w:ind w:firstLine="482" w:firstLineChars="200"/>
              <w:rPr>
                <w:rFonts w:hint="eastAsia"/>
                <w:b/>
                <w:sz w:val="24"/>
                <w:u w:val="single"/>
              </w:rPr>
            </w:pPr>
            <w:r>
              <w:rPr>
                <w:rFonts w:hint="eastAsia"/>
                <w:b/>
                <w:sz w:val="24"/>
                <w:u w:val="single"/>
              </w:rPr>
              <w:t>根据导则要求并结合项目特点，建设单位需制定相关环境保护应急预案，主要内容见下表。</w:t>
            </w:r>
          </w:p>
          <w:p w14:paraId="6DD30D3E">
            <w:pPr>
              <w:snapToGrid w:val="0"/>
              <w:spacing w:line="360" w:lineRule="auto"/>
              <w:ind w:firstLine="482" w:firstLineChars="200"/>
              <w:rPr>
                <w:b/>
                <w:bCs/>
                <w:sz w:val="24"/>
                <w:u w:val="single"/>
              </w:rPr>
            </w:pPr>
          </w:p>
          <w:p w14:paraId="05C0B78F">
            <w:pPr>
              <w:pStyle w:val="60"/>
              <w:ind w:firstLine="480"/>
              <w:rPr>
                <w:rFonts w:eastAsia="宋体"/>
                <w:bCs/>
                <w:sz w:val="24"/>
                <w:u w:val="single"/>
              </w:rPr>
            </w:pPr>
            <w:r>
              <w:rPr>
                <w:rFonts w:hint="eastAsia" w:eastAsia="宋体"/>
                <w:bCs/>
                <w:sz w:val="24"/>
              </w:rPr>
              <w:t>表35   企业突发环境事件应急预案一览表</w:t>
            </w:r>
          </w:p>
          <w:tbl>
            <w:tblPr>
              <w:tblStyle w:val="29"/>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81"/>
              <w:gridCol w:w="1396"/>
              <w:gridCol w:w="6245"/>
            </w:tblGrid>
            <w:tr w14:paraId="6DE58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353" w:type="pct"/>
                  <w:tcBorders>
                    <w:top w:val="single" w:color="auto" w:sz="4" w:space="0"/>
                    <w:left w:val="single" w:color="auto" w:sz="4" w:space="0"/>
                    <w:bottom w:val="single" w:color="auto" w:sz="4" w:space="0"/>
                    <w:right w:val="single" w:color="auto" w:sz="4" w:space="0"/>
                  </w:tcBorders>
                  <w:vAlign w:val="center"/>
                </w:tcPr>
                <w:p w14:paraId="0DD5E309">
                  <w:pPr>
                    <w:pStyle w:val="62"/>
                    <w:adjustRightInd w:val="0"/>
                    <w:snapToGrid w:val="0"/>
                    <w:rPr>
                      <w:b/>
                    </w:rPr>
                  </w:pPr>
                  <w:r>
                    <w:rPr>
                      <w:rFonts w:hint="eastAsia"/>
                      <w:b/>
                    </w:rPr>
                    <w:t>序号</w:t>
                  </w:r>
                </w:p>
              </w:tc>
              <w:tc>
                <w:tcPr>
                  <w:tcW w:w="849" w:type="pct"/>
                  <w:tcBorders>
                    <w:top w:val="single" w:color="auto" w:sz="4" w:space="0"/>
                    <w:left w:val="single" w:color="auto" w:sz="4" w:space="0"/>
                    <w:bottom w:val="single" w:color="auto" w:sz="4" w:space="0"/>
                    <w:right w:val="single" w:color="auto" w:sz="4" w:space="0"/>
                  </w:tcBorders>
                  <w:vAlign w:val="center"/>
                </w:tcPr>
                <w:p w14:paraId="5DFB5C4B">
                  <w:pPr>
                    <w:pStyle w:val="62"/>
                    <w:adjustRightInd w:val="0"/>
                    <w:snapToGrid w:val="0"/>
                    <w:rPr>
                      <w:b/>
                    </w:rPr>
                  </w:pPr>
                  <w:r>
                    <w:rPr>
                      <w:rFonts w:hint="eastAsia"/>
                      <w:b/>
                    </w:rPr>
                    <w:t>项目</w:t>
                  </w:r>
                </w:p>
              </w:tc>
              <w:tc>
                <w:tcPr>
                  <w:tcW w:w="3798" w:type="pct"/>
                  <w:tcBorders>
                    <w:top w:val="single" w:color="auto" w:sz="4" w:space="0"/>
                    <w:left w:val="single" w:color="auto" w:sz="4" w:space="0"/>
                    <w:bottom w:val="single" w:color="auto" w:sz="4" w:space="0"/>
                    <w:right w:val="single" w:color="auto" w:sz="4" w:space="0"/>
                  </w:tcBorders>
                  <w:vAlign w:val="center"/>
                </w:tcPr>
                <w:p w14:paraId="6C8183F0">
                  <w:pPr>
                    <w:pStyle w:val="62"/>
                    <w:adjustRightInd w:val="0"/>
                    <w:snapToGrid w:val="0"/>
                    <w:rPr>
                      <w:b/>
                    </w:rPr>
                  </w:pPr>
                  <w:r>
                    <w:rPr>
                      <w:rFonts w:hint="eastAsia"/>
                      <w:b/>
                    </w:rPr>
                    <w:t>内容及要求</w:t>
                  </w:r>
                </w:p>
              </w:tc>
            </w:tr>
            <w:tr w14:paraId="4E12F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7" w:hRule="atLeast"/>
                <w:jc w:val="center"/>
              </w:trPr>
              <w:tc>
                <w:tcPr>
                  <w:tcW w:w="353" w:type="pct"/>
                  <w:tcBorders>
                    <w:top w:val="single" w:color="auto" w:sz="4" w:space="0"/>
                    <w:left w:val="single" w:color="auto" w:sz="4" w:space="0"/>
                    <w:bottom w:val="single" w:color="auto" w:sz="4" w:space="0"/>
                    <w:right w:val="single" w:color="auto" w:sz="4" w:space="0"/>
                  </w:tcBorders>
                  <w:vAlign w:val="center"/>
                </w:tcPr>
                <w:p w14:paraId="40CC43F0">
                  <w:pPr>
                    <w:pStyle w:val="62"/>
                    <w:adjustRightInd w:val="0"/>
                    <w:snapToGrid w:val="0"/>
                    <w:rPr>
                      <w:b/>
                    </w:rPr>
                  </w:pPr>
                  <w:r>
                    <w:rPr>
                      <w:b/>
                    </w:rPr>
                    <w:t>1</w:t>
                  </w:r>
                </w:p>
              </w:tc>
              <w:tc>
                <w:tcPr>
                  <w:tcW w:w="849" w:type="pct"/>
                  <w:tcBorders>
                    <w:top w:val="single" w:color="auto" w:sz="4" w:space="0"/>
                    <w:left w:val="single" w:color="auto" w:sz="4" w:space="0"/>
                    <w:bottom w:val="single" w:color="auto" w:sz="4" w:space="0"/>
                    <w:right w:val="single" w:color="auto" w:sz="4" w:space="0"/>
                  </w:tcBorders>
                  <w:vAlign w:val="center"/>
                </w:tcPr>
                <w:p w14:paraId="36FEF3AF">
                  <w:pPr>
                    <w:pStyle w:val="62"/>
                    <w:adjustRightInd w:val="0"/>
                    <w:snapToGrid w:val="0"/>
                    <w:rPr>
                      <w:b/>
                    </w:rPr>
                  </w:pPr>
                  <w:r>
                    <w:rPr>
                      <w:rFonts w:hint="eastAsia"/>
                      <w:b/>
                    </w:rPr>
                    <w:t>总则</w:t>
                  </w:r>
                </w:p>
              </w:tc>
              <w:tc>
                <w:tcPr>
                  <w:tcW w:w="3798" w:type="pct"/>
                  <w:tcBorders>
                    <w:top w:val="single" w:color="auto" w:sz="4" w:space="0"/>
                    <w:left w:val="single" w:color="auto" w:sz="4" w:space="0"/>
                    <w:bottom w:val="single" w:color="auto" w:sz="4" w:space="0"/>
                    <w:right w:val="single" w:color="auto" w:sz="4" w:space="0"/>
                  </w:tcBorders>
                  <w:vAlign w:val="center"/>
                </w:tcPr>
                <w:p w14:paraId="07DBBD00">
                  <w:pPr>
                    <w:pStyle w:val="62"/>
                    <w:adjustRightInd w:val="0"/>
                    <w:snapToGrid w:val="0"/>
                    <w:jc w:val="left"/>
                    <w:rPr>
                      <w:b/>
                    </w:rPr>
                  </w:pPr>
                  <w:r>
                    <w:rPr>
                      <w:rFonts w:hint="eastAsia"/>
                      <w:b/>
                    </w:rPr>
                    <w:t>简述生产过程中涉及物料性质及可能产生的突发事故</w:t>
                  </w:r>
                </w:p>
              </w:tc>
            </w:tr>
            <w:tr w14:paraId="6DC8D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3" w:hRule="atLeast"/>
                <w:jc w:val="center"/>
              </w:trPr>
              <w:tc>
                <w:tcPr>
                  <w:tcW w:w="353" w:type="pct"/>
                  <w:tcBorders>
                    <w:top w:val="single" w:color="auto" w:sz="4" w:space="0"/>
                    <w:left w:val="single" w:color="auto" w:sz="4" w:space="0"/>
                    <w:bottom w:val="single" w:color="auto" w:sz="4" w:space="0"/>
                    <w:right w:val="single" w:color="auto" w:sz="4" w:space="0"/>
                  </w:tcBorders>
                  <w:vAlign w:val="center"/>
                </w:tcPr>
                <w:p w14:paraId="0353E1EE">
                  <w:pPr>
                    <w:pStyle w:val="62"/>
                    <w:adjustRightInd w:val="0"/>
                    <w:snapToGrid w:val="0"/>
                    <w:rPr>
                      <w:b/>
                    </w:rPr>
                  </w:pPr>
                  <w:r>
                    <w:rPr>
                      <w:b/>
                    </w:rPr>
                    <w:t>2</w:t>
                  </w:r>
                </w:p>
              </w:tc>
              <w:tc>
                <w:tcPr>
                  <w:tcW w:w="849" w:type="pct"/>
                  <w:tcBorders>
                    <w:top w:val="single" w:color="auto" w:sz="4" w:space="0"/>
                    <w:left w:val="single" w:color="auto" w:sz="4" w:space="0"/>
                    <w:bottom w:val="single" w:color="auto" w:sz="4" w:space="0"/>
                    <w:right w:val="single" w:color="auto" w:sz="4" w:space="0"/>
                  </w:tcBorders>
                  <w:vAlign w:val="center"/>
                </w:tcPr>
                <w:p w14:paraId="710960E9">
                  <w:pPr>
                    <w:pStyle w:val="62"/>
                    <w:adjustRightInd w:val="0"/>
                    <w:snapToGrid w:val="0"/>
                    <w:rPr>
                      <w:b/>
                    </w:rPr>
                  </w:pPr>
                  <w:r>
                    <w:rPr>
                      <w:rFonts w:hint="eastAsia"/>
                      <w:b/>
                    </w:rPr>
                    <w:t>危险源概况</w:t>
                  </w:r>
                </w:p>
              </w:tc>
              <w:tc>
                <w:tcPr>
                  <w:tcW w:w="3798" w:type="pct"/>
                  <w:tcBorders>
                    <w:top w:val="single" w:color="auto" w:sz="4" w:space="0"/>
                    <w:left w:val="single" w:color="auto" w:sz="4" w:space="0"/>
                    <w:bottom w:val="single" w:color="auto" w:sz="4" w:space="0"/>
                    <w:right w:val="single" w:color="auto" w:sz="4" w:space="0"/>
                  </w:tcBorders>
                  <w:vAlign w:val="center"/>
                </w:tcPr>
                <w:p w14:paraId="254B6D09">
                  <w:pPr>
                    <w:pStyle w:val="62"/>
                    <w:adjustRightInd w:val="0"/>
                    <w:snapToGrid w:val="0"/>
                    <w:jc w:val="left"/>
                    <w:rPr>
                      <w:b/>
                      <w:spacing w:val="-4"/>
                    </w:rPr>
                  </w:pPr>
                  <w:r>
                    <w:rPr>
                      <w:rFonts w:hint="eastAsia"/>
                      <w:b/>
                      <w:spacing w:val="-4"/>
                    </w:rPr>
                    <w:t>对可能发生风险的生产设备，即LNG储罐、</w:t>
                  </w:r>
                  <w:r>
                    <w:rPr>
                      <w:rFonts w:hint="eastAsia"/>
                      <w:b/>
                      <w:spacing w:val="-4"/>
                      <w:szCs w:val="21"/>
                    </w:rPr>
                    <w:t>导热油炉</w:t>
                  </w:r>
                  <w:r>
                    <w:rPr>
                      <w:rFonts w:hint="eastAsia"/>
                      <w:b/>
                      <w:spacing w:val="-4"/>
                    </w:rPr>
                    <w:t>进行详细的描述</w:t>
                  </w:r>
                </w:p>
              </w:tc>
            </w:tr>
            <w:tr w14:paraId="6FDD8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53" w:type="pct"/>
                  <w:tcBorders>
                    <w:top w:val="single" w:color="auto" w:sz="4" w:space="0"/>
                    <w:left w:val="single" w:color="auto" w:sz="4" w:space="0"/>
                    <w:bottom w:val="single" w:color="auto" w:sz="4" w:space="0"/>
                    <w:right w:val="single" w:color="auto" w:sz="4" w:space="0"/>
                  </w:tcBorders>
                  <w:vAlign w:val="center"/>
                </w:tcPr>
                <w:p w14:paraId="29E8499B">
                  <w:pPr>
                    <w:pStyle w:val="62"/>
                    <w:adjustRightInd w:val="0"/>
                    <w:snapToGrid w:val="0"/>
                    <w:rPr>
                      <w:b/>
                    </w:rPr>
                  </w:pPr>
                  <w:r>
                    <w:rPr>
                      <w:b/>
                    </w:rPr>
                    <w:t>3</w:t>
                  </w:r>
                </w:p>
              </w:tc>
              <w:tc>
                <w:tcPr>
                  <w:tcW w:w="849" w:type="pct"/>
                  <w:tcBorders>
                    <w:top w:val="single" w:color="auto" w:sz="4" w:space="0"/>
                    <w:left w:val="single" w:color="auto" w:sz="4" w:space="0"/>
                    <w:bottom w:val="single" w:color="auto" w:sz="4" w:space="0"/>
                    <w:right w:val="single" w:color="auto" w:sz="4" w:space="0"/>
                  </w:tcBorders>
                  <w:vAlign w:val="center"/>
                </w:tcPr>
                <w:p w14:paraId="27A213C6">
                  <w:pPr>
                    <w:pStyle w:val="62"/>
                    <w:adjustRightInd w:val="0"/>
                    <w:snapToGrid w:val="0"/>
                    <w:rPr>
                      <w:b/>
                    </w:rPr>
                  </w:pPr>
                  <w:r>
                    <w:rPr>
                      <w:rFonts w:hint="eastAsia"/>
                      <w:b/>
                    </w:rPr>
                    <w:t>应急计划区</w:t>
                  </w:r>
                </w:p>
              </w:tc>
              <w:tc>
                <w:tcPr>
                  <w:tcW w:w="3798" w:type="pct"/>
                  <w:tcBorders>
                    <w:top w:val="single" w:color="auto" w:sz="4" w:space="0"/>
                    <w:left w:val="single" w:color="auto" w:sz="4" w:space="0"/>
                    <w:bottom w:val="single" w:color="auto" w:sz="4" w:space="0"/>
                    <w:right w:val="single" w:color="auto" w:sz="4" w:space="0"/>
                  </w:tcBorders>
                  <w:vAlign w:val="center"/>
                </w:tcPr>
                <w:p w14:paraId="3A0B19AE">
                  <w:pPr>
                    <w:pStyle w:val="62"/>
                    <w:adjustRightInd w:val="0"/>
                    <w:snapToGrid w:val="0"/>
                    <w:jc w:val="left"/>
                    <w:rPr>
                      <w:b/>
                    </w:rPr>
                  </w:pPr>
                  <w:r>
                    <w:rPr>
                      <w:rFonts w:hint="eastAsia"/>
                      <w:b/>
                    </w:rPr>
                    <w:t>LNG储罐、</w:t>
                  </w:r>
                  <w:r>
                    <w:rPr>
                      <w:rFonts w:hint="eastAsia"/>
                      <w:b/>
                      <w:szCs w:val="21"/>
                    </w:rPr>
                    <w:t>导热油炉</w:t>
                  </w:r>
                </w:p>
              </w:tc>
            </w:tr>
            <w:tr w14:paraId="59A35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353" w:type="pct"/>
                  <w:tcBorders>
                    <w:top w:val="single" w:color="auto" w:sz="4" w:space="0"/>
                    <w:left w:val="single" w:color="auto" w:sz="4" w:space="0"/>
                    <w:bottom w:val="single" w:color="auto" w:sz="4" w:space="0"/>
                    <w:right w:val="single" w:color="auto" w:sz="4" w:space="0"/>
                  </w:tcBorders>
                  <w:vAlign w:val="center"/>
                </w:tcPr>
                <w:p w14:paraId="74EFFAA4">
                  <w:pPr>
                    <w:pStyle w:val="62"/>
                    <w:adjustRightInd w:val="0"/>
                    <w:snapToGrid w:val="0"/>
                    <w:rPr>
                      <w:b/>
                    </w:rPr>
                  </w:pPr>
                  <w:r>
                    <w:rPr>
                      <w:b/>
                    </w:rPr>
                    <w:t>4</w:t>
                  </w:r>
                </w:p>
              </w:tc>
              <w:tc>
                <w:tcPr>
                  <w:tcW w:w="849" w:type="pct"/>
                  <w:tcBorders>
                    <w:top w:val="single" w:color="auto" w:sz="4" w:space="0"/>
                    <w:left w:val="single" w:color="auto" w:sz="4" w:space="0"/>
                    <w:bottom w:val="single" w:color="auto" w:sz="4" w:space="0"/>
                    <w:right w:val="single" w:color="auto" w:sz="4" w:space="0"/>
                  </w:tcBorders>
                  <w:vAlign w:val="center"/>
                </w:tcPr>
                <w:p w14:paraId="46337108">
                  <w:pPr>
                    <w:pStyle w:val="62"/>
                    <w:adjustRightInd w:val="0"/>
                    <w:snapToGrid w:val="0"/>
                    <w:rPr>
                      <w:b/>
                    </w:rPr>
                  </w:pPr>
                  <w:r>
                    <w:rPr>
                      <w:rFonts w:hint="eastAsia"/>
                      <w:b/>
                    </w:rPr>
                    <w:t>应急组织</w:t>
                  </w:r>
                </w:p>
              </w:tc>
              <w:tc>
                <w:tcPr>
                  <w:tcW w:w="3798" w:type="pct"/>
                  <w:tcBorders>
                    <w:top w:val="single" w:color="auto" w:sz="4" w:space="0"/>
                    <w:left w:val="single" w:color="auto" w:sz="4" w:space="0"/>
                    <w:bottom w:val="single" w:color="auto" w:sz="4" w:space="0"/>
                    <w:right w:val="single" w:color="auto" w:sz="4" w:space="0"/>
                  </w:tcBorders>
                  <w:vAlign w:val="center"/>
                </w:tcPr>
                <w:p w14:paraId="6A2FC24C">
                  <w:pPr>
                    <w:pStyle w:val="62"/>
                    <w:adjustRightInd w:val="0"/>
                    <w:snapToGrid w:val="0"/>
                    <w:jc w:val="left"/>
                    <w:rPr>
                      <w:b/>
                    </w:rPr>
                  </w:pPr>
                  <w:r>
                    <w:rPr>
                      <w:rFonts w:hint="eastAsia"/>
                      <w:b/>
                    </w:rPr>
                    <w:t>厂指挥部</w:t>
                  </w:r>
                  <w:r>
                    <w:rPr>
                      <w:b/>
                    </w:rPr>
                    <w:t>—</w:t>
                  </w:r>
                  <w:r>
                    <w:rPr>
                      <w:rFonts w:hint="eastAsia"/>
                      <w:b/>
                    </w:rPr>
                    <w:t>负责全厂全面指挥</w:t>
                  </w:r>
                </w:p>
                <w:p w14:paraId="78CFB5D4">
                  <w:pPr>
                    <w:pStyle w:val="62"/>
                    <w:adjustRightInd w:val="0"/>
                    <w:snapToGrid w:val="0"/>
                    <w:jc w:val="left"/>
                    <w:rPr>
                      <w:b/>
                    </w:rPr>
                  </w:pPr>
                  <w:r>
                    <w:rPr>
                      <w:rFonts w:hint="eastAsia"/>
                      <w:b/>
                    </w:rPr>
                    <w:t>危险源控制组</w:t>
                  </w:r>
                  <w:r>
                    <w:rPr>
                      <w:b/>
                    </w:rPr>
                    <w:t>—</w:t>
                  </w:r>
                  <w:r>
                    <w:rPr>
                      <w:rFonts w:hint="eastAsia"/>
                      <w:b/>
                    </w:rPr>
                    <w:t>负责在紧急状态下的现场抢险作业，及时控制危险源</w:t>
                  </w:r>
                </w:p>
                <w:p w14:paraId="08DE38D5">
                  <w:pPr>
                    <w:pStyle w:val="62"/>
                    <w:adjustRightInd w:val="0"/>
                    <w:snapToGrid w:val="0"/>
                    <w:jc w:val="left"/>
                    <w:rPr>
                      <w:b/>
                    </w:rPr>
                  </w:pPr>
                  <w:r>
                    <w:rPr>
                      <w:rFonts w:hint="eastAsia"/>
                      <w:b/>
                    </w:rPr>
                    <w:t>专业救援队伍</w:t>
                  </w:r>
                  <w:r>
                    <w:rPr>
                      <w:b/>
                    </w:rPr>
                    <w:t>—</w:t>
                  </w:r>
                  <w:r>
                    <w:rPr>
                      <w:rFonts w:hint="eastAsia"/>
                      <w:b/>
                    </w:rPr>
                    <w:t>负责事故控制、救援善后处理</w:t>
                  </w:r>
                </w:p>
                <w:p w14:paraId="4DF31F19">
                  <w:pPr>
                    <w:pStyle w:val="62"/>
                    <w:adjustRightInd w:val="0"/>
                    <w:snapToGrid w:val="0"/>
                    <w:jc w:val="left"/>
                    <w:rPr>
                      <w:b/>
                    </w:rPr>
                  </w:pPr>
                  <w:r>
                    <w:rPr>
                      <w:rFonts w:hint="eastAsia"/>
                      <w:b/>
                    </w:rPr>
                    <w:t>地区：地区指挥部</w:t>
                  </w:r>
                  <w:r>
                    <w:rPr>
                      <w:b/>
                    </w:rPr>
                    <w:t>—</w:t>
                  </w:r>
                  <w:r>
                    <w:rPr>
                      <w:rFonts w:hint="eastAsia"/>
                      <w:b/>
                    </w:rPr>
                    <w:t>负责工厂附近地区、全面指挥、救援、疏散专业救援队伍</w:t>
                  </w:r>
                  <w:r>
                    <w:rPr>
                      <w:b/>
                    </w:rPr>
                    <w:t>—</w:t>
                  </w:r>
                  <w:r>
                    <w:rPr>
                      <w:rFonts w:hint="eastAsia"/>
                      <w:b/>
                    </w:rPr>
                    <w:t>负责对厂专业救援队伍支援</w:t>
                  </w:r>
                </w:p>
              </w:tc>
            </w:tr>
            <w:tr w14:paraId="25248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353" w:type="pct"/>
                  <w:tcBorders>
                    <w:top w:val="single" w:color="auto" w:sz="4" w:space="0"/>
                    <w:left w:val="single" w:color="auto" w:sz="4" w:space="0"/>
                    <w:bottom w:val="single" w:color="auto" w:sz="4" w:space="0"/>
                    <w:right w:val="single" w:color="auto" w:sz="4" w:space="0"/>
                  </w:tcBorders>
                  <w:vAlign w:val="center"/>
                </w:tcPr>
                <w:p w14:paraId="6115F40A">
                  <w:pPr>
                    <w:pStyle w:val="62"/>
                    <w:adjustRightInd w:val="0"/>
                    <w:snapToGrid w:val="0"/>
                    <w:rPr>
                      <w:b/>
                    </w:rPr>
                  </w:pPr>
                  <w:r>
                    <w:rPr>
                      <w:b/>
                    </w:rPr>
                    <w:t>5</w:t>
                  </w:r>
                </w:p>
              </w:tc>
              <w:tc>
                <w:tcPr>
                  <w:tcW w:w="849" w:type="pct"/>
                  <w:tcBorders>
                    <w:top w:val="single" w:color="auto" w:sz="4" w:space="0"/>
                    <w:left w:val="single" w:color="auto" w:sz="4" w:space="0"/>
                    <w:bottom w:val="single" w:color="auto" w:sz="4" w:space="0"/>
                    <w:right w:val="single" w:color="auto" w:sz="4" w:space="0"/>
                  </w:tcBorders>
                  <w:vAlign w:val="center"/>
                </w:tcPr>
                <w:p w14:paraId="6CAF3AC9">
                  <w:pPr>
                    <w:pStyle w:val="62"/>
                    <w:adjustRightInd w:val="0"/>
                    <w:snapToGrid w:val="0"/>
                    <w:rPr>
                      <w:b/>
                    </w:rPr>
                  </w:pPr>
                  <w:r>
                    <w:rPr>
                      <w:rFonts w:hint="eastAsia"/>
                      <w:b/>
                    </w:rPr>
                    <w:t>应急状态及应急响应程序</w:t>
                  </w:r>
                </w:p>
              </w:tc>
              <w:tc>
                <w:tcPr>
                  <w:tcW w:w="3798" w:type="pct"/>
                  <w:tcBorders>
                    <w:top w:val="single" w:color="auto" w:sz="4" w:space="0"/>
                    <w:left w:val="single" w:color="auto" w:sz="4" w:space="0"/>
                    <w:bottom w:val="single" w:color="auto" w:sz="4" w:space="0"/>
                    <w:right w:val="single" w:color="auto" w:sz="4" w:space="0"/>
                  </w:tcBorders>
                  <w:vAlign w:val="center"/>
                </w:tcPr>
                <w:p w14:paraId="6A10C12B">
                  <w:pPr>
                    <w:pStyle w:val="62"/>
                    <w:adjustRightInd w:val="0"/>
                    <w:snapToGrid w:val="0"/>
                    <w:jc w:val="left"/>
                    <w:rPr>
                      <w:b/>
                    </w:rPr>
                  </w:pPr>
                  <w:r>
                    <w:rPr>
                      <w:rFonts w:hint="eastAsia"/>
                      <w:b/>
                    </w:rPr>
                    <w:t>规定事故的级别及相应的应急分类响应程序，主要包括报警与接警、应急救援队伍的出动、泄漏救援和火灾控制等方面</w:t>
                  </w:r>
                </w:p>
              </w:tc>
            </w:tr>
            <w:tr w14:paraId="7EC72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353" w:type="pct"/>
                  <w:tcBorders>
                    <w:top w:val="single" w:color="auto" w:sz="4" w:space="0"/>
                    <w:left w:val="single" w:color="auto" w:sz="4" w:space="0"/>
                    <w:bottom w:val="single" w:color="auto" w:sz="4" w:space="0"/>
                    <w:right w:val="single" w:color="auto" w:sz="4" w:space="0"/>
                  </w:tcBorders>
                  <w:vAlign w:val="center"/>
                </w:tcPr>
                <w:p w14:paraId="3A5F69C9">
                  <w:pPr>
                    <w:pStyle w:val="62"/>
                    <w:adjustRightInd w:val="0"/>
                    <w:snapToGrid w:val="0"/>
                    <w:rPr>
                      <w:b/>
                    </w:rPr>
                  </w:pPr>
                  <w:r>
                    <w:rPr>
                      <w:b/>
                    </w:rPr>
                    <w:t>6</w:t>
                  </w:r>
                </w:p>
              </w:tc>
              <w:tc>
                <w:tcPr>
                  <w:tcW w:w="849" w:type="pct"/>
                  <w:tcBorders>
                    <w:top w:val="single" w:color="auto" w:sz="4" w:space="0"/>
                    <w:left w:val="single" w:color="auto" w:sz="4" w:space="0"/>
                    <w:bottom w:val="single" w:color="auto" w:sz="4" w:space="0"/>
                    <w:right w:val="single" w:color="auto" w:sz="4" w:space="0"/>
                  </w:tcBorders>
                  <w:vAlign w:val="center"/>
                </w:tcPr>
                <w:p w14:paraId="603AF761">
                  <w:pPr>
                    <w:pStyle w:val="62"/>
                    <w:adjustRightInd w:val="0"/>
                    <w:snapToGrid w:val="0"/>
                    <w:rPr>
                      <w:b/>
                    </w:rPr>
                  </w:pPr>
                  <w:r>
                    <w:rPr>
                      <w:rFonts w:hint="eastAsia"/>
                      <w:b/>
                    </w:rPr>
                    <w:t>应急设施、设备与材料</w:t>
                  </w:r>
                </w:p>
              </w:tc>
              <w:tc>
                <w:tcPr>
                  <w:tcW w:w="3798" w:type="pct"/>
                  <w:tcBorders>
                    <w:top w:val="single" w:color="auto" w:sz="4" w:space="0"/>
                    <w:left w:val="single" w:color="auto" w:sz="4" w:space="0"/>
                    <w:bottom w:val="single" w:color="auto" w:sz="4" w:space="0"/>
                    <w:right w:val="single" w:color="auto" w:sz="4" w:space="0"/>
                  </w:tcBorders>
                  <w:vAlign w:val="center"/>
                </w:tcPr>
                <w:p w14:paraId="58BD11B6">
                  <w:pPr>
                    <w:pStyle w:val="62"/>
                    <w:adjustRightInd w:val="0"/>
                    <w:snapToGrid w:val="0"/>
                    <w:jc w:val="left"/>
                    <w:rPr>
                      <w:b/>
                    </w:rPr>
                  </w:pPr>
                  <w:r>
                    <w:rPr>
                      <w:rFonts w:hint="eastAsia"/>
                      <w:b/>
                    </w:rPr>
                    <w:t>生产装置：（</w:t>
                  </w:r>
                  <w:r>
                    <w:rPr>
                      <w:b/>
                    </w:rPr>
                    <w:t>1</w:t>
                  </w:r>
                  <w:r>
                    <w:rPr>
                      <w:rFonts w:hint="eastAsia"/>
                      <w:b/>
                    </w:rPr>
                    <w:t>）防火灾、爆炸事故应急设施、设备与材料，主要为消防器材；（</w:t>
                  </w:r>
                  <w:r>
                    <w:rPr>
                      <w:b/>
                    </w:rPr>
                    <w:t>2</w:t>
                  </w:r>
                  <w:r>
                    <w:rPr>
                      <w:rFonts w:hint="eastAsia"/>
                      <w:b/>
                    </w:rPr>
                    <w:t>）防止原辅材料外溢、扩散，主要是土料、沙袋等。</w:t>
                  </w:r>
                </w:p>
                <w:p w14:paraId="32D1F97A">
                  <w:pPr>
                    <w:pStyle w:val="62"/>
                    <w:adjustRightInd w:val="0"/>
                    <w:snapToGrid w:val="0"/>
                    <w:jc w:val="left"/>
                    <w:rPr>
                      <w:b/>
                    </w:rPr>
                  </w:pPr>
                  <w:r>
                    <w:rPr>
                      <w:rFonts w:hint="eastAsia"/>
                      <w:b/>
                    </w:rPr>
                    <w:t>罐区：（</w:t>
                  </w:r>
                  <w:r>
                    <w:rPr>
                      <w:b/>
                    </w:rPr>
                    <w:t>1</w:t>
                  </w:r>
                  <w:r>
                    <w:rPr>
                      <w:rFonts w:hint="eastAsia"/>
                      <w:b/>
                    </w:rPr>
                    <w:t>）防火灾爆炸事故应急设施、设备与材料；主要是消防器材；（</w:t>
                  </w:r>
                  <w:r>
                    <w:rPr>
                      <w:b/>
                    </w:rPr>
                    <w:t>2</w:t>
                  </w:r>
                  <w:r>
                    <w:rPr>
                      <w:rFonts w:hint="eastAsia"/>
                      <w:b/>
                    </w:rPr>
                    <w:t>）防止原辅材料外溢、扩散，主要是土料、沙袋等。</w:t>
                  </w:r>
                </w:p>
              </w:tc>
            </w:tr>
            <w:tr w14:paraId="5DBB2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353" w:type="pct"/>
                  <w:tcBorders>
                    <w:top w:val="single" w:color="auto" w:sz="4" w:space="0"/>
                    <w:left w:val="single" w:color="auto" w:sz="4" w:space="0"/>
                    <w:bottom w:val="single" w:color="auto" w:sz="4" w:space="0"/>
                    <w:right w:val="single" w:color="auto" w:sz="4" w:space="0"/>
                  </w:tcBorders>
                  <w:vAlign w:val="center"/>
                </w:tcPr>
                <w:p w14:paraId="5BEAEEF4">
                  <w:pPr>
                    <w:pStyle w:val="62"/>
                    <w:adjustRightInd w:val="0"/>
                    <w:snapToGrid w:val="0"/>
                    <w:rPr>
                      <w:b/>
                    </w:rPr>
                  </w:pPr>
                  <w:r>
                    <w:rPr>
                      <w:b/>
                    </w:rPr>
                    <w:t>7</w:t>
                  </w:r>
                </w:p>
              </w:tc>
              <w:tc>
                <w:tcPr>
                  <w:tcW w:w="849" w:type="pct"/>
                  <w:tcBorders>
                    <w:top w:val="single" w:color="auto" w:sz="4" w:space="0"/>
                    <w:left w:val="single" w:color="auto" w:sz="4" w:space="0"/>
                    <w:bottom w:val="single" w:color="auto" w:sz="4" w:space="0"/>
                    <w:right w:val="single" w:color="auto" w:sz="4" w:space="0"/>
                  </w:tcBorders>
                  <w:vAlign w:val="center"/>
                </w:tcPr>
                <w:p w14:paraId="1A3C529B">
                  <w:pPr>
                    <w:pStyle w:val="62"/>
                    <w:adjustRightInd w:val="0"/>
                    <w:snapToGrid w:val="0"/>
                    <w:rPr>
                      <w:b/>
                    </w:rPr>
                  </w:pPr>
                  <w:r>
                    <w:rPr>
                      <w:rFonts w:hint="eastAsia"/>
                      <w:b/>
                    </w:rPr>
                    <w:t>应急通讯、通知和交通</w:t>
                  </w:r>
                </w:p>
              </w:tc>
              <w:tc>
                <w:tcPr>
                  <w:tcW w:w="3798" w:type="pct"/>
                  <w:tcBorders>
                    <w:top w:val="single" w:color="auto" w:sz="4" w:space="0"/>
                    <w:left w:val="single" w:color="auto" w:sz="4" w:space="0"/>
                    <w:bottom w:val="single" w:color="auto" w:sz="4" w:space="0"/>
                    <w:right w:val="single" w:color="auto" w:sz="4" w:space="0"/>
                  </w:tcBorders>
                  <w:vAlign w:val="center"/>
                </w:tcPr>
                <w:p w14:paraId="4DD43EA6">
                  <w:pPr>
                    <w:pStyle w:val="62"/>
                    <w:adjustRightInd w:val="0"/>
                    <w:snapToGrid w:val="0"/>
                    <w:jc w:val="left"/>
                    <w:rPr>
                      <w:b/>
                    </w:rPr>
                  </w:pPr>
                  <w:r>
                    <w:rPr>
                      <w:rFonts w:hint="eastAsia"/>
                      <w:b/>
                    </w:rPr>
                    <w:t>规定应急状态下的通讯方式、通知方式和交通保障、管制。</w:t>
                  </w:r>
                </w:p>
                <w:p w14:paraId="093A9D29">
                  <w:pPr>
                    <w:pStyle w:val="62"/>
                    <w:adjustRightInd w:val="0"/>
                    <w:snapToGrid w:val="0"/>
                    <w:jc w:val="left"/>
                    <w:rPr>
                      <w:b/>
                    </w:rPr>
                  </w:pPr>
                  <w:r>
                    <w:rPr>
                      <w:rFonts w:hint="eastAsia"/>
                      <w:b/>
                    </w:rPr>
                    <w:t>厂区若发生泄漏或爆炸事故，应立即通知当地消防部门、安全部门及环保部门，三方联合行动。</w:t>
                  </w:r>
                </w:p>
              </w:tc>
            </w:tr>
            <w:tr w14:paraId="50E4A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353" w:type="pct"/>
                  <w:tcBorders>
                    <w:top w:val="single" w:color="auto" w:sz="4" w:space="0"/>
                    <w:left w:val="single" w:color="auto" w:sz="4" w:space="0"/>
                    <w:bottom w:val="single" w:color="auto" w:sz="4" w:space="0"/>
                    <w:right w:val="single" w:color="auto" w:sz="4" w:space="0"/>
                  </w:tcBorders>
                  <w:vAlign w:val="center"/>
                </w:tcPr>
                <w:p w14:paraId="2479E126">
                  <w:pPr>
                    <w:pStyle w:val="62"/>
                    <w:adjustRightInd w:val="0"/>
                    <w:snapToGrid w:val="0"/>
                    <w:rPr>
                      <w:b/>
                    </w:rPr>
                  </w:pPr>
                  <w:r>
                    <w:rPr>
                      <w:b/>
                    </w:rPr>
                    <w:t>8</w:t>
                  </w:r>
                </w:p>
              </w:tc>
              <w:tc>
                <w:tcPr>
                  <w:tcW w:w="849" w:type="pct"/>
                  <w:tcBorders>
                    <w:top w:val="single" w:color="auto" w:sz="4" w:space="0"/>
                    <w:left w:val="single" w:color="auto" w:sz="4" w:space="0"/>
                    <w:bottom w:val="single" w:color="auto" w:sz="4" w:space="0"/>
                    <w:right w:val="single" w:color="auto" w:sz="4" w:space="0"/>
                  </w:tcBorders>
                  <w:vAlign w:val="center"/>
                </w:tcPr>
                <w:p w14:paraId="5DAAA143">
                  <w:pPr>
                    <w:pStyle w:val="62"/>
                    <w:adjustRightInd w:val="0"/>
                    <w:snapToGrid w:val="0"/>
                    <w:rPr>
                      <w:b/>
                    </w:rPr>
                  </w:pPr>
                  <w:r>
                    <w:rPr>
                      <w:rFonts w:hint="eastAsia"/>
                      <w:b/>
                    </w:rPr>
                    <w:t>应急环境监测及事故后评估</w:t>
                  </w:r>
                </w:p>
              </w:tc>
              <w:tc>
                <w:tcPr>
                  <w:tcW w:w="3798" w:type="pct"/>
                  <w:tcBorders>
                    <w:top w:val="single" w:color="auto" w:sz="4" w:space="0"/>
                    <w:left w:val="single" w:color="auto" w:sz="4" w:space="0"/>
                    <w:bottom w:val="single" w:color="auto" w:sz="4" w:space="0"/>
                    <w:right w:val="single" w:color="auto" w:sz="4" w:space="0"/>
                  </w:tcBorders>
                  <w:vAlign w:val="center"/>
                </w:tcPr>
                <w:p w14:paraId="791D2ECE">
                  <w:pPr>
                    <w:pStyle w:val="62"/>
                    <w:adjustRightInd w:val="0"/>
                    <w:snapToGrid w:val="0"/>
                    <w:jc w:val="left"/>
                    <w:rPr>
                      <w:b/>
                    </w:rPr>
                  </w:pPr>
                  <w:r>
                    <w:rPr>
                      <w:rFonts w:hint="eastAsia"/>
                      <w:b/>
                    </w:rPr>
                    <w:t>由专业队伍对事故现场进行侦察监测，对事故性质、参数与后果进行评估，为指挥部门提供决策依据；</w:t>
                  </w:r>
                </w:p>
                <w:p w14:paraId="59AFC017">
                  <w:pPr>
                    <w:pStyle w:val="62"/>
                    <w:adjustRightInd w:val="0"/>
                    <w:snapToGrid w:val="0"/>
                    <w:jc w:val="left"/>
                    <w:rPr>
                      <w:b/>
                    </w:rPr>
                  </w:pPr>
                  <w:r>
                    <w:rPr>
                      <w:rFonts w:hint="eastAsia"/>
                      <w:b/>
                    </w:rPr>
                    <w:t>当发生物料泄漏情况时，应重点对厂址周边村庄进行监测，并在事后进行跟踪监测，以对事故后果进行评估。</w:t>
                  </w:r>
                </w:p>
              </w:tc>
            </w:tr>
            <w:tr w14:paraId="7616E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353" w:type="pct"/>
                  <w:tcBorders>
                    <w:top w:val="single" w:color="auto" w:sz="4" w:space="0"/>
                    <w:left w:val="single" w:color="auto" w:sz="4" w:space="0"/>
                    <w:bottom w:val="single" w:color="auto" w:sz="4" w:space="0"/>
                    <w:right w:val="single" w:color="auto" w:sz="4" w:space="0"/>
                  </w:tcBorders>
                  <w:vAlign w:val="center"/>
                </w:tcPr>
                <w:p w14:paraId="30684A74">
                  <w:pPr>
                    <w:pStyle w:val="62"/>
                    <w:adjustRightInd w:val="0"/>
                    <w:snapToGrid w:val="0"/>
                    <w:rPr>
                      <w:b/>
                    </w:rPr>
                  </w:pPr>
                  <w:r>
                    <w:rPr>
                      <w:b/>
                    </w:rPr>
                    <w:t>9</w:t>
                  </w:r>
                </w:p>
              </w:tc>
              <w:tc>
                <w:tcPr>
                  <w:tcW w:w="849" w:type="pct"/>
                  <w:tcBorders>
                    <w:top w:val="single" w:color="auto" w:sz="4" w:space="0"/>
                    <w:left w:val="single" w:color="auto" w:sz="4" w:space="0"/>
                    <w:bottom w:val="single" w:color="auto" w:sz="4" w:space="0"/>
                    <w:right w:val="single" w:color="auto" w:sz="4" w:space="0"/>
                  </w:tcBorders>
                  <w:vAlign w:val="center"/>
                </w:tcPr>
                <w:p w14:paraId="75769193">
                  <w:pPr>
                    <w:pStyle w:val="62"/>
                    <w:adjustRightInd w:val="0"/>
                    <w:snapToGrid w:val="0"/>
                    <w:rPr>
                      <w:b/>
                    </w:rPr>
                  </w:pPr>
                  <w:r>
                    <w:rPr>
                      <w:rFonts w:hint="eastAsia"/>
                      <w:b/>
                    </w:rPr>
                    <w:t>应急防护措施、消除泄漏措施方法和器材</w:t>
                  </w:r>
                </w:p>
              </w:tc>
              <w:tc>
                <w:tcPr>
                  <w:tcW w:w="3798" w:type="pct"/>
                  <w:tcBorders>
                    <w:top w:val="single" w:color="auto" w:sz="4" w:space="0"/>
                    <w:left w:val="single" w:color="auto" w:sz="4" w:space="0"/>
                    <w:bottom w:val="single" w:color="auto" w:sz="4" w:space="0"/>
                    <w:right w:val="single" w:color="auto" w:sz="4" w:space="0"/>
                  </w:tcBorders>
                  <w:vAlign w:val="center"/>
                </w:tcPr>
                <w:p w14:paraId="4488F68D">
                  <w:pPr>
                    <w:pStyle w:val="62"/>
                    <w:adjustRightInd w:val="0"/>
                    <w:snapToGrid w:val="0"/>
                    <w:jc w:val="left"/>
                    <w:rPr>
                      <w:b/>
                    </w:rPr>
                  </w:pPr>
                  <w:r>
                    <w:rPr>
                      <w:rFonts w:hint="eastAsia"/>
                      <w:b/>
                    </w:rPr>
                    <w:t>事故现场：控制事故、防止扩大、漫延及链锁反应、消除现场泄漏物、降低危害；相应的设施器材配备</w:t>
                  </w:r>
                </w:p>
                <w:p w14:paraId="2C8E208F">
                  <w:pPr>
                    <w:pStyle w:val="62"/>
                    <w:adjustRightInd w:val="0"/>
                    <w:snapToGrid w:val="0"/>
                    <w:jc w:val="left"/>
                    <w:rPr>
                      <w:b/>
                    </w:rPr>
                  </w:pPr>
                  <w:r>
                    <w:rPr>
                      <w:rFonts w:hint="eastAsia"/>
                      <w:b/>
                    </w:rPr>
                    <w:t>邻近区域：控制火区域，控制和消除污染措施及相应设备配备</w:t>
                  </w:r>
                </w:p>
              </w:tc>
            </w:tr>
            <w:tr w14:paraId="1D5B5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353" w:type="pct"/>
                  <w:tcBorders>
                    <w:top w:val="single" w:color="auto" w:sz="4" w:space="0"/>
                    <w:left w:val="single" w:color="auto" w:sz="4" w:space="0"/>
                    <w:bottom w:val="single" w:color="auto" w:sz="4" w:space="0"/>
                    <w:right w:val="single" w:color="auto" w:sz="4" w:space="0"/>
                  </w:tcBorders>
                  <w:vAlign w:val="center"/>
                </w:tcPr>
                <w:p w14:paraId="37407F2F">
                  <w:pPr>
                    <w:pStyle w:val="62"/>
                    <w:adjustRightInd w:val="0"/>
                    <w:snapToGrid w:val="0"/>
                    <w:rPr>
                      <w:b/>
                    </w:rPr>
                  </w:pPr>
                  <w:r>
                    <w:rPr>
                      <w:b/>
                    </w:rPr>
                    <w:t>10</w:t>
                  </w:r>
                </w:p>
              </w:tc>
              <w:tc>
                <w:tcPr>
                  <w:tcW w:w="849" w:type="pct"/>
                  <w:tcBorders>
                    <w:top w:val="single" w:color="auto" w:sz="4" w:space="0"/>
                    <w:left w:val="single" w:color="auto" w:sz="4" w:space="0"/>
                    <w:bottom w:val="single" w:color="auto" w:sz="4" w:space="0"/>
                    <w:right w:val="single" w:color="auto" w:sz="4" w:space="0"/>
                  </w:tcBorders>
                  <w:vAlign w:val="center"/>
                </w:tcPr>
                <w:p w14:paraId="243A76CB">
                  <w:pPr>
                    <w:pStyle w:val="62"/>
                    <w:adjustRightInd w:val="0"/>
                    <w:snapToGrid w:val="0"/>
                    <w:rPr>
                      <w:b/>
                    </w:rPr>
                  </w:pPr>
                  <w:r>
                    <w:rPr>
                      <w:rFonts w:hint="eastAsia"/>
                      <w:b/>
                    </w:rPr>
                    <w:t>应急剂量控制、撤离组织计划、医疗救护与公众健康</w:t>
                  </w:r>
                </w:p>
              </w:tc>
              <w:tc>
                <w:tcPr>
                  <w:tcW w:w="3798" w:type="pct"/>
                  <w:tcBorders>
                    <w:top w:val="single" w:color="auto" w:sz="4" w:space="0"/>
                    <w:left w:val="single" w:color="auto" w:sz="4" w:space="0"/>
                    <w:bottom w:val="single" w:color="auto" w:sz="4" w:space="0"/>
                    <w:right w:val="single" w:color="auto" w:sz="4" w:space="0"/>
                  </w:tcBorders>
                  <w:vAlign w:val="center"/>
                </w:tcPr>
                <w:p w14:paraId="1DAF221C">
                  <w:pPr>
                    <w:pStyle w:val="62"/>
                    <w:adjustRightInd w:val="0"/>
                    <w:snapToGrid w:val="0"/>
                    <w:jc w:val="left"/>
                    <w:rPr>
                      <w:b/>
                    </w:rPr>
                  </w:pPr>
                  <w:r>
                    <w:rPr>
                      <w:rFonts w:hint="eastAsia"/>
                      <w:b/>
                    </w:rPr>
                    <w:t>事故现场：事故处理人员对毒物的应急剂量控制规定，现场及邻近装置人员撤离组织计划及救护</w:t>
                  </w:r>
                </w:p>
                <w:p w14:paraId="330E4028">
                  <w:pPr>
                    <w:pStyle w:val="62"/>
                    <w:adjustRightInd w:val="0"/>
                    <w:snapToGrid w:val="0"/>
                    <w:jc w:val="left"/>
                    <w:rPr>
                      <w:b/>
                    </w:rPr>
                  </w:pPr>
                  <w:r>
                    <w:rPr>
                      <w:rFonts w:hint="eastAsia"/>
                      <w:b/>
                    </w:rPr>
                    <w:t>工厂邻近区：受事故影响的邻近区域人员及公众对毒物应急剂量控制规定，撤离组织计划及救护</w:t>
                  </w:r>
                </w:p>
              </w:tc>
            </w:tr>
            <w:tr w14:paraId="61B24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353" w:type="pct"/>
                  <w:tcBorders>
                    <w:top w:val="single" w:color="auto" w:sz="4" w:space="0"/>
                    <w:left w:val="single" w:color="auto" w:sz="4" w:space="0"/>
                    <w:bottom w:val="single" w:color="auto" w:sz="4" w:space="0"/>
                    <w:right w:val="single" w:color="auto" w:sz="4" w:space="0"/>
                  </w:tcBorders>
                  <w:vAlign w:val="center"/>
                </w:tcPr>
                <w:p w14:paraId="0A42D690">
                  <w:pPr>
                    <w:pStyle w:val="62"/>
                    <w:adjustRightInd w:val="0"/>
                    <w:snapToGrid w:val="0"/>
                    <w:rPr>
                      <w:b/>
                    </w:rPr>
                  </w:pPr>
                  <w:r>
                    <w:rPr>
                      <w:b/>
                    </w:rPr>
                    <w:t>11</w:t>
                  </w:r>
                </w:p>
              </w:tc>
              <w:tc>
                <w:tcPr>
                  <w:tcW w:w="849" w:type="pct"/>
                  <w:tcBorders>
                    <w:top w:val="single" w:color="auto" w:sz="4" w:space="0"/>
                    <w:left w:val="single" w:color="auto" w:sz="4" w:space="0"/>
                    <w:bottom w:val="single" w:color="auto" w:sz="4" w:space="0"/>
                    <w:right w:val="single" w:color="auto" w:sz="4" w:space="0"/>
                  </w:tcBorders>
                  <w:vAlign w:val="center"/>
                </w:tcPr>
                <w:p w14:paraId="176E8C58">
                  <w:pPr>
                    <w:pStyle w:val="62"/>
                    <w:adjustRightInd w:val="0"/>
                    <w:snapToGrid w:val="0"/>
                    <w:rPr>
                      <w:b/>
                    </w:rPr>
                  </w:pPr>
                  <w:r>
                    <w:rPr>
                      <w:rFonts w:hint="eastAsia"/>
                      <w:b/>
                    </w:rPr>
                    <w:t>应急状态终止与恢复措施</w:t>
                  </w:r>
                </w:p>
              </w:tc>
              <w:tc>
                <w:tcPr>
                  <w:tcW w:w="3798" w:type="pct"/>
                  <w:tcBorders>
                    <w:top w:val="single" w:color="auto" w:sz="4" w:space="0"/>
                    <w:left w:val="single" w:color="auto" w:sz="4" w:space="0"/>
                    <w:bottom w:val="single" w:color="auto" w:sz="4" w:space="0"/>
                    <w:right w:val="single" w:color="auto" w:sz="4" w:space="0"/>
                  </w:tcBorders>
                  <w:vAlign w:val="center"/>
                </w:tcPr>
                <w:p w14:paraId="7CC56505">
                  <w:pPr>
                    <w:pStyle w:val="62"/>
                    <w:adjustRightInd w:val="0"/>
                    <w:snapToGrid w:val="0"/>
                    <w:jc w:val="left"/>
                    <w:rPr>
                      <w:b/>
                    </w:rPr>
                  </w:pPr>
                  <w:r>
                    <w:rPr>
                      <w:rFonts w:hint="eastAsia"/>
                      <w:b/>
                    </w:rPr>
                    <w:t>规定应急状态终止程序：事故善后处理，恢复措施；邻近区域解除事故警戒及善后恢复措施</w:t>
                  </w:r>
                </w:p>
              </w:tc>
            </w:tr>
            <w:tr w14:paraId="0D804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353" w:type="pct"/>
                  <w:tcBorders>
                    <w:top w:val="single" w:color="auto" w:sz="4" w:space="0"/>
                    <w:left w:val="single" w:color="auto" w:sz="4" w:space="0"/>
                    <w:bottom w:val="single" w:color="auto" w:sz="4" w:space="0"/>
                    <w:right w:val="single" w:color="auto" w:sz="4" w:space="0"/>
                  </w:tcBorders>
                  <w:vAlign w:val="center"/>
                </w:tcPr>
                <w:p w14:paraId="71C74D42">
                  <w:pPr>
                    <w:pStyle w:val="62"/>
                    <w:adjustRightInd w:val="0"/>
                    <w:snapToGrid w:val="0"/>
                    <w:rPr>
                      <w:b/>
                    </w:rPr>
                  </w:pPr>
                  <w:r>
                    <w:rPr>
                      <w:b/>
                    </w:rPr>
                    <w:t>12</w:t>
                  </w:r>
                </w:p>
              </w:tc>
              <w:tc>
                <w:tcPr>
                  <w:tcW w:w="849" w:type="pct"/>
                  <w:tcBorders>
                    <w:top w:val="single" w:color="auto" w:sz="4" w:space="0"/>
                    <w:left w:val="single" w:color="auto" w:sz="4" w:space="0"/>
                    <w:bottom w:val="single" w:color="auto" w:sz="4" w:space="0"/>
                    <w:right w:val="single" w:color="auto" w:sz="4" w:space="0"/>
                  </w:tcBorders>
                  <w:vAlign w:val="center"/>
                </w:tcPr>
                <w:p w14:paraId="363D982B">
                  <w:pPr>
                    <w:pStyle w:val="62"/>
                    <w:adjustRightInd w:val="0"/>
                    <w:snapToGrid w:val="0"/>
                    <w:rPr>
                      <w:b/>
                    </w:rPr>
                  </w:pPr>
                  <w:r>
                    <w:rPr>
                      <w:rFonts w:hint="eastAsia"/>
                      <w:b/>
                    </w:rPr>
                    <w:t>人员培训、演练</w:t>
                  </w:r>
                </w:p>
              </w:tc>
              <w:tc>
                <w:tcPr>
                  <w:tcW w:w="3798" w:type="pct"/>
                  <w:tcBorders>
                    <w:top w:val="single" w:color="auto" w:sz="4" w:space="0"/>
                    <w:left w:val="single" w:color="auto" w:sz="4" w:space="0"/>
                    <w:bottom w:val="single" w:color="auto" w:sz="4" w:space="0"/>
                    <w:right w:val="single" w:color="auto" w:sz="4" w:space="0"/>
                  </w:tcBorders>
                  <w:vAlign w:val="center"/>
                </w:tcPr>
                <w:p w14:paraId="605B2D6C">
                  <w:pPr>
                    <w:pStyle w:val="62"/>
                    <w:adjustRightInd w:val="0"/>
                    <w:snapToGrid w:val="0"/>
                    <w:jc w:val="left"/>
                    <w:rPr>
                      <w:b/>
                    </w:rPr>
                  </w:pPr>
                  <w:r>
                    <w:rPr>
                      <w:rFonts w:hint="eastAsia"/>
                      <w:b/>
                    </w:rPr>
                    <w:t>应急计划制定后，平时安排人员培训及演练（演练半年一次，培训一个月一次），对新工人上岗前进行三级安全教育</w:t>
                  </w:r>
                </w:p>
              </w:tc>
            </w:tr>
            <w:tr w14:paraId="7C837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353" w:type="pct"/>
                  <w:tcBorders>
                    <w:top w:val="single" w:color="auto" w:sz="4" w:space="0"/>
                    <w:left w:val="single" w:color="auto" w:sz="4" w:space="0"/>
                    <w:bottom w:val="single" w:color="auto" w:sz="4" w:space="0"/>
                    <w:right w:val="single" w:color="auto" w:sz="4" w:space="0"/>
                  </w:tcBorders>
                  <w:vAlign w:val="center"/>
                </w:tcPr>
                <w:p w14:paraId="77048F8D">
                  <w:pPr>
                    <w:pStyle w:val="62"/>
                    <w:adjustRightInd w:val="0"/>
                    <w:snapToGrid w:val="0"/>
                    <w:rPr>
                      <w:b/>
                    </w:rPr>
                  </w:pPr>
                  <w:r>
                    <w:rPr>
                      <w:b/>
                    </w:rPr>
                    <w:t>13</w:t>
                  </w:r>
                </w:p>
              </w:tc>
              <w:tc>
                <w:tcPr>
                  <w:tcW w:w="849" w:type="pct"/>
                  <w:tcBorders>
                    <w:top w:val="single" w:color="auto" w:sz="4" w:space="0"/>
                    <w:left w:val="single" w:color="auto" w:sz="4" w:space="0"/>
                    <w:bottom w:val="single" w:color="auto" w:sz="4" w:space="0"/>
                    <w:right w:val="single" w:color="auto" w:sz="4" w:space="0"/>
                  </w:tcBorders>
                  <w:vAlign w:val="center"/>
                </w:tcPr>
                <w:p w14:paraId="13BDF6D8">
                  <w:pPr>
                    <w:pStyle w:val="62"/>
                    <w:adjustRightInd w:val="0"/>
                    <w:snapToGrid w:val="0"/>
                    <w:rPr>
                      <w:b/>
                    </w:rPr>
                  </w:pPr>
                  <w:r>
                    <w:rPr>
                      <w:rFonts w:hint="eastAsia"/>
                      <w:b/>
                    </w:rPr>
                    <w:t>公众教育、信息</w:t>
                  </w:r>
                </w:p>
              </w:tc>
              <w:tc>
                <w:tcPr>
                  <w:tcW w:w="3798" w:type="pct"/>
                  <w:tcBorders>
                    <w:top w:val="single" w:color="auto" w:sz="4" w:space="0"/>
                    <w:left w:val="single" w:color="auto" w:sz="4" w:space="0"/>
                    <w:bottom w:val="single" w:color="auto" w:sz="4" w:space="0"/>
                    <w:right w:val="single" w:color="auto" w:sz="4" w:space="0"/>
                  </w:tcBorders>
                  <w:vAlign w:val="center"/>
                </w:tcPr>
                <w:p w14:paraId="0DA8D641">
                  <w:pPr>
                    <w:pStyle w:val="62"/>
                    <w:adjustRightInd w:val="0"/>
                    <w:snapToGrid w:val="0"/>
                    <w:jc w:val="left"/>
                    <w:rPr>
                      <w:b/>
                    </w:rPr>
                  </w:pPr>
                  <w:r>
                    <w:rPr>
                      <w:rFonts w:hint="eastAsia"/>
                      <w:b/>
                    </w:rPr>
                    <w:t>对工厂邻近地区开展公众教育、培训与发布相关信息</w:t>
                  </w:r>
                </w:p>
              </w:tc>
            </w:tr>
            <w:tr w14:paraId="0EC86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353" w:type="pct"/>
                  <w:tcBorders>
                    <w:top w:val="single" w:color="auto" w:sz="4" w:space="0"/>
                    <w:left w:val="single" w:color="auto" w:sz="4" w:space="0"/>
                    <w:bottom w:val="single" w:color="auto" w:sz="4" w:space="0"/>
                    <w:right w:val="single" w:color="auto" w:sz="4" w:space="0"/>
                  </w:tcBorders>
                  <w:vAlign w:val="center"/>
                </w:tcPr>
                <w:p w14:paraId="45F2AEDB">
                  <w:pPr>
                    <w:pStyle w:val="62"/>
                    <w:adjustRightInd w:val="0"/>
                    <w:snapToGrid w:val="0"/>
                    <w:rPr>
                      <w:b/>
                    </w:rPr>
                  </w:pPr>
                  <w:r>
                    <w:rPr>
                      <w:b/>
                    </w:rPr>
                    <w:t>14</w:t>
                  </w:r>
                </w:p>
              </w:tc>
              <w:tc>
                <w:tcPr>
                  <w:tcW w:w="849" w:type="pct"/>
                  <w:tcBorders>
                    <w:top w:val="single" w:color="auto" w:sz="4" w:space="0"/>
                    <w:left w:val="single" w:color="auto" w:sz="4" w:space="0"/>
                    <w:bottom w:val="single" w:color="auto" w:sz="4" w:space="0"/>
                    <w:right w:val="single" w:color="auto" w:sz="4" w:space="0"/>
                  </w:tcBorders>
                  <w:vAlign w:val="center"/>
                </w:tcPr>
                <w:p w14:paraId="3597182D">
                  <w:pPr>
                    <w:pStyle w:val="62"/>
                    <w:adjustRightInd w:val="0"/>
                    <w:snapToGrid w:val="0"/>
                    <w:rPr>
                      <w:b/>
                    </w:rPr>
                  </w:pPr>
                  <w:r>
                    <w:rPr>
                      <w:rFonts w:hint="eastAsia"/>
                      <w:b/>
                    </w:rPr>
                    <w:t>记录和报告</w:t>
                  </w:r>
                </w:p>
              </w:tc>
              <w:tc>
                <w:tcPr>
                  <w:tcW w:w="3798" w:type="pct"/>
                  <w:tcBorders>
                    <w:top w:val="single" w:color="auto" w:sz="4" w:space="0"/>
                    <w:left w:val="single" w:color="auto" w:sz="4" w:space="0"/>
                    <w:bottom w:val="single" w:color="auto" w:sz="4" w:space="0"/>
                    <w:right w:val="single" w:color="auto" w:sz="4" w:space="0"/>
                  </w:tcBorders>
                  <w:vAlign w:val="center"/>
                </w:tcPr>
                <w:p w14:paraId="27EC055A">
                  <w:pPr>
                    <w:pStyle w:val="62"/>
                    <w:adjustRightInd w:val="0"/>
                    <w:snapToGrid w:val="0"/>
                    <w:jc w:val="left"/>
                    <w:rPr>
                      <w:b/>
                    </w:rPr>
                  </w:pPr>
                  <w:r>
                    <w:rPr>
                      <w:rFonts w:hint="eastAsia"/>
                      <w:b/>
                    </w:rPr>
                    <w:t>设置应急事故专门记录，建立档案和专门报告制度，设专门部门和负责管理</w:t>
                  </w:r>
                </w:p>
              </w:tc>
            </w:tr>
            <w:tr w14:paraId="07592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353" w:type="pct"/>
                  <w:tcBorders>
                    <w:top w:val="single" w:color="auto" w:sz="4" w:space="0"/>
                    <w:left w:val="single" w:color="auto" w:sz="4" w:space="0"/>
                    <w:bottom w:val="single" w:color="auto" w:sz="4" w:space="0"/>
                    <w:right w:val="single" w:color="auto" w:sz="4" w:space="0"/>
                  </w:tcBorders>
                  <w:vAlign w:val="center"/>
                </w:tcPr>
                <w:p w14:paraId="514E408B">
                  <w:pPr>
                    <w:pStyle w:val="62"/>
                    <w:adjustRightInd w:val="0"/>
                    <w:snapToGrid w:val="0"/>
                    <w:rPr>
                      <w:b/>
                    </w:rPr>
                  </w:pPr>
                  <w:r>
                    <w:rPr>
                      <w:b/>
                    </w:rPr>
                    <w:t>15</w:t>
                  </w:r>
                </w:p>
              </w:tc>
              <w:tc>
                <w:tcPr>
                  <w:tcW w:w="849" w:type="pct"/>
                  <w:tcBorders>
                    <w:top w:val="single" w:color="auto" w:sz="4" w:space="0"/>
                    <w:left w:val="single" w:color="auto" w:sz="4" w:space="0"/>
                    <w:bottom w:val="single" w:color="auto" w:sz="4" w:space="0"/>
                    <w:right w:val="single" w:color="auto" w:sz="4" w:space="0"/>
                  </w:tcBorders>
                  <w:vAlign w:val="center"/>
                </w:tcPr>
                <w:p w14:paraId="75E93C7C">
                  <w:pPr>
                    <w:pStyle w:val="62"/>
                    <w:adjustRightInd w:val="0"/>
                    <w:snapToGrid w:val="0"/>
                    <w:rPr>
                      <w:b/>
                    </w:rPr>
                  </w:pPr>
                  <w:r>
                    <w:rPr>
                      <w:rFonts w:hint="eastAsia"/>
                      <w:b/>
                    </w:rPr>
                    <w:t>附件</w:t>
                  </w:r>
                </w:p>
              </w:tc>
              <w:tc>
                <w:tcPr>
                  <w:tcW w:w="3798" w:type="pct"/>
                  <w:tcBorders>
                    <w:top w:val="single" w:color="auto" w:sz="4" w:space="0"/>
                    <w:left w:val="single" w:color="auto" w:sz="4" w:space="0"/>
                    <w:bottom w:val="single" w:color="auto" w:sz="4" w:space="0"/>
                    <w:right w:val="single" w:color="auto" w:sz="4" w:space="0"/>
                  </w:tcBorders>
                  <w:vAlign w:val="center"/>
                </w:tcPr>
                <w:p w14:paraId="261AB504">
                  <w:pPr>
                    <w:pStyle w:val="62"/>
                    <w:adjustRightInd w:val="0"/>
                    <w:snapToGrid w:val="0"/>
                    <w:jc w:val="left"/>
                    <w:rPr>
                      <w:b/>
                    </w:rPr>
                  </w:pPr>
                  <w:r>
                    <w:rPr>
                      <w:rFonts w:hint="eastAsia"/>
                      <w:b/>
                    </w:rPr>
                    <w:t>与应急事故有关的多种附件材料的准备和形成</w:t>
                  </w:r>
                </w:p>
              </w:tc>
            </w:tr>
          </w:tbl>
          <w:p w14:paraId="4011778A">
            <w:pPr>
              <w:snapToGrid w:val="0"/>
              <w:spacing w:beforeLines="50" w:line="360" w:lineRule="auto"/>
              <w:ind w:firstLine="482" w:firstLineChars="200"/>
              <w:rPr>
                <w:b/>
                <w:sz w:val="24"/>
                <w:u w:val="single"/>
              </w:rPr>
            </w:pPr>
            <w:r>
              <w:rPr>
                <w:rFonts w:hint="eastAsia"/>
                <w:b/>
                <w:sz w:val="24"/>
                <w:u w:val="single"/>
              </w:rPr>
              <w:t>综上所述，本项目涉及的危险物质为液化天然气、导热油。项目风险物质危险性主要表现在泄漏、火灾等突发性事故，其次生产污染影响较小，建议企业结合本项目特点，制定应急预案及区域风险防范应急救援支援措施。在认真落实相关风险管理措施的情况下，本项目环境风险可防控。</w:t>
            </w:r>
          </w:p>
          <w:p w14:paraId="4E646E1B">
            <w:pPr>
              <w:spacing w:line="360" w:lineRule="auto"/>
              <w:ind w:firstLine="482" w:firstLineChars="200"/>
              <w:rPr>
                <w:b/>
                <w:sz w:val="24"/>
              </w:rPr>
            </w:pPr>
            <w:r>
              <w:rPr>
                <w:rFonts w:hint="eastAsia"/>
                <w:b/>
                <w:sz w:val="24"/>
              </w:rPr>
              <w:t>7、选址可行性分析</w:t>
            </w:r>
          </w:p>
          <w:p w14:paraId="4CDDD902">
            <w:pPr>
              <w:spacing w:line="360" w:lineRule="auto"/>
              <w:ind w:firstLine="472" w:firstLineChars="196"/>
              <w:rPr>
                <w:b/>
                <w:sz w:val="24"/>
              </w:rPr>
            </w:pPr>
            <w:r>
              <w:rPr>
                <w:rFonts w:hint="eastAsia"/>
                <w:b/>
                <w:sz w:val="24"/>
              </w:rPr>
              <w:t>7</w:t>
            </w:r>
            <w:r>
              <w:rPr>
                <w:b/>
                <w:sz w:val="24"/>
              </w:rPr>
              <w:t xml:space="preserve">.1 </w:t>
            </w:r>
            <w:r>
              <w:rPr>
                <w:rFonts w:hint="eastAsia"/>
                <w:b/>
                <w:sz w:val="24"/>
              </w:rPr>
              <w:t>规划相符性分析</w:t>
            </w:r>
          </w:p>
          <w:p w14:paraId="74AD2CD1">
            <w:pPr>
              <w:spacing w:line="360" w:lineRule="auto"/>
              <w:ind w:firstLine="464" w:firstLineChars="200"/>
              <w:rPr>
                <w:sz w:val="24"/>
              </w:rPr>
            </w:pPr>
            <w:r>
              <w:rPr>
                <w:rFonts w:hint="eastAsia"/>
                <w:spacing w:val="-4"/>
                <w:sz w:val="24"/>
              </w:rPr>
              <w:t>项目厂址位于商丘市民权县北关镇民荷路北段9号，租用</w:t>
            </w:r>
            <w:r>
              <w:rPr>
                <w:rFonts w:hint="eastAsia"/>
                <w:bCs/>
                <w:spacing w:val="-4"/>
                <w:sz w:val="24"/>
              </w:rPr>
              <w:t>民权县北关镇民荷路北段9号的现有厂区</w:t>
            </w:r>
            <w:r>
              <w:rPr>
                <w:rFonts w:hint="eastAsia"/>
                <w:sz w:val="24"/>
              </w:rPr>
              <w:t>建设生产</w:t>
            </w:r>
            <w:r>
              <w:rPr>
                <w:rFonts w:hint="eastAsia"/>
                <w:spacing w:val="-4"/>
                <w:sz w:val="24"/>
              </w:rPr>
              <w:t>，占地面积为10000m</w:t>
            </w:r>
            <w:r>
              <w:rPr>
                <w:rFonts w:hint="eastAsia"/>
                <w:spacing w:val="-4"/>
                <w:sz w:val="24"/>
                <w:vertAlign w:val="superscript"/>
              </w:rPr>
              <w:t>2</w:t>
            </w:r>
            <w:r>
              <w:rPr>
                <w:rFonts w:hint="eastAsia"/>
                <w:spacing w:val="-4"/>
                <w:sz w:val="24"/>
              </w:rPr>
              <w:t>。</w:t>
            </w:r>
            <w:r>
              <w:rPr>
                <w:rFonts w:hint="eastAsia"/>
                <w:sz w:val="24"/>
              </w:rPr>
              <w:t>根据民权县自然资源局北关自然资源所出具的证明（见附件四）可知，该宗土地属于规划的建设用地，符合民权县北关镇土地利用总体规划；根据民权县北关镇乡村规划建设中心出具的入驻证明（见附件五），项目符合北关镇总体规划，同意项目入驻</w:t>
            </w:r>
            <w:r>
              <w:rPr>
                <w:rFonts w:hint="eastAsia"/>
                <w:bCs/>
                <w:sz w:val="24"/>
              </w:rPr>
              <w:t>。</w:t>
            </w:r>
          </w:p>
          <w:p w14:paraId="3A23F061">
            <w:pPr>
              <w:spacing w:line="360" w:lineRule="auto"/>
              <w:ind w:firstLine="472" w:firstLineChars="196"/>
              <w:rPr>
                <w:b/>
                <w:sz w:val="24"/>
              </w:rPr>
            </w:pPr>
            <w:r>
              <w:rPr>
                <w:rFonts w:hint="eastAsia"/>
                <w:b/>
                <w:sz w:val="24"/>
              </w:rPr>
              <w:t>7</w:t>
            </w:r>
            <w:r>
              <w:rPr>
                <w:b/>
                <w:sz w:val="24"/>
              </w:rPr>
              <w:t xml:space="preserve">.2 </w:t>
            </w:r>
            <w:r>
              <w:rPr>
                <w:rFonts w:hint="eastAsia"/>
                <w:b/>
                <w:sz w:val="24"/>
              </w:rPr>
              <w:t>与周边环境相容性分析</w:t>
            </w:r>
          </w:p>
          <w:p w14:paraId="3F21DD16">
            <w:pPr>
              <w:pStyle w:val="11"/>
              <w:spacing w:line="360" w:lineRule="auto"/>
              <w:ind w:firstLine="480"/>
              <w:rPr>
                <w:bCs w:val="0"/>
                <w:kern w:val="0"/>
                <w:sz w:val="24"/>
              </w:rPr>
            </w:pPr>
            <w:r>
              <w:rPr>
                <w:rFonts w:hint="eastAsia"/>
                <w:sz w:val="24"/>
              </w:rPr>
              <w:t>本项目运营过程中，项目原料存放、</w:t>
            </w:r>
            <w:r>
              <w:rPr>
                <w:rFonts w:hint="eastAsia"/>
                <w:spacing w:val="-4"/>
                <w:sz w:val="24"/>
              </w:rPr>
              <w:t>破碎、熬制及压饼等生产过程恶臭废气、熬制油烟废气及污水处理站恶臭气体由</w:t>
            </w:r>
            <w:r>
              <w:rPr>
                <w:rFonts w:hint="eastAsia"/>
                <w:sz w:val="24"/>
                <w:szCs w:val="20"/>
              </w:rPr>
              <w:t>“冷凝+</w:t>
            </w:r>
            <w:r>
              <w:rPr>
                <w:rFonts w:hint="eastAsia"/>
                <w:sz w:val="24"/>
              </w:rPr>
              <w:t>静电油烟净化器+碱液</w:t>
            </w:r>
            <w:r>
              <w:rPr>
                <w:rFonts w:hint="eastAsia"/>
                <w:sz w:val="24"/>
                <w:szCs w:val="20"/>
              </w:rPr>
              <w:t>喷淋塔+除雾器+</w:t>
            </w:r>
            <w:r>
              <w:rPr>
                <w:rFonts w:hint="eastAsia"/>
                <w:sz w:val="24"/>
              </w:rPr>
              <w:t>活性炭吸附装置</w:t>
            </w:r>
            <w:r>
              <w:rPr>
                <w:rFonts w:hint="eastAsia"/>
                <w:sz w:val="24"/>
                <w:szCs w:val="20"/>
              </w:rPr>
              <w:t>”</w:t>
            </w:r>
            <w:r>
              <w:rPr>
                <w:rFonts w:hint="eastAsia"/>
                <w:spacing w:val="-4"/>
                <w:sz w:val="24"/>
              </w:rPr>
              <w:t>处理后通过排气筒达标排放，对环境影响较小；</w:t>
            </w:r>
            <w:r>
              <w:rPr>
                <w:rFonts w:hint="eastAsia"/>
                <w:sz w:val="24"/>
              </w:rPr>
              <w:t>项目</w:t>
            </w:r>
            <w:r>
              <w:rPr>
                <w:rFonts w:hint="eastAsia"/>
                <w:kern w:val="0"/>
                <w:sz w:val="24"/>
              </w:rPr>
              <w:t>生产废水经厂区污水处理站处理后，经罐车运至北关镇污水处理厂处理，生活污水经厂区化粪池处理后交由周边居民外运肥田；循环冷却水系统排水回用于</w:t>
            </w:r>
            <w:r>
              <w:rPr>
                <w:color w:val="000000"/>
                <w:sz w:val="24"/>
              </w:rPr>
              <w:t>设备及地面清洗或厂区洒水抑尘</w:t>
            </w:r>
            <w:r>
              <w:rPr>
                <w:rFonts w:hint="eastAsia"/>
                <w:kern w:val="0"/>
                <w:sz w:val="24"/>
              </w:rPr>
              <w:t>，不外排；项目运营过程中的高噪声设备经采取厂房阻隔等措施，厂界噪声值能够达标排放；项目固体废物分类收集、处置</w:t>
            </w:r>
            <w:r>
              <w:rPr>
                <w:sz w:val="24"/>
              </w:rPr>
              <w:t>。本项目实施后，营运期间产生的各项污染物采取了相应的防治措施，均能实现达标排放或综合利用，对周围环境影响较小。</w:t>
            </w:r>
          </w:p>
          <w:p w14:paraId="56628D81">
            <w:pPr>
              <w:spacing w:line="360" w:lineRule="auto"/>
              <w:ind w:firstLine="480" w:firstLineChars="200"/>
              <w:rPr>
                <w:sz w:val="24"/>
              </w:rPr>
            </w:pPr>
            <w:r>
              <w:rPr>
                <w:rFonts w:hint="eastAsia"/>
                <w:sz w:val="24"/>
              </w:rPr>
              <w:t>根据现场踏勘，项目东侧为空地，南侧为厂区预留用地，厂区外为农田，西侧为民权县龙基水泥制造有限公司水泥房制造项目，北侧为水泥道路，隔路为农田。距离项目最近敏感点为西南侧430m的张营，本项目污染物排放经处理后均可以达标排放或合理处置，因此</w:t>
            </w:r>
            <w:r>
              <w:rPr>
                <w:rFonts w:hint="eastAsia"/>
                <w:bCs/>
                <w:sz w:val="24"/>
              </w:rPr>
              <w:t>在各项环保措施完善的情况下，</w:t>
            </w:r>
            <w:r>
              <w:rPr>
                <w:rFonts w:hint="eastAsia"/>
                <w:sz w:val="24"/>
              </w:rPr>
              <w:t>本项目废气排放对区域环境影响在可接受范围内。</w:t>
            </w:r>
          </w:p>
          <w:p w14:paraId="372DA09C">
            <w:pPr>
              <w:spacing w:line="360" w:lineRule="auto"/>
              <w:ind w:firstLine="480" w:firstLineChars="200"/>
              <w:rPr>
                <w:sz w:val="24"/>
              </w:rPr>
            </w:pPr>
            <w:r>
              <w:rPr>
                <w:rFonts w:hint="eastAsia"/>
                <w:sz w:val="24"/>
              </w:rPr>
              <w:t>综上所述，从环保角度分析本项目选址可行。</w:t>
            </w:r>
          </w:p>
        </w:tc>
      </w:tr>
    </w:tbl>
    <w:p w14:paraId="4971F3A0">
      <w:pPr>
        <w:widowControl/>
        <w:jc w:val="left"/>
        <w:rPr>
          <w:rFonts w:ascii="黑体" w:hAnsi="黑体" w:eastAsia="黑体"/>
          <w:snapToGrid w:val="0"/>
          <w:kern w:val="0"/>
          <w:sz w:val="30"/>
          <w:szCs w:val="30"/>
        </w:rPr>
      </w:pPr>
      <w:r>
        <w:rPr>
          <w:rFonts w:ascii="黑体" w:hAnsi="黑体" w:eastAsia="黑体"/>
          <w:snapToGrid w:val="0"/>
          <w:sz w:val="30"/>
          <w:szCs w:val="30"/>
        </w:rPr>
        <w:br w:type="page"/>
      </w:r>
    </w:p>
    <w:p w14:paraId="12D144A5">
      <w:pPr>
        <w:pStyle w:val="25"/>
        <w:spacing w:after="0" w:afterAutospacing="0"/>
        <w:jc w:val="center"/>
        <w:outlineLvl w:val="0"/>
        <w:rPr>
          <w:rFonts w:ascii="黑体" w:hAnsi="黑体" w:eastAsia="黑体"/>
          <w:snapToGrid w:val="0"/>
          <w:sz w:val="30"/>
          <w:szCs w:val="30"/>
        </w:rPr>
      </w:pPr>
      <w:r>
        <w:rPr>
          <w:rFonts w:hint="eastAsia" w:ascii="黑体" w:hAnsi="黑体" w:eastAsia="黑体"/>
          <w:snapToGrid w:val="0"/>
          <w:sz w:val="30"/>
          <w:szCs w:val="30"/>
        </w:rPr>
        <w:t>五、</w:t>
      </w:r>
      <w:bookmarkStart w:id="2" w:name="_Hlk54167917"/>
      <w:r>
        <w:rPr>
          <w:rFonts w:hint="eastAsia" w:ascii="黑体" w:hAnsi="黑体" w:eastAsia="黑体"/>
          <w:snapToGrid w:val="0"/>
          <w:sz w:val="30"/>
          <w:szCs w:val="30"/>
        </w:rPr>
        <w:t>环境保护措施监督检查清单</w:t>
      </w:r>
      <w:bookmarkEnd w:id="2"/>
    </w:p>
    <w:tbl>
      <w:tblPr>
        <w:tblStyle w:val="29"/>
        <w:tblW w:w="938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839"/>
        <w:gridCol w:w="1985"/>
        <w:gridCol w:w="1276"/>
        <w:gridCol w:w="2409"/>
        <w:gridCol w:w="2879"/>
      </w:tblGrid>
      <w:tr w14:paraId="1D4348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839" w:type="dxa"/>
            <w:tcBorders>
              <w:tl2br w:val="single" w:color="auto" w:sz="4" w:space="0"/>
            </w:tcBorders>
          </w:tcPr>
          <w:p w14:paraId="766B6557">
            <w:pPr>
              <w:adjustRightInd w:val="0"/>
              <w:snapToGrid w:val="0"/>
              <w:jc w:val="right"/>
              <w:rPr>
                <w:szCs w:val="21"/>
              </w:rPr>
            </w:pPr>
            <w:r>
              <w:rPr>
                <w:szCs w:val="21"/>
              </w:rPr>
              <w:t>内容</w:t>
            </w:r>
          </w:p>
          <w:p w14:paraId="14E79B39">
            <w:pPr>
              <w:adjustRightInd w:val="0"/>
              <w:snapToGrid w:val="0"/>
              <w:rPr>
                <w:szCs w:val="21"/>
              </w:rPr>
            </w:pPr>
            <w:r>
              <w:rPr>
                <w:szCs w:val="21"/>
              </w:rPr>
              <w:t>要素</w:t>
            </w:r>
          </w:p>
        </w:tc>
        <w:tc>
          <w:tcPr>
            <w:tcW w:w="1985" w:type="dxa"/>
            <w:vAlign w:val="center"/>
          </w:tcPr>
          <w:p w14:paraId="467F973E">
            <w:pPr>
              <w:adjustRightInd w:val="0"/>
              <w:snapToGrid w:val="0"/>
              <w:jc w:val="center"/>
              <w:rPr>
                <w:szCs w:val="21"/>
              </w:rPr>
            </w:pPr>
            <w:r>
              <w:rPr>
                <w:szCs w:val="21"/>
              </w:rPr>
              <w:t>排放口(编号、名称)/污染源</w:t>
            </w:r>
          </w:p>
        </w:tc>
        <w:tc>
          <w:tcPr>
            <w:tcW w:w="1276" w:type="dxa"/>
            <w:vAlign w:val="center"/>
          </w:tcPr>
          <w:p w14:paraId="25184C03">
            <w:pPr>
              <w:adjustRightInd w:val="0"/>
              <w:snapToGrid w:val="0"/>
              <w:jc w:val="center"/>
              <w:rPr>
                <w:szCs w:val="21"/>
              </w:rPr>
            </w:pPr>
            <w:r>
              <w:rPr>
                <w:szCs w:val="21"/>
              </w:rPr>
              <w:t>污染物项目</w:t>
            </w:r>
          </w:p>
        </w:tc>
        <w:tc>
          <w:tcPr>
            <w:tcW w:w="2409" w:type="dxa"/>
            <w:vAlign w:val="center"/>
          </w:tcPr>
          <w:p w14:paraId="34C297F7">
            <w:pPr>
              <w:adjustRightInd w:val="0"/>
              <w:snapToGrid w:val="0"/>
              <w:jc w:val="center"/>
              <w:rPr>
                <w:szCs w:val="21"/>
              </w:rPr>
            </w:pPr>
            <w:r>
              <w:rPr>
                <w:szCs w:val="21"/>
              </w:rPr>
              <w:t>环境保护措施</w:t>
            </w:r>
          </w:p>
        </w:tc>
        <w:tc>
          <w:tcPr>
            <w:tcW w:w="2879" w:type="dxa"/>
            <w:vAlign w:val="center"/>
          </w:tcPr>
          <w:p w14:paraId="4C02628C">
            <w:pPr>
              <w:adjustRightInd w:val="0"/>
              <w:snapToGrid w:val="0"/>
              <w:jc w:val="center"/>
              <w:rPr>
                <w:szCs w:val="21"/>
              </w:rPr>
            </w:pPr>
            <w:r>
              <w:rPr>
                <w:szCs w:val="21"/>
              </w:rPr>
              <w:t>执行标准</w:t>
            </w:r>
          </w:p>
        </w:tc>
      </w:tr>
      <w:tr w14:paraId="327A34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78" w:hRule="atLeast"/>
          <w:jc w:val="center"/>
        </w:trPr>
        <w:tc>
          <w:tcPr>
            <w:tcW w:w="839" w:type="dxa"/>
            <w:vMerge w:val="restart"/>
            <w:vAlign w:val="center"/>
          </w:tcPr>
          <w:p w14:paraId="196011F6">
            <w:pPr>
              <w:adjustRightInd w:val="0"/>
              <w:snapToGrid w:val="0"/>
              <w:jc w:val="center"/>
              <w:rPr>
                <w:szCs w:val="21"/>
              </w:rPr>
            </w:pPr>
            <w:r>
              <w:rPr>
                <w:szCs w:val="21"/>
              </w:rPr>
              <w:t>大气</w:t>
            </w:r>
          </w:p>
          <w:p w14:paraId="6AF7934A">
            <w:pPr>
              <w:adjustRightInd w:val="0"/>
              <w:snapToGrid w:val="0"/>
              <w:jc w:val="center"/>
              <w:rPr>
                <w:szCs w:val="21"/>
              </w:rPr>
            </w:pPr>
            <w:r>
              <w:rPr>
                <w:szCs w:val="21"/>
              </w:rPr>
              <w:t>环境</w:t>
            </w:r>
          </w:p>
        </w:tc>
        <w:tc>
          <w:tcPr>
            <w:tcW w:w="1985" w:type="dxa"/>
            <w:vAlign w:val="center"/>
          </w:tcPr>
          <w:p w14:paraId="0DB133CA">
            <w:pPr>
              <w:adjustRightInd w:val="0"/>
              <w:snapToGrid w:val="0"/>
              <w:jc w:val="center"/>
              <w:rPr>
                <w:b/>
                <w:bCs/>
                <w:szCs w:val="21"/>
                <w:u w:val="single"/>
              </w:rPr>
            </w:pPr>
            <w:r>
              <w:rPr>
                <w:rFonts w:hint="eastAsia"/>
                <w:b/>
                <w:color w:val="000000"/>
                <w:spacing w:val="-10"/>
                <w:szCs w:val="21"/>
                <w:u w:val="single"/>
              </w:rPr>
              <w:t>1#生产车间</w:t>
            </w:r>
            <w:r>
              <w:rPr>
                <w:rFonts w:hint="eastAsia"/>
                <w:b/>
                <w:szCs w:val="21"/>
                <w:u w:val="single"/>
              </w:rPr>
              <w:t>原料存放、</w:t>
            </w:r>
            <w:r>
              <w:rPr>
                <w:rFonts w:hint="eastAsia"/>
                <w:b/>
                <w:color w:val="000000"/>
                <w:spacing w:val="-10"/>
                <w:szCs w:val="21"/>
                <w:u w:val="single"/>
              </w:rPr>
              <w:t>破碎、熬制、压饼及污水处理站</w:t>
            </w:r>
            <w:r>
              <w:rPr>
                <w:b/>
                <w:color w:val="000000"/>
                <w:spacing w:val="-10"/>
                <w:szCs w:val="21"/>
                <w:u w:val="single"/>
              </w:rPr>
              <w:t>恶臭气体及熬制油烟</w:t>
            </w:r>
            <w:r>
              <w:rPr>
                <w:b/>
                <w:szCs w:val="21"/>
                <w:u w:val="single"/>
              </w:rPr>
              <w:t>排气筒DA0</w:t>
            </w:r>
            <w:r>
              <w:rPr>
                <w:rFonts w:hint="eastAsia"/>
                <w:b/>
                <w:szCs w:val="21"/>
                <w:u w:val="single"/>
              </w:rPr>
              <w:t>01</w:t>
            </w:r>
          </w:p>
        </w:tc>
        <w:tc>
          <w:tcPr>
            <w:tcW w:w="1276" w:type="dxa"/>
            <w:vAlign w:val="center"/>
          </w:tcPr>
          <w:p w14:paraId="6EAD6B8A">
            <w:pPr>
              <w:adjustRightInd w:val="0"/>
              <w:snapToGrid w:val="0"/>
              <w:jc w:val="center"/>
              <w:rPr>
                <w:b/>
                <w:szCs w:val="21"/>
                <w:u w:val="single"/>
              </w:rPr>
            </w:pPr>
            <w:r>
              <w:rPr>
                <w:rFonts w:hint="eastAsia"/>
                <w:b/>
                <w:szCs w:val="21"/>
                <w:u w:val="single"/>
              </w:rPr>
              <w:t>油烟、NH</w:t>
            </w:r>
            <w:r>
              <w:rPr>
                <w:rFonts w:hint="eastAsia"/>
                <w:b/>
                <w:szCs w:val="21"/>
                <w:u w:val="single"/>
                <w:vertAlign w:val="subscript"/>
              </w:rPr>
              <w:t>3</w:t>
            </w:r>
            <w:r>
              <w:rPr>
                <w:rFonts w:hint="eastAsia"/>
                <w:b/>
                <w:szCs w:val="21"/>
                <w:u w:val="single"/>
              </w:rPr>
              <w:t>、H</w:t>
            </w:r>
            <w:r>
              <w:rPr>
                <w:rFonts w:hint="eastAsia"/>
                <w:b/>
                <w:szCs w:val="21"/>
                <w:u w:val="single"/>
                <w:vertAlign w:val="subscript"/>
              </w:rPr>
              <w:t>2</w:t>
            </w:r>
            <w:r>
              <w:rPr>
                <w:rFonts w:hint="eastAsia"/>
                <w:b/>
                <w:szCs w:val="21"/>
                <w:u w:val="single"/>
              </w:rPr>
              <w:t>S、</w:t>
            </w:r>
            <w:r>
              <w:rPr>
                <w:rFonts w:hint="eastAsia"/>
                <w:b/>
                <w:color w:val="000000"/>
                <w:szCs w:val="21"/>
                <w:u w:val="single"/>
              </w:rPr>
              <w:t>臭气浓度</w:t>
            </w:r>
          </w:p>
        </w:tc>
        <w:tc>
          <w:tcPr>
            <w:tcW w:w="2409" w:type="dxa"/>
            <w:vAlign w:val="center"/>
          </w:tcPr>
          <w:p w14:paraId="5299BB27">
            <w:pPr>
              <w:jc w:val="center"/>
              <w:rPr>
                <w:b/>
                <w:szCs w:val="21"/>
                <w:u w:val="single"/>
              </w:rPr>
            </w:pPr>
            <w:r>
              <w:rPr>
                <w:rFonts w:hint="eastAsia"/>
                <w:b/>
                <w:szCs w:val="21"/>
                <w:u w:val="single"/>
              </w:rPr>
              <w:t>冷凝+静电油烟净化器+碱液喷淋塔+除雾器+活性炭吸附装置</w:t>
            </w:r>
          </w:p>
        </w:tc>
        <w:tc>
          <w:tcPr>
            <w:tcW w:w="2879" w:type="dxa"/>
            <w:vMerge w:val="restart"/>
            <w:vAlign w:val="center"/>
          </w:tcPr>
          <w:p w14:paraId="7912E5B0">
            <w:pPr>
              <w:jc w:val="center"/>
              <w:textAlignment w:val="baseline"/>
              <w:rPr>
                <w:bCs/>
                <w:kern w:val="0"/>
                <w:szCs w:val="21"/>
              </w:rPr>
            </w:pPr>
            <w:r>
              <w:rPr>
                <w:rFonts w:hint="eastAsia"/>
                <w:szCs w:val="21"/>
              </w:rPr>
              <w:t>《恶臭污染物排放标准》（GB14554-93）及</w:t>
            </w:r>
            <w:r>
              <w:rPr>
                <w:bCs/>
                <w:szCs w:val="21"/>
              </w:rPr>
              <w:t>《餐饮业油烟污染物排放标准》（DB41/1604-2018）</w:t>
            </w:r>
          </w:p>
        </w:tc>
      </w:tr>
      <w:tr w14:paraId="53600BC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40" w:hRule="atLeast"/>
          <w:jc w:val="center"/>
        </w:trPr>
        <w:tc>
          <w:tcPr>
            <w:tcW w:w="839" w:type="dxa"/>
            <w:vMerge w:val="continue"/>
            <w:vAlign w:val="center"/>
          </w:tcPr>
          <w:p w14:paraId="56A5905C">
            <w:pPr>
              <w:adjustRightInd w:val="0"/>
              <w:snapToGrid w:val="0"/>
              <w:jc w:val="center"/>
              <w:rPr>
                <w:szCs w:val="21"/>
              </w:rPr>
            </w:pPr>
          </w:p>
        </w:tc>
        <w:tc>
          <w:tcPr>
            <w:tcW w:w="1985" w:type="dxa"/>
            <w:vAlign w:val="center"/>
          </w:tcPr>
          <w:p w14:paraId="2607D6A3">
            <w:pPr>
              <w:adjustRightInd w:val="0"/>
              <w:snapToGrid w:val="0"/>
              <w:jc w:val="center"/>
              <w:rPr>
                <w:b/>
                <w:color w:val="000000"/>
                <w:spacing w:val="-10"/>
                <w:szCs w:val="21"/>
                <w:u w:val="single"/>
              </w:rPr>
            </w:pPr>
            <w:r>
              <w:rPr>
                <w:rFonts w:hint="eastAsia"/>
                <w:b/>
                <w:color w:val="000000"/>
                <w:spacing w:val="-10"/>
                <w:szCs w:val="21"/>
                <w:u w:val="single"/>
              </w:rPr>
              <w:t>2#生产车间</w:t>
            </w:r>
            <w:r>
              <w:rPr>
                <w:rFonts w:hint="eastAsia"/>
                <w:b/>
                <w:szCs w:val="21"/>
                <w:u w:val="single"/>
              </w:rPr>
              <w:t>原料存放、</w:t>
            </w:r>
            <w:r>
              <w:rPr>
                <w:rFonts w:hint="eastAsia"/>
                <w:b/>
                <w:color w:val="000000"/>
                <w:spacing w:val="-10"/>
                <w:szCs w:val="21"/>
                <w:u w:val="single"/>
              </w:rPr>
              <w:t>破碎、熬制、压饼</w:t>
            </w:r>
            <w:r>
              <w:rPr>
                <w:b/>
                <w:color w:val="000000"/>
                <w:spacing w:val="-10"/>
                <w:szCs w:val="21"/>
                <w:u w:val="single"/>
              </w:rPr>
              <w:t>恶臭气体及熬制油烟</w:t>
            </w:r>
            <w:r>
              <w:rPr>
                <w:b/>
                <w:szCs w:val="21"/>
                <w:u w:val="single"/>
              </w:rPr>
              <w:t>排气筒DA0</w:t>
            </w:r>
            <w:r>
              <w:rPr>
                <w:rFonts w:hint="eastAsia"/>
                <w:b/>
                <w:szCs w:val="21"/>
                <w:u w:val="single"/>
              </w:rPr>
              <w:t>02</w:t>
            </w:r>
          </w:p>
        </w:tc>
        <w:tc>
          <w:tcPr>
            <w:tcW w:w="1276" w:type="dxa"/>
            <w:vAlign w:val="center"/>
          </w:tcPr>
          <w:p w14:paraId="601655F0">
            <w:pPr>
              <w:adjustRightInd w:val="0"/>
              <w:snapToGrid w:val="0"/>
              <w:jc w:val="center"/>
              <w:rPr>
                <w:b/>
                <w:szCs w:val="21"/>
                <w:u w:val="single"/>
              </w:rPr>
            </w:pPr>
            <w:r>
              <w:rPr>
                <w:rFonts w:hint="eastAsia"/>
                <w:b/>
                <w:szCs w:val="21"/>
                <w:u w:val="single"/>
              </w:rPr>
              <w:t>油烟、NH</w:t>
            </w:r>
            <w:r>
              <w:rPr>
                <w:rFonts w:hint="eastAsia"/>
                <w:b/>
                <w:szCs w:val="21"/>
                <w:u w:val="single"/>
                <w:vertAlign w:val="subscript"/>
              </w:rPr>
              <w:t>3</w:t>
            </w:r>
            <w:r>
              <w:rPr>
                <w:rFonts w:hint="eastAsia"/>
                <w:b/>
                <w:szCs w:val="21"/>
                <w:u w:val="single"/>
              </w:rPr>
              <w:t>、H</w:t>
            </w:r>
            <w:r>
              <w:rPr>
                <w:rFonts w:hint="eastAsia"/>
                <w:b/>
                <w:szCs w:val="21"/>
                <w:u w:val="single"/>
                <w:vertAlign w:val="subscript"/>
              </w:rPr>
              <w:t>2</w:t>
            </w:r>
            <w:r>
              <w:rPr>
                <w:rFonts w:hint="eastAsia"/>
                <w:b/>
                <w:szCs w:val="21"/>
                <w:u w:val="single"/>
              </w:rPr>
              <w:t>S、</w:t>
            </w:r>
            <w:r>
              <w:rPr>
                <w:rFonts w:hint="eastAsia"/>
                <w:b/>
                <w:color w:val="000000"/>
                <w:szCs w:val="21"/>
                <w:u w:val="single"/>
              </w:rPr>
              <w:t>臭气浓度</w:t>
            </w:r>
          </w:p>
        </w:tc>
        <w:tc>
          <w:tcPr>
            <w:tcW w:w="2409" w:type="dxa"/>
            <w:vAlign w:val="center"/>
          </w:tcPr>
          <w:p w14:paraId="0A668321">
            <w:pPr>
              <w:jc w:val="center"/>
              <w:rPr>
                <w:b/>
                <w:szCs w:val="21"/>
                <w:u w:val="single"/>
              </w:rPr>
            </w:pPr>
            <w:r>
              <w:rPr>
                <w:rFonts w:hint="eastAsia"/>
                <w:b/>
                <w:szCs w:val="21"/>
                <w:u w:val="single"/>
              </w:rPr>
              <w:t>冷凝+静电油烟净化器+碱液喷淋塔+除雾器+活性炭吸附装置</w:t>
            </w:r>
          </w:p>
        </w:tc>
        <w:tc>
          <w:tcPr>
            <w:tcW w:w="2879" w:type="dxa"/>
            <w:vMerge w:val="continue"/>
            <w:vAlign w:val="center"/>
          </w:tcPr>
          <w:p w14:paraId="54B81A85">
            <w:pPr>
              <w:jc w:val="center"/>
              <w:textAlignment w:val="baseline"/>
              <w:rPr>
                <w:bCs/>
                <w:kern w:val="0"/>
                <w:szCs w:val="21"/>
              </w:rPr>
            </w:pPr>
          </w:p>
        </w:tc>
      </w:tr>
      <w:tr w14:paraId="03A7E4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80" w:hRule="atLeast"/>
          <w:jc w:val="center"/>
        </w:trPr>
        <w:tc>
          <w:tcPr>
            <w:tcW w:w="839" w:type="dxa"/>
            <w:vMerge w:val="continue"/>
            <w:vAlign w:val="center"/>
          </w:tcPr>
          <w:p w14:paraId="295FACB4">
            <w:pPr>
              <w:adjustRightInd w:val="0"/>
              <w:snapToGrid w:val="0"/>
              <w:jc w:val="center"/>
              <w:rPr>
                <w:szCs w:val="21"/>
              </w:rPr>
            </w:pPr>
          </w:p>
        </w:tc>
        <w:tc>
          <w:tcPr>
            <w:tcW w:w="1985" w:type="dxa"/>
            <w:vAlign w:val="center"/>
          </w:tcPr>
          <w:p w14:paraId="71CCD58B">
            <w:pPr>
              <w:autoSpaceDE w:val="0"/>
              <w:autoSpaceDN w:val="0"/>
              <w:adjustRightInd w:val="0"/>
              <w:snapToGrid w:val="0"/>
              <w:jc w:val="center"/>
              <w:rPr>
                <w:szCs w:val="21"/>
              </w:rPr>
            </w:pPr>
            <w:r>
              <w:rPr>
                <w:rFonts w:hint="eastAsia"/>
                <w:bCs/>
                <w:szCs w:val="21"/>
              </w:rPr>
              <w:t>锅炉废气</w:t>
            </w:r>
            <w:r>
              <w:rPr>
                <w:szCs w:val="21"/>
              </w:rPr>
              <w:t>排气筒DA0</w:t>
            </w:r>
            <w:r>
              <w:rPr>
                <w:rFonts w:hint="eastAsia"/>
                <w:szCs w:val="21"/>
              </w:rPr>
              <w:t>03</w:t>
            </w:r>
          </w:p>
        </w:tc>
        <w:tc>
          <w:tcPr>
            <w:tcW w:w="1276" w:type="dxa"/>
            <w:vAlign w:val="center"/>
          </w:tcPr>
          <w:p w14:paraId="2624A684">
            <w:pPr>
              <w:autoSpaceDE w:val="0"/>
              <w:autoSpaceDN w:val="0"/>
              <w:snapToGrid w:val="0"/>
              <w:jc w:val="center"/>
              <w:rPr>
                <w:szCs w:val="21"/>
              </w:rPr>
            </w:pPr>
            <w:r>
              <w:rPr>
                <w:szCs w:val="21"/>
              </w:rPr>
              <w:t>SO</w:t>
            </w:r>
            <w:r>
              <w:rPr>
                <w:szCs w:val="21"/>
                <w:vertAlign w:val="subscript"/>
              </w:rPr>
              <w:t>2</w:t>
            </w:r>
            <w:r>
              <w:rPr>
                <w:rFonts w:hint="eastAsia"/>
                <w:szCs w:val="21"/>
              </w:rPr>
              <w:t>、</w:t>
            </w:r>
            <w:r>
              <w:rPr>
                <w:szCs w:val="21"/>
              </w:rPr>
              <w:t>NO</w:t>
            </w:r>
            <w:r>
              <w:rPr>
                <w:szCs w:val="21"/>
                <w:vertAlign w:val="subscript"/>
              </w:rPr>
              <w:t>X</w:t>
            </w:r>
            <w:r>
              <w:rPr>
                <w:szCs w:val="21"/>
              </w:rPr>
              <w:t>、</w:t>
            </w:r>
            <w:r>
              <w:rPr>
                <w:rFonts w:hint="eastAsia"/>
                <w:szCs w:val="21"/>
              </w:rPr>
              <w:t>颗粒物</w:t>
            </w:r>
          </w:p>
        </w:tc>
        <w:tc>
          <w:tcPr>
            <w:tcW w:w="2409" w:type="dxa"/>
            <w:vAlign w:val="center"/>
          </w:tcPr>
          <w:p w14:paraId="69A9671F">
            <w:pPr>
              <w:pStyle w:val="70"/>
              <w:spacing w:line="240" w:lineRule="auto"/>
              <w:ind w:firstLine="0" w:firstLineChars="0"/>
              <w:jc w:val="center"/>
              <w:rPr>
                <w:bCs/>
                <w:color w:val="auto"/>
                <w:kern w:val="0"/>
                <w:sz w:val="21"/>
                <w:szCs w:val="21"/>
              </w:rPr>
            </w:pPr>
            <w:r>
              <w:rPr>
                <w:rFonts w:hint="eastAsia"/>
                <w:bCs/>
                <w:color w:val="auto"/>
                <w:kern w:val="0"/>
                <w:sz w:val="21"/>
                <w:szCs w:val="21"/>
              </w:rPr>
              <w:t>采用低氮燃烧+烟气循环系统，废气经</w:t>
            </w:r>
            <w:r>
              <w:rPr>
                <w:rFonts w:hint="eastAsia" w:eastAsiaTheme="minorEastAsia"/>
                <w:sz w:val="21"/>
                <w:szCs w:val="21"/>
              </w:rPr>
              <w:t>8</w:t>
            </w:r>
            <w:r>
              <w:rPr>
                <w:rFonts w:eastAsiaTheme="minorEastAsia"/>
                <w:sz w:val="21"/>
                <w:szCs w:val="21"/>
              </w:rPr>
              <w:t>m</w:t>
            </w:r>
            <w:r>
              <w:rPr>
                <w:rFonts w:hAnsiTheme="minorEastAsia" w:eastAsiaTheme="minorEastAsia"/>
                <w:sz w:val="21"/>
                <w:szCs w:val="21"/>
              </w:rPr>
              <w:t>高排气筒排</w:t>
            </w:r>
            <w:r>
              <w:rPr>
                <w:rFonts w:hint="eastAsia" w:asciiTheme="minorEastAsia" w:hAnsiTheme="minorEastAsia" w:eastAsiaTheme="minorEastAsia"/>
                <w:sz w:val="21"/>
                <w:szCs w:val="21"/>
              </w:rPr>
              <w:t>放</w:t>
            </w:r>
          </w:p>
        </w:tc>
        <w:tc>
          <w:tcPr>
            <w:tcW w:w="2879" w:type="dxa"/>
            <w:vAlign w:val="center"/>
          </w:tcPr>
          <w:p w14:paraId="6488C66E">
            <w:pPr>
              <w:jc w:val="center"/>
              <w:textAlignment w:val="baseline"/>
              <w:rPr>
                <w:bCs/>
                <w:kern w:val="0"/>
                <w:szCs w:val="21"/>
              </w:rPr>
            </w:pPr>
            <w:r>
              <w:rPr>
                <w:rFonts w:hint="eastAsia"/>
                <w:szCs w:val="21"/>
              </w:rPr>
              <w:t>《锅炉大气污染物排放标准》（DB41/ 2089-2021）及《河南省重污染天气通用行业应急减排措施制定技术指南》（2024年修订版）涉炉窑企业A级企业要求</w:t>
            </w:r>
          </w:p>
        </w:tc>
      </w:tr>
      <w:tr w14:paraId="1A4571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37" w:hRule="atLeast"/>
          <w:jc w:val="center"/>
        </w:trPr>
        <w:tc>
          <w:tcPr>
            <w:tcW w:w="839" w:type="dxa"/>
            <w:vMerge w:val="restart"/>
            <w:vAlign w:val="center"/>
          </w:tcPr>
          <w:p w14:paraId="7E0A7126">
            <w:pPr>
              <w:adjustRightInd w:val="0"/>
              <w:snapToGrid w:val="0"/>
              <w:jc w:val="center"/>
              <w:rPr>
                <w:szCs w:val="21"/>
              </w:rPr>
            </w:pPr>
            <w:r>
              <w:rPr>
                <w:szCs w:val="21"/>
              </w:rPr>
              <w:t>地表水</w:t>
            </w:r>
          </w:p>
          <w:p w14:paraId="4D72377B">
            <w:pPr>
              <w:adjustRightInd w:val="0"/>
              <w:snapToGrid w:val="0"/>
              <w:jc w:val="center"/>
              <w:rPr>
                <w:szCs w:val="21"/>
              </w:rPr>
            </w:pPr>
            <w:r>
              <w:rPr>
                <w:szCs w:val="21"/>
              </w:rPr>
              <w:t>环境</w:t>
            </w:r>
          </w:p>
        </w:tc>
        <w:tc>
          <w:tcPr>
            <w:tcW w:w="1985" w:type="dxa"/>
            <w:vAlign w:val="center"/>
          </w:tcPr>
          <w:p w14:paraId="181F5E42">
            <w:pPr>
              <w:jc w:val="center"/>
              <w:rPr>
                <w:szCs w:val="21"/>
              </w:rPr>
            </w:pPr>
            <w:r>
              <w:rPr>
                <w:rFonts w:hint="eastAsia"/>
                <w:szCs w:val="21"/>
              </w:rPr>
              <w:t>生产废水</w:t>
            </w:r>
          </w:p>
        </w:tc>
        <w:tc>
          <w:tcPr>
            <w:tcW w:w="1276" w:type="dxa"/>
            <w:vAlign w:val="center"/>
          </w:tcPr>
          <w:p w14:paraId="7B552ECC">
            <w:pPr>
              <w:jc w:val="center"/>
              <w:rPr>
                <w:szCs w:val="21"/>
              </w:rPr>
            </w:pPr>
            <w:r>
              <w:rPr>
                <w:rFonts w:hint="eastAsia"/>
                <w:color w:val="000000"/>
                <w:szCs w:val="21"/>
              </w:rPr>
              <w:t>COD、氨氮、BOD</w:t>
            </w:r>
            <w:r>
              <w:rPr>
                <w:rFonts w:hint="eastAsia"/>
                <w:color w:val="000000"/>
                <w:szCs w:val="21"/>
                <w:vertAlign w:val="subscript"/>
              </w:rPr>
              <w:t>5</w:t>
            </w:r>
            <w:r>
              <w:rPr>
                <w:rFonts w:hint="eastAsia"/>
                <w:color w:val="000000"/>
                <w:szCs w:val="21"/>
              </w:rPr>
              <w:t>、SS、动植物油类</w:t>
            </w:r>
          </w:p>
        </w:tc>
        <w:tc>
          <w:tcPr>
            <w:tcW w:w="2409" w:type="dxa"/>
            <w:vAlign w:val="center"/>
          </w:tcPr>
          <w:p w14:paraId="5710EA32">
            <w:pPr>
              <w:autoSpaceDE w:val="0"/>
              <w:autoSpaceDN w:val="0"/>
              <w:jc w:val="center"/>
              <w:rPr>
                <w:rFonts w:cs="宋体"/>
                <w:bCs/>
                <w:kern w:val="0"/>
                <w:szCs w:val="21"/>
              </w:rPr>
            </w:pPr>
            <w:r>
              <w:rPr>
                <w:rFonts w:hint="eastAsia" w:cs="宋体"/>
                <w:bCs/>
                <w:kern w:val="0"/>
                <w:szCs w:val="21"/>
              </w:rPr>
              <w:t>经厂区污水处理站处理后由罐车运至北关镇污水处理厂处理</w:t>
            </w:r>
          </w:p>
        </w:tc>
        <w:tc>
          <w:tcPr>
            <w:tcW w:w="2879" w:type="dxa"/>
            <w:vAlign w:val="center"/>
          </w:tcPr>
          <w:p w14:paraId="101DD0EF">
            <w:pPr>
              <w:adjustRightInd w:val="0"/>
              <w:snapToGrid w:val="0"/>
              <w:jc w:val="center"/>
              <w:rPr>
                <w:szCs w:val="21"/>
              </w:rPr>
            </w:pPr>
            <w:r>
              <w:rPr>
                <w:bCs/>
                <w:color w:val="000000"/>
                <w:szCs w:val="21"/>
              </w:rPr>
              <w:t>《污水综合排放标准》（GB8978-1996）三级标准及</w:t>
            </w:r>
            <w:r>
              <w:rPr>
                <w:color w:val="000000"/>
                <w:szCs w:val="21"/>
              </w:rPr>
              <w:t>北关镇污水处理厂收水水质要求</w:t>
            </w:r>
          </w:p>
        </w:tc>
      </w:tr>
      <w:tr w14:paraId="1D94A8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37" w:hRule="atLeast"/>
          <w:jc w:val="center"/>
        </w:trPr>
        <w:tc>
          <w:tcPr>
            <w:tcW w:w="839" w:type="dxa"/>
            <w:vMerge w:val="continue"/>
            <w:vAlign w:val="center"/>
          </w:tcPr>
          <w:p w14:paraId="0817066B">
            <w:pPr>
              <w:adjustRightInd w:val="0"/>
              <w:snapToGrid w:val="0"/>
              <w:jc w:val="center"/>
              <w:rPr>
                <w:szCs w:val="21"/>
              </w:rPr>
            </w:pPr>
          </w:p>
        </w:tc>
        <w:tc>
          <w:tcPr>
            <w:tcW w:w="1985" w:type="dxa"/>
            <w:vAlign w:val="center"/>
          </w:tcPr>
          <w:p w14:paraId="171F8449">
            <w:pPr>
              <w:jc w:val="center"/>
              <w:rPr>
                <w:szCs w:val="21"/>
              </w:rPr>
            </w:pPr>
            <w:r>
              <w:rPr>
                <w:rFonts w:hint="eastAsia"/>
                <w:szCs w:val="21"/>
              </w:rPr>
              <w:t>循环冷却水排水</w:t>
            </w:r>
          </w:p>
        </w:tc>
        <w:tc>
          <w:tcPr>
            <w:tcW w:w="1276" w:type="dxa"/>
            <w:vAlign w:val="center"/>
          </w:tcPr>
          <w:p w14:paraId="76F48177">
            <w:pPr>
              <w:jc w:val="center"/>
              <w:rPr>
                <w:szCs w:val="21"/>
              </w:rPr>
            </w:pPr>
            <w:r>
              <w:rPr>
                <w:szCs w:val="21"/>
              </w:rPr>
              <w:t>COD</w:t>
            </w:r>
            <w:r>
              <w:rPr>
                <w:rFonts w:hint="eastAsia"/>
                <w:szCs w:val="21"/>
              </w:rPr>
              <w:t>、</w:t>
            </w:r>
            <w:r>
              <w:rPr>
                <w:szCs w:val="21"/>
              </w:rPr>
              <w:t>SS</w:t>
            </w:r>
          </w:p>
        </w:tc>
        <w:tc>
          <w:tcPr>
            <w:tcW w:w="2409" w:type="dxa"/>
            <w:vAlign w:val="center"/>
          </w:tcPr>
          <w:p w14:paraId="68883F4A">
            <w:pPr>
              <w:autoSpaceDE w:val="0"/>
              <w:autoSpaceDN w:val="0"/>
              <w:jc w:val="center"/>
              <w:rPr>
                <w:rFonts w:cs="宋体"/>
                <w:bCs/>
                <w:kern w:val="0"/>
                <w:szCs w:val="21"/>
              </w:rPr>
            </w:pPr>
            <w:r>
              <w:rPr>
                <w:rFonts w:hint="eastAsia" w:cs="宋体"/>
                <w:bCs/>
                <w:kern w:val="0"/>
                <w:szCs w:val="21"/>
              </w:rPr>
              <w:t>部分回用于设备清洗及地面清洗，剩余部分用于厂区及厂外道路洒水抑尘</w:t>
            </w:r>
          </w:p>
        </w:tc>
        <w:tc>
          <w:tcPr>
            <w:tcW w:w="2879" w:type="dxa"/>
            <w:vAlign w:val="center"/>
          </w:tcPr>
          <w:p w14:paraId="447621BB">
            <w:pPr>
              <w:adjustRightInd w:val="0"/>
              <w:snapToGrid w:val="0"/>
              <w:jc w:val="center"/>
              <w:rPr>
                <w:szCs w:val="21"/>
              </w:rPr>
            </w:pPr>
            <w:r>
              <w:rPr>
                <w:rFonts w:hint="eastAsia" w:cs="宋体"/>
                <w:bCs/>
                <w:kern w:val="0"/>
                <w:szCs w:val="21"/>
              </w:rPr>
              <w:t>不外排</w:t>
            </w:r>
          </w:p>
        </w:tc>
      </w:tr>
      <w:tr w14:paraId="71FE9A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37" w:hRule="atLeast"/>
          <w:jc w:val="center"/>
        </w:trPr>
        <w:tc>
          <w:tcPr>
            <w:tcW w:w="839" w:type="dxa"/>
            <w:vMerge w:val="continue"/>
            <w:vAlign w:val="center"/>
          </w:tcPr>
          <w:p w14:paraId="67D10EA0">
            <w:pPr>
              <w:adjustRightInd w:val="0"/>
              <w:snapToGrid w:val="0"/>
              <w:jc w:val="center"/>
              <w:rPr>
                <w:szCs w:val="21"/>
              </w:rPr>
            </w:pPr>
          </w:p>
        </w:tc>
        <w:tc>
          <w:tcPr>
            <w:tcW w:w="1985" w:type="dxa"/>
            <w:vAlign w:val="center"/>
          </w:tcPr>
          <w:p w14:paraId="50870E32">
            <w:pPr>
              <w:jc w:val="center"/>
              <w:rPr>
                <w:bCs/>
                <w:szCs w:val="21"/>
              </w:rPr>
            </w:pPr>
            <w:r>
              <w:rPr>
                <w:rFonts w:hint="eastAsia"/>
                <w:szCs w:val="21"/>
              </w:rPr>
              <w:t>生活废水</w:t>
            </w:r>
          </w:p>
        </w:tc>
        <w:tc>
          <w:tcPr>
            <w:tcW w:w="1276" w:type="dxa"/>
            <w:vAlign w:val="center"/>
          </w:tcPr>
          <w:p w14:paraId="7C652BF7">
            <w:pPr>
              <w:jc w:val="center"/>
              <w:rPr>
                <w:bCs/>
                <w:szCs w:val="21"/>
              </w:rPr>
            </w:pPr>
            <w:r>
              <w:rPr>
                <w:szCs w:val="21"/>
              </w:rPr>
              <w:t>COD</w:t>
            </w:r>
            <w:r>
              <w:rPr>
                <w:rFonts w:hint="eastAsia"/>
                <w:szCs w:val="21"/>
              </w:rPr>
              <w:t>、氨氮</w:t>
            </w:r>
          </w:p>
        </w:tc>
        <w:tc>
          <w:tcPr>
            <w:tcW w:w="2409" w:type="dxa"/>
            <w:vAlign w:val="center"/>
          </w:tcPr>
          <w:p w14:paraId="1D586D4C">
            <w:pPr>
              <w:autoSpaceDE w:val="0"/>
              <w:autoSpaceDN w:val="0"/>
              <w:jc w:val="center"/>
              <w:rPr>
                <w:rFonts w:ascii="宋体" w:cs="宋体"/>
                <w:bCs/>
                <w:kern w:val="0"/>
                <w:szCs w:val="21"/>
              </w:rPr>
            </w:pPr>
            <w:r>
              <w:rPr>
                <w:rFonts w:hint="eastAsia" w:cs="宋体"/>
                <w:bCs/>
                <w:kern w:val="0"/>
                <w:szCs w:val="21"/>
              </w:rPr>
              <w:t>经厂区化粪池处理后由周边村民外运肥田</w:t>
            </w:r>
          </w:p>
        </w:tc>
        <w:tc>
          <w:tcPr>
            <w:tcW w:w="2879" w:type="dxa"/>
            <w:vAlign w:val="center"/>
          </w:tcPr>
          <w:p w14:paraId="6F7D515C">
            <w:pPr>
              <w:adjustRightInd w:val="0"/>
              <w:snapToGrid w:val="0"/>
              <w:jc w:val="center"/>
              <w:rPr>
                <w:szCs w:val="21"/>
              </w:rPr>
            </w:pPr>
            <w:r>
              <w:rPr>
                <w:rFonts w:hint="eastAsia"/>
                <w:szCs w:val="21"/>
              </w:rPr>
              <w:t>实现综合利用，不外排地表水体</w:t>
            </w:r>
          </w:p>
        </w:tc>
      </w:tr>
      <w:tr w14:paraId="07C81D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839" w:type="dxa"/>
            <w:vAlign w:val="center"/>
          </w:tcPr>
          <w:p w14:paraId="2B31B26B">
            <w:pPr>
              <w:adjustRightInd w:val="0"/>
              <w:snapToGrid w:val="0"/>
              <w:jc w:val="center"/>
              <w:rPr>
                <w:szCs w:val="21"/>
              </w:rPr>
            </w:pPr>
            <w:r>
              <w:rPr>
                <w:szCs w:val="21"/>
              </w:rPr>
              <w:t>声环境</w:t>
            </w:r>
          </w:p>
        </w:tc>
        <w:tc>
          <w:tcPr>
            <w:tcW w:w="1985" w:type="dxa"/>
            <w:vAlign w:val="center"/>
          </w:tcPr>
          <w:p w14:paraId="5D67A430">
            <w:pPr>
              <w:adjustRightInd w:val="0"/>
              <w:snapToGrid w:val="0"/>
              <w:jc w:val="center"/>
              <w:rPr>
                <w:szCs w:val="21"/>
              </w:rPr>
            </w:pPr>
            <w:r>
              <w:rPr>
                <w:rFonts w:hint="eastAsia"/>
                <w:szCs w:val="21"/>
              </w:rPr>
              <w:t>生产设备等</w:t>
            </w:r>
          </w:p>
        </w:tc>
        <w:tc>
          <w:tcPr>
            <w:tcW w:w="1276" w:type="dxa"/>
            <w:vAlign w:val="center"/>
          </w:tcPr>
          <w:p w14:paraId="5E8FCC12">
            <w:pPr>
              <w:adjustRightInd w:val="0"/>
              <w:snapToGrid w:val="0"/>
              <w:jc w:val="center"/>
              <w:rPr>
                <w:szCs w:val="21"/>
              </w:rPr>
            </w:pPr>
            <w:r>
              <w:rPr>
                <w:rFonts w:hint="eastAsia"/>
                <w:szCs w:val="21"/>
              </w:rPr>
              <w:t>噪声</w:t>
            </w:r>
          </w:p>
        </w:tc>
        <w:tc>
          <w:tcPr>
            <w:tcW w:w="2409" w:type="dxa"/>
            <w:vAlign w:val="center"/>
          </w:tcPr>
          <w:p w14:paraId="4E0AFC60">
            <w:pPr>
              <w:pStyle w:val="76"/>
              <w:jc w:val="center"/>
            </w:pPr>
            <w:r>
              <w:rPr>
                <w:rFonts w:hint="eastAsia"/>
              </w:rPr>
              <w:t>基础减振、厂房隔声</w:t>
            </w:r>
          </w:p>
        </w:tc>
        <w:tc>
          <w:tcPr>
            <w:tcW w:w="2879" w:type="dxa"/>
            <w:vAlign w:val="center"/>
          </w:tcPr>
          <w:p w14:paraId="0F5F7937">
            <w:pPr>
              <w:adjustRightInd w:val="0"/>
              <w:snapToGrid w:val="0"/>
              <w:jc w:val="center"/>
              <w:rPr>
                <w:szCs w:val="21"/>
              </w:rPr>
            </w:pPr>
            <w:r>
              <w:rPr>
                <w:szCs w:val="21"/>
              </w:rPr>
              <w:t>《工业企业厂界环境噪声排放标准》（GB12348-2008）</w:t>
            </w:r>
            <w:r>
              <w:rPr>
                <w:rFonts w:hint="eastAsia"/>
                <w:szCs w:val="21"/>
              </w:rPr>
              <w:t>2类</w:t>
            </w:r>
          </w:p>
        </w:tc>
      </w:tr>
      <w:tr w14:paraId="531CC4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03" w:hRule="atLeast"/>
          <w:jc w:val="center"/>
        </w:trPr>
        <w:tc>
          <w:tcPr>
            <w:tcW w:w="839" w:type="dxa"/>
            <w:vAlign w:val="center"/>
          </w:tcPr>
          <w:p w14:paraId="583BF270">
            <w:pPr>
              <w:adjustRightInd w:val="0"/>
              <w:snapToGrid w:val="0"/>
              <w:jc w:val="center"/>
              <w:rPr>
                <w:szCs w:val="21"/>
              </w:rPr>
            </w:pPr>
            <w:r>
              <w:rPr>
                <w:szCs w:val="21"/>
              </w:rPr>
              <w:t>电磁</w:t>
            </w:r>
          </w:p>
          <w:p w14:paraId="1E760188">
            <w:pPr>
              <w:adjustRightInd w:val="0"/>
              <w:snapToGrid w:val="0"/>
              <w:jc w:val="center"/>
              <w:rPr>
                <w:szCs w:val="21"/>
              </w:rPr>
            </w:pPr>
            <w:r>
              <w:rPr>
                <w:szCs w:val="21"/>
              </w:rPr>
              <w:t>辐射</w:t>
            </w:r>
          </w:p>
        </w:tc>
        <w:tc>
          <w:tcPr>
            <w:tcW w:w="1985" w:type="dxa"/>
            <w:vAlign w:val="center"/>
          </w:tcPr>
          <w:p w14:paraId="124391AA">
            <w:pPr>
              <w:adjustRightInd w:val="0"/>
              <w:snapToGrid w:val="0"/>
              <w:jc w:val="center"/>
              <w:rPr>
                <w:szCs w:val="21"/>
              </w:rPr>
            </w:pPr>
            <w:r>
              <w:rPr>
                <w:rFonts w:hint="eastAsia"/>
                <w:szCs w:val="21"/>
              </w:rPr>
              <w:t>/</w:t>
            </w:r>
          </w:p>
        </w:tc>
        <w:tc>
          <w:tcPr>
            <w:tcW w:w="1276" w:type="dxa"/>
            <w:vAlign w:val="center"/>
          </w:tcPr>
          <w:p w14:paraId="488340E4">
            <w:pPr>
              <w:adjustRightInd w:val="0"/>
              <w:snapToGrid w:val="0"/>
              <w:jc w:val="center"/>
              <w:rPr>
                <w:szCs w:val="21"/>
              </w:rPr>
            </w:pPr>
            <w:r>
              <w:rPr>
                <w:rFonts w:hint="eastAsia"/>
                <w:szCs w:val="21"/>
              </w:rPr>
              <w:t>/</w:t>
            </w:r>
          </w:p>
        </w:tc>
        <w:tc>
          <w:tcPr>
            <w:tcW w:w="2409" w:type="dxa"/>
            <w:vAlign w:val="center"/>
          </w:tcPr>
          <w:p w14:paraId="3B707BF2">
            <w:pPr>
              <w:adjustRightInd w:val="0"/>
              <w:snapToGrid w:val="0"/>
              <w:jc w:val="center"/>
              <w:rPr>
                <w:szCs w:val="21"/>
              </w:rPr>
            </w:pPr>
            <w:r>
              <w:rPr>
                <w:rFonts w:hint="eastAsia"/>
                <w:szCs w:val="21"/>
              </w:rPr>
              <w:t>/</w:t>
            </w:r>
          </w:p>
        </w:tc>
        <w:tc>
          <w:tcPr>
            <w:tcW w:w="2879" w:type="dxa"/>
            <w:vAlign w:val="center"/>
          </w:tcPr>
          <w:p w14:paraId="68C840F3">
            <w:pPr>
              <w:adjustRightInd w:val="0"/>
              <w:snapToGrid w:val="0"/>
              <w:jc w:val="center"/>
              <w:rPr>
                <w:szCs w:val="21"/>
              </w:rPr>
            </w:pPr>
            <w:r>
              <w:rPr>
                <w:rFonts w:hint="eastAsia"/>
                <w:szCs w:val="21"/>
              </w:rPr>
              <w:t>/</w:t>
            </w:r>
          </w:p>
        </w:tc>
      </w:tr>
      <w:tr w14:paraId="3FB9EB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17" w:hRule="atLeast"/>
          <w:jc w:val="center"/>
        </w:trPr>
        <w:tc>
          <w:tcPr>
            <w:tcW w:w="839" w:type="dxa"/>
            <w:vAlign w:val="center"/>
          </w:tcPr>
          <w:p w14:paraId="7E016E5E">
            <w:pPr>
              <w:adjustRightInd w:val="0"/>
              <w:snapToGrid w:val="0"/>
              <w:jc w:val="center"/>
              <w:rPr>
                <w:szCs w:val="21"/>
              </w:rPr>
            </w:pPr>
            <w:r>
              <w:rPr>
                <w:szCs w:val="21"/>
              </w:rPr>
              <w:t>固体</w:t>
            </w:r>
          </w:p>
          <w:p w14:paraId="063BFBE7">
            <w:pPr>
              <w:adjustRightInd w:val="0"/>
              <w:snapToGrid w:val="0"/>
              <w:jc w:val="center"/>
              <w:rPr>
                <w:szCs w:val="21"/>
              </w:rPr>
            </w:pPr>
            <w:r>
              <w:rPr>
                <w:szCs w:val="21"/>
              </w:rPr>
              <w:t>废物</w:t>
            </w:r>
          </w:p>
        </w:tc>
        <w:tc>
          <w:tcPr>
            <w:tcW w:w="8549" w:type="dxa"/>
            <w:gridSpan w:val="4"/>
            <w:vAlign w:val="center"/>
          </w:tcPr>
          <w:p w14:paraId="5AC0E845">
            <w:pPr>
              <w:ind w:firstLine="420" w:firstLineChars="200"/>
              <w:rPr>
                <w:szCs w:val="21"/>
              </w:rPr>
            </w:pPr>
            <w:r>
              <w:rPr>
                <w:rFonts w:hint="eastAsia"/>
                <w:szCs w:val="21"/>
              </w:rPr>
              <w:t>污水处理站污泥经压滤脱水后出售至有机肥生产厂家，</w:t>
            </w:r>
            <w:r>
              <w:rPr>
                <w:szCs w:val="21"/>
              </w:rPr>
              <w:t>油烟净化器收集废油</w:t>
            </w:r>
            <w:r>
              <w:rPr>
                <w:rFonts w:hAnsi="宋体"/>
                <w:szCs w:val="21"/>
              </w:rPr>
              <w:t>外售餐厨废物处理企业处理</w:t>
            </w:r>
            <w:r>
              <w:rPr>
                <w:rFonts w:hint="eastAsia"/>
                <w:szCs w:val="21"/>
              </w:rPr>
              <w:t>；废活性炭经</w:t>
            </w:r>
            <w:r>
              <w:rPr>
                <w:rFonts w:hint="eastAsia"/>
                <w:bCs/>
                <w:szCs w:val="21"/>
              </w:rPr>
              <w:t>危废间暂存</w:t>
            </w:r>
            <w:r>
              <w:rPr>
                <w:rFonts w:hint="eastAsia"/>
                <w:bCs/>
                <w:spacing w:val="6"/>
                <w:szCs w:val="21"/>
              </w:rPr>
              <w:t>（10m</w:t>
            </w:r>
            <w:r>
              <w:rPr>
                <w:rFonts w:hint="eastAsia"/>
                <w:bCs/>
                <w:spacing w:val="6"/>
                <w:szCs w:val="21"/>
                <w:vertAlign w:val="superscript"/>
              </w:rPr>
              <w:t>2</w:t>
            </w:r>
            <w:r>
              <w:rPr>
                <w:rFonts w:hint="eastAsia"/>
                <w:bCs/>
                <w:spacing w:val="6"/>
                <w:szCs w:val="21"/>
              </w:rPr>
              <w:t>）后</w:t>
            </w:r>
            <w:r>
              <w:rPr>
                <w:rFonts w:hint="eastAsia"/>
                <w:bCs/>
                <w:szCs w:val="21"/>
              </w:rPr>
              <w:t>交由有资质单位处置；废导热油由有处置资质的厂家负责更换并直接带走，不在厂区内暂存；生活垃圾在厂内垃圾箱暂存后定期交由环卫部门统一处理。</w:t>
            </w:r>
          </w:p>
        </w:tc>
      </w:tr>
      <w:tr w14:paraId="7FDA59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91" w:hRule="atLeast"/>
          <w:jc w:val="center"/>
        </w:trPr>
        <w:tc>
          <w:tcPr>
            <w:tcW w:w="839" w:type="dxa"/>
            <w:vAlign w:val="center"/>
          </w:tcPr>
          <w:p w14:paraId="1E28C88C">
            <w:pPr>
              <w:adjustRightInd w:val="0"/>
              <w:snapToGrid w:val="0"/>
              <w:jc w:val="center"/>
              <w:rPr>
                <w:szCs w:val="21"/>
              </w:rPr>
            </w:pPr>
            <w:r>
              <w:rPr>
                <w:rFonts w:hint="eastAsia"/>
                <w:szCs w:val="21"/>
              </w:rPr>
              <w:t>土壤及地下水污染防治措施</w:t>
            </w:r>
          </w:p>
        </w:tc>
        <w:tc>
          <w:tcPr>
            <w:tcW w:w="8549" w:type="dxa"/>
            <w:gridSpan w:val="4"/>
            <w:vAlign w:val="center"/>
          </w:tcPr>
          <w:p w14:paraId="0B09C3BD">
            <w:pPr>
              <w:autoSpaceDE w:val="0"/>
              <w:autoSpaceDN w:val="0"/>
              <w:adjustRightInd w:val="0"/>
              <w:ind w:firstLine="422" w:firstLineChars="200"/>
              <w:rPr>
                <w:b/>
                <w:kern w:val="0"/>
                <w:szCs w:val="21"/>
                <w:u w:val="single"/>
              </w:rPr>
            </w:pPr>
            <w:r>
              <w:rPr>
                <w:b/>
                <w:szCs w:val="21"/>
                <w:u w:val="single"/>
              </w:rPr>
              <w:t>分区防渗。办公区及厂区道路进行一般防渗；</w:t>
            </w:r>
            <w:r>
              <w:rPr>
                <w:rFonts w:hint="eastAsia"/>
                <w:b/>
                <w:szCs w:val="21"/>
                <w:u w:val="single"/>
              </w:rPr>
              <w:t>生产车间、</w:t>
            </w:r>
            <w:r>
              <w:rPr>
                <w:rFonts w:hint="eastAsia" w:hAnsi="宋体"/>
                <w:b/>
                <w:bCs/>
                <w:szCs w:val="21"/>
                <w:u w:val="single"/>
              </w:rPr>
              <w:t>锅炉房及一般固废间</w:t>
            </w:r>
            <w:r>
              <w:rPr>
                <w:b/>
                <w:bCs/>
                <w:szCs w:val="21"/>
                <w:u w:val="single"/>
              </w:rPr>
              <w:t>为一般防渗区</w:t>
            </w:r>
            <w:r>
              <w:rPr>
                <w:rFonts w:hint="eastAsia"/>
                <w:b/>
                <w:bCs/>
                <w:szCs w:val="21"/>
                <w:u w:val="single"/>
              </w:rPr>
              <w:t>，</w:t>
            </w:r>
            <w:r>
              <w:rPr>
                <w:b/>
                <w:bCs/>
                <w:szCs w:val="21"/>
                <w:u w:val="single"/>
              </w:rPr>
              <w:t>等效粘土防渗层Mb≥1.5m，K≤1×10</w:t>
            </w:r>
            <w:r>
              <w:rPr>
                <w:b/>
                <w:bCs/>
                <w:szCs w:val="21"/>
                <w:u w:val="single"/>
                <w:vertAlign w:val="superscript"/>
              </w:rPr>
              <w:t>-7</w:t>
            </w:r>
            <w:r>
              <w:rPr>
                <w:b/>
                <w:bCs/>
                <w:szCs w:val="21"/>
                <w:u w:val="single"/>
              </w:rPr>
              <w:t>cm/s</w:t>
            </w:r>
            <w:r>
              <w:rPr>
                <w:rFonts w:hint="eastAsia"/>
                <w:b/>
                <w:bCs/>
                <w:szCs w:val="21"/>
                <w:u w:val="single"/>
              </w:rPr>
              <w:t>；</w:t>
            </w:r>
            <w:r>
              <w:rPr>
                <w:rFonts w:hint="eastAsia"/>
                <w:b/>
                <w:szCs w:val="21"/>
                <w:u w:val="single"/>
              </w:rPr>
              <w:t>危废暂存间、污水处理站及</w:t>
            </w:r>
            <w:r>
              <w:rPr>
                <w:rFonts w:hint="eastAsia"/>
                <w:b/>
                <w:color w:val="000000"/>
                <w:kern w:val="0"/>
                <w:szCs w:val="21"/>
                <w:u w:val="single"/>
              </w:rPr>
              <w:t>污水输送管线</w:t>
            </w:r>
            <w:r>
              <w:rPr>
                <w:rFonts w:hint="eastAsia"/>
                <w:b/>
                <w:szCs w:val="21"/>
                <w:u w:val="single"/>
              </w:rPr>
              <w:t>、油脂储罐区、油脂暂存池等进行重点防渗，等效粘土防渗层</w:t>
            </w:r>
            <w:r>
              <w:rPr>
                <w:b/>
                <w:szCs w:val="21"/>
                <w:u w:val="single"/>
              </w:rPr>
              <w:t>Mb≥6m</w:t>
            </w:r>
            <w:r>
              <w:rPr>
                <w:rFonts w:hint="eastAsia"/>
                <w:b/>
                <w:szCs w:val="21"/>
                <w:u w:val="single"/>
              </w:rPr>
              <w:t>，</w:t>
            </w:r>
            <w:r>
              <w:rPr>
                <w:b/>
                <w:spacing w:val="-14"/>
                <w:szCs w:val="21"/>
                <w:u w:val="single"/>
              </w:rPr>
              <w:t>K≤1×10</w:t>
            </w:r>
            <w:r>
              <w:rPr>
                <w:b/>
                <w:spacing w:val="-14"/>
                <w:szCs w:val="21"/>
                <w:u w:val="single"/>
                <w:vertAlign w:val="superscript"/>
              </w:rPr>
              <w:t>-</w:t>
            </w:r>
            <w:r>
              <w:rPr>
                <w:rFonts w:hint="eastAsia"/>
                <w:b/>
                <w:spacing w:val="-14"/>
                <w:szCs w:val="21"/>
                <w:u w:val="single"/>
                <w:vertAlign w:val="superscript"/>
              </w:rPr>
              <w:t>7</w:t>
            </w:r>
            <w:r>
              <w:rPr>
                <w:b/>
                <w:spacing w:val="-14"/>
                <w:szCs w:val="21"/>
                <w:u w:val="single"/>
              </w:rPr>
              <w:t>cm/s</w:t>
            </w:r>
            <w:r>
              <w:rPr>
                <w:b/>
                <w:bCs/>
                <w:szCs w:val="21"/>
                <w:u w:val="single"/>
              </w:rPr>
              <w:t>。</w:t>
            </w:r>
          </w:p>
        </w:tc>
      </w:tr>
      <w:tr w14:paraId="045D04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3" w:hRule="atLeast"/>
          <w:jc w:val="center"/>
        </w:trPr>
        <w:tc>
          <w:tcPr>
            <w:tcW w:w="839" w:type="dxa"/>
            <w:vAlign w:val="center"/>
          </w:tcPr>
          <w:p w14:paraId="6C635EA3">
            <w:pPr>
              <w:adjustRightInd w:val="0"/>
              <w:snapToGrid w:val="0"/>
              <w:jc w:val="center"/>
              <w:rPr>
                <w:szCs w:val="21"/>
              </w:rPr>
            </w:pPr>
            <w:r>
              <w:rPr>
                <w:szCs w:val="21"/>
              </w:rPr>
              <w:t>生态保护措施</w:t>
            </w:r>
          </w:p>
        </w:tc>
        <w:tc>
          <w:tcPr>
            <w:tcW w:w="8549" w:type="dxa"/>
            <w:gridSpan w:val="4"/>
            <w:vAlign w:val="center"/>
          </w:tcPr>
          <w:p w14:paraId="4DB23AA3">
            <w:pPr>
              <w:adjustRightInd w:val="0"/>
              <w:snapToGrid w:val="0"/>
              <w:jc w:val="center"/>
              <w:rPr>
                <w:kern w:val="0"/>
                <w:szCs w:val="21"/>
              </w:rPr>
            </w:pPr>
            <w:r>
              <w:rPr>
                <w:rFonts w:hint="eastAsia"/>
                <w:szCs w:val="21"/>
              </w:rPr>
              <w:t>/</w:t>
            </w:r>
          </w:p>
        </w:tc>
      </w:tr>
      <w:tr w14:paraId="7164A0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343" w:hRule="atLeast"/>
          <w:jc w:val="center"/>
        </w:trPr>
        <w:tc>
          <w:tcPr>
            <w:tcW w:w="839" w:type="dxa"/>
            <w:vAlign w:val="center"/>
          </w:tcPr>
          <w:p w14:paraId="49BFABB3">
            <w:pPr>
              <w:adjustRightInd w:val="0"/>
              <w:snapToGrid w:val="0"/>
              <w:jc w:val="center"/>
              <w:rPr>
                <w:spacing w:val="-8"/>
                <w:szCs w:val="21"/>
              </w:rPr>
            </w:pPr>
            <w:r>
              <w:rPr>
                <w:spacing w:val="-8"/>
                <w:szCs w:val="21"/>
              </w:rPr>
              <w:t>环境风险防范措施</w:t>
            </w:r>
          </w:p>
        </w:tc>
        <w:tc>
          <w:tcPr>
            <w:tcW w:w="8549" w:type="dxa"/>
            <w:gridSpan w:val="4"/>
            <w:vAlign w:val="center"/>
          </w:tcPr>
          <w:p w14:paraId="7E24D3B1">
            <w:pPr>
              <w:pStyle w:val="62"/>
              <w:adjustRightInd w:val="0"/>
              <w:snapToGrid w:val="0"/>
              <w:jc w:val="both"/>
            </w:pPr>
            <w:r>
              <w:rPr>
                <w:rFonts w:hint="eastAsia" w:hAnsi="宋体" w:cs="宋体"/>
              </w:rPr>
              <w:t>①</w:t>
            </w:r>
            <w:r>
              <w:rPr>
                <w:rFonts w:hint="eastAsia"/>
              </w:rPr>
              <w:t>选用符合技术标准的设备、设施，定期进行巡检和维护保养；</w:t>
            </w:r>
          </w:p>
          <w:p w14:paraId="55A06141">
            <w:pPr>
              <w:adjustRightInd w:val="0"/>
              <w:snapToGrid w:val="0"/>
            </w:pPr>
            <w:r>
              <w:rPr>
                <w:rFonts w:hint="eastAsia" w:ascii="宋体" w:hAnsi="宋体" w:cs="宋体"/>
              </w:rPr>
              <w:t>②</w:t>
            </w:r>
            <w:r>
              <w:rPr>
                <w:rFonts w:hint="eastAsia"/>
              </w:rPr>
              <w:t>建设配套的辅助设备，如检测仪、安全阀、通排风系统等，并配有相应的安全消防措施及泄露报警紧急切断装置；</w:t>
            </w:r>
          </w:p>
          <w:p w14:paraId="5698731A">
            <w:pPr>
              <w:adjustRightInd w:val="0"/>
              <w:snapToGrid w:val="0"/>
              <w:rPr>
                <w:rFonts w:ascii="宋体" w:hAnsi="宋体" w:cs="宋体"/>
              </w:rPr>
            </w:pPr>
            <w:r>
              <w:rPr>
                <w:rFonts w:hint="eastAsia" w:ascii="宋体" w:hAnsi="宋体" w:cs="宋体"/>
              </w:rPr>
              <w:t>③</w:t>
            </w:r>
            <w:r>
              <w:rPr>
                <w:rFonts w:hint="eastAsia"/>
              </w:rPr>
              <w:t>加强工作人员安全培训，相关工作人员持证上岗；</w:t>
            </w:r>
          </w:p>
          <w:p w14:paraId="03596EF3">
            <w:pPr>
              <w:adjustRightInd w:val="0"/>
              <w:snapToGrid w:val="0"/>
            </w:pPr>
            <w:r>
              <w:rPr>
                <w:rFonts w:hint="eastAsia" w:ascii="宋体" w:hAnsi="宋体" w:cs="宋体"/>
              </w:rPr>
              <w:t>④各区域</w:t>
            </w:r>
            <w:r>
              <w:rPr>
                <w:rFonts w:hint="eastAsia"/>
              </w:rPr>
              <w:t>设置消防器材、防爆电气设备；</w:t>
            </w:r>
          </w:p>
          <w:p w14:paraId="14023D78">
            <w:pPr>
              <w:adjustRightInd w:val="0"/>
              <w:snapToGrid w:val="0"/>
            </w:pPr>
            <w:r>
              <w:rPr>
                <w:rFonts w:hint="eastAsia"/>
              </w:rPr>
              <w:t>⑤编制突发环境事件应急预案。</w:t>
            </w:r>
          </w:p>
        </w:tc>
      </w:tr>
      <w:tr w14:paraId="5ECB8B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11" w:hRule="atLeast"/>
          <w:jc w:val="center"/>
        </w:trPr>
        <w:tc>
          <w:tcPr>
            <w:tcW w:w="839" w:type="dxa"/>
            <w:vAlign w:val="center"/>
          </w:tcPr>
          <w:p w14:paraId="2C2FB31C">
            <w:pPr>
              <w:adjustRightInd w:val="0"/>
              <w:snapToGrid w:val="0"/>
              <w:jc w:val="center"/>
              <w:rPr>
                <w:spacing w:val="-8"/>
                <w:szCs w:val="21"/>
              </w:rPr>
            </w:pPr>
            <w:r>
              <w:rPr>
                <w:spacing w:val="-8"/>
                <w:szCs w:val="21"/>
              </w:rPr>
              <w:t>其他环境管理要求</w:t>
            </w:r>
          </w:p>
        </w:tc>
        <w:tc>
          <w:tcPr>
            <w:tcW w:w="8549" w:type="dxa"/>
            <w:gridSpan w:val="4"/>
            <w:vAlign w:val="center"/>
          </w:tcPr>
          <w:p w14:paraId="2955FDCD">
            <w:pPr>
              <w:autoSpaceDE w:val="0"/>
              <w:autoSpaceDN w:val="0"/>
              <w:adjustRightInd w:val="0"/>
              <w:ind w:firstLine="420" w:firstLineChars="200"/>
              <w:jc w:val="left"/>
              <w:rPr>
                <w:rFonts w:eastAsiaTheme="minorEastAsia"/>
                <w:kern w:val="0"/>
                <w:szCs w:val="21"/>
              </w:rPr>
            </w:pPr>
            <w:r>
              <w:rPr>
                <w:rFonts w:hint="eastAsia"/>
                <w:szCs w:val="21"/>
              </w:rPr>
              <w:t>项目建设完成后应根据</w:t>
            </w:r>
            <w:r>
              <w:rPr>
                <w:szCs w:val="21"/>
              </w:rPr>
              <w:t>《排污许可管理条例》及</w:t>
            </w:r>
            <w:r>
              <w:rPr>
                <w:rFonts w:hint="eastAsia"/>
                <w:szCs w:val="21"/>
              </w:rPr>
              <w:t>《固定污染源排污许可分类管理名录》要求，在项目生产排污前办理排污许可手续。</w:t>
            </w:r>
          </w:p>
        </w:tc>
      </w:tr>
    </w:tbl>
    <w:p w14:paraId="0D1B457D">
      <w:pPr>
        <w:pStyle w:val="25"/>
        <w:jc w:val="center"/>
        <w:outlineLvl w:val="0"/>
        <w:rPr>
          <w:rFonts w:ascii="黑体" w:hAnsi="黑体" w:eastAsia="黑体"/>
          <w:snapToGrid w:val="0"/>
          <w:sz w:val="30"/>
          <w:szCs w:val="30"/>
        </w:rPr>
      </w:pPr>
      <w:r>
        <w:rPr>
          <w:snapToGrid w:val="0"/>
        </w:rPr>
        <w:br w:type="page"/>
      </w:r>
      <w:r>
        <w:rPr>
          <w:rFonts w:hint="eastAsia" w:ascii="黑体" w:hAnsi="黑体" w:eastAsia="黑体"/>
          <w:snapToGrid w:val="0"/>
          <w:sz w:val="30"/>
          <w:szCs w:val="30"/>
        </w:rPr>
        <w:t>六、结论</w:t>
      </w:r>
    </w:p>
    <w:tbl>
      <w:tblPr>
        <w:tblStyle w:val="29"/>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20A875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865" w:type="dxa"/>
            <w:vAlign w:val="center"/>
          </w:tcPr>
          <w:p w14:paraId="3E1FB0C6">
            <w:pPr>
              <w:spacing w:line="360" w:lineRule="auto"/>
              <w:ind w:firstLine="480" w:firstLineChars="200"/>
              <w:rPr>
                <w:sz w:val="24"/>
              </w:rPr>
            </w:pPr>
            <w:r>
              <w:rPr>
                <w:rFonts w:hint="eastAsia"/>
                <w:sz w:val="24"/>
              </w:rPr>
              <w:t>综上所述，</w:t>
            </w:r>
            <w:r>
              <w:rPr>
                <w:rFonts w:hint="eastAsia"/>
                <w:bCs/>
                <w:sz w:val="24"/>
              </w:rPr>
              <w:t>民权县顺哲生物科技有限公司年产2.5万吨动物油脂项目</w:t>
            </w:r>
            <w:r>
              <w:rPr>
                <w:rFonts w:hint="eastAsia"/>
                <w:sz w:val="24"/>
              </w:rPr>
              <w:t>符合国家产业政策，项目选址合理可行；项目在认真落实各项环保治理措施后，工程所排各项污染物对周围环境影响较小，可以实现其经济效益、社会效益和环境效益的协调发展。因此，本项目在认真落实本评价所提出的各项污染防治措施的基础上，从环保角度分析，本项目在该厂址建设可行。</w:t>
            </w:r>
          </w:p>
        </w:tc>
      </w:tr>
    </w:tbl>
    <w:p w14:paraId="7AE6816F">
      <w:pPr>
        <w:rPr>
          <w:rFonts w:ascii="宋体"/>
        </w:rPr>
        <w:sectPr>
          <w:pgSz w:w="11906" w:h="16838"/>
          <w:pgMar w:top="1701" w:right="1531" w:bottom="1701" w:left="1531" w:header="851" w:footer="851" w:gutter="0"/>
          <w:cols w:space="720" w:num="1"/>
          <w:docGrid w:linePitch="312" w:charSpace="0"/>
        </w:sectPr>
      </w:pPr>
    </w:p>
    <w:p w14:paraId="56B1B4D1">
      <w:pPr>
        <w:pStyle w:val="25"/>
        <w:adjustRightInd w:val="0"/>
        <w:snapToGrid w:val="0"/>
        <w:spacing w:before="0" w:beforeAutospacing="0" w:after="0" w:afterAutospacing="0"/>
        <w:outlineLvl w:val="0"/>
        <w:rPr>
          <w:rFonts w:ascii="黑体" w:hAnsi="黑体" w:eastAsia="黑体"/>
          <w:snapToGrid w:val="0"/>
          <w:sz w:val="32"/>
          <w:szCs w:val="32"/>
        </w:rPr>
      </w:pPr>
      <w:r>
        <w:rPr>
          <w:rFonts w:hint="eastAsia" w:ascii="黑体" w:hAnsi="黑体" w:eastAsia="黑体"/>
          <w:snapToGrid w:val="0"/>
          <w:sz w:val="32"/>
          <w:szCs w:val="32"/>
        </w:rPr>
        <w:t>附表</w:t>
      </w:r>
    </w:p>
    <w:p w14:paraId="0F576AF8">
      <w:pPr>
        <w:pStyle w:val="25"/>
        <w:adjustRightInd w:val="0"/>
        <w:snapToGrid w:val="0"/>
        <w:spacing w:beforeLines="50" w:beforeAutospacing="0" w:afterLines="50" w:afterAutospacing="0"/>
        <w:jc w:val="center"/>
        <w:outlineLvl w:val="0"/>
        <w:rPr>
          <w:rFonts w:ascii="方正小标宋_GBK" w:hAnsi="黑体" w:eastAsia="方正小标宋_GBK"/>
          <w:snapToGrid w:val="0"/>
          <w:sz w:val="30"/>
          <w:szCs w:val="30"/>
        </w:rPr>
      </w:pPr>
      <w:r>
        <w:rPr>
          <w:rFonts w:hint="eastAsia" w:ascii="方正小标宋_GBK" w:hAnsi="黑体" w:eastAsia="方正小标宋_GBK"/>
          <w:snapToGrid w:val="0"/>
          <w:sz w:val="30"/>
          <w:szCs w:val="30"/>
        </w:rPr>
        <w:t>建设项目污染物排放量汇总表</w:t>
      </w:r>
    </w:p>
    <w:tbl>
      <w:tblPr>
        <w:tblStyle w:val="29"/>
        <w:tblW w:w="13778"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62"/>
        <w:gridCol w:w="2127"/>
        <w:gridCol w:w="1417"/>
        <w:gridCol w:w="1134"/>
        <w:gridCol w:w="1843"/>
        <w:gridCol w:w="1701"/>
        <w:gridCol w:w="1701"/>
        <w:gridCol w:w="1417"/>
        <w:gridCol w:w="1276"/>
      </w:tblGrid>
      <w:tr w14:paraId="59F994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162" w:type="dxa"/>
            <w:tcBorders>
              <w:tl2br w:val="single" w:color="auto" w:sz="4" w:space="0"/>
            </w:tcBorders>
            <w:tcMar>
              <w:left w:w="28" w:type="dxa"/>
              <w:right w:w="28" w:type="dxa"/>
            </w:tcMar>
            <w:vAlign w:val="center"/>
          </w:tcPr>
          <w:p w14:paraId="5FB8DCFE">
            <w:pPr>
              <w:pStyle w:val="55"/>
              <w:spacing w:beforeLines="0" w:afterLines="0" w:line="240" w:lineRule="auto"/>
              <w:jc w:val="right"/>
              <w:rPr>
                <w:rFonts w:ascii="Times New Roman" w:eastAsiaTheme="minorEastAsia"/>
                <w:snapToGrid w:val="0"/>
                <w:color w:val="000000"/>
                <w:spacing w:val="-6"/>
                <w:kern w:val="21"/>
                <w:szCs w:val="21"/>
              </w:rPr>
            </w:pPr>
            <w:r>
              <w:rPr>
                <w:rFonts w:ascii="Times New Roman" w:hAnsiTheme="minorEastAsia" w:eastAsiaTheme="minorEastAsia"/>
                <w:snapToGrid w:val="0"/>
                <w:color w:val="000000"/>
                <w:spacing w:val="-6"/>
                <w:kern w:val="21"/>
                <w:szCs w:val="21"/>
              </w:rPr>
              <w:t>项目</w:t>
            </w:r>
          </w:p>
          <w:p w14:paraId="637AA31E">
            <w:pPr>
              <w:pStyle w:val="55"/>
              <w:spacing w:beforeLines="0" w:afterLines="0" w:line="240" w:lineRule="auto"/>
              <w:jc w:val="left"/>
              <w:rPr>
                <w:rFonts w:ascii="Times New Roman" w:eastAsiaTheme="minorEastAsia"/>
                <w:snapToGrid w:val="0"/>
                <w:color w:val="000000"/>
                <w:spacing w:val="-6"/>
                <w:kern w:val="21"/>
                <w:szCs w:val="21"/>
              </w:rPr>
            </w:pPr>
            <w:r>
              <w:rPr>
                <w:rFonts w:ascii="Times New Roman" w:hAnsiTheme="minorEastAsia" w:eastAsiaTheme="minorEastAsia"/>
                <w:snapToGrid w:val="0"/>
                <w:color w:val="000000"/>
                <w:spacing w:val="-6"/>
                <w:kern w:val="21"/>
                <w:szCs w:val="21"/>
              </w:rPr>
              <w:t>分类</w:t>
            </w:r>
          </w:p>
        </w:tc>
        <w:tc>
          <w:tcPr>
            <w:tcW w:w="2127" w:type="dxa"/>
            <w:tcMar>
              <w:left w:w="28" w:type="dxa"/>
              <w:right w:w="28" w:type="dxa"/>
            </w:tcMar>
            <w:vAlign w:val="center"/>
          </w:tcPr>
          <w:p w14:paraId="1E02BF2A">
            <w:pPr>
              <w:pStyle w:val="55"/>
              <w:spacing w:beforeLines="0" w:afterLines="0" w:line="240" w:lineRule="auto"/>
              <w:rPr>
                <w:rFonts w:ascii="Times New Roman" w:eastAsiaTheme="minorEastAsia"/>
                <w:snapToGrid w:val="0"/>
                <w:color w:val="000000"/>
                <w:spacing w:val="-6"/>
                <w:kern w:val="21"/>
                <w:szCs w:val="21"/>
              </w:rPr>
            </w:pPr>
            <w:r>
              <w:rPr>
                <w:rFonts w:ascii="Times New Roman" w:hAnsiTheme="minorEastAsia" w:eastAsiaTheme="minorEastAsia"/>
                <w:snapToGrid w:val="0"/>
                <w:color w:val="000000"/>
                <w:spacing w:val="-6"/>
                <w:kern w:val="21"/>
                <w:szCs w:val="21"/>
              </w:rPr>
              <w:t>污染物名称</w:t>
            </w:r>
          </w:p>
        </w:tc>
        <w:tc>
          <w:tcPr>
            <w:tcW w:w="1417" w:type="dxa"/>
            <w:tcMar>
              <w:left w:w="28" w:type="dxa"/>
              <w:right w:w="28" w:type="dxa"/>
            </w:tcMar>
            <w:vAlign w:val="center"/>
          </w:tcPr>
          <w:p w14:paraId="66D62365">
            <w:pPr>
              <w:pStyle w:val="55"/>
              <w:spacing w:beforeLines="0" w:afterLines="0" w:line="240" w:lineRule="auto"/>
              <w:rPr>
                <w:rFonts w:asciiTheme="majorEastAsia" w:hAnsiTheme="majorEastAsia" w:eastAsiaTheme="majorEastAsia"/>
                <w:snapToGrid w:val="0"/>
                <w:color w:val="000000"/>
                <w:spacing w:val="-6"/>
                <w:kern w:val="21"/>
                <w:szCs w:val="21"/>
              </w:rPr>
            </w:pPr>
            <w:r>
              <w:rPr>
                <w:rFonts w:asciiTheme="majorEastAsia" w:hAnsiTheme="majorEastAsia" w:eastAsiaTheme="majorEastAsia"/>
                <w:snapToGrid w:val="0"/>
                <w:color w:val="000000"/>
                <w:spacing w:val="-6"/>
                <w:kern w:val="21"/>
                <w:szCs w:val="21"/>
              </w:rPr>
              <w:t>现有工程排放量（固体废物产生量）</w:t>
            </w:r>
            <w:r>
              <w:rPr>
                <w:rFonts w:asciiTheme="majorEastAsia" w:hAnsiTheme="majorEastAsia" w:eastAsiaTheme="majorEastAsia"/>
                <w:snapToGrid w:val="0"/>
                <w:color w:val="000000"/>
                <w:spacing w:val="-6"/>
                <w:kern w:val="21"/>
                <w:szCs w:val="21"/>
              </w:rPr>
              <w:fldChar w:fldCharType="begin"/>
            </w:r>
            <w:r>
              <w:rPr>
                <w:rFonts w:asciiTheme="majorEastAsia" w:hAnsiTheme="majorEastAsia" w:eastAsiaTheme="majorEastAsia"/>
                <w:snapToGrid w:val="0"/>
                <w:color w:val="000000"/>
                <w:spacing w:val="-6"/>
                <w:kern w:val="21"/>
                <w:szCs w:val="21"/>
              </w:rPr>
              <w:instrText xml:space="preserve"> = 1 \* GB3 \* MERGEFORMAT </w:instrText>
            </w:r>
            <w:r>
              <w:rPr>
                <w:rFonts w:asciiTheme="majorEastAsia" w:hAnsiTheme="majorEastAsia" w:eastAsiaTheme="majorEastAsia"/>
                <w:snapToGrid w:val="0"/>
                <w:color w:val="000000"/>
                <w:spacing w:val="-6"/>
                <w:kern w:val="21"/>
                <w:szCs w:val="21"/>
              </w:rPr>
              <w:fldChar w:fldCharType="separate"/>
            </w:r>
            <w:r>
              <w:rPr>
                <w:rFonts w:asciiTheme="majorEastAsia" w:hAnsiTheme="majorEastAsia" w:eastAsiaTheme="majorEastAsia"/>
                <w:kern w:val="2"/>
                <w:szCs w:val="21"/>
              </w:rPr>
              <w:t>①</w:t>
            </w:r>
            <w:r>
              <w:rPr>
                <w:rFonts w:asciiTheme="majorEastAsia" w:hAnsiTheme="majorEastAsia" w:eastAsiaTheme="majorEastAsia"/>
                <w:snapToGrid w:val="0"/>
                <w:color w:val="000000"/>
                <w:spacing w:val="-6"/>
                <w:kern w:val="21"/>
                <w:szCs w:val="21"/>
              </w:rPr>
              <w:fldChar w:fldCharType="end"/>
            </w:r>
          </w:p>
        </w:tc>
        <w:tc>
          <w:tcPr>
            <w:tcW w:w="1134" w:type="dxa"/>
            <w:tcMar>
              <w:left w:w="28" w:type="dxa"/>
              <w:right w:w="28" w:type="dxa"/>
            </w:tcMar>
            <w:vAlign w:val="center"/>
          </w:tcPr>
          <w:p w14:paraId="463D6EA1">
            <w:pPr>
              <w:pStyle w:val="55"/>
              <w:spacing w:beforeLines="0" w:afterLines="0" w:line="240" w:lineRule="auto"/>
              <w:rPr>
                <w:rFonts w:asciiTheme="majorEastAsia" w:hAnsiTheme="majorEastAsia" w:eastAsiaTheme="majorEastAsia"/>
                <w:snapToGrid w:val="0"/>
                <w:color w:val="000000"/>
                <w:spacing w:val="-6"/>
                <w:kern w:val="21"/>
                <w:szCs w:val="21"/>
              </w:rPr>
            </w:pPr>
            <w:r>
              <w:rPr>
                <w:rFonts w:asciiTheme="majorEastAsia" w:hAnsiTheme="majorEastAsia" w:eastAsiaTheme="majorEastAsia"/>
                <w:snapToGrid w:val="0"/>
                <w:color w:val="000000"/>
                <w:spacing w:val="-6"/>
                <w:kern w:val="21"/>
                <w:szCs w:val="21"/>
              </w:rPr>
              <w:t>现有工程许可排放量</w:t>
            </w:r>
            <w:r>
              <w:rPr>
                <w:rFonts w:asciiTheme="majorEastAsia" w:hAnsiTheme="majorEastAsia" w:eastAsiaTheme="majorEastAsia"/>
                <w:snapToGrid w:val="0"/>
                <w:color w:val="000000"/>
                <w:spacing w:val="-6"/>
                <w:kern w:val="21"/>
                <w:szCs w:val="21"/>
              </w:rPr>
              <w:fldChar w:fldCharType="begin"/>
            </w:r>
            <w:r>
              <w:rPr>
                <w:rFonts w:asciiTheme="majorEastAsia" w:hAnsiTheme="majorEastAsia" w:eastAsiaTheme="majorEastAsia"/>
                <w:snapToGrid w:val="0"/>
                <w:color w:val="000000"/>
                <w:spacing w:val="-6"/>
                <w:kern w:val="21"/>
                <w:szCs w:val="21"/>
              </w:rPr>
              <w:instrText xml:space="preserve"> = 2 \* GB3 \* MERGEFORMAT </w:instrText>
            </w:r>
            <w:r>
              <w:rPr>
                <w:rFonts w:asciiTheme="majorEastAsia" w:hAnsiTheme="majorEastAsia" w:eastAsiaTheme="majorEastAsia"/>
                <w:snapToGrid w:val="0"/>
                <w:color w:val="000000"/>
                <w:spacing w:val="-6"/>
                <w:kern w:val="21"/>
                <w:szCs w:val="21"/>
              </w:rPr>
              <w:fldChar w:fldCharType="separate"/>
            </w:r>
            <w:r>
              <w:rPr>
                <w:rFonts w:asciiTheme="majorEastAsia" w:hAnsiTheme="majorEastAsia" w:eastAsiaTheme="majorEastAsia"/>
                <w:snapToGrid w:val="0"/>
                <w:color w:val="000000"/>
                <w:spacing w:val="-6"/>
                <w:kern w:val="21"/>
                <w:szCs w:val="21"/>
              </w:rPr>
              <w:t>②</w:t>
            </w:r>
            <w:r>
              <w:rPr>
                <w:rFonts w:asciiTheme="majorEastAsia" w:hAnsiTheme="majorEastAsia" w:eastAsiaTheme="majorEastAsia"/>
                <w:snapToGrid w:val="0"/>
                <w:color w:val="000000"/>
                <w:spacing w:val="-6"/>
                <w:kern w:val="21"/>
                <w:szCs w:val="21"/>
              </w:rPr>
              <w:fldChar w:fldCharType="end"/>
            </w:r>
          </w:p>
        </w:tc>
        <w:tc>
          <w:tcPr>
            <w:tcW w:w="1843" w:type="dxa"/>
            <w:tcMar>
              <w:left w:w="28" w:type="dxa"/>
              <w:right w:w="28" w:type="dxa"/>
            </w:tcMar>
            <w:vAlign w:val="center"/>
          </w:tcPr>
          <w:p w14:paraId="3A105BEA">
            <w:pPr>
              <w:pStyle w:val="55"/>
              <w:spacing w:beforeLines="0" w:afterLines="0" w:line="240" w:lineRule="auto"/>
              <w:rPr>
                <w:rFonts w:asciiTheme="majorEastAsia" w:hAnsiTheme="majorEastAsia" w:eastAsiaTheme="majorEastAsia"/>
                <w:snapToGrid w:val="0"/>
                <w:color w:val="000000"/>
                <w:spacing w:val="-6"/>
                <w:kern w:val="21"/>
                <w:szCs w:val="21"/>
              </w:rPr>
            </w:pPr>
            <w:r>
              <w:rPr>
                <w:rFonts w:asciiTheme="majorEastAsia" w:hAnsiTheme="majorEastAsia" w:eastAsiaTheme="majorEastAsia"/>
                <w:snapToGrid w:val="0"/>
                <w:color w:val="000000"/>
                <w:spacing w:val="-6"/>
                <w:kern w:val="21"/>
                <w:szCs w:val="21"/>
              </w:rPr>
              <w:t>在建工程排放量（固体废物产生量）</w:t>
            </w:r>
            <w:r>
              <w:rPr>
                <w:rFonts w:asciiTheme="majorEastAsia" w:hAnsiTheme="majorEastAsia" w:eastAsiaTheme="majorEastAsia"/>
                <w:snapToGrid w:val="0"/>
                <w:color w:val="000000"/>
                <w:spacing w:val="-6"/>
                <w:kern w:val="21"/>
                <w:szCs w:val="21"/>
              </w:rPr>
              <w:fldChar w:fldCharType="begin"/>
            </w:r>
            <w:r>
              <w:rPr>
                <w:rFonts w:asciiTheme="majorEastAsia" w:hAnsiTheme="majorEastAsia" w:eastAsiaTheme="majorEastAsia"/>
                <w:snapToGrid w:val="0"/>
                <w:color w:val="000000"/>
                <w:spacing w:val="-6"/>
                <w:kern w:val="21"/>
                <w:szCs w:val="21"/>
              </w:rPr>
              <w:instrText xml:space="preserve"> = 3 \* GB3 \* MERGEFORMAT </w:instrText>
            </w:r>
            <w:r>
              <w:rPr>
                <w:rFonts w:asciiTheme="majorEastAsia" w:hAnsiTheme="majorEastAsia" w:eastAsiaTheme="majorEastAsia"/>
                <w:snapToGrid w:val="0"/>
                <w:color w:val="000000"/>
                <w:spacing w:val="-6"/>
                <w:kern w:val="21"/>
                <w:szCs w:val="21"/>
              </w:rPr>
              <w:fldChar w:fldCharType="separate"/>
            </w:r>
            <w:r>
              <w:rPr>
                <w:rFonts w:asciiTheme="majorEastAsia" w:hAnsiTheme="majorEastAsia" w:eastAsiaTheme="majorEastAsia"/>
                <w:kern w:val="2"/>
                <w:szCs w:val="21"/>
              </w:rPr>
              <w:t>③</w:t>
            </w:r>
            <w:r>
              <w:rPr>
                <w:rFonts w:asciiTheme="majorEastAsia" w:hAnsiTheme="majorEastAsia" w:eastAsiaTheme="majorEastAsia"/>
                <w:snapToGrid w:val="0"/>
                <w:color w:val="000000"/>
                <w:spacing w:val="-6"/>
                <w:kern w:val="21"/>
                <w:szCs w:val="21"/>
              </w:rPr>
              <w:fldChar w:fldCharType="end"/>
            </w:r>
          </w:p>
        </w:tc>
        <w:tc>
          <w:tcPr>
            <w:tcW w:w="1701" w:type="dxa"/>
            <w:tcMar>
              <w:left w:w="28" w:type="dxa"/>
              <w:right w:w="28" w:type="dxa"/>
            </w:tcMar>
            <w:vAlign w:val="center"/>
          </w:tcPr>
          <w:p w14:paraId="7883765A">
            <w:pPr>
              <w:pStyle w:val="55"/>
              <w:spacing w:beforeLines="0" w:afterLines="0" w:line="240" w:lineRule="auto"/>
              <w:rPr>
                <w:rFonts w:asciiTheme="majorEastAsia" w:hAnsiTheme="majorEastAsia" w:eastAsiaTheme="majorEastAsia"/>
                <w:snapToGrid w:val="0"/>
                <w:color w:val="000000"/>
                <w:spacing w:val="-6"/>
                <w:kern w:val="21"/>
                <w:szCs w:val="21"/>
              </w:rPr>
            </w:pPr>
            <w:r>
              <w:rPr>
                <w:rFonts w:asciiTheme="majorEastAsia" w:hAnsiTheme="majorEastAsia" w:eastAsiaTheme="majorEastAsia"/>
                <w:snapToGrid w:val="0"/>
                <w:color w:val="000000"/>
                <w:spacing w:val="-6"/>
                <w:kern w:val="21"/>
                <w:szCs w:val="21"/>
              </w:rPr>
              <w:t>本项目排放量（固体废物产生量）</w:t>
            </w:r>
            <w:r>
              <w:rPr>
                <w:rFonts w:asciiTheme="majorEastAsia" w:hAnsiTheme="majorEastAsia" w:eastAsiaTheme="majorEastAsia"/>
                <w:snapToGrid w:val="0"/>
                <w:color w:val="000000"/>
                <w:spacing w:val="-6"/>
                <w:kern w:val="21"/>
                <w:szCs w:val="21"/>
              </w:rPr>
              <w:fldChar w:fldCharType="begin"/>
            </w:r>
            <w:r>
              <w:rPr>
                <w:rFonts w:asciiTheme="majorEastAsia" w:hAnsiTheme="majorEastAsia" w:eastAsiaTheme="majorEastAsia"/>
                <w:snapToGrid w:val="0"/>
                <w:color w:val="000000"/>
                <w:spacing w:val="-6"/>
                <w:kern w:val="21"/>
                <w:szCs w:val="21"/>
              </w:rPr>
              <w:instrText xml:space="preserve"> = 4 \* GB3 \* MERGEFORMAT </w:instrText>
            </w:r>
            <w:r>
              <w:rPr>
                <w:rFonts w:asciiTheme="majorEastAsia" w:hAnsiTheme="majorEastAsia" w:eastAsiaTheme="majorEastAsia"/>
                <w:snapToGrid w:val="0"/>
                <w:color w:val="000000"/>
                <w:spacing w:val="-6"/>
                <w:kern w:val="21"/>
                <w:szCs w:val="21"/>
              </w:rPr>
              <w:fldChar w:fldCharType="separate"/>
            </w:r>
            <w:r>
              <w:rPr>
                <w:rFonts w:asciiTheme="majorEastAsia" w:hAnsiTheme="majorEastAsia" w:eastAsiaTheme="majorEastAsia"/>
                <w:kern w:val="2"/>
                <w:szCs w:val="21"/>
              </w:rPr>
              <w:t>④</w:t>
            </w:r>
            <w:r>
              <w:rPr>
                <w:rFonts w:asciiTheme="majorEastAsia" w:hAnsiTheme="majorEastAsia" w:eastAsiaTheme="majorEastAsia"/>
                <w:snapToGrid w:val="0"/>
                <w:color w:val="000000"/>
                <w:spacing w:val="-6"/>
                <w:kern w:val="21"/>
                <w:szCs w:val="21"/>
              </w:rPr>
              <w:fldChar w:fldCharType="end"/>
            </w:r>
          </w:p>
        </w:tc>
        <w:tc>
          <w:tcPr>
            <w:tcW w:w="1701" w:type="dxa"/>
            <w:tcMar>
              <w:left w:w="28" w:type="dxa"/>
              <w:right w:w="28" w:type="dxa"/>
            </w:tcMar>
            <w:vAlign w:val="center"/>
          </w:tcPr>
          <w:p w14:paraId="4B999B8D">
            <w:pPr>
              <w:pStyle w:val="55"/>
              <w:spacing w:beforeLines="0" w:afterLines="0" w:line="240" w:lineRule="auto"/>
              <w:rPr>
                <w:rFonts w:asciiTheme="majorEastAsia" w:hAnsiTheme="majorEastAsia" w:eastAsiaTheme="majorEastAsia"/>
                <w:snapToGrid w:val="0"/>
                <w:color w:val="000000"/>
                <w:spacing w:val="-16"/>
                <w:kern w:val="21"/>
                <w:szCs w:val="21"/>
              </w:rPr>
            </w:pPr>
            <w:r>
              <w:rPr>
                <w:rFonts w:asciiTheme="majorEastAsia" w:hAnsiTheme="majorEastAsia" w:eastAsiaTheme="majorEastAsia"/>
                <w:snapToGrid w:val="0"/>
                <w:color w:val="000000"/>
                <w:spacing w:val="-16"/>
                <w:kern w:val="21"/>
                <w:szCs w:val="21"/>
              </w:rPr>
              <w:t>以新带老削减量（新建项目不填）</w:t>
            </w:r>
            <w:r>
              <w:rPr>
                <w:rFonts w:asciiTheme="majorEastAsia" w:hAnsiTheme="majorEastAsia" w:eastAsiaTheme="majorEastAsia"/>
                <w:snapToGrid w:val="0"/>
                <w:color w:val="000000"/>
                <w:spacing w:val="-16"/>
                <w:kern w:val="21"/>
                <w:szCs w:val="21"/>
              </w:rPr>
              <w:fldChar w:fldCharType="begin"/>
            </w:r>
            <w:r>
              <w:rPr>
                <w:rFonts w:asciiTheme="majorEastAsia" w:hAnsiTheme="majorEastAsia" w:eastAsiaTheme="majorEastAsia"/>
                <w:snapToGrid w:val="0"/>
                <w:color w:val="000000"/>
                <w:spacing w:val="-16"/>
                <w:kern w:val="21"/>
                <w:szCs w:val="21"/>
              </w:rPr>
              <w:instrText xml:space="preserve"> = 5 \* GB3 \* MERGEFORMAT </w:instrText>
            </w:r>
            <w:r>
              <w:rPr>
                <w:rFonts w:asciiTheme="majorEastAsia" w:hAnsiTheme="majorEastAsia" w:eastAsiaTheme="majorEastAsia"/>
                <w:snapToGrid w:val="0"/>
                <w:color w:val="000000"/>
                <w:spacing w:val="-16"/>
                <w:kern w:val="21"/>
                <w:szCs w:val="21"/>
              </w:rPr>
              <w:fldChar w:fldCharType="separate"/>
            </w:r>
            <w:r>
              <w:rPr>
                <w:rFonts w:asciiTheme="majorEastAsia" w:hAnsiTheme="majorEastAsia" w:eastAsiaTheme="majorEastAsia"/>
                <w:kern w:val="2"/>
                <w:szCs w:val="21"/>
              </w:rPr>
              <w:t>⑤</w:t>
            </w:r>
            <w:r>
              <w:rPr>
                <w:rFonts w:asciiTheme="majorEastAsia" w:hAnsiTheme="majorEastAsia" w:eastAsiaTheme="majorEastAsia"/>
                <w:snapToGrid w:val="0"/>
                <w:color w:val="000000"/>
                <w:spacing w:val="-16"/>
                <w:kern w:val="21"/>
                <w:szCs w:val="21"/>
              </w:rPr>
              <w:fldChar w:fldCharType="end"/>
            </w:r>
          </w:p>
        </w:tc>
        <w:tc>
          <w:tcPr>
            <w:tcW w:w="1417" w:type="dxa"/>
            <w:tcMar>
              <w:left w:w="28" w:type="dxa"/>
              <w:right w:w="28" w:type="dxa"/>
            </w:tcMar>
            <w:vAlign w:val="center"/>
          </w:tcPr>
          <w:p w14:paraId="1873FED0">
            <w:pPr>
              <w:pStyle w:val="55"/>
              <w:spacing w:beforeLines="0" w:afterLines="0" w:line="240" w:lineRule="auto"/>
              <w:rPr>
                <w:rFonts w:asciiTheme="majorEastAsia" w:hAnsiTheme="majorEastAsia" w:eastAsiaTheme="majorEastAsia"/>
                <w:snapToGrid w:val="0"/>
                <w:color w:val="000000"/>
                <w:spacing w:val="-16"/>
                <w:kern w:val="21"/>
                <w:szCs w:val="21"/>
              </w:rPr>
            </w:pPr>
            <w:r>
              <w:rPr>
                <w:rFonts w:asciiTheme="majorEastAsia" w:hAnsiTheme="majorEastAsia" w:eastAsiaTheme="majorEastAsia"/>
                <w:snapToGrid w:val="0"/>
                <w:color w:val="000000"/>
                <w:spacing w:val="-16"/>
                <w:kern w:val="21"/>
                <w:szCs w:val="21"/>
              </w:rPr>
              <w:t>本项目建成后全厂排放量（固体废物产生量）</w:t>
            </w:r>
            <w:r>
              <w:rPr>
                <w:rFonts w:asciiTheme="majorEastAsia" w:hAnsiTheme="majorEastAsia" w:eastAsiaTheme="majorEastAsia"/>
                <w:snapToGrid w:val="0"/>
                <w:color w:val="000000"/>
                <w:spacing w:val="-16"/>
                <w:kern w:val="21"/>
                <w:szCs w:val="21"/>
              </w:rPr>
              <w:fldChar w:fldCharType="begin"/>
            </w:r>
            <w:r>
              <w:rPr>
                <w:rFonts w:asciiTheme="majorEastAsia" w:hAnsiTheme="majorEastAsia" w:eastAsiaTheme="majorEastAsia"/>
                <w:snapToGrid w:val="0"/>
                <w:color w:val="000000"/>
                <w:spacing w:val="-16"/>
                <w:kern w:val="21"/>
                <w:szCs w:val="21"/>
              </w:rPr>
              <w:instrText xml:space="preserve"> = 6 \* GB3 \* MERGEFORMAT </w:instrText>
            </w:r>
            <w:r>
              <w:rPr>
                <w:rFonts w:asciiTheme="majorEastAsia" w:hAnsiTheme="majorEastAsia" w:eastAsiaTheme="majorEastAsia"/>
                <w:snapToGrid w:val="0"/>
                <w:color w:val="000000"/>
                <w:spacing w:val="-16"/>
                <w:kern w:val="21"/>
                <w:szCs w:val="21"/>
              </w:rPr>
              <w:fldChar w:fldCharType="separate"/>
            </w:r>
            <w:r>
              <w:rPr>
                <w:rFonts w:asciiTheme="majorEastAsia" w:hAnsiTheme="majorEastAsia" w:eastAsiaTheme="majorEastAsia"/>
                <w:kern w:val="2"/>
                <w:szCs w:val="21"/>
              </w:rPr>
              <w:t>⑥</w:t>
            </w:r>
            <w:r>
              <w:rPr>
                <w:rFonts w:asciiTheme="majorEastAsia" w:hAnsiTheme="majorEastAsia" w:eastAsiaTheme="majorEastAsia"/>
                <w:snapToGrid w:val="0"/>
                <w:color w:val="000000"/>
                <w:spacing w:val="-16"/>
                <w:kern w:val="21"/>
                <w:szCs w:val="21"/>
              </w:rPr>
              <w:fldChar w:fldCharType="end"/>
            </w:r>
          </w:p>
        </w:tc>
        <w:tc>
          <w:tcPr>
            <w:tcW w:w="1276" w:type="dxa"/>
            <w:tcMar>
              <w:left w:w="28" w:type="dxa"/>
              <w:right w:w="28" w:type="dxa"/>
            </w:tcMar>
            <w:vAlign w:val="center"/>
          </w:tcPr>
          <w:p w14:paraId="57D02DD0">
            <w:pPr>
              <w:pStyle w:val="55"/>
              <w:spacing w:beforeLines="0" w:afterLines="0" w:line="240" w:lineRule="auto"/>
              <w:rPr>
                <w:rFonts w:asciiTheme="majorEastAsia" w:hAnsiTheme="majorEastAsia" w:eastAsiaTheme="majorEastAsia"/>
                <w:snapToGrid w:val="0"/>
                <w:color w:val="000000"/>
                <w:spacing w:val="-6"/>
                <w:kern w:val="21"/>
                <w:szCs w:val="21"/>
              </w:rPr>
            </w:pPr>
            <w:r>
              <w:rPr>
                <w:rFonts w:asciiTheme="majorEastAsia" w:hAnsiTheme="majorEastAsia" w:eastAsiaTheme="majorEastAsia"/>
                <w:snapToGrid w:val="0"/>
                <w:color w:val="000000"/>
                <w:spacing w:val="-6"/>
                <w:kern w:val="21"/>
                <w:szCs w:val="21"/>
              </w:rPr>
              <w:t>变化量</w:t>
            </w:r>
          </w:p>
          <w:p w14:paraId="468B0152">
            <w:pPr>
              <w:pStyle w:val="55"/>
              <w:spacing w:beforeLines="0" w:afterLines="0" w:line="240" w:lineRule="auto"/>
              <w:rPr>
                <w:rFonts w:asciiTheme="majorEastAsia" w:hAnsiTheme="majorEastAsia" w:eastAsiaTheme="majorEastAsia"/>
                <w:snapToGrid w:val="0"/>
                <w:color w:val="000000"/>
                <w:spacing w:val="-6"/>
                <w:kern w:val="21"/>
                <w:szCs w:val="21"/>
              </w:rPr>
            </w:pPr>
            <w:r>
              <w:rPr>
                <w:rFonts w:asciiTheme="majorEastAsia" w:hAnsiTheme="majorEastAsia" w:eastAsiaTheme="majorEastAsia"/>
                <w:snapToGrid w:val="0"/>
                <w:color w:val="000000"/>
                <w:spacing w:val="-6"/>
                <w:kern w:val="21"/>
                <w:szCs w:val="21"/>
              </w:rPr>
              <w:fldChar w:fldCharType="begin"/>
            </w:r>
            <w:r>
              <w:rPr>
                <w:rFonts w:asciiTheme="majorEastAsia" w:hAnsiTheme="majorEastAsia" w:eastAsiaTheme="majorEastAsia"/>
                <w:snapToGrid w:val="0"/>
                <w:color w:val="000000"/>
                <w:spacing w:val="-6"/>
                <w:kern w:val="21"/>
                <w:szCs w:val="21"/>
              </w:rPr>
              <w:instrText xml:space="preserve"> = 7 \* GB3 \* MERGEFORMAT </w:instrText>
            </w:r>
            <w:r>
              <w:rPr>
                <w:rFonts w:asciiTheme="majorEastAsia" w:hAnsiTheme="majorEastAsia" w:eastAsiaTheme="majorEastAsia"/>
                <w:snapToGrid w:val="0"/>
                <w:color w:val="000000"/>
                <w:spacing w:val="-6"/>
                <w:kern w:val="21"/>
                <w:szCs w:val="21"/>
              </w:rPr>
              <w:fldChar w:fldCharType="separate"/>
            </w:r>
            <w:r>
              <w:rPr>
                <w:rFonts w:asciiTheme="majorEastAsia" w:hAnsiTheme="majorEastAsia" w:eastAsiaTheme="majorEastAsia"/>
                <w:kern w:val="2"/>
                <w:szCs w:val="21"/>
              </w:rPr>
              <w:t>⑦</w:t>
            </w:r>
            <w:r>
              <w:rPr>
                <w:rFonts w:asciiTheme="majorEastAsia" w:hAnsiTheme="majorEastAsia" w:eastAsiaTheme="majorEastAsia"/>
                <w:snapToGrid w:val="0"/>
                <w:color w:val="000000"/>
                <w:spacing w:val="-6"/>
                <w:kern w:val="21"/>
                <w:szCs w:val="21"/>
              </w:rPr>
              <w:fldChar w:fldCharType="end"/>
            </w:r>
          </w:p>
        </w:tc>
      </w:tr>
      <w:tr w14:paraId="5EE50F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62" w:type="dxa"/>
            <w:vMerge w:val="restart"/>
            <w:vAlign w:val="center"/>
          </w:tcPr>
          <w:p w14:paraId="367A3DBF">
            <w:pPr>
              <w:pStyle w:val="55"/>
              <w:spacing w:beforeLines="0" w:afterLines="0" w:line="240" w:lineRule="auto"/>
              <w:rPr>
                <w:rFonts w:ascii="Times New Roman"/>
                <w:snapToGrid w:val="0"/>
                <w:color w:val="000000"/>
                <w:kern w:val="21"/>
                <w:szCs w:val="21"/>
              </w:rPr>
            </w:pPr>
            <w:r>
              <w:rPr>
                <w:rFonts w:ascii="Times New Roman"/>
                <w:snapToGrid w:val="0"/>
                <w:color w:val="000000"/>
                <w:kern w:val="21"/>
                <w:szCs w:val="21"/>
              </w:rPr>
              <w:t>废气</w:t>
            </w:r>
          </w:p>
        </w:tc>
        <w:tc>
          <w:tcPr>
            <w:tcW w:w="2127" w:type="dxa"/>
            <w:vAlign w:val="center"/>
          </w:tcPr>
          <w:p w14:paraId="2DA0817A">
            <w:pPr>
              <w:pStyle w:val="70"/>
              <w:spacing w:line="240" w:lineRule="auto"/>
              <w:ind w:firstLine="0" w:firstLineChars="0"/>
              <w:jc w:val="center"/>
              <w:rPr>
                <w:color w:val="auto"/>
                <w:sz w:val="21"/>
                <w:szCs w:val="21"/>
              </w:rPr>
            </w:pPr>
            <w:r>
              <w:rPr>
                <w:rFonts w:hint="eastAsia"/>
                <w:color w:val="auto"/>
                <w:sz w:val="21"/>
                <w:szCs w:val="21"/>
              </w:rPr>
              <w:t>油烟</w:t>
            </w:r>
          </w:p>
        </w:tc>
        <w:tc>
          <w:tcPr>
            <w:tcW w:w="1417" w:type="dxa"/>
            <w:vAlign w:val="center"/>
          </w:tcPr>
          <w:p w14:paraId="14D9B893">
            <w:pPr>
              <w:pStyle w:val="55"/>
              <w:spacing w:beforeLines="0" w:afterLines="0" w:line="240" w:lineRule="auto"/>
              <w:rPr>
                <w:rFonts w:ascii="Times New Roman"/>
                <w:snapToGrid w:val="0"/>
                <w:color w:val="000000"/>
                <w:kern w:val="21"/>
                <w:szCs w:val="21"/>
              </w:rPr>
            </w:pPr>
            <w:r>
              <w:rPr>
                <w:rFonts w:ascii="Times New Roman"/>
                <w:snapToGrid w:val="0"/>
                <w:color w:val="000000"/>
                <w:kern w:val="21"/>
                <w:szCs w:val="21"/>
              </w:rPr>
              <w:t>/</w:t>
            </w:r>
          </w:p>
        </w:tc>
        <w:tc>
          <w:tcPr>
            <w:tcW w:w="1134" w:type="dxa"/>
            <w:vAlign w:val="center"/>
          </w:tcPr>
          <w:p w14:paraId="5B2E464C">
            <w:pPr>
              <w:pStyle w:val="55"/>
              <w:spacing w:beforeLines="0" w:afterLines="0" w:line="240" w:lineRule="auto"/>
              <w:rPr>
                <w:rFonts w:ascii="Times New Roman"/>
                <w:snapToGrid w:val="0"/>
                <w:color w:val="000000"/>
                <w:kern w:val="21"/>
                <w:szCs w:val="21"/>
              </w:rPr>
            </w:pPr>
            <w:r>
              <w:rPr>
                <w:rFonts w:ascii="Times New Roman"/>
                <w:snapToGrid w:val="0"/>
                <w:color w:val="000000"/>
                <w:kern w:val="21"/>
                <w:szCs w:val="21"/>
              </w:rPr>
              <w:t>/</w:t>
            </w:r>
          </w:p>
        </w:tc>
        <w:tc>
          <w:tcPr>
            <w:tcW w:w="1843" w:type="dxa"/>
            <w:vAlign w:val="center"/>
          </w:tcPr>
          <w:p w14:paraId="3172211A">
            <w:pPr>
              <w:pStyle w:val="55"/>
              <w:spacing w:beforeLines="0" w:afterLines="0" w:line="240" w:lineRule="auto"/>
              <w:rPr>
                <w:rFonts w:ascii="Times New Roman"/>
                <w:snapToGrid w:val="0"/>
                <w:color w:val="000000"/>
                <w:kern w:val="21"/>
                <w:szCs w:val="21"/>
              </w:rPr>
            </w:pPr>
            <w:r>
              <w:rPr>
                <w:rFonts w:ascii="Times New Roman"/>
                <w:snapToGrid w:val="0"/>
                <w:color w:val="000000"/>
                <w:kern w:val="21"/>
                <w:szCs w:val="21"/>
              </w:rPr>
              <w:t>/</w:t>
            </w:r>
          </w:p>
        </w:tc>
        <w:tc>
          <w:tcPr>
            <w:tcW w:w="1701" w:type="dxa"/>
            <w:vAlign w:val="center"/>
          </w:tcPr>
          <w:p w14:paraId="69AC39CF">
            <w:pPr>
              <w:adjustRightInd w:val="0"/>
              <w:snapToGrid w:val="0"/>
              <w:jc w:val="center"/>
              <w:rPr>
                <w:szCs w:val="21"/>
              </w:rPr>
            </w:pPr>
            <w:r>
              <w:rPr>
                <w:rFonts w:hint="eastAsia"/>
                <w:szCs w:val="21"/>
              </w:rPr>
              <w:t>0.024</w:t>
            </w:r>
            <w:r>
              <w:rPr>
                <w:bCs/>
                <w:color w:val="000000"/>
                <w:szCs w:val="21"/>
              </w:rPr>
              <w:t>t/a</w:t>
            </w:r>
          </w:p>
        </w:tc>
        <w:tc>
          <w:tcPr>
            <w:tcW w:w="1701" w:type="dxa"/>
            <w:vAlign w:val="center"/>
          </w:tcPr>
          <w:p w14:paraId="22215921">
            <w:pPr>
              <w:pStyle w:val="55"/>
              <w:spacing w:beforeLines="0" w:afterLines="0" w:line="240" w:lineRule="auto"/>
              <w:rPr>
                <w:rFonts w:ascii="Times New Roman"/>
                <w:snapToGrid w:val="0"/>
                <w:color w:val="000000"/>
                <w:kern w:val="21"/>
                <w:szCs w:val="21"/>
              </w:rPr>
            </w:pPr>
            <w:r>
              <w:rPr>
                <w:rFonts w:hint="eastAsia" w:ascii="Times New Roman"/>
                <w:snapToGrid w:val="0"/>
                <w:color w:val="000000"/>
                <w:kern w:val="21"/>
                <w:szCs w:val="21"/>
              </w:rPr>
              <w:t>/</w:t>
            </w:r>
          </w:p>
        </w:tc>
        <w:tc>
          <w:tcPr>
            <w:tcW w:w="1417" w:type="dxa"/>
            <w:vAlign w:val="center"/>
          </w:tcPr>
          <w:p w14:paraId="2A6544CF">
            <w:pPr>
              <w:adjustRightInd w:val="0"/>
              <w:snapToGrid w:val="0"/>
              <w:jc w:val="center"/>
              <w:rPr>
                <w:szCs w:val="21"/>
              </w:rPr>
            </w:pPr>
            <w:r>
              <w:rPr>
                <w:rFonts w:hint="eastAsia"/>
                <w:szCs w:val="21"/>
              </w:rPr>
              <w:t>0.024</w:t>
            </w:r>
            <w:r>
              <w:rPr>
                <w:bCs/>
                <w:color w:val="000000"/>
                <w:szCs w:val="21"/>
              </w:rPr>
              <w:t>t/a</w:t>
            </w:r>
          </w:p>
        </w:tc>
        <w:tc>
          <w:tcPr>
            <w:tcW w:w="1276" w:type="dxa"/>
            <w:vAlign w:val="center"/>
          </w:tcPr>
          <w:p w14:paraId="6F32CA9F">
            <w:pPr>
              <w:adjustRightInd w:val="0"/>
              <w:snapToGrid w:val="0"/>
              <w:jc w:val="center"/>
              <w:rPr>
                <w:szCs w:val="21"/>
              </w:rPr>
            </w:pPr>
            <w:r>
              <w:rPr>
                <w:rFonts w:hint="eastAsia"/>
                <w:szCs w:val="21"/>
              </w:rPr>
              <w:t>+0.024</w:t>
            </w:r>
            <w:r>
              <w:rPr>
                <w:bCs/>
                <w:color w:val="000000"/>
                <w:szCs w:val="21"/>
              </w:rPr>
              <w:t>t/a</w:t>
            </w:r>
          </w:p>
        </w:tc>
      </w:tr>
      <w:tr w14:paraId="658D70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62" w:type="dxa"/>
            <w:vMerge w:val="continue"/>
            <w:vAlign w:val="center"/>
          </w:tcPr>
          <w:p w14:paraId="1CA758BC">
            <w:pPr>
              <w:pStyle w:val="55"/>
              <w:spacing w:beforeLines="0" w:afterLines="0" w:line="240" w:lineRule="auto"/>
              <w:rPr>
                <w:rFonts w:ascii="Times New Roman"/>
                <w:snapToGrid w:val="0"/>
                <w:color w:val="000000"/>
                <w:kern w:val="21"/>
                <w:szCs w:val="21"/>
              </w:rPr>
            </w:pPr>
          </w:p>
        </w:tc>
        <w:tc>
          <w:tcPr>
            <w:tcW w:w="2127" w:type="dxa"/>
            <w:vAlign w:val="center"/>
          </w:tcPr>
          <w:p w14:paraId="6B3D20DF">
            <w:pPr>
              <w:pStyle w:val="11"/>
              <w:snapToGrid w:val="0"/>
              <w:ind w:firstLine="0" w:firstLineChars="0"/>
              <w:jc w:val="center"/>
              <w:rPr>
                <w:color w:val="000000"/>
                <w:szCs w:val="21"/>
              </w:rPr>
            </w:pPr>
            <w:r>
              <w:rPr>
                <w:rFonts w:hint="eastAsia"/>
                <w:color w:val="000000"/>
                <w:szCs w:val="21"/>
              </w:rPr>
              <w:t>NH</w:t>
            </w:r>
            <w:r>
              <w:rPr>
                <w:rFonts w:hint="eastAsia"/>
                <w:color w:val="000000"/>
                <w:szCs w:val="21"/>
                <w:vertAlign w:val="subscript"/>
              </w:rPr>
              <w:t>3</w:t>
            </w:r>
          </w:p>
        </w:tc>
        <w:tc>
          <w:tcPr>
            <w:tcW w:w="1417" w:type="dxa"/>
            <w:vAlign w:val="center"/>
          </w:tcPr>
          <w:p w14:paraId="04ACF7F9">
            <w:pPr>
              <w:pStyle w:val="55"/>
              <w:spacing w:beforeLines="0" w:afterLines="0" w:line="240" w:lineRule="auto"/>
              <w:rPr>
                <w:rFonts w:ascii="Times New Roman"/>
                <w:snapToGrid w:val="0"/>
                <w:color w:val="000000"/>
                <w:kern w:val="21"/>
                <w:szCs w:val="21"/>
              </w:rPr>
            </w:pPr>
            <w:r>
              <w:rPr>
                <w:rFonts w:ascii="Times New Roman"/>
                <w:snapToGrid w:val="0"/>
                <w:color w:val="000000"/>
                <w:kern w:val="21"/>
                <w:szCs w:val="21"/>
              </w:rPr>
              <w:t>/</w:t>
            </w:r>
          </w:p>
        </w:tc>
        <w:tc>
          <w:tcPr>
            <w:tcW w:w="1134" w:type="dxa"/>
            <w:vAlign w:val="center"/>
          </w:tcPr>
          <w:p w14:paraId="0BE7C8B9">
            <w:pPr>
              <w:pStyle w:val="55"/>
              <w:spacing w:beforeLines="0" w:afterLines="0" w:line="240" w:lineRule="auto"/>
              <w:rPr>
                <w:rFonts w:ascii="Times New Roman"/>
                <w:snapToGrid w:val="0"/>
                <w:color w:val="000000"/>
                <w:kern w:val="21"/>
                <w:szCs w:val="21"/>
              </w:rPr>
            </w:pPr>
            <w:r>
              <w:rPr>
                <w:rFonts w:ascii="Times New Roman"/>
                <w:snapToGrid w:val="0"/>
                <w:color w:val="000000"/>
                <w:kern w:val="21"/>
                <w:szCs w:val="21"/>
              </w:rPr>
              <w:t>/</w:t>
            </w:r>
          </w:p>
        </w:tc>
        <w:tc>
          <w:tcPr>
            <w:tcW w:w="1843" w:type="dxa"/>
            <w:vAlign w:val="center"/>
          </w:tcPr>
          <w:p w14:paraId="7BAA4CE0">
            <w:pPr>
              <w:pStyle w:val="55"/>
              <w:spacing w:beforeLines="0" w:afterLines="0" w:line="240" w:lineRule="auto"/>
              <w:rPr>
                <w:rFonts w:ascii="Times New Roman"/>
                <w:snapToGrid w:val="0"/>
                <w:color w:val="000000"/>
                <w:kern w:val="21"/>
                <w:szCs w:val="21"/>
              </w:rPr>
            </w:pPr>
            <w:r>
              <w:rPr>
                <w:rFonts w:ascii="Times New Roman"/>
                <w:snapToGrid w:val="0"/>
                <w:color w:val="000000"/>
                <w:kern w:val="21"/>
                <w:szCs w:val="21"/>
              </w:rPr>
              <w:t>/</w:t>
            </w:r>
          </w:p>
        </w:tc>
        <w:tc>
          <w:tcPr>
            <w:tcW w:w="1701" w:type="dxa"/>
            <w:vAlign w:val="center"/>
          </w:tcPr>
          <w:p w14:paraId="1E4C3DC6">
            <w:pPr>
              <w:adjustRightInd w:val="0"/>
              <w:snapToGrid w:val="0"/>
              <w:jc w:val="center"/>
              <w:rPr>
                <w:color w:val="000000"/>
                <w:szCs w:val="21"/>
              </w:rPr>
            </w:pPr>
            <w:r>
              <w:rPr>
                <w:color w:val="000000"/>
                <w:szCs w:val="21"/>
              </w:rPr>
              <w:t>0.</w:t>
            </w:r>
            <w:r>
              <w:rPr>
                <w:rFonts w:hint="eastAsia"/>
                <w:color w:val="000000"/>
                <w:szCs w:val="21"/>
              </w:rPr>
              <w:t>34</w:t>
            </w:r>
            <w:r>
              <w:rPr>
                <w:bCs/>
                <w:color w:val="000000"/>
                <w:szCs w:val="21"/>
              </w:rPr>
              <w:t>t/a</w:t>
            </w:r>
          </w:p>
        </w:tc>
        <w:tc>
          <w:tcPr>
            <w:tcW w:w="1701" w:type="dxa"/>
            <w:vAlign w:val="center"/>
          </w:tcPr>
          <w:p w14:paraId="7FBACC4D">
            <w:pPr>
              <w:pStyle w:val="55"/>
              <w:spacing w:beforeLines="0" w:afterLines="0" w:line="240" w:lineRule="auto"/>
              <w:rPr>
                <w:rFonts w:ascii="Times New Roman"/>
                <w:snapToGrid w:val="0"/>
                <w:color w:val="000000"/>
                <w:kern w:val="21"/>
                <w:szCs w:val="21"/>
              </w:rPr>
            </w:pPr>
            <w:r>
              <w:rPr>
                <w:rFonts w:ascii="Times New Roman"/>
                <w:snapToGrid w:val="0"/>
                <w:color w:val="000000"/>
                <w:kern w:val="21"/>
                <w:szCs w:val="21"/>
              </w:rPr>
              <w:t>/</w:t>
            </w:r>
          </w:p>
        </w:tc>
        <w:tc>
          <w:tcPr>
            <w:tcW w:w="1417" w:type="dxa"/>
            <w:vAlign w:val="center"/>
          </w:tcPr>
          <w:p w14:paraId="2A77C0B4">
            <w:pPr>
              <w:adjustRightInd w:val="0"/>
              <w:snapToGrid w:val="0"/>
              <w:jc w:val="center"/>
              <w:rPr>
                <w:color w:val="000000"/>
                <w:szCs w:val="21"/>
              </w:rPr>
            </w:pPr>
            <w:r>
              <w:rPr>
                <w:color w:val="000000"/>
                <w:szCs w:val="21"/>
              </w:rPr>
              <w:t>0.</w:t>
            </w:r>
            <w:r>
              <w:rPr>
                <w:rFonts w:hint="eastAsia"/>
                <w:color w:val="000000"/>
                <w:szCs w:val="21"/>
              </w:rPr>
              <w:t>34</w:t>
            </w:r>
            <w:r>
              <w:rPr>
                <w:bCs/>
                <w:color w:val="000000"/>
                <w:szCs w:val="21"/>
              </w:rPr>
              <w:t>t/a</w:t>
            </w:r>
          </w:p>
        </w:tc>
        <w:tc>
          <w:tcPr>
            <w:tcW w:w="1276" w:type="dxa"/>
            <w:vAlign w:val="center"/>
          </w:tcPr>
          <w:p w14:paraId="438A2978">
            <w:pPr>
              <w:adjustRightInd w:val="0"/>
              <w:snapToGrid w:val="0"/>
              <w:jc w:val="center"/>
              <w:rPr>
                <w:color w:val="000000"/>
                <w:szCs w:val="21"/>
              </w:rPr>
            </w:pPr>
            <w:r>
              <w:rPr>
                <w:rFonts w:hint="eastAsia"/>
                <w:szCs w:val="21"/>
              </w:rPr>
              <w:t>+</w:t>
            </w:r>
            <w:r>
              <w:rPr>
                <w:color w:val="000000"/>
                <w:szCs w:val="21"/>
              </w:rPr>
              <w:t>0.</w:t>
            </w:r>
            <w:r>
              <w:rPr>
                <w:rFonts w:hint="eastAsia"/>
                <w:color w:val="000000"/>
                <w:szCs w:val="21"/>
              </w:rPr>
              <w:t>34</w:t>
            </w:r>
            <w:r>
              <w:rPr>
                <w:bCs/>
                <w:color w:val="000000"/>
                <w:szCs w:val="21"/>
              </w:rPr>
              <w:t>t/a</w:t>
            </w:r>
          </w:p>
        </w:tc>
      </w:tr>
      <w:tr w14:paraId="18A2CA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62" w:type="dxa"/>
            <w:vMerge w:val="continue"/>
            <w:vAlign w:val="center"/>
          </w:tcPr>
          <w:p w14:paraId="646DB389">
            <w:pPr>
              <w:pStyle w:val="55"/>
              <w:spacing w:beforeLines="0" w:afterLines="0" w:line="240" w:lineRule="auto"/>
              <w:rPr>
                <w:rFonts w:ascii="Times New Roman"/>
                <w:snapToGrid w:val="0"/>
                <w:color w:val="000000"/>
                <w:kern w:val="21"/>
                <w:szCs w:val="21"/>
              </w:rPr>
            </w:pPr>
          </w:p>
        </w:tc>
        <w:tc>
          <w:tcPr>
            <w:tcW w:w="2127" w:type="dxa"/>
            <w:vAlign w:val="center"/>
          </w:tcPr>
          <w:p w14:paraId="6606C965">
            <w:pPr>
              <w:pStyle w:val="11"/>
              <w:snapToGrid w:val="0"/>
              <w:ind w:firstLine="0" w:firstLineChars="0"/>
              <w:jc w:val="center"/>
              <w:rPr>
                <w:color w:val="000000"/>
                <w:szCs w:val="21"/>
              </w:rPr>
            </w:pPr>
            <w:r>
              <w:rPr>
                <w:rFonts w:hint="eastAsia"/>
                <w:color w:val="000000"/>
                <w:szCs w:val="21"/>
              </w:rPr>
              <w:t>H</w:t>
            </w:r>
            <w:r>
              <w:rPr>
                <w:rFonts w:hint="eastAsia"/>
                <w:color w:val="000000"/>
                <w:szCs w:val="21"/>
                <w:vertAlign w:val="subscript"/>
              </w:rPr>
              <w:t>2</w:t>
            </w:r>
            <w:r>
              <w:rPr>
                <w:rFonts w:hint="eastAsia"/>
                <w:color w:val="000000"/>
                <w:szCs w:val="21"/>
              </w:rPr>
              <w:t>S</w:t>
            </w:r>
          </w:p>
        </w:tc>
        <w:tc>
          <w:tcPr>
            <w:tcW w:w="1417" w:type="dxa"/>
            <w:vAlign w:val="center"/>
          </w:tcPr>
          <w:p w14:paraId="36BF4EC3">
            <w:pPr>
              <w:pStyle w:val="55"/>
              <w:spacing w:beforeLines="0" w:afterLines="0" w:line="240" w:lineRule="auto"/>
              <w:rPr>
                <w:rFonts w:ascii="Times New Roman"/>
                <w:snapToGrid w:val="0"/>
                <w:color w:val="000000"/>
                <w:kern w:val="21"/>
                <w:szCs w:val="21"/>
              </w:rPr>
            </w:pPr>
            <w:r>
              <w:rPr>
                <w:rFonts w:ascii="Times New Roman"/>
                <w:snapToGrid w:val="0"/>
                <w:color w:val="000000"/>
                <w:kern w:val="21"/>
                <w:szCs w:val="21"/>
              </w:rPr>
              <w:t>/</w:t>
            </w:r>
          </w:p>
        </w:tc>
        <w:tc>
          <w:tcPr>
            <w:tcW w:w="1134" w:type="dxa"/>
            <w:vAlign w:val="center"/>
          </w:tcPr>
          <w:p w14:paraId="38D34000">
            <w:pPr>
              <w:pStyle w:val="55"/>
              <w:spacing w:beforeLines="0" w:afterLines="0" w:line="240" w:lineRule="auto"/>
              <w:rPr>
                <w:rFonts w:ascii="Times New Roman"/>
                <w:snapToGrid w:val="0"/>
                <w:color w:val="000000"/>
                <w:kern w:val="21"/>
                <w:szCs w:val="21"/>
              </w:rPr>
            </w:pPr>
            <w:r>
              <w:rPr>
                <w:rFonts w:ascii="Times New Roman"/>
                <w:snapToGrid w:val="0"/>
                <w:color w:val="000000"/>
                <w:kern w:val="21"/>
                <w:szCs w:val="21"/>
              </w:rPr>
              <w:t>/</w:t>
            </w:r>
          </w:p>
        </w:tc>
        <w:tc>
          <w:tcPr>
            <w:tcW w:w="1843" w:type="dxa"/>
            <w:vAlign w:val="center"/>
          </w:tcPr>
          <w:p w14:paraId="6833670A">
            <w:pPr>
              <w:pStyle w:val="55"/>
              <w:spacing w:beforeLines="0" w:afterLines="0" w:line="240" w:lineRule="auto"/>
              <w:rPr>
                <w:rFonts w:ascii="Times New Roman"/>
                <w:snapToGrid w:val="0"/>
                <w:color w:val="000000"/>
                <w:kern w:val="21"/>
                <w:szCs w:val="21"/>
              </w:rPr>
            </w:pPr>
            <w:r>
              <w:rPr>
                <w:rFonts w:ascii="Times New Roman"/>
                <w:snapToGrid w:val="0"/>
                <w:color w:val="000000"/>
                <w:kern w:val="21"/>
                <w:szCs w:val="21"/>
              </w:rPr>
              <w:t>/</w:t>
            </w:r>
          </w:p>
        </w:tc>
        <w:tc>
          <w:tcPr>
            <w:tcW w:w="1701" w:type="dxa"/>
            <w:vAlign w:val="center"/>
          </w:tcPr>
          <w:p w14:paraId="5D0DF6A9">
            <w:pPr>
              <w:adjustRightInd w:val="0"/>
              <w:snapToGrid w:val="0"/>
              <w:jc w:val="center"/>
              <w:rPr>
                <w:color w:val="000000"/>
                <w:szCs w:val="21"/>
              </w:rPr>
            </w:pPr>
            <w:r>
              <w:rPr>
                <w:color w:val="000000"/>
                <w:szCs w:val="21"/>
              </w:rPr>
              <w:t>0.</w:t>
            </w:r>
            <w:r>
              <w:rPr>
                <w:rFonts w:hint="eastAsia"/>
                <w:color w:val="000000"/>
                <w:szCs w:val="21"/>
              </w:rPr>
              <w:t>07</w:t>
            </w:r>
            <w:r>
              <w:rPr>
                <w:bCs/>
                <w:color w:val="000000"/>
                <w:szCs w:val="21"/>
              </w:rPr>
              <w:t>t/a</w:t>
            </w:r>
          </w:p>
        </w:tc>
        <w:tc>
          <w:tcPr>
            <w:tcW w:w="1701" w:type="dxa"/>
            <w:vAlign w:val="center"/>
          </w:tcPr>
          <w:p w14:paraId="0DE12547">
            <w:pPr>
              <w:pStyle w:val="55"/>
              <w:spacing w:beforeLines="0" w:afterLines="0" w:line="240" w:lineRule="auto"/>
              <w:rPr>
                <w:rFonts w:ascii="Times New Roman"/>
                <w:snapToGrid w:val="0"/>
                <w:color w:val="000000"/>
                <w:kern w:val="21"/>
                <w:szCs w:val="21"/>
              </w:rPr>
            </w:pPr>
            <w:r>
              <w:rPr>
                <w:rFonts w:ascii="Times New Roman"/>
                <w:snapToGrid w:val="0"/>
                <w:color w:val="000000"/>
                <w:kern w:val="21"/>
                <w:szCs w:val="21"/>
              </w:rPr>
              <w:t>/</w:t>
            </w:r>
          </w:p>
        </w:tc>
        <w:tc>
          <w:tcPr>
            <w:tcW w:w="1417" w:type="dxa"/>
            <w:vAlign w:val="center"/>
          </w:tcPr>
          <w:p w14:paraId="4BEDDD63">
            <w:pPr>
              <w:adjustRightInd w:val="0"/>
              <w:snapToGrid w:val="0"/>
              <w:jc w:val="center"/>
              <w:rPr>
                <w:color w:val="000000"/>
                <w:szCs w:val="21"/>
              </w:rPr>
            </w:pPr>
            <w:r>
              <w:rPr>
                <w:color w:val="000000"/>
                <w:szCs w:val="21"/>
              </w:rPr>
              <w:t>0.</w:t>
            </w:r>
            <w:r>
              <w:rPr>
                <w:rFonts w:hint="eastAsia"/>
                <w:color w:val="000000"/>
                <w:szCs w:val="21"/>
              </w:rPr>
              <w:t>07</w:t>
            </w:r>
            <w:r>
              <w:rPr>
                <w:bCs/>
                <w:color w:val="000000"/>
                <w:szCs w:val="21"/>
              </w:rPr>
              <w:t>t/a</w:t>
            </w:r>
          </w:p>
        </w:tc>
        <w:tc>
          <w:tcPr>
            <w:tcW w:w="1276" w:type="dxa"/>
            <w:vAlign w:val="center"/>
          </w:tcPr>
          <w:p w14:paraId="0544E865">
            <w:pPr>
              <w:adjustRightInd w:val="0"/>
              <w:snapToGrid w:val="0"/>
              <w:jc w:val="center"/>
              <w:rPr>
                <w:color w:val="000000"/>
                <w:szCs w:val="21"/>
              </w:rPr>
            </w:pPr>
            <w:r>
              <w:rPr>
                <w:rFonts w:hint="eastAsia"/>
                <w:szCs w:val="21"/>
              </w:rPr>
              <w:t>+</w:t>
            </w:r>
            <w:r>
              <w:rPr>
                <w:color w:val="000000"/>
                <w:szCs w:val="21"/>
              </w:rPr>
              <w:t>0.</w:t>
            </w:r>
            <w:r>
              <w:rPr>
                <w:rFonts w:hint="eastAsia"/>
                <w:color w:val="000000"/>
                <w:szCs w:val="21"/>
              </w:rPr>
              <w:t>07</w:t>
            </w:r>
            <w:r>
              <w:rPr>
                <w:bCs/>
                <w:color w:val="000000"/>
                <w:szCs w:val="21"/>
              </w:rPr>
              <w:t>t/a</w:t>
            </w:r>
          </w:p>
        </w:tc>
      </w:tr>
      <w:tr w14:paraId="08D107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62" w:type="dxa"/>
            <w:vMerge w:val="continue"/>
            <w:vAlign w:val="center"/>
          </w:tcPr>
          <w:p w14:paraId="23F9B341">
            <w:pPr>
              <w:pStyle w:val="55"/>
              <w:spacing w:beforeLines="0" w:afterLines="0" w:line="240" w:lineRule="auto"/>
              <w:rPr>
                <w:rFonts w:ascii="Times New Roman"/>
                <w:snapToGrid w:val="0"/>
                <w:color w:val="000000"/>
                <w:kern w:val="21"/>
                <w:szCs w:val="21"/>
              </w:rPr>
            </w:pPr>
          </w:p>
        </w:tc>
        <w:tc>
          <w:tcPr>
            <w:tcW w:w="2127" w:type="dxa"/>
            <w:vAlign w:val="center"/>
          </w:tcPr>
          <w:p w14:paraId="1A5ECB4F">
            <w:pPr>
              <w:pStyle w:val="70"/>
              <w:spacing w:line="240" w:lineRule="auto"/>
              <w:ind w:firstLine="0" w:firstLineChars="0"/>
              <w:jc w:val="center"/>
              <w:rPr>
                <w:color w:val="auto"/>
                <w:sz w:val="21"/>
                <w:szCs w:val="21"/>
              </w:rPr>
            </w:pPr>
            <w:r>
              <w:rPr>
                <w:rFonts w:hint="eastAsia"/>
                <w:color w:val="auto"/>
                <w:sz w:val="21"/>
                <w:szCs w:val="21"/>
              </w:rPr>
              <w:t>颗粒物</w:t>
            </w:r>
          </w:p>
        </w:tc>
        <w:tc>
          <w:tcPr>
            <w:tcW w:w="1417" w:type="dxa"/>
            <w:vAlign w:val="center"/>
          </w:tcPr>
          <w:p w14:paraId="6A8038EB">
            <w:pPr>
              <w:pStyle w:val="55"/>
              <w:spacing w:beforeLines="0" w:afterLines="0" w:line="240" w:lineRule="auto"/>
              <w:rPr>
                <w:rFonts w:ascii="Times New Roman"/>
                <w:snapToGrid w:val="0"/>
                <w:color w:val="000000"/>
                <w:kern w:val="21"/>
                <w:szCs w:val="21"/>
              </w:rPr>
            </w:pPr>
            <w:r>
              <w:rPr>
                <w:rFonts w:ascii="Times New Roman"/>
                <w:snapToGrid w:val="0"/>
                <w:color w:val="000000"/>
                <w:kern w:val="21"/>
                <w:szCs w:val="21"/>
              </w:rPr>
              <w:t>/</w:t>
            </w:r>
          </w:p>
        </w:tc>
        <w:tc>
          <w:tcPr>
            <w:tcW w:w="1134" w:type="dxa"/>
            <w:vAlign w:val="center"/>
          </w:tcPr>
          <w:p w14:paraId="08158529">
            <w:pPr>
              <w:pStyle w:val="55"/>
              <w:spacing w:beforeLines="0" w:afterLines="0" w:line="240" w:lineRule="auto"/>
              <w:rPr>
                <w:rFonts w:ascii="Times New Roman"/>
                <w:snapToGrid w:val="0"/>
                <w:color w:val="000000"/>
                <w:kern w:val="21"/>
                <w:szCs w:val="21"/>
              </w:rPr>
            </w:pPr>
            <w:r>
              <w:rPr>
                <w:rFonts w:ascii="Times New Roman"/>
                <w:snapToGrid w:val="0"/>
                <w:color w:val="000000"/>
                <w:kern w:val="21"/>
                <w:szCs w:val="21"/>
              </w:rPr>
              <w:t>/</w:t>
            </w:r>
          </w:p>
        </w:tc>
        <w:tc>
          <w:tcPr>
            <w:tcW w:w="1843" w:type="dxa"/>
            <w:vAlign w:val="center"/>
          </w:tcPr>
          <w:p w14:paraId="43F4ED92">
            <w:pPr>
              <w:pStyle w:val="55"/>
              <w:spacing w:beforeLines="0" w:afterLines="0" w:line="240" w:lineRule="auto"/>
              <w:rPr>
                <w:rFonts w:ascii="Times New Roman"/>
                <w:snapToGrid w:val="0"/>
                <w:color w:val="000000"/>
                <w:kern w:val="21"/>
                <w:szCs w:val="21"/>
              </w:rPr>
            </w:pPr>
            <w:r>
              <w:rPr>
                <w:rFonts w:ascii="Times New Roman"/>
                <w:snapToGrid w:val="0"/>
                <w:color w:val="000000"/>
                <w:kern w:val="21"/>
                <w:szCs w:val="21"/>
              </w:rPr>
              <w:t>/</w:t>
            </w:r>
          </w:p>
        </w:tc>
        <w:tc>
          <w:tcPr>
            <w:tcW w:w="1701" w:type="dxa"/>
            <w:vAlign w:val="center"/>
          </w:tcPr>
          <w:p w14:paraId="678A55A1">
            <w:pPr>
              <w:jc w:val="center"/>
              <w:rPr>
                <w:bCs/>
                <w:color w:val="000000"/>
                <w:szCs w:val="21"/>
              </w:rPr>
            </w:pPr>
            <w:r>
              <w:rPr>
                <w:rFonts w:hint="eastAsia"/>
                <w:bCs/>
                <w:color w:val="000000"/>
                <w:szCs w:val="21"/>
              </w:rPr>
              <w:t>0.0514</w:t>
            </w:r>
            <w:r>
              <w:rPr>
                <w:bCs/>
                <w:color w:val="000000"/>
                <w:szCs w:val="21"/>
              </w:rPr>
              <w:t>t/a</w:t>
            </w:r>
          </w:p>
        </w:tc>
        <w:tc>
          <w:tcPr>
            <w:tcW w:w="1701" w:type="dxa"/>
            <w:vAlign w:val="center"/>
          </w:tcPr>
          <w:p w14:paraId="28A374AC">
            <w:pPr>
              <w:pStyle w:val="55"/>
              <w:spacing w:beforeLines="0" w:afterLines="0" w:line="240" w:lineRule="auto"/>
              <w:rPr>
                <w:rFonts w:ascii="Times New Roman"/>
                <w:snapToGrid w:val="0"/>
                <w:color w:val="000000"/>
                <w:kern w:val="21"/>
                <w:szCs w:val="21"/>
              </w:rPr>
            </w:pPr>
            <w:r>
              <w:rPr>
                <w:rFonts w:hint="eastAsia" w:ascii="Times New Roman"/>
                <w:snapToGrid w:val="0"/>
                <w:color w:val="000000"/>
                <w:kern w:val="21"/>
                <w:szCs w:val="21"/>
              </w:rPr>
              <w:t>/</w:t>
            </w:r>
          </w:p>
        </w:tc>
        <w:tc>
          <w:tcPr>
            <w:tcW w:w="1417" w:type="dxa"/>
            <w:vAlign w:val="center"/>
          </w:tcPr>
          <w:p w14:paraId="04A269A4">
            <w:pPr>
              <w:jc w:val="center"/>
              <w:rPr>
                <w:bCs/>
                <w:color w:val="000000"/>
                <w:szCs w:val="21"/>
              </w:rPr>
            </w:pPr>
            <w:r>
              <w:rPr>
                <w:rFonts w:hint="eastAsia"/>
                <w:bCs/>
                <w:color w:val="000000"/>
                <w:szCs w:val="21"/>
              </w:rPr>
              <w:t>0.0514</w:t>
            </w:r>
            <w:r>
              <w:rPr>
                <w:bCs/>
                <w:color w:val="000000"/>
                <w:szCs w:val="21"/>
              </w:rPr>
              <w:t>t/a</w:t>
            </w:r>
          </w:p>
        </w:tc>
        <w:tc>
          <w:tcPr>
            <w:tcW w:w="1276" w:type="dxa"/>
            <w:vAlign w:val="center"/>
          </w:tcPr>
          <w:p w14:paraId="79FD0304">
            <w:pPr>
              <w:jc w:val="center"/>
              <w:rPr>
                <w:bCs/>
                <w:color w:val="000000"/>
                <w:szCs w:val="21"/>
              </w:rPr>
            </w:pPr>
            <w:r>
              <w:rPr>
                <w:rFonts w:hint="eastAsia"/>
                <w:bCs/>
                <w:color w:val="000000"/>
                <w:szCs w:val="21"/>
              </w:rPr>
              <w:t>+0.0514</w:t>
            </w:r>
            <w:r>
              <w:rPr>
                <w:bCs/>
                <w:color w:val="000000"/>
                <w:szCs w:val="21"/>
              </w:rPr>
              <w:t>t/a</w:t>
            </w:r>
          </w:p>
        </w:tc>
      </w:tr>
      <w:tr w14:paraId="1AA13D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62" w:type="dxa"/>
            <w:vMerge w:val="continue"/>
            <w:vAlign w:val="center"/>
          </w:tcPr>
          <w:p w14:paraId="1C88F400">
            <w:pPr>
              <w:pStyle w:val="55"/>
              <w:spacing w:beforeLines="0" w:afterLines="0" w:line="240" w:lineRule="auto"/>
              <w:rPr>
                <w:rFonts w:ascii="Times New Roman"/>
                <w:snapToGrid w:val="0"/>
                <w:color w:val="000000"/>
                <w:kern w:val="21"/>
                <w:szCs w:val="21"/>
              </w:rPr>
            </w:pPr>
          </w:p>
        </w:tc>
        <w:tc>
          <w:tcPr>
            <w:tcW w:w="2127" w:type="dxa"/>
            <w:vAlign w:val="center"/>
          </w:tcPr>
          <w:p w14:paraId="4F04F458">
            <w:pPr>
              <w:pStyle w:val="70"/>
              <w:spacing w:line="240" w:lineRule="auto"/>
              <w:ind w:firstLine="0" w:firstLineChars="0"/>
              <w:jc w:val="center"/>
              <w:rPr>
                <w:color w:val="auto"/>
                <w:sz w:val="21"/>
                <w:szCs w:val="21"/>
              </w:rPr>
            </w:pPr>
            <w:r>
              <w:rPr>
                <w:rFonts w:hint="eastAsia"/>
                <w:color w:val="auto"/>
                <w:sz w:val="21"/>
                <w:szCs w:val="21"/>
              </w:rPr>
              <w:t>SO</w:t>
            </w:r>
            <w:r>
              <w:rPr>
                <w:rFonts w:hint="eastAsia"/>
                <w:color w:val="auto"/>
                <w:sz w:val="21"/>
                <w:szCs w:val="21"/>
                <w:vertAlign w:val="subscript"/>
              </w:rPr>
              <w:t>2</w:t>
            </w:r>
          </w:p>
        </w:tc>
        <w:tc>
          <w:tcPr>
            <w:tcW w:w="1417" w:type="dxa"/>
            <w:vAlign w:val="center"/>
          </w:tcPr>
          <w:p w14:paraId="2F1F5B64">
            <w:pPr>
              <w:pStyle w:val="55"/>
              <w:spacing w:beforeLines="0" w:afterLines="0" w:line="240" w:lineRule="auto"/>
              <w:rPr>
                <w:rFonts w:ascii="Times New Roman"/>
                <w:snapToGrid w:val="0"/>
                <w:color w:val="000000"/>
                <w:kern w:val="21"/>
                <w:szCs w:val="21"/>
              </w:rPr>
            </w:pPr>
            <w:r>
              <w:rPr>
                <w:rFonts w:ascii="Times New Roman"/>
                <w:snapToGrid w:val="0"/>
                <w:color w:val="000000"/>
                <w:kern w:val="21"/>
                <w:szCs w:val="21"/>
              </w:rPr>
              <w:t>/</w:t>
            </w:r>
          </w:p>
        </w:tc>
        <w:tc>
          <w:tcPr>
            <w:tcW w:w="1134" w:type="dxa"/>
            <w:vAlign w:val="center"/>
          </w:tcPr>
          <w:p w14:paraId="3E946D2B">
            <w:pPr>
              <w:pStyle w:val="55"/>
              <w:spacing w:beforeLines="0" w:afterLines="0" w:line="240" w:lineRule="auto"/>
              <w:rPr>
                <w:rFonts w:ascii="Times New Roman"/>
                <w:snapToGrid w:val="0"/>
                <w:color w:val="000000"/>
                <w:kern w:val="21"/>
                <w:szCs w:val="21"/>
              </w:rPr>
            </w:pPr>
            <w:r>
              <w:rPr>
                <w:rFonts w:ascii="Times New Roman"/>
                <w:snapToGrid w:val="0"/>
                <w:color w:val="000000"/>
                <w:kern w:val="21"/>
                <w:szCs w:val="21"/>
              </w:rPr>
              <w:t>/</w:t>
            </w:r>
          </w:p>
        </w:tc>
        <w:tc>
          <w:tcPr>
            <w:tcW w:w="1843" w:type="dxa"/>
            <w:vAlign w:val="center"/>
          </w:tcPr>
          <w:p w14:paraId="36E53029">
            <w:pPr>
              <w:pStyle w:val="55"/>
              <w:spacing w:beforeLines="0" w:afterLines="0" w:line="240" w:lineRule="auto"/>
              <w:rPr>
                <w:rFonts w:ascii="Times New Roman"/>
                <w:snapToGrid w:val="0"/>
                <w:color w:val="000000"/>
                <w:kern w:val="21"/>
                <w:szCs w:val="21"/>
              </w:rPr>
            </w:pPr>
            <w:r>
              <w:rPr>
                <w:rFonts w:ascii="Times New Roman"/>
                <w:snapToGrid w:val="0"/>
                <w:color w:val="000000"/>
                <w:kern w:val="21"/>
                <w:szCs w:val="21"/>
              </w:rPr>
              <w:t>/</w:t>
            </w:r>
          </w:p>
        </w:tc>
        <w:tc>
          <w:tcPr>
            <w:tcW w:w="1701" w:type="dxa"/>
            <w:vAlign w:val="center"/>
          </w:tcPr>
          <w:p w14:paraId="6E548751">
            <w:pPr>
              <w:jc w:val="center"/>
              <w:rPr>
                <w:bCs/>
                <w:color w:val="000000"/>
                <w:szCs w:val="21"/>
              </w:rPr>
            </w:pPr>
            <w:r>
              <w:rPr>
                <w:rFonts w:hint="eastAsia"/>
                <w:bCs/>
                <w:color w:val="000000"/>
                <w:szCs w:val="21"/>
              </w:rPr>
              <w:t>0.0387</w:t>
            </w:r>
            <w:r>
              <w:rPr>
                <w:bCs/>
                <w:color w:val="000000"/>
                <w:szCs w:val="21"/>
              </w:rPr>
              <w:t>t/a</w:t>
            </w:r>
          </w:p>
        </w:tc>
        <w:tc>
          <w:tcPr>
            <w:tcW w:w="1701" w:type="dxa"/>
            <w:vAlign w:val="center"/>
          </w:tcPr>
          <w:p w14:paraId="5F8BA21B">
            <w:pPr>
              <w:pStyle w:val="55"/>
              <w:spacing w:beforeLines="0" w:afterLines="0" w:line="240" w:lineRule="auto"/>
              <w:rPr>
                <w:rFonts w:ascii="Times New Roman"/>
                <w:snapToGrid w:val="0"/>
                <w:color w:val="000000"/>
                <w:kern w:val="21"/>
                <w:szCs w:val="21"/>
              </w:rPr>
            </w:pPr>
            <w:r>
              <w:rPr>
                <w:rFonts w:hint="eastAsia" w:ascii="Times New Roman"/>
                <w:snapToGrid w:val="0"/>
                <w:color w:val="000000"/>
                <w:kern w:val="21"/>
                <w:szCs w:val="21"/>
              </w:rPr>
              <w:t>/</w:t>
            </w:r>
          </w:p>
        </w:tc>
        <w:tc>
          <w:tcPr>
            <w:tcW w:w="1417" w:type="dxa"/>
            <w:vAlign w:val="center"/>
          </w:tcPr>
          <w:p w14:paraId="007EA100">
            <w:pPr>
              <w:jc w:val="center"/>
              <w:rPr>
                <w:bCs/>
                <w:color w:val="000000"/>
                <w:szCs w:val="21"/>
              </w:rPr>
            </w:pPr>
            <w:r>
              <w:rPr>
                <w:rFonts w:hint="eastAsia"/>
                <w:bCs/>
                <w:color w:val="000000"/>
                <w:szCs w:val="21"/>
              </w:rPr>
              <w:t>0.0387</w:t>
            </w:r>
            <w:r>
              <w:rPr>
                <w:bCs/>
                <w:color w:val="000000"/>
                <w:szCs w:val="21"/>
              </w:rPr>
              <w:t>t/a</w:t>
            </w:r>
          </w:p>
        </w:tc>
        <w:tc>
          <w:tcPr>
            <w:tcW w:w="1276" w:type="dxa"/>
            <w:vAlign w:val="center"/>
          </w:tcPr>
          <w:p w14:paraId="6FC9082D">
            <w:pPr>
              <w:jc w:val="center"/>
              <w:rPr>
                <w:bCs/>
                <w:color w:val="000000"/>
                <w:szCs w:val="21"/>
              </w:rPr>
            </w:pPr>
            <w:r>
              <w:rPr>
                <w:rFonts w:hint="eastAsia"/>
                <w:bCs/>
                <w:color w:val="000000"/>
                <w:szCs w:val="21"/>
              </w:rPr>
              <w:t>+0.0387</w:t>
            </w:r>
            <w:r>
              <w:rPr>
                <w:bCs/>
                <w:color w:val="000000"/>
                <w:szCs w:val="21"/>
              </w:rPr>
              <w:t>t/a</w:t>
            </w:r>
          </w:p>
        </w:tc>
      </w:tr>
      <w:tr w14:paraId="2E1601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62" w:type="dxa"/>
            <w:vMerge w:val="continue"/>
            <w:vAlign w:val="center"/>
          </w:tcPr>
          <w:p w14:paraId="5425F44A">
            <w:pPr>
              <w:pStyle w:val="55"/>
              <w:spacing w:beforeLines="0" w:afterLines="0" w:line="240" w:lineRule="auto"/>
              <w:rPr>
                <w:rFonts w:ascii="Times New Roman"/>
                <w:snapToGrid w:val="0"/>
                <w:color w:val="000000"/>
                <w:kern w:val="21"/>
                <w:szCs w:val="21"/>
              </w:rPr>
            </w:pPr>
          </w:p>
        </w:tc>
        <w:tc>
          <w:tcPr>
            <w:tcW w:w="2127" w:type="dxa"/>
            <w:vAlign w:val="center"/>
          </w:tcPr>
          <w:p w14:paraId="12B49960">
            <w:pPr>
              <w:pStyle w:val="70"/>
              <w:spacing w:line="240" w:lineRule="auto"/>
              <w:ind w:firstLine="0" w:firstLineChars="0"/>
              <w:jc w:val="center"/>
              <w:rPr>
                <w:color w:val="auto"/>
                <w:sz w:val="21"/>
                <w:szCs w:val="21"/>
              </w:rPr>
            </w:pPr>
            <w:r>
              <w:rPr>
                <w:rFonts w:hint="eastAsia"/>
                <w:color w:val="auto"/>
                <w:sz w:val="21"/>
                <w:szCs w:val="21"/>
              </w:rPr>
              <w:t>NO</w:t>
            </w:r>
            <w:r>
              <w:rPr>
                <w:rFonts w:hint="eastAsia"/>
                <w:color w:val="auto"/>
                <w:sz w:val="21"/>
                <w:szCs w:val="21"/>
                <w:vertAlign w:val="subscript"/>
              </w:rPr>
              <w:t>X</w:t>
            </w:r>
          </w:p>
        </w:tc>
        <w:tc>
          <w:tcPr>
            <w:tcW w:w="1417" w:type="dxa"/>
            <w:vAlign w:val="center"/>
          </w:tcPr>
          <w:p w14:paraId="3DF64AA5">
            <w:pPr>
              <w:pStyle w:val="55"/>
              <w:spacing w:beforeLines="0" w:afterLines="0" w:line="240" w:lineRule="auto"/>
              <w:rPr>
                <w:rFonts w:ascii="Times New Roman"/>
                <w:snapToGrid w:val="0"/>
                <w:color w:val="000000"/>
                <w:kern w:val="21"/>
                <w:szCs w:val="21"/>
              </w:rPr>
            </w:pPr>
            <w:r>
              <w:rPr>
                <w:rFonts w:ascii="Times New Roman"/>
                <w:snapToGrid w:val="0"/>
                <w:color w:val="000000"/>
                <w:kern w:val="21"/>
                <w:szCs w:val="21"/>
              </w:rPr>
              <w:t>/</w:t>
            </w:r>
          </w:p>
        </w:tc>
        <w:tc>
          <w:tcPr>
            <w:tcW w:w="1134" w:type="dxa"/>
            <w:vAlign w:val="center"/>
          </w:tcPr>
          <w:p w14:paraId="0898F698">
            <w:pPr>
              <w:pStyle w:val="55"/>
              <w:spacing w:beforeLines="0" w:afterLines="0" w:line="240" w:lineRule="auto"/>
              <w:rPr>
                <w:rFonts w:ascii="Times New Roman"/>
                <w:snapToGrid w:val="0"/>
                <w:color w:val="000000"/>
                <w:kern w:val="21"/>
                <w:szCs w:val="21"/>
              </w:rPr>
            </w:pPr>
            <w:r>
              <w:rPr>
                <w:rFonts w:ascii="Times New Roman"/>
                <w:snapToGrid w:val="0"/>
                <w:color w:val="000000"/>
                <w:kern w:val="21"/>
                <w:szCs w:val="21"/>
              </w:rPr>
              <w:t>/</w:t>
            </w:r>
          </w:p>
        </w:tc>
        <w:tc>
          <w:tcPr>
            <w:tcW w:w="1843" w:type="dxa"/>
            <w:vAlign w:val="center"/>
          </w:tcPr>
          <w:p w14:paraId="31409610">
            <w:pPr>
              <w:pStyle w:val="55"/>
              <w:spacing w:beforeLines="0" w:afterLines="0" w:line="240" w:lineRule="auto"/>
              <w:rPr>
                <w:rFonts w:ascii="Times New Roman"/>
                <w:snapToGrid w:val="0"/>
                <w:color w:val="000000"/>
                <w:kern w:val="21"/>
                <w:szCs w:val="21"/>
              </w:rPr>
            </w:pPr>
            <w:r>
              <w:rPr>
                <w:rFonts w:ascii="Times New Roman"/>
                <w:snapToGrid w:val="0"/>
                <w:color w:val="000000"/>
                <w:kern w:val="21"/>
                <w:szCs w:val="21"/>
              </w:rPr>
              <w:t>/</w:t>
            </w:r>
          </w:p>
        </w:tc>
        <w:tc>
          <w:tcPr>
            <w:tcW w:w="1701" w:type="dxa"/>
            <w:vAlign w:val="center"/>
          </w:tcPr>
          <w:p w14:paraId="0B29529B">
            <w:pPr>
              <w:jc w:val="center"/>
              <w:rPr>
                <w:bCs/>
                <w:color w:val="000000"/>
                <w:szCs w:val="21"/>
              </w:rPr>
            </w:pPr>
            <w:r>
              <w:rPr>
                <w:rFonts w:hint="eastAsia"/>
                <w:bCs/>
                <w:color w:val="000000"/>
                <w:szCs w:val="21"/>
              </w:rPr>
              <w:t>0.2929</w:t>
            </w:r>
            <w:r>
              <w:rPr>
                <w:bCs/>
                <w:color w:val="000000"/>
                <w:szCs w:val="21"/>
              </w:rPr>
              <w:t>t/a</w:t>
            </w:r>
          </w:p>
        </w:tc>
        <w:tc>
          <w:tcPr>
            <w:tcW w:w="1701" w:type="dxa"/>
            <w:vAlign w:val="center"/>
          </w:tcPr>
          <w:p w14:paraId="6E9A7A76">
            <w:pPr>
              <w:pStyle w:val="55"/>
              <w:spacing w:beforeLines="0" w:afterLines="0" w:line="240" w:lineRule="auto"/>
              <w:rPr>
                <w:rFonts w:ascii="Times New Roman"/>
                <w:snapToGrid w:val="0"/>
                <w:color w:val="000000"/>
                <w:kern w:val="21"/>
                <w:szCs w:val="21"/>
              </w:rPr>
            </w:pPr>
            <w:r>
              <w:rPr>
                <w:rFonts w:hint="eastAsia" w:ascii="Times New Roman"/>
                <w:snapToGrid w:val="0"/>
                <w:color w:val="000000"/>
                <w:kern w:val="21"/>
                <w:szCs w:val="21"/>
              </w:rPr>
              <w:t>/</w:t>
            </w:r>
          </w:p>
        </w:tc>
        <w:tc>
          <w:tcPr>
            <w:tcW w:w="1417" w:type="dxa"/>
            <w:vAlign w:val="center"/>
          </w:tcPr>
          <w:p w14:paraId="53D01219">
            <w:pPr>
              <w:jc w:val="center"/>
              <w:rPr>
                <w:bCs/>
                <w:color w:val="000000"/>
                <w:szCs w:val="21"/>
              </w:rPr>
            </w:pPr>
            <w:r>
              <w:rPr>
                <w:rFonts w:hint="eastAsia"/>
                <w:bCs/>
                <w:color w:val="000000"/>
                <w:szCs w:val="21"/>
              </w:rPr>
              <w:t>0.2929</w:t>
            </w:r>
            <w:r>
              <w:rPr>
                <w:bCs/>
                <w:color w:val="000000"/>
                <w:szCs w:val="21"/>
              </w:rPr>
              <w:t>t/a</w:t>
            </w:r>
          </w:p>
        </w:tc>
        <w:tc>
          <w:tcPr>
            <w:tcW w:w="1276" w:type="dxa"/>
            <w:vAlign w:val="center"/>
          </w:tcPr>
          <w:p w14:paraId="77302FBB">
            <w:pPr>
              <w:jc w:val="center"/>
              <w:rPr>
                <w:bCs/>
                <w:color w:val="000000"/>
                <w:szCs w:val="21"/>
              </w:rPr>
            </w:pPr>
            <w:r>
              <w:rPr>
                <w:rFonts w:hint="eastAsia"/>
                <w:bCs/>
                <w:color w:val="000000"/>
                <w:szCs w:val="21"/>
              </w:rPr>
              <w:t>+0.2929</w:t>
            </w:r>
            <w:r>
              <w:rPr>
                <w:bCs/>
                <w:color w:val="000000"/>
                <w:szCs w:val="21"/>
              </w:rPr>
              <w:t>t/a</w:t>
            </w:r>
          </w:p>
        </w:tc>
      </w:tr>
      <w:tr w14:paraId="7A9800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62" w:type="dxa"/>
            <w:vMerge w:val="restart"/>
            <w:vAlign w:val="center"/>
          </w:tcPr>
          <w:p w14:paraId="07F12CCD">
            <w:pPr>
              <w:pStyle w:val="55"/>
              <w:spacing w:beforeLines="0" w:afterLines="0" w:line="240" w:lineRule="auto"/>
              <w:rPr>
                <w:rFonts w:ascii="Times New Roman"/>
                <w:snapToGrid w:val="0"/>
                <w:color w:val="000000"/>
                <w:kern w:val="21"/>
                <w:szCs w:val="21"/>
              </w:rPr>
            </w:pPr>
            <w:r>
              <w:rPr>
                <w:rFonts w:ascii="Times New Roman"/>
                <w:snapToGrid w:val="0"/>
                <w:color w:val="000000"/>
                <w:kern w:val="21"/>
                <w:szCs w:val="21"/>
              </w:rPr>
              <w:t>废水</w:t>
            </w:r>
          </w:p>
        </w:tc>
        <w:tc>
          <w:tcPr>
            <w:tcW w:w="2127" w:type="dxa"/>
            <w:vAlign w:val="center"/>
          </w:tcPr>
          <w:p w14:paraId="3782CAF6">
            <w:pPr>
              <w:pStyle w:val="55"/>
              <w:spacing w:beforeLines="0" w:afterLines="0" w:line="240" w:lineRule="auto"/>
              <w:rPr>
                <w:rFonts w:ascii="Times New Roman"/>
                <w:snapToGrid w:val="0"/>
                <w:kern w:val="21"/>
                <w:szCs w:val="21"/>
              </w:rPr>
            </w:pPr>
            <w:r>
              <w:rPr>
                <w:rFonts w:ascii="Times New Roman"/>
                <w:snapToGrid w:val="0"/>
                <w:kern w:val="21"/>
                <w:szCs w:val="21"/>
              </w:rPr>
              <w:t>COD</w:t>
            </w:r>
          </w:p>
        </w:tc>
        <w:tc>
          <w:tcPr>
            <w:tcW w:w="1417" w:type="dxa"/>
            <w:vAlign w:val="center"/>
          </w:tcPr>
          <w:p w14:paraId="16A6DA00">
            <w:pPr>
              <w:pStyle w:val="55"/>
              <w:spacing w:beforeLines="0" w:afterLines="0" w:line="240" w:lineRule="auto"/>
              <w:rPr>
                <w:rFonts w:ascii="Times New Roman"/>
                <w:snapToGrid w:val="0"/>
                <w:color w:val="000000"/>
                <w:kern w:val="21"/>
                <w:szCs w:val="21"/>
              </w:rPr>
            </w:pPr>
            <w:r>
              <w:rPr>
                <w:rFonts w:ascii="Times New Roman"/>
                <w:snapToGrid w:val="0"/>
                <w:color w:val="000000"/>
                <w:kern w:val="21"/>
                <w:szCs w:val="21"/>
              </w:rPr>
              <w:t>/</w:t>
            </w:r>
          </w:p>
        </w:tc>
        <w:tc>
          <w:tcPr>
            <w:tcW w:w="1134" w:type="dxa"/>
            <w:vAlign w:val="center"/>
          </w:tcPr>
          <w:p w14:paraId="7C8472CC">
            <w:pPr>
              <w:pStyle w:val="55"/>
              <w:spacing w:beforeLines="0" w:afterLines="0" w:line="240" w:lineRule="auto"/>
              <w:rPr>
                <w:rFonts w:ascii="Times New Roman"/>
                <w:snapToGrid w:val="0"/>
                <w:color w:val="000000"/>
                <w:kern w:val="21"/>
                <w:szCs w:val="21"/>
              </w:rPr>
            </w:pPr>
            <w:r>
              <w:rPr>
                <w:rFonts w:ascii="Times New Roman"/>
                <w:snapToGrid w:val="0"/>
                <w:color w:val="000000"/>
                <w:kern w:val="21"/>
                <w:szCs w:val="21"/>
              </w:rPr>
              <w:t>/</w:t>
            </w:r>
          </w:p>
        </w:tc>
        <w:tc>
          <w:tcPr>
            <w:tcW w:w="1843" w:type="dxa"/>
            <w:vAlign w:val="center"/>
          </w:tcPr>
          <w:p w14:paraId="7AF2C710">
            <w:pPr>
              <w:pStyle w:val="55"/>
              <w:spacing w:beforeLines="0" w:afterLines="0" w:line="240" w:lineRule="auto"/>
              <w:rPr>
                <w:rFonts w:ascii="Times New Roman"/>
                <w:snapToGrid w:val="0"/>
                <w:color w:val="000000"/>
                <w:kern w:val="21"/>
                <w:szCs w:val="21"/>
              </w:rPr>
            </w:pPr>
            <w:r>
              <w:rPr>
                <w:rFonts w:ascii="Times New Roman"/>
                <w:snapToGrid w:val="0"/>
                <w:color w:val="000000"/>
                <w:kern w:val="21"/>
                <w:szCs w:val="21"/>
              </w:rPr>
              <w:t>/</w:t>
            </w:r>
          </w:p>
        </w:tc>
        <w:tc>
          <w:tcPr>
            <w:tcW w:w="1701" w:type="dxa"/>
            <w:vAlign w:val="center"/>
          </w:tcPr>
          <w:p w14:paraId="2E6DFEC9">
            <w:pPr>
              <w:pStyle w:val="55"/>
              <w:spacing w:beforeLines="0" w:afterLines="0" w:line="240" w:lineRule="auto"/>
              <w:rPr>
                <w:rFonts w:ascii="Times New Roman"/>
                <w:snapToGrid w:val="0"/>
                <w:color w:val="000000"/>
                <w:kern w:val="21"/>
                <w:szCs w:val="21"/>
              </w:rPr>
            </w:pPr>
            <w:r>
              <w:rPr>
                <w:rFonts w:ascii="Times New Roman"/>
                <w:bCs/>
                <w:szCs w:val="21"/>
              </w:rPr>
              <w:t>0.</w:t>
            </w:r>
            <w:r>
              <w:rPr>
                <w:rFonts w:hint="eastAsia" w:ascii="Times New Roman"/>
                <w:bCs/>
                <w:szCs w:val="21"/>
              </w:rPr>
              <w:t>4412</w:t>
            </w:r>
            <w:r>
              <w:rPr>
                <w:rFonts w:ascii="Times New Roman"/>
                <w:bCs/>
                <w:szCs w:val="21"/>
              </w:rPr>
              <w:t>t/a</w:t>
            </w:r>
          </w:p>
        </w:tc>
        <w:tc>
          <w:tcPr>
            <w:tcW w:w="1701" w:type="dxa"/>
            <w:vAlign w:val="center"/>
          </w:tcPr>
          <w:p w14:paraId="3865442F">
            <w:pPr>
              <w:pStyle w:val="55"/>
              <w:spacing w:beforeLines="0" w:afterLines="0" w:line="240" w:lineRule="auto"/>
              <w:rPr>
                <w:rFonts w:ascii="Times New Roman"/>
                <w:snapToGrid w:val="0"/>
                <w:color w:val="000000"/>
                <w:kern w:val="21"/>
                <w:szCs w:val="21"/>
              </w:rPr>
            </w:pPr>
            <w:r>
              <w:rPr>
                <w:rFonts w:ascii="Times New Roman"/>
                <w:snapToGrid w:val="0"/>
                <w:color w:val="000000"/>
                <w:kern w:val="21"/>
                <w:szCs w:val="21"/>
              </w:rPr>
              <w:t>/</w:t>
            </w:r>
          </w:p>
        </w:tc>
        <w:tc>
          <w:tcPr>
            <w:tcW w:w="1417" w:type="dxa"/>
            <w:vAlign w:val="center"/>
          </w:tcPr>
          <w:p w14:paraId="0F3B2D43">
            <w:pPr>
              <w:pStyle w:val="55"/>
              <w:spacing w:beforeLines="0" w:afterLines="0" w:line="240" w:lineRule="auto"/>
              <w:rPr>
                <w:rFonts w:ascii="Times New Roman"/>
                <w:snapToGrid w:val="0"/>
                <w:color w:val="000000"/>
                <w:kern w:val="21"/>
                <w:szCs w:val="21"/>
              </w:rPr>
            </w:pPr>
            <w:r>
              <w:rPr>
                <w:rFonts w:ascii="Times New Roman"/>
                <w:bCs/>
                <w:szCs w:val="21"/>
              </w:rPr>
              <w:t>0.</w:t>
            </w:r>
            <w:r>
              <w:rPr>
                <w:rFonts w:hint="eastAsia" w:ascii="Times New Roman"/>
                <w:bCs/>
                <w:szCs w:val="21"/>
              </w:rPr>
              <w:t>4412</w:t>
            </w:r>
            <w:r>
              <w:rPr>
                <w:rFonts w:ascii="Times New Roman"/>
                <w:bCs/>
                <w:szCs w:val="21"/>
              </w:rPr>
              <w:t>t/a</w:t>
            </w:r>
          </w:p>
        </w:tc>
        <w:tc>
          <w:tcPr>
            <w:tcW w:w="1276" w:type="dxa"/>
            <w:vAlign w:val="center"/>
          </w:tcPr>
          <w:p w14:paraId="7AB1FB8A">
            <w:pPr>
              <w:pStyle w:val="55"/>
              <w:spacing w:beforeLines="0" w:afterLines="0" w:line="240" w:lineRule="auto"/>
              <w:rPr>
                <w:rFonts w:ascii="Times New Roman"/>
                <w:snapToGrid w:val="0"/>
                <w:color w:val="000000"/>
                <w:kern w:val="21"/>
                <w:szCs w:val="21"/>
              </w:rPr>
            </w:pPr>
            <w:r>
              <w:rPr>
                <w:rFonts w:hint="eastAsia" w:ascii="Times New Roman"/>
                <w:bCs/>
                <w:szCs w:val="21"/>
              </w:rPr>
              <w:t>+</w:t>
            </w:r>
            <w:r>
              <w:rPr>
                <w:rFonts w:ascii="Times New Roman"/>
                <w:bCs/>
                <w:szCs w:val="21"/>
              </w:rPr>
              <w:t>0.</w:t>
            </w:r>
            <w:r>
              <w:rPr>
                <w:rFonts w:hint="eastAsia" w:ascii="Times New Roman"/>
                <w:bCs/>
                <w:szCs w:val="21"/>
              </w:rPr>
              <w:t>4412</w:t>
            </w:r>
            <w:r>
              <w:rPr>
                <w:rFonts w:ascii="Times New Roman"/>
                <w:bCs/>
                <w:szCs w:val="21"/>
              </w:rPr>
              <w:t>t/a</w:t>
            </w:r>
          </w:p>
        </w:tc>
      </w:tr>
      <w:tr w14:paraId="0380DA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62" w:type="dxa"/>
            <w:vMerge w:val="continue"/>
            <w:vAlign w:val="center"/>
          </w:tcPr>
          <w:p w14:paraId="588A1742">
            <w:pPr>
              <w:pStyle w:val="55"/>
              <w:spacing w:beforeLines="0" w:afterLines="0" w:line="240" w:lineRule="auto"/>
              <w:rPr>
                <w:rFonts w:ascii="Times New Roman"/>
                <w:snapToGrid w:val="0"/>
                <w:color w:val="000000"/>
                <w:kern w:val="21"/>
                <w:szCs w:val="21"/>
              </w:rPr>
            </w:pPr>
          </w:p>
        </w:tc>
        <w:tc>
          <w:tcPr>
            <w:tcW w:w="2127" w:type="dxa"/>
            <w:vAlign w:val="center"/>
          </w:tcPr>
          <w:p w14:paraId="0EEA6C17">
            <w:pPr>
              <w:pStyle w:val="55"/>
              <w:spacing w:beforeLines="0" w:afterLines="0" w:line="240" w:lineRule="auto"/>
              <w:rPr>
                <w:rFonts w:ascii="Times New Roman"/>
                <w:snapToGrid w:val="0"/>
                <w:kern w:val="21"/>
                <w:szCs w:val="21"/>
                <w:vertAlign w:val="subscript"/>
              </w:rPr>
            </w:pPr>
            <w:r>
              <w:rPr>
                <w:rFonts w:hint="eastAsia" w:ascii="Times New Roman"/>
                <w:snapToGrid w:val="0"/>
                <w:kern w:val="21"/>
                <w:szCs w:val="21"/>
              </w:rPr>
              <w:t>氨氮</w:t>
            </w:r>
          </w:p>
        </w:tc>
        <w:tc>
          <w:tcPr>
            <w:tcW w:w="1417" w:type="dxa"/>
            <w:vAlign w:val="center"/>
          </w:tcPr>
          <w:p w14:paraId="7EB427C4">
            <w:pPr>
              <w:pStyle w:val="55"/>
              <w:spacing w:beforeLines="0" w:afterLines="0" w:line="240" w:lineRule="auto"/>
              <w:rPr>
                <w:rFonts w:ascii="Times New Roman"/>
                <w:snapToGrid w:val="0"/>
                <w:color w:val="000000"/>
                <w:kern w:val="21"/>
                <w:szCs w:val="21"/>
              </w:rPr>
            </w:pPr>
            <w:r>
              <w:rPr>
                <w:rFonts w:ascii="Times New Roman"/>
                <w:snapToGrid w:val="0"/>
                <w:color w:val="000000"/>
                <w:kern w:val="21"/>
                <w:szCs w:val="21"/>
              </w:rPr>
              <w:t>/</w:t>
            </w:r>
          </w:p>
        </w:tc>
        <w:tc>
          <w:tcPr>
            <w:tcW w:w="1134" w:type="dxa"/>
            <w:vAlign w:val="center"/>
          </w:tcPr>
          <w:p w14:paraId="3F9560A9">
            <w:pPr>
              <w:pStyle w:val="55"/>
              <w:spacing w:beforeLines="0" w:afterLines="0" w:line="240" w:lineRule="auto"/>
              <w:rPr>
                <w:rFonts w:ascii="Times New Roman"/>
                <w:snapToGrid w:val="0"/>
                <w:color w:val="000000"/>
                <w:kern w:val="21"/>
                <w:szCs w:val="21"/>
              </w:rPr>
            </w:pPr>
            <w:r>
              <w:rPr>
                <w:rFonts w:ascii="Times New Roman"/>
                <w:snapToGrid w:val="0"/>
                <w:color w:val="000000"/>
                <w:kern w:val="21"/>
                <w:szCs w:val="21"/>
              </w:rPr>
              <w:t>/</w:t>
            </w:r>
          </w:p>
        </w:tc>
        <w:tc>
          <w:tcPr>
            <w:tcW w:w="1843" w:type="dxa"/>
            <w:vAlign w:val="center"/>
          </w:tcPr>
          <w:p w14:paraId="74084C3C">
            <w:pPr>
              <w:pStyle w:val="55"/>
              <w:spacing w:beforeLines="0" w:afterLines="0" w:line="240" w:lineRule="auto"/>
              <w:rPr>
                <w:rFonts w:ascii="Times New Roman"/>
                <w:snapToGrid w:val="0"/>
                <w:color w:val="000000"/>
                <w:kern w:val="21"/>
                <w:szCs w:val="21"/>
              </w:rPr>
            </w:pPr>
            <w:r>
              <w:rPr>
                <w:rFonts w:ascii="Times New Roman"/>
                <w:snapToGrid w:val="0"/>
                <w:color w:val="000000"/>
                <w:kern w:val="21"/>
                <w:szCs w:val="21"/>
              </w:rPr>
              <w:t>/</w:t>
            </w:r>
          </w:p>
        </w:tc>
        <w:tc>
          <w:tcPr>
            <w:tcW w:w="1701" w:type="dxa"/>
            <w:vAlign w:val="center"/>
          </w:tcPr>
          <w:p w14:paraId="43A7589C">
            <w:pPr>
              <w:pStyle w:val="55"/>
              <w:spacing w:beforeLines="0" w:afterLines="0" w:line="240" w:lineRule="auto"/>
              <w:rPr>
                <w:rFonts w:ascii="Times New Roman"/>
                <w:snapToGrid w:val="0"/>
                <w:color w:val="000000"/>
                <w:kern w:val="21"/>
                <w:szCs w:val="21"/>
              </w:rPr>
            </w:pPr>
            <w:r>
              <w:rPr>
                <w:rFonts w:ascii="Times New Roman"/>
                <w:bCs/>
                <w:szCs w:val="21"/>
              </w:rPr>
              <w:t>0.0</w:t>
            </w:r>
            <w:r>
              <w:rPr>
                <w:rFonts w:hint="eastAsia" w:ascii="Times New Roman"/>
                <w:bCs/>
                <w:szCs w:val="21"/>
              </w:rPr>
              <w:t>441</w:t>
            </w:r>
            <w:r>
              <w:rPr>
                <w:rFonts w:ascii="Times New Roman"/>
                <w:bCs/>
                <w:szCs w:val="21"/>
              </w:rPr>
              <w:t>t/a</w:t>
            </w:r>
          </w:p>
        </w:tc>
        <w:tc>
          <w:tcPr>
            <w:tcW w:w="1701" w:type="dxa"/>
            <w:vAlign w:val="center"/>
          </w:tcPr>
          <w:p w14:paraId="16701B3B">
            <w:pPr>
              <w:pStyle w:val="55"/>
              <w:spacing w:beforeLines="0" w:afterLines="0" w:line="240" w:lineRule="auto"/>
              <w:rPr>
                <w:rFonts w:ascii="Times New Roman"/>
                <w:snapToGrid w:val="0"/>
                <w:color w:val="000000"/>
                <w:kern w:val="21"/>
                <w:szCs w:val="21"/>
              </w:rPr>
            </w:pPr>
            <w:r>
              <w:rPr>
                <w:rFonts w:ascii="Times New Roman"/>
                <w:snapToGrid w:val="0"/>
                <w:color w:val="000000"/>
                <w:kern w:val="21"/>
                <w:szCs w:val="21"/>
              </w:rPr>
              <w:t>/</w:t>
            </w:r>
          </w:p>
        </w:tc>
        <w:tc>
          <w:tcPr>
            <w:tcW w:w="1417" w:type="dxa"/>
            <w:vAlign w:val="center"/>
          </w:tcPr>
          <w:p w14:paraId="57320C14">
            <w:pPr>
              <w:pStyle w:val="55"/>
              <w:spacing w:beforeLines="0" w:afterLines="0" w:line="240" w:lineRule="auto"/>
              <w:rPr>
                <w:rFonts w:ascii="Times New Roman"/>
                <w:snapToGrid w:val="0"/>
                <w:color w:val="000000"/>
                <w:kern w:val="21"/>
                <w:szCs w:val="21"/>
              </w:rPr>
            </w:pPr>
            <w:r>
              <w:rPr>
                <w:rFonts w:ascii="Times New Roman"/>
                <w:bCs/>
                <w:szCs w:val="21"/>
              </w:rPr>
              <w:t>0.0</w:t>
            </w:r>
            <w:r>
              <w:rPr>
                <w:rFonts w:hint="eastAsia" w:ascii="Times New Roman"/>
                <w:bCs/>
                <w:szCs w:val="21"/>
              </w:rPr>
              <w:t>441</w:t>
            </w:r>
            <w:r>
              <w:rPr>
                <w:rFonts w:ascii="Times New Roman"/>
                <w:bCs/>
                <w:szCs w:val="21"/>
              </w:rPr>
              <w:t>t/a</w:t>
            </w:r>
          </w:p>
        </w:tc>
        <w:tc>
          <w:tcPr>
            <w:tcW w:w="1276" w:type="dxa"/>
            <w:vAlign w:val="center"/>
          </w:tcPr>
          <w:p w14:paraId="1BEB9367">
            <w:pPr>
              <w:pStyle w:val="55"/>
              <w:spacing w:beforeLines="0" w:afterLines="0" w:line="240" w:lineRule="auto"/>
              <w:rPr>
                <w:rFonts w:ascii="Times New Roman"/>
                <w:snapToGrid w:val="0"/>
                <w:color w:val="000000"/>
                <w:kern w:val="21"/>
                <w:szCs w:val="21"/>
              </w:rPr>
            </w:pPr>
            <w:r>
              <w:rPr>
                <w:rFonts w:hint="eastAsia" w:ascii="Times New Roman"/>
                <w:bCs/>
                <w:szCs w:val="21"/>
              </w:rPr>
              <w:t>+</w:t>
            </w:r>
            <w:r>
              <w:rPr>
                <w:rFonts w:ascii="Times New Roman"/>
                <w:bCs/>
                <w:szCs w:val="21"/>
              </w:rPr>
              <w:t>0.0</w:t>
            </w:r>
            <w:r>
              <w:rPr>
                <w:rFonts w:hint="eastAsia" w:ascii="Times New Roman"/>
                <w:bCs/>
                <w:szCs w:val="21"/>
              </w:rPr>
              <w:t>441</w:t>
            </w:r>
            <w:r>
              <w:rPr>
                <w:rFonts w:ascii="Times New Roman"/>
                <w:bCs/>
                <w:szCs w:val="21"/>
              </w:rPr>
              <w:t>t/a</w:t>
            </w:r>
          </w:p>
        </w:tc>
      </w:tr>
      <w:tr w14:paraId="70E3F9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62" w:type="dxa"/>
            <w:vMerge w:val="restart"/>
            <w:vAlign w:val="center"/>
          </w:tcPr>
          <w:p w14:paraId="63B3FD09">
            <w:pPr>
              <w:pStyle w:val="55"/>
              <w:spacing w:before="24" w:after="24"/>
              <w:rPr>
                <w:rFonts w:ascii="Times New Roman"/>
                <w:snapToGrid w:val="0"/>
                <w:color w:val="000000"/>
                <w:kern w:val="21"/>
                <w:szCs w:val="21"/>
              </w:rPr>
            </w:pPr>
            <w:r>
              <w:rPr>
                <w:rFonts w:ascii="Times New Roman"/>
                <w:snapToGrid w:val="0"/>
                <w:color w:val="000000"/>
                <w:kern w:val="21"/>
                <w:szCs w:val="21"/>
              </w:rPr>
              <w:t>一般工业固体废物</w:t>
            </w:r>
          </w:p>
        </w:tc>
        <w:tc>
          <w:tcPr>
            <w:tcW w:w="2127" w:type="dxa"/>
            <w:vAlign w:val="center"/>
          </w:tcPr>
          <w:p w14:paraId="075C633F">
            <w:pPr>
              <w:pStyle w:val="72"/>
              <w:spacing w:line="240" w:lineRule="auto"/>
              <w:rPr>
                <w:rFonts w:ascii="Times New Roman" w:hAnsi="Times New Roman"/>
                <w:bCs/>
                <w:color w:val="auto"/>
                <w:sz w:val="21"/>
                <w:szCs w:val="21"/>
              </w:rPr>
            </w:pPr>
            <w:r>
              <w:rPr>
                <w:rFonts w:ascii="Times New Roman"/>
                <w:color w:val="auto"/>
                <w:sz w:val="21"/>
                <w:szCs w:val="21"/>
              </w:rPr>
              <w:t>污水处理站污泥</w:t>
            </w:r>
          </w:p>
        </w:tc>
        <w:tc>
          <w:tcPr>
            <w:tcW w:w="1417" w:type="dxa"/>
            <w:vAlign w:val="center"/>
          </w:tcPr>
          <w:p w14:paraId="18CE6E22">
            <w:pPr>
              <w:pStyle w:val="55"/>
              <w:spacing w:beforeLines="0" w:afterLines="0" w:line="240" w:lineRule="auto"/>
              <w:rPr>
                <w:rFonts w:ascii="Times New Roman"/>
                <w:snapToGrid w:val="0"/>
                <w:color w:val="000000"/>
                <w:kern w:val="21"/>
                <w:szCs w:val="21"/>
              </w:rPr>
            </w:pPr>
            <w:r>
              <w:rPr>
                <w:rFonts w:ascii="Times New Roman"/>
                <w:snapToGrid w:val="0"/>
                <w:color w:val="000000"/>
                <w:kern w:val="21"/>
                <w:szCs w:val="21"/>
              </w:rPr>
              <w:t>/</w:t>
            </w:r>
          </w:p>
        </w:tc>
        <w:tc>
          <w:tcPr>
            <w:tcW w:w="1134" w:type="dxa"/>
            <w:vAlign w:val="center"/>
          </w:tcPr>
          <w:p w14:paraId="42E5B018">
            <w:pPr>
              <w:pStyle w:val="55"/>
              <w:spacing w:beforeLines="0" w:afterLines="0" w:line="240" w:lineRule="auto"/>
              <w:rPr>
                <w:rFonts w:ascii="Times New Roman"/>
                <w:snapToGrid w:val="0"/>
                <w:color w:val="000000"/>
                <w:kern w:val="21"/>
                <w:szCs w:val="21"/>
              </w:rPr>
            </w:pPr>
            <w:r>
              <w:rPr>
                <w:rFonts w:ascii="Times New Roman"/>
                <w:snapToGrid w:val="0"/>
                <w:color w:val="000000"/>
                <w:kern w:val="21"/>
                <w:szCs w:val="21"/>
              </w:rPr>
              <w:t>/</w:t>
            </w:r>
          </w:p>
        </w:tc>
        <w:tc>
          <w:tcPr>
            <w:tcW w:w="1843" w:type="dxa"/>
            <w:vAlign w:val="center"/>
          </w:tcPr>
          <w:p w14:paraId="5BBDFAAF">
            <w:pPr>
              <w:pStyle w:val="55"/>
              <w:spacing w:beforeLines="0" w:afterLines="0" w:line="240" w:lineRule="auto"/>
              <w:rPr>
                <w:rFonts w:ascii="Times New Roman"/>
                <w:snapToGrid w:val="0"/>
                <w:color w:val="000000"/>
                <w:kern w:val="21"/>
                <w:szCs w:val="21"/>
              </w:rPr>
            </w:pPr>
            <w:r>
              <w:rPr>
                <w:rFonts w:hint="eastAsia" w:ascii="Times New Roman"/>
                <w:snapToGrid w:val="0"/>
                <w:color w:val="000000"/>
                <w:kern w:val="21"/>
                <w:szCs w:val="21"/>
              </w:rPr>
              <w:t>/</w:t>
            </w:r>
          </w:p>
        </w:tc>
        <w:tc>
          <w:tcPr>
            <w:tcW w:w="1701" w:type="dxa"/>
            <w:vAlign w:val="center"/>
          </w:tcPr>
          <w:p w14:paraId="5290A962">
            <w:pPr>
              <w:pStyle w:val="72"/>
              <w:snapToGrid w:val="0"/>
              <w:spacing w:line="240" w:lineRule="auto"/>
              <w:rPr>
                <w:rFonts w:ascii="Times New Roman" w:hAnsi="Times New Roman"/>
                <w:color w:val="auto"/>
                <w:sz w:val="21"/>
                <w:szCs w:val="21"/>
              </w:rPr>
            </w:pPr>
            <w:r>
              <w:rPr>
                <w:rFonts w:ascii="Times New Roman" w:hAnsi="Times New Roman"/>
                <w:color w:val="auto"/>
                <w:sz w:val="21"/>
                <w:szCs w:val="21"/>
              </w:rPr>
              <w:t>30.9t/a</w:t>
            </w:r>
          </w:p>
        </w:tc>
        <w:tc>
          <w:tcPr>
            <w:tcW w:w="1701" w:type="dxa"/>
            <w:vAlign w:val="center"/>
          </w:tcPr>
          <w:p w14:paraId="40CA6C1E">
            <w:pPr>
              <w:pStyle w:val="55"/>
              <w:spacing w:beforeLines="0" w:afterLines="0" w:line="240" w:lineRule="auto"/>
              <w:rPr>
                <w:rFonts w:ascii="Times New Roman"/>
                <w:snapToGrid w:val="0"/>
                <w:color w:val="000000"/>
                <w:kern w:val="21"/>
                <w:szCs w:val="21"/>
              </w:rPr>
            </w:pPr>
            <w:r>
              <w:rPr>
                <w:rFonts w:hint="eastAsia" w:ascii="Times New Roman"/>
                <w:snapToGrid w:val="0"/>
                <w:color w:val="000000"/>
                <w:kern w:val="21"/>
                <w:szCs w:val="21"/>
              </w:rPr>
              <w:t>/</w:t>
            </w:r>
          </w:p>
        </w:tc>
        <w:tc>
          <w:tcPr>
            <w:tcW w:w="1417" w:type="dxa"/>
            <w:vAlign w:val="center"/>
          </w:tcPr>
          <w:p w14:paraId="304A4745">
            <w:pPr>
              <w:pStyle w:val="72"/>
              <w:snapToGrid w:val="0"/>
              <w:spacing w:line="240" w:lineRule="auto"/>
              <w:rPr>
                <w:rFonts w:ascii="Times New Roman" w:hAnsi="Times New Roman"/>
                <w:color w:val="auto"/>
                <w:sz w:val="21"/>
                <w:szCs w:val="21"/>
              </w:rPr>
            </w:pPr>
            <w:r>
              <w:rPr>
                <w:rFonts w:ascii="Times New Roman" w:hAnsi="Times New Roman"/>
                <w:color w:val="auto"/>
                <w:sz w:val="21"/>
                <w:szCs w:val="21"/>
              </w:rPr>
              <w:t>30.9t/a</w:t>
            </w:r>
          </w:p>
        </w:tc>
        <w:tc>
          <w:tcPr>
            <w:tcW w:w="1276" w:type="dxa"/>
            <w:vAlign w:val="center"/>
          </w:tcPr>
          <w:p w14:paraId="416F1340">
            <w:pPr>
              <w:pStyle w:val="72"/>
              <w:snapToGrid w:val="0"/>
              <w:spacing w:line="240" w:lineRule="auto"/>
              <w:rPr>
                <w:rFonts w:ascii="Times New Roman" w:hAnsi="Times New Roman"/>
                <w:color w:val="auto"/>
                <w:sz w:val="21"/>
                <w:szCs w:val="21"/>
              </w:rPr>
            </w:pPr>
            <w:r>
              <w:rPr>
                <w:rFonts w:hint="eastAsia" w:ascii="Times New Roman" w:hAnsi="Times New Roman"/>
                <w:color w:val="auto"/>
                <w:sz w:val="21"/>
                <w:szCs w:val="21"/>
              </w:rPr>
              <w:t>+</w:t>
            </w:r>
            <w:r>
              <w:rPr>
                <w:rFonts w:ascii="Times New Roman" w:hAnsi="Times New Roman"/>
                <w:color w:val="auto"/>
                <w:sz w:val="21"/>
                <w:szCs w:val="21"/>
              </w:rPr>
              <w:t>30.9t/a</w:t>
            </w:r>
          </w:p>
        </w:tc>
      </w:tr>
      <w:tr w14:paraId="578EE8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62" w:type="dxa"/>
            <w:vMerge w:val="continue"/>
            <w:vAlign w:val="center"/>
          </w:tcPr>
          <w:p w14:paraId="18AC5FA2">
            <w:pPr>
              <w:pStyle w:val="55"/>
              <w:spacing w:beforeLines="0" w:afterLines="0" w:line="240" w:lineRule="auto"/>
              <w:rPr>
                <w:rFonts w:ascii="Times New Roman"/>
                <w:snapToGrid w:val="0"/>
                <w:color w:val="000000"/>
                <w:kern w:val="21"/>
                <w:szCs w:val="21"/>
              </w:rPr>
            </w:pPr>
          </w:p>
        </w:tc>
        <w:tc>
          <w:tcPr>
            <w:tcW w:w="2127" w:type="dxa"/>
            <w:vAlign w:val="center"/>
          </w:tcPr>
          <w:p w14:paraId="64CEBDDC">
            <w:pPr>
              <w:pStyle w:val="72"/>
              <w:spacing w:line="240" w:lineRule="auto"/>
              <w:rPr>
                <w:rFonts w:ascii="Times New Roman" w:hAnsi="Times New Roman"/>
                <w:bCs/>
                <w:color w:val="auto"/>
                <w:sz w:val="21"/>
                <w:szCs w:val="21"/>
              </w:rPr>
            </w:pPr>
            <w:r>
              <w:rPr>
                <w:rFonts w:ascii="Times New Roman"/>
                <w:color w:val="auto"/>
                <w:sz w:val="21"/>
                <w:szCs w:val="21"/>
              </w:rPr>
              <w:t>油烟净化器收集废油</w:t>
            </w:r>
          </w:p>
        </w:tc>
        <w:tc>
          <w:tcPr>
            <w:tcW w:w="1417" w:type="dxa"/>
            <w:vAlign w:val="center"/>
          </w:tcPr>
          <w:p w14:paraId="2DAEA5AC">
            <w:pPr>
              <w:pStyle w:val="55"/>
              <w:spacing w:beforeLines="0" w:afterLines="0" w:line="240" w:lineRule="auto"/>
              <w:rPr>
                <w:rFonts w:ascii="Times New Roman"/>
                <w:snapToGrid w:val="0"/>
                <w:color w:val="000000"/>
                <w:kern w:val="21"/>
                <w:szCs w:val="21"/>
              </w:rPr>
            </w:pPr>
            <w:r>
              <w:rPr>
                <w:rFonts w:ascii="Times New Roman"/>
                <w:snapToGrid w:val="0"/>
                <w:color w:val="000000"/>
                <w:kern w:val="21"/>
                <w:szCs w:val="21"/>
              </w:rPr>
              <w:t>/</w:t>
            </w:r>
          </w:p>
        </w:tc>
        <w:tc>
          <w:tcPr>
            <w:tcW w:w="1134" w:type="dxa"/>
            <w:vAlign w:val="center"/>
          </w:tcPr>
          <w:p w14:paraId="7916847A">
            <w:pPr>
              <w:pStyle w:val="55"/>
              <w:spacing w:beforeLines="0" w:afterLines="0" w:line="240" w:lineRule="auto"/>
              <w:rPr>
                <w:rFonts w:ascii="Times New Roman"/>
                <w:snapToGrid w:val="0"/>
                <w:color w:val="000000"/>
                <w:kern w:val="21"/>
                <w:szCs w:val="21"/>
              </w:rPr>
            </w:pPr>
            <w:r>
              <w:rPr>
                <w:rFonts w:ascii="Times New Roman"/>
                <w:snapToGrid w:val="0"/>
                <w:color w:val="000000"/>
                <w:kern w:val="21"/>
                <w:szCs w:val="21"/>
              </w:rPr>
              <w:t>/</w:t>
            </w:r>
          </w:p>
        </w:tc>
        <w:tc>
          <w:tcPr>
            <w:tcW w:w="1843" w:type="dxa"/>
            <w:vAlign w:val="center"/>
          </w:tcPr>
          <w:p w14:paraId="5B4AAE23">
            <w:pPr>
              <w:pStyle w:val="55"/>
              <w:spacing w:beforeLines="0" w:afterLines="0" w:line="240" w:lineRule="auto"/>
              <w:rPr>
                <w:rFonts w:ascii="Times New Roman"/>
                <w:snapToGrid w:val="0"/>
                <w:color w:val="000000"/>
                <w:kern w:val="21"/>
                <w:szCs w:val="21"/>
              </w:rPr>
            </w:pPr>
            <w:r>
              <w:rPr>
                <w:rFonts w:hint="eastAsia" w:ascii="Times New Roman"/>
                <w:snapToGrid w:val="0"/>
                <w:color w:val="000000"/>
                <w:kern w:val="21"/>
                <w:szCs w:val="21"/>
              </w:rPr>
              <w:t>/</w:t>
            </w:r>
          </w:p>
        </w:tc>
        <w:tc>
          <w:tcPr>
            <w:tcW w:w="1701" w:type="dxa"/>
            <w:vAlign w:val="center"/>
          </w:tcPr>
          <w:p w14:paraId="61607F0B">
            <w:pPr>
              <w:pStyle w:val="72"/>
              <w:snapToGrid w:val="0"/>
              <w:spacing w:line="240" w:lineRule="auto"/>
              <w:rPr>
                <w:rFonts w:ascii="Times New Roman" w:hAnsi="Times New Roman"/>
                <w:color w:val="auto"/>
                <w:sz w:val="21"/>
                <w:szCs w:val="21"/>
              </w:rPr>
            </w:pPr>
            <w:r>
              <w:rPr>
                <w:rFonts w:ascii="Times New Roman" w:hAnsi="Times New Roman"/>
                <w:color w:val="auto"/>
                <w:sz w:val="21"/>
                <w:szCs w:val="21"/>
              </w:rPr>
              <w:t>2.456t/a</w:t>
            </w:r>
          </w:p>
        </w:tc>
        <w:tc>
          <w:tcPr>
            <w:tcW w:w="1701" w:type="dxa"/>
            <w:vAlign w:val="center"/>
          </w:tcPr>
          <w:p w14:paraId="12E43B35">
            <w:pPr>
              <w:pStyle w:val="55"/>
              <w:spacing w:beforeLines="0" w:afterLines="0" w:line="240" w:lineRule="auto"/>
              <w:rPr>
                <w:rFonts w:ascii="Times New Roman"/>
                <w:snapToGrid w:val="0"/>
                <w:color w:val="000000"/>
                <w:kern w:val="21"/>
                <w:szCs w:val="21"/>
              </w:rPr>
            </w:pPr>
          </w:p>
        </w:tc>
        <w:tc>
          <w:tcPr>
            <w:tcW w:w="1417" w:type="dxa"/>
            <w:vAlign w:val="center"/>
          </w:tcPr>
          <w:p w14:paraId="41A4B7B2">
            <w:pPr>
              <w:pStyle w:val="72"/>
              <w:snapToGrid w:val="0"/>
              <w:spacing w:line="240" w:lineRule="auto"/>
              <w:rPr>
                <w:rFonts w:ascii="Times New Roman" w:hAnsi="Times New Roman"/>
                <w:color w:val="auto"/>
                <w:sz w:val="21"/>
                <w:szCs w:val="21"/>
              </w:rPr>
            </w:pPr>
            <w:r>
              <w:rPr>
                <w:rFonts w:ascii="Times New Roman" w:hAnsi="Times New Roman"/>
                <w:color w:val="auto"/>
                <w:sz w:val="21"/>
                <w:szCs w:val="21"/>
              </w:rPr>
              <w:t>2.456t/a</w:t>
            </w:r>
          </w:p>
        </w:tc>
        <w:tc>
          <w:tcPr>
            <w:tcW w:w="1276" w:type="dxa"/>
            <w:vAlign w:val="center"/>
          </w:tcPr>
          <w:p w14:paraId="71B42FDC">
            <w:pPr>
              <w:pStyle w:val="72"/>
              <w:snapToGrid w:val="0"/>
              <w:spacing w:line="240" w:lineRule="auto"/>
              <w:rPr>
                <w:rFonts w:ascii="Times New Roman" w:hAnsi="Times New Roman"/>
                <w:color w:val="auto"/>
                <w:sz w:val="21"/>
                <w:szCs w:val="21"/>
              </w:rPr>
            </w:pPr>
            <w:r>
              <w:rPr>
                <w:rFonts w:hint="eastAsia" w:ascii="Times New Roman" w:hAnsi="Times New Roman"/>
                <w:color w:val="auto"/>
                <w:sz w:val="21"/>
                <w:szCs w:val="21"/>
              </w:rPr>
              <w:t>+</w:t>
            </w:r>
            <w:r>
              <w:rPr>
                <w:rFonts w:ascii="Times New Roman" w:hAnsi="Times New Roman"/>
                <w:color w:val="auto"/>
                <w:sz w:val="21"/>
                <w:szCs w:val="21"/>
              </w:rPr>
              <w:t>2.456t/a</w:t>
            </w:r>
          </w:p>
        </w:tc>
      </w:tr>
      <w:tr w14:paraId="1239D5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62" w:type="dxa"/>
            <w:vMerge w:val="restart"/>
            <w:vAlign w:val="center"/>
          </w:tcPr>
          <w:p w14:paraId="628E9713">
            <w:pPr>
              <w:pStyle w:val="55"/>
              <w:spacing w:beforeLines="0" w:afterLines="0" w:line="240" w:lineRule="auto"/>
              <w:rPr>
                <w:rFonts w:ascii="Times New Roman"/>
                <w:snapToGrid w:val="0"/>
                <w:color w:val="000000"/>
                <w:kern w:val="21"/>
                <w:szCs w:val="21"/>
              </w:rPr>
            </w:pPr>
            <w:r>
              <w:rPr>
                <w:rFonts w:ascii="Times New Roman"/>
                <w:snapToGrid w:val="0"/>
                <w:color w:val="000000"/>
                <w:kern w:val="21"/>
                <w:szCs w:val="21"/>
              </w:rPr>
              <w:t>危险废物</w:t>
            </w:r>
          </w:p>
        </w:tc>
        <w:tc>
          <w:tcPr>
            <w:tcW w:w="2127" w:type="dxa"/>
            <w:vAlign w:val="center"/>
          </w:tcPr>
          <w:p w14:paraId="050B62B5">
            <w:pPr>
              <w:snapToGrid w:val="0"/>
              <w:jc w:val="center"/>
              <w:rPr>
                <w:bCs/>
                <w:szCs w:val="21"/>
              </w:rPr>
            </w:pPr>
            <w:r>
              <w:rPr>
                <w:rFonts w:hint="eastAsia"/>
                <w:bCs/>
                <w:szCs w:val="21"/>
              </w:rPr>
              <w:t>废活性炭</w:t>
            </w:r>
          </w:p>
        </w:tc>
        <w:tc>
          <w:tcPr>
            <w:tcW w:w="1417" w:type="dxa"/>
            <w:vAlign w:val="center"/>
          </w:tcPr>
          <w:p w14:paraId="133C4C7C">
            <w:pPr>
              <w:pStyle w:val="55"/>
              <w:spacing w:beforeLines="0" w:afterLines="0" w:line="240" w:lineRule="auto"/>
              <w:rPr>
                <w:rFonts w:ascii="Times New Roman"/>
                <w:snapToGrid w:val="0"/>
                <w:color w:val="000000"/>
                <w:kern w:val="21"/>
                <w:szCs w:val="21"/>
              </w:rPr>
            </w:pPr>
            <w:r>
              <w:rPr>
                <w:rFonts w:ascii="Times New Roman"/>
                <w:snapToGrid w:val="0"/>
                <w:color w:val="000000"/>
                <w:kern w:val="21"/>
                <w:szCs w:val="21"/>
              </w:rPr>
              <w:t>/</w:t>
            </w:r>
          </w:p>
        </w:tc>
        <w:tc>
          <w:tcPr>
            <w:tcW w:w="1134" w:type="dxa"/>
            <w:vAlign w:val="center"/>
          </w:tcPr>
          <w:p w14:paraId="12FB75FE">
            <w:pPr>
              <w:pStyle w:val="55"/>
              <w:spacing w:beforeLines="0" w:afterLines="0" w:line="240" w:lineRule="auto"/>
              <w:rPr>
                <w:rFonts w:ascii="Times New Roman"/>
                <w:snapToGrid w:val="0"/>
                <w:color w:val="000000"/>
                <w:kern w:val="21"/>
                <w:szCs w:val="21"/>
              </w:rPr>
            </w:pPr>
            <w:r>
              <w:rPr>
                <w:rFonts w:ascii="Times New Roman"/>
                <w:snapToGrid w:val="0"/>
                <w:color w:val="000000"/>
                <w:kern w:val="21"/>
                <w:szCs w:val="21"/>
              </w:rPr>
              <w:t>/</w:t>
            </w:r>
          </w:p>
        </w:tc>
        <w:tc>
          <w:tcPr>
            <w:tcW w:w="1843" w:type="dxa"/>
            <w:vAlign w:val="center"/>
          </w:tcPr>
          <w:p w14:paraId="51055201">
            <w:pPr>
              <w:pStyle w:val="55"/>
              <w:spacing w:beforeLines="0" w:afterLines="0" w:line="240" w:lineRule="auto"/>
              <w:rPr>
                <w:rFonts w:ascii="Times New Roman"/>
                <w:snapToGrid w:val="0"/>
                <w:color w:val="000000"/>
                <w:kern w:val="21"/>
                <w:szCs w:val="21"/>
              </w:rPr>
            </w:pPr>
            <w:r>
              <w:rPr>
                <w:rFonts w:hint="eastAsia" w:ascii="Times New Roman"/>
                <w:snapToGrid w:val="0"/>
                <w:color w:val="000000"/>
                <w:kern w:val="21"/>
                <w:szCs w:val="21"/>
              </w:rPr>
              <w:t>/</w:t>
            </w:r>
          </w:p>
        </w:tc>
        <w:tc>
          <w:tcPr>
            <w:tcW w:w="1701" w:type="dxa"/>
            <w:vAlign w:val="center"/>
          </w:tcPr>
          <w:p w14:paraId="1B7DEFC1">
            <w:pPr>
              <w:snapToGrid w:val="0"/>
              <w:jc w:val="center"/>
              <w:rPr>
                <w:bCs/>
                <w:szCs w:val="21"/>
              </w:rPr>
            </w:pPr>
            <w:r>
              <w:rPr>
                <w:rFonts w:hint="eastAsia"/>
                <w:bCs/>
                <w:szCs w:val="21"/>
              </w:rPr>
              <w:t>4.84</w:t>
            </w:r>
            <w:r>
              <w:rPr>
                <w:bCs/>
                <w:szCs w:val="21"/>
              </w:rPr>
              <w:t>t/a</w:t>
            </w:r>
          </w:p>
        </w:tc>
        <w:tc>
          <w:tcPr>
            <w:tcW w:w="1701" w:type="dxa"/>
            <w:vAlign w:val="center"/>
          </w:tcPr>
          <w:p w14:paraId="5ABA6BCF">
            <w:pPr>
              <w:pStyle w:val="55"/>
              <w:spacing w:beforeLines="0" w:afterLines="0" w:line="240" w:lineRule="auto"/>
              <w:rPr>
                <w:rFonts w:ascii="Times New Roman"/>
                <w:snapToGrid w:val="0"/>
                <w:color w:val="000000"/>
                <w:kern w:val="21"/>
                <w:szCs w:val="21"/>
              </w:rPr>
            </w:pPr>
            <w:r>
              <w:rPr>
                <w:rFonts w:hint="eastAsia" w:ascii="Times New Roman"/>
                <w:snapToGrid w:val="0"/>
                <w:color w:val="000000"/>
                <w:kern w:val="21"/>
                <w:szCs w:val="21"/>
              </w:rPr>
              <w:t>/</w:t>
            </w:r>
          </w:p>
        </w:tc>
        <w:tc>
          <w:tcPr>
            <w:tcW w:w="1417" w:type="dxa"/>
            <w:vAlign w:val="center"/>
          </w:tcPr>
          <w:p w14:paraId="19D0DEF4">
            <w:pPr>
              <w:snapToGrid w:val="0"/>
              <w:jc w:val="center"/>
              <w:rPr>
                <w:bCs/>
                <w:szCs w:val="21"/>
              </w:rPr>
            </w:pPr>
            <w:r>
              <w:rPr>
                <w:rFonts w:hint="eastAsia"/>
                <w:bCs/>
                <w:szCs w:val="21"/>
              </w:rPr>
              <w:t>4.84</w:t>
            </w:r>
            <w:r>
              <w:rPr>
                <w:bCs/>
                <w:szCs w:val="21"/>
              </w:rPr>
              <w:t>t/a</w:t>
            </w:r>
          </w:p>
        </w:tc>
        <w:tc>
          <w:tcPr>
            <w:tcW w:w="1276" w:type="dxa"/>
            <w:vAlign w:val="center"/>
          </w:tcPr>
          <w:p w14:paraId="39673BD7">
            <w:pPr>
              <w:snapToGrid w:val="0"/>
              <w:jc w:val="center"/>
              <w:rPr>
                <w:bCs/>
                <w:szCs w:val="21"/>
              </w:rPr>
            </w:pPr>
            <w:r>
              <w:rPr>
                <w:rFonts w:hint="eastAsia"/>
                <w:szCs w:val="21"/>
              </w:rPr>
              <w:t>+</w:t>
            </w:r>
            <w:r>
              <w:rPr>
                <w:rFonts w:hint="eastAsia"/>
                <w:bCs/>
                <w:szCs w:val="21"/>
              </w:rPr>
              <w:t>4.84</w:t>
            </w:r>
            <w:r>
              <w:rPr>
                <w:bCs/>
                <w:szCs w:val="21"/>
              </w:rPr>
              <w:t>t/a</w:t>
            </w:r>
          </w:p>
        </w:tc>
      </w:tr>
      <w:tr w14:paraId="3F082F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62" w:type="dxa"/>
            <w:vMerge w:val="continue"/>
            <w:vAlign w:val="center"/>
          </w:tcPr>
          <w:p w14:paraId="4FD678FD">
            <w:pPr>
              <w:pStyle w:val="55"/>
              <w:spacing w:beforeLines="0" w:afterLines="0" w:line="240" w:lineRule="auto"/>
              <w:rPr>
                <w:rFonts w:ascii="Times New Roman"/>
                <w:snapToGrid w:val="0"/>
                <w:color w:val="000000"/>
                <w:kern w:val="21"/>
                <w:szCs w:val="21"/>
              </w:rPr>
            </w:pPr>
          </w:p>
        </w:tc>
        <w:tc>
          <w:tcPr>
            <w:tcW w:w="2127" w:type="dxa"/>
            <w:vAlign w:val="center"/>
          </w:tcPr>
          <w:p w14:paraId="7686066C">
            <w:pPr>
              <w:snapToGrid w:val="0"/>
              <w:jc w:val="center"/>
              <w:rPr>
                <w:bCs/>
                <w:szCs w:val="21"/>
              </w:rPr>
            </w:pPr>
            <w:r>
              <w:rPr>
                <w:rFonts w:hint="eastAsia"/>
                <w:bCs/>
                <w:szCs w:val="21"/>
              </w:rPr>
              <w:t>废导热油</w:t>
            </w:r>
          </w:p>
        </w:tc>
        <w:tc>
          <w:tcPr>
            <w:tcW w:w="1417" w:type="dxa"/>
            <w:vAlign w:val="center"/>
          </w:tcPr>
          <w:p w14:paraId="610AF46F">
            <w:pPr>
              <w:pStyle w:val="55"/>
              <w:spacing w:beforeLines="0" w:afterLines="0" w:line="240" w:lineRule="auto"/>
              <w:rPr>
                <w:rFonts w:ascii="Times New Roman"/>
                <w:snapToGrid w:val="0"/>
                <w:color w:val="000000"/>
                <w:kern w:val="21"/>
                <w:szCs w:val="21"/>
              </w:rPr>
            </w:pPr>
          </w:p>
        </w:tc>
        <w:tc>
          <w:tcPr>
            <w:tcW w:w="1134" w:type="dxa"/>
            <w:vAlign w:val="center"/>
          </w:tcPr>
          <w:p w14:paraId="2C198445">
            <w:pPr>
              <w:pStyle w:val="55"/>
              <w:spacing w:beforeLines="0" w:afterLines="0" w:line="240" w:lineRule="auto"/>
              <w:rPr>
                <w:rFonts w:ascii="Times New Roman"/>
                <w:snapToGrid w:val="0"/>
                <w:color w:val="000000"/>
                <w:kern w:val="21"/>
                <w:szCs w:val="21"/>
              </w:rPr>
            </w:pPr>
          </w:p>
        </w:tc>
        <w:tc>
          <w:tcPr>
            <w:tcW w:w="1843" w:type="dxa"/>
            <w:vAlign w:val="center"/>
          </w:tcPr>
          <w:p w14:paraId="3F0A1585">
            <w:pPr>
              <w:pStyle w:val="55"/>
              <w:spacing w:beforeLines="0" w:afterLines="0" w:line="240" w:lineRule="auto"/>
              <w:rPr>
                <w:rFonts w:ascii="Times New Roman"/>
                <w:snapToGrid w:val="0"/>
                <w:color w:val="000000"/>
                <w:kern w:val="21"/>
                <w:szCs w:val="21"/>
              </w:rPr>
            </w:pPr>
          </w:p>
        </w:tc>
        <w:tc>
          <w:tcPr>
            <w:tcW w:w="1701" w:type="dxa"/>
            <w:vAlign w:val="center"/>
          </w:tcPr>
          <w:p w14:paraId="01550D89">
            <w:pPr>
              <w:snapToGrid w:val="0"/>
              <w:jc w:val="center"/>
              <w:rPr>
                <w:bCs/>
                <w:szCs w:val="21"/>
              </w:rPr>
            </w:pPr>
            <w:r>
              <w:rPr>
                <w:rFonts w:hint="eastAsia"/>
                <w:bCs/>
                <w:szCs w:val="21"/>
              </w:rPr>
              <w:t>8</w:t>
            </w:r>
            <w:r>
              <w:rPr>
                <w:bCs/>
                <w:szCs w:val="21"/>
              </w:rPr>
              <w:t>t/</w:t>
            </w:r>
            <w:r>
              <w:rPr>
                <w:rFonts w:hint="eastAsia"/>
                <w:bCs/>
                <w:szCs w:val="21"/>
              </w:rPr>
              <w:t>10</w:t>
            </w:r>
            <w:r>
              <w:rPr>
                <w:bCs/>
                <w:szCs w:val="21"/>
              </w:rPr>
              <w:t>a</w:t>
            </w:r>
          </w:p>
        </w:tc>
        <w:tc>
          <w:tcPr>
            <w:tcW w:w="1701" w:type="dxa"/>
            <w:vAlign w:val="center"/>
          </w:tcPr>
          <w:p w14:paraId="5EBDBA54">
            <w:pPr>
              <w:pStyle w:val="55"/>
              <w:spacing w:beforeLines="0" w:afterLines="0" w:line="240" w:lineRule="auto"/>
              <w:rPr>
                <w:rFonts w:ascii="Times New Roman"/>
                <w:snapToGrid w:val="0"/>
                <w:color w:val="000000"/>
                <w:kern w:val="21"/>
                <w:szCs w:val="21"/>
              </w:rPr>
            </w:pPr>
          </w:p>
        </w:tc>
        <w:tc>
          <w:tcPr>
            <w:tcW w:w="1417" w:type="dxa"/>
            <w:vAlign w:val="center"/>
          </w:tcPr>
          <w:p w14:paraId="5EE3F0FD">
            <w:pPr>
              <w:snapToGrid w:val="0"/>
              <w:jc w:val="center"/>
              <w:rPr>
                <w:bCs/>
                <w:szCs w:val="21"/>
              </w:rPr>
            </w:pPr>
            <w:r>
              <w:rPr>
                <w:rFonts w:hint="eastAsia"/>
                <w:bCs/>
                <w:szCs w:val="21"/>
              </w:rPr>
              <w:t>8</w:t>
            </w:r>
            <w:r>
              <w:rPr>
                <w:bCs/>
                <w:szCs w:val="21"/>
              </w:rPr>
              <w:t>t/</w:t>
            </w:r>
            <w:r>
              <w:rPr>
                <w:rFonts w:hint="eastAsia"/>
                <w:bCs/>
                <w:szCs w:val="21"/>
              </w:rPr>
              <w:t>10</w:t>
            </w:r>
            <w:r>
              <w:rPr>
                <w:bCs/>
                <w:szCs w:val="21"/>
              </w:rPr>
              <w:t>a</w:t>
            </w:r>
          </w:p>
        </w:tc>
        <w:tc>
          <w:tcPr>
            <w:tcW w:w="1276" w:type="dxa"/>
            <w:vAlign w:val="center"/>
          </w:tcPr>
          <w:p w14:paraId="25427FA1">
            <w:pPr>
              <w:snapToGrid w:val="0"/>
              <w:jc w:val="center"/>
              <w:rPr>
                <w:szCs w:val="21"/>
              </w:rPr>
            </w:pPr>
            <w:r>
              <w:rPr>
                <w:rFonts w:hint="eastAsia"/>
                <w:bCs/>
                <w:szCs w:val="21"/>
              </w:rPr>
              <w:t>+8</w:t>
            </w:r>
            <w:r>
              <w:rPr>
                <w:bCs/>
                <w:szCs w:val="21"/>
              </w:rPr>
              <w:t>t/</w:t>
            </w:r>
            <w:r>
              <w:rPr>
                <w:rFonts w:hint="eastAsia"/>
                <w:bCs/>
                <w:szCs w:val="21"/>
              </w:rPr>
              <w:t>10</w:t>
            </w:r>
            <w:r>
              <w:rPr>
                <w:bCs/>
                <w:szCs w:val="21"/>
              </w:rPr>
              <w:t>a</w:t>
            </w:r>
          </w:p>
        </w:tc>
      </w:tr>
    </w:tbl>
    <w:p w14:paraId="51335967">
      <w:pPr>
        <w:rPr>
          <w:rFonts w:ascii="宋体" w:hAnsi="宋体" w:eastAsia="黑体"/>
        </w:rPr>
      </w:pPr>
      <w:r>
        <w:rPr>
          <w:rFonts w:hAnsi="宋体"/>
          <w:snapToGrid w:val="0"/>
          <w:color w:val="000000"/>
          <w:kern w:val="21"/>
          <w:szCs w:val="21"/>
        </w:rPr>
        <w:t>注：</w:t>
      </w:r>
      <w:r>
        <w:rPr>
          <w:rFonts w:hAnsi="宋体"/>
          <w:snapToGrid w:val="0"/>
          <w:color w:val="000000"/>
          <w:spacing w:val="-16"/>
          <w:kern w:val="21"/>
          <w:szCs w:val="21"/>
        </w:rPr>
        <w:fldChar w:fldCharType="begin"/>
      </w:r>
      <w:r>
        <w:rPr>
          <w:rFonts w:hAnsi="宋体"/>
          <w:snapToGrid w:val="0"/>
          <w:color w:val="000000"/>
          <w:spacing w:val="-16"/>
          <w:kern w:val="21"/>
          <w:szCs w:val="21"/>
        </w:rPr>
        <w:instrText xml:space="preserve"> = 6 \* GB3 \* MERGEFORMAT </w:instrText>
      </w:r>
      <w:r>
        <w:rPr>
          <w:rFonts w:hAnsi="宋体"/>
          <w:snapToGrid w:val="0"/>
          <w:color w:val="000000"/>
          <w:spacing w:val="-16"/>
          <w:kern w:val="21"/>
          <w:szCs w:val="21"/>
        </w:rPr>
        <w:fldChar w:fldCharType="separate"/>
      </w:r>
      <w:r>
        <w:rPr>
          <w:rFonts w:hint="eastAsia" w:hAnsi="宋体"/>
          <w:szCs w:val="21"/>
        </w:rPr>
        <w:t>⑥</w:t>
      </w:r>
      <w:r>
        <w:rPr>
          <w:rFonts w:hAnsi="宋体"/>
          <w:snapToGrid w:val="0"/>
          <w:color w:val="000000"/>
          <w:spacing w:val="-16"/>
          <w:kern w:val="21"/>
          <w:szCs w:val="21"/>
        </w:rPr>
        <w:fldChar w:fldCharType="end"/>
      </w:r>
      <w:r>
        <w:rPr>
          <w:rFonts w:hAnsi="宋体"/>
          <w:snapToGrid w:val="0"/>
          <w:color w:val="000000"/>
          <w:spacing w:val="-16"/>
          <w:kern w:val="21"/>
          <w:szCs w:val="21"/>
        </w:rPr>
        <w:t>=</w:t>
      </w:r>
      <w:r>
        <w:rPr>
          <w:rFonts w:hAnsi="宋体"/>
          <w:snapToGrid w:val="0"/>
          <w:color w:val="000000"/>
          <w:spacing w:val="-6"/>
          <w:kern w:val="21"/>
          <w:szCs w:val="21"/>
        </w:rPr>
        <w:fldChar w:fldCharType="begin"/>
      </w:r>
      <w:r>
        <w:rPr>
          <w:rFonts w:hAnsi="宋体"/>
          <w:snapToGrid w:val="0"/>
          <w:color w:val="000000"/>
          <w:spacing w:val="-6"/>
          <w:kern w:val="21"/>
          <w:szCs w:val="21"/>
        </w:rPr>
        <w:instrText xml:space="preserve"> = 1 \* GB3 \* MERGEFORMAT </w:instrText>
      </w:r>
      <w:r>
        <w:rPr>
          <w:rFonts w:hAnsi="宋体"/>
          <w:snapToGrid w:val="0"/>
          <w:color w:val="000000"/>
          <w:spacing w:val="-6"/>
          <w:kern w:val="21"/>
          <w:szCs w:val="21"/>
        </w:rPr>
        <w:fldChar w:fldCharType="separate"/>
      </w:r>
      <w:r>
        <w:rPr>
          <w:rFonts w:hint="eastAsia" w:hAnsi="宋体"/>
          <w:szCs w:val="21"/>
        </w:rPr>
        <w:t>①</w:t>
      </w:r>
      <w:r>
        <w:rPr>
          <w:rFonts w:hAnsi="宋体"/>
          <w:snapToGrid w:val="0"/>
          <w:color w:val="000000"/>
          <w:spacing w:val="-6"/>
          <w:kern w:val="21"/>
          <w:szCs w:val="21"/>
        </w:rPr>
        <w:fldChar w:fldCharType="end"/>
      </w:r>
      <w:r>
        <w:rPr>
          <w:rFonts w:hAnsi="宋体"/>
          <w:snapToGrid w:val="0"/>
          <w:color w:val="000000"/>
          <w:spacing w:val="-6"/>
          <w:kern w:val="21"/>
          <w:szCs w:val="21"/>
        </w:rPr>
        <w:t>+</w:t>
      </w:r>
      <w:r>
        <w:rPr>
          <w:rFonts w:hAnsi="宋体"/>
          <w:snapToGrid w:val="0"/>
          <w:color w:val="000000"/>
          <w:spacing w:val="-6"/>
          <w:kern w:val="21"/>
          <w:szCs w:val="21"/>
        </w:rPr>
        <w:fldChar w:fldCharType="begin"/>
      </w:r>
      <w:r>
        <w:rPr>
          <w:rFonts w:hAnsi="宋体"/>
          <w:snapToGrid w:val="0"/>
          <w:color w:val="000000"/>
          <w:spacing w:val="-6"/>
          <w:kern w:val="21"/>
          <w:szCs w:val="21"/>
        </w:rPr>
        <w:instrText xml:space="preserve"> = 3 \* GB3 \* MERGEFORMAT </w:instrText>
      </w:r>
      <w:r>
        <w:rPr>
          <w:rFonts w:hAnsi="宋体"/>
          <w:snapToGrid w:val="0"/>
          <w:color w:val="000000"/>
          <w:spacing w:val="-6"/>
          <w:kern w:val="21"/>
          <w:szCs w:val="21"/>
        </w:rPr>
        <w:fldChar w:fldCharType="separate"/>
      </w:r>
      <w:r>
        <w:rPr>
          <w:rFonts w:hint="eastAsia" w:hAnsi="宋体"/>
          <w:szCs w:val="21"/>
        </w:rPr>
        <w:t>③</w:t>
      </w:r>
      <w:r>
        <w:rPr>
          <w:rFonts w:hAnsi="宋体"/>
          <w:snapToGrid w:val="0"/>
          <w:color w:val="000000"/>
          <w:spacing w:val="-6"/>
          <w:kern w:val="21"/>
          <w:szCs w:val="21"/>
        </w:rPr>
        <w:fldChar w:fldCharType="end"/>
      </w:r>
      <w:r>
        <w:rPr>
          <w:rFonts w:hAnsi="宋体"/>
          <w:snapToGrid w:val="0"/>
          <w:color w:val="000000"/>
          <w:spacing w:val="-6"/>
          <w:kern w:val="21"/>
          <w:szCs w:val="21"/>
        </w:rPr>
        <w:t>+</w:t>
      </w:r>
      <w:r>
        <w:rPr>
          <w:rFonts w:hAnsi="宋体"/>
          <w:snapToGrid w:val="0"/>
          <w:color w:val="000000"/>
          <w:spacing w:val="-6"/>
          <w:kern w:val="21"/>
          <w:szCs w:val="21"/>
        </w:rPr>
        <w:fldChar w:fldCharType="begin"/>
      </w:r>
      <w:r>
        <w:rPr>
          <w:rFonts w:hAnsi="宋体"/>
          <w:snapToGrid w:val="0"/>
          <w:color w:val="000000"/>
          <w:spacing w:val="-6"/>
          <w:kern w:val="21"/>
          <w:szCs w:val="21"/>
        </w:rPr>
        <w:instrText xml:space="preserve"> = 4 \* GB3 \* MERGEFORMAT </w:instrText>
      </w:r>
      <w:r>
        <w:rPr>
          <w:rFonts w:hAnsi="宋体"/>
          <w:snapToGrid w:val="0"/>
          <w:color w:val="000000"/>
          <w:spacing w:val="-6"/>
          <w:kern w:val="21"/>
          <w:szCs w:val="21"/>
        </w:rPr>
        <w:fldChar w:fldCharType="separate"/>
      </w:r>
      <w:r>
        <w:rPr>
          <w:rFonts w:hint="eastAsia" w:hAnsi="宋体"/>
          <w:szCs w:val="21"/>
        </w:rPr>
        <w:t>④</w:t>
      </w:r>
      <w:r>
        <w:rPr>
          <w:rFonts w:hAnsi="宋体"/>
          <w:snapToGrid w:val="0"/>
          <w:color w:val="000000"/>
          <w:spacing w:val="-6"/>
          <w:kern w:val="21"/>
          <w:szCs w:val="21"/>
        </w:rPr>
        <w:fldChar w:fldCharType="end"/>
      </w:r>
      <w:r>
        <w:rPr>
          <w:rFonts w:hAnsi="宋体"/>
          <w:snapToGrid w:val="0"/>
          <w:color w:val="000000"/>
          <w:spacing w:val="-6"/>
          <w:kern w:val="21"/>
          <w:szCs w:val="21"/>
        </w:rPr>
        <w:t>-</w:t>
      </w:r>
      <w:r>
        <w:rPr>
          <w:rFonts w:hAnsi="宋体"/>
          <w:snapToGrid w:val="0"/>
          <w:color w:val="000000"/>
          <w:spacing w:val="-16"/>
          <w:kern w:val="21"/>
          <w:szCs w:val="21"/>
        </w:rPr>
        <w:fldChar w:fldCharType="begin"/>
      </w:r>
      <w:r>
        <w:rPr>
          <w:rFonts w:hAnsi="宋体"/>
          <w:snapToGrid w:val="0"/>
          <w:color w:val="000000"/>
          <w:spacing w:val="-16"/>
          <w:kern w:val="21"/>
          <w:szCs w:val="21"/>
        </w:rPr>
        <w:instrText xml:space="preserve"> = 5 \* GB3 \* MERGEFORMAT </w:instrText>
      </w:r>
      <w:r>
        <w:rPr>
          <w:rFonts w:hAnsi="宋体"/>
          <w:snapToGrid w:val="0"/>
          <w:color w:val="000000"/>
          <w:spacing w:val="-16"/>
          <w:kern w:val="21"/>
          <w:szCs w:val="21"/>
        </w:rPr>
        <w:fldChar w:fldCharType="separate"/>
      </w:r>
      <w:r>
        <w:rPr>
          <w:rFonts w:hint="eastAsia" w:hAnsi="宋体"/>
          <w:szCs w:val="21"/>
        </w:rPr>
        <w:t>⑤</w:t>
      </w:r>
      <w:r>
        <w:rPr>
          <w:rFonts w:hAnsi="宋体"/>
          <w:snapToGrid w:val="0"/>
          <w:color w:val="000000"/>
          <w:spacing w:val="-16"/>
          <w:kern w:val="21"/>
          <w:szCs w:val="21"/>
        </w:rPr>
        <w:fldChar w:fldCharType="end"/>
      </w:r>
      <w:r>
        <w:rPr>
          <w:rFonts w:hAnsi="宋体"/>
          <w:snapToGrid w:val="0"/>
          <w:color w:val="000000"/>
          <w:spacing w:val="-16"/>
          <w:kern w:val="21"/>
          <w:szCs w:val="21"/>
        </w:rPr>
        <w:t>；</w:t>
      </w:r>
      <w:r>
        <w:rPr>
          <w:rFonts w:hAnsi="宋体"/>
          <w:snapToGrid w:val="0"/>
          <w:color w:val="000000"/>
          <w:spacing w:val="-6"/>
          <w:kern w:val="21"/>
          <w:szCs w:val="21"/>
        </w:rPr>
        <w:fldChar w:fldCharType="begin"/>
      </w:r>
      <w:r>
        <w:rPr>
          <w:rFonts w:hAnsi="宋体"/>
          <w:snapToGrid w:val="0"/>
          <w:color w:val="000000"/>
          <w:spacing w:val="-6"/>
          <w:kern w:val="21"/>
          <w:szCs w:val="21"/>
        </w:rPr>
        <w:instrText xml:space="preserve"> = 7 \* GB3 \* MERGEFORMAT </w:instrText>
      </w:r>
      <w:r>
        <w:rPr>
          <w:rFonts w:hAnsi="宋体"/>
          <w:snapToGrid w:val="0"/>
          <w:color w:val="000000"/>
          <w:spacing w:val="-6"/>
          <w:kern w:val="21"/>
          <w:szCs w:val="21"/>
        </w:rPr>
        <w:fldChar w:fldCharType="separate"/>
      </w:r>
      <w:r>
        <w:rPr>
          <w:rFonts w:hint="eastAsia" w:hAnsi="宋体"/>
          <w:szCs w:val="21"/>
        </w:rPr>
        <w:t>⑦</w:t>
      </w:r>
      <w:r>
        <w:rPr>
          <w:rFonts w:hAnsi="宋体"/>
          <w:snapToGrid w:val="0"/>
          <w:color w:val="000000"/>
          <w:spacing w:val="-6"/>
          <w:kern w:val="21"/>
          <w:szCs w:val="21"/>
        </w:rPr>
        <w:fldChar w:fldCharType="end"/>
      </w:r>
      <w:r>
        <w:rPr>
          <w:rFonts w:hAnsi="宋体"/>
          <w:snapToGrid w:val="0"/>
          <w:color w:val="000000"/>
          <w:spacing w:val="-6"/>
          <w:kern w:val="21"/>
          <w:szCs w:val="21"/>
        </w:rPr>
        <w:t>=</w:t>
      </w:r>
      <w:r>
        <w:rPr>
          <w:rFonts w:hAnsi="宋体"/>
          <w:snapToGrid w:val="0"/>
          <w:color w:val="000000"/>
          <w:spacing w:val="-16"/>
          <w:kern w:val="21"/>
          <w:szCs w:val="21"/>
        </w:rPr>
        <w:fldChar w:fldCharType="begin"/>
      </w:r>
      <w:r>
        <w:rPr>
          <w:rFonts w:hAnsi="宋体"/>
          <w:snapToGrid w:val="0"/>
          <w:color w:val="000000"/>
          <w:spacing w:val="-16"/>
          <w:kern w:val="21"/>
          <w:szCs w:val="21"/>
        </w:rPr>
        <w:instrText xml:space="preserve"> = 6 \* GB3 \* MERGEFORMAT </w:instrText>
      </w:r>
      <w:r>
        <w:rPr>
          <w:rFonts w:hAnsi="宋体"/>
          <w:snapToGrid w:val="0"/>
          <w:color w:val="000000"/>
          <w:spacing w:val="-16"/>
          <w:kern w:val="21"/>
          <w:szCs w:val="21"/>
        </w:rPr>
        <w:fldChar w:fldCharType="separate"/>
      </w:r>
      <w:r>
        <w:rPr>
          <w:rFonts w:hint="eastAsia" w:hAnsi="宋体"/>
          <w:szCs w:val="21"/>
        </w:rPr>
        <w:t>⑥</w:t>
      </w:r>
      <w:r>
        <w:rPr>
          <w:rFonts w:hAnsi="宋体"/>
          <w:snapToGrid w:val="0"/>
          <w:color w:val="000000"/>
          <w:spacing w:val="-16"/>
          <w:kern w:val="21"/>
          <w:szCs w:val="21"/>
        </w:rPr>
        <w:fldChar w:fldCharType="end"/>
      </w:r>
      <w:r>
        <w:rPr>
          <w:rFonts w:hAnsi="宋体"/>
          <w:snapToGrid w:val="0"/>
          <w:color w:val="000000"/>
          <w:spacing w:val="-16"/>
          <w:kern w:val="21"/>
          <w:szCs w:val="21"/>
        </w:rPr>
        <w:t>-</w:t>
      </w:r>
      <w:r>
        <w:rPr>
          <w:rFonts w:hAnsi="宋体"/>
          <w:snapToGrid w:val="0"/>
          <w:color w:val="000000"/>
          <w:spacing w:val="-6"/>
          <w:kern w:val="21"/>
          <w:szCs w:val="21"/>
        </w:rPr>
        <w:fldChar w:fldCharType="begin"/>
      </w:r>
      <w:r>
        <w:rPr>
          <w:rFonts w:hAnsi="宋体"/>
          <w:snapToGrid w:val="0"/>
          <w:color w:val="000000"/>
          <w:spacing w:val="-6"/>
          <w:kern w:val="21"/>
          <w:szCs w:val="21"/>
        </w:rPr>
        <w:instrText xml:space="preserve"> = 1 \* GB3 \* MERGEFORMAT </w:instrText>
      </w:r>
      <w:r>
        <w:rPr>
          <w:rFonts w:hAnsi="宋体"/>
          <w:snapToGrid w:val="0"/>
          <w:color w:val="000000"/>
          <w:spacing w:val="-6"/>
          <w:kern w:val="21"/>
          <w:szCs w:val="21"/>
        </w:rPr>
        <w:fldChar w:fldCharType="separate"/>
      </w:r>
      <w:r>
        <w:rPr>
          <w:rFonts w:hint="eastAsia" w:hAnsi="宋体"/>
          <w:szCs w:val="21"/>
        </w:rPr>
        <w:t>①</w:t>
      </w:r>
      <w:r>
        <w:rPr>
          <w:rFonts w:hAnsi="宋体"/>
          <w:snapToGrid w:val="0"/>
          <w:color w:val="000000"/>
          <w:spacing w:val="-6"/>
          <w:kern w:val="21"/>
          <w:szCs w:val="21"/>
        </w:rPr>
        <w:fldChar w:fldCharType="end"/>
      </w:r>
    </w:p>
    <w:sectPr>
      <w:pgSz w:w="16838" w:h="11906" w:orient="landscape"/>
      <w:pgMar w:top="1531" w:right="1701" w:bottom="1531" w:left="1701" w:header="851" w:footer="850"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libri Light">
    <w:panose1 w:val="020F0302020204030204"/>
    <w:charset w:val="00"/>
    <w:family w:val="swiss"/>
    <w:pitch w:val="default"/>
    <w:sig w:usb0="E0002A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等线">
    <w:panose1 w:val="02010600030101010101"/>
    <w:charset w:val="86"/>
    <w:family w:val="auto"/>
    <w:pitch w:val="default"/>
    <w:sig w:usb0="A00002BF" w:usb1="38CF7CFA" w:usb2="00000016" w:usb3="00000000" w:csb0="0004000F" w:csb1="00000000"/>
  </w:font>
  <w:font w:name="Wingdings 2">
    <w:altName w:val="Wingdings"/>
    <w:panose1 w:val="05020102010507070707"/>
    <w:charset w:val="02"/>
    <w:family w:val="roman"/>
    <w:pitch w:val="default"/>
    <w:sig w:usb0="00000000" w:usb1="00000000" w:usb2="00000000" w:usb3="00000000" w:csb0="80000000" w:csb1="00000000"/>
  </w:font>
  <w:font w:name="TimesNewRomanPSMT">
    <w:altName w:val="等线"/>
    <w:panose1 w:val="00000000000000000000"/>
    <w:charset w:val="86"/>
    <w:family w:val="auto"/>
    <w:pitch w:val="default"/>
    <w:sig w:usb0="00000000" w:usb1="00000000" w:usb2="00000010" w:usb3="00000000" w:csb0="00060001" w:csb1="00000000"/>
  </w:font>
  <w:font w:name="Arial">
    <w:panose1 w:val="020B0604020202020204"/>
    <w:charset w:val="00"/>
    <w:family w:val="swiss"/>
    <w:pitch w:val="default"/>
    <w:sig w:usb0="E0002EFF" w:usb1="C0007843" w:usb2="00000009" w:usb3="00000000" w:csb0="400001FF" w:csb1="FFFF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Wingdings">
    <w:panose1 w:val="05000000000000000000"/>
    <w:charset w:val="00"/>
    <w:family w:val="auto"/>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B077E8">
    <w:pPr>
      <w:pStyle w:val="21"/>
      <w:framePr w:wrap="around" w:vAnchor="text" w:hAnchor="margin" w:xAlign="outside" w:y="1"/>
      <w:rPr>
        <w:rStyle w:val="32"/>
        <w:rFonts w:ascii="宋体" w:hAnsi="宋体"/>
        <w:sz w:val="28"/>
        <w:szCs w:val="28"/>
      </w:rPr>
    </w:pPr>
    <w:r>
      <w:rPr>
        <w:rStyle w:val="32"/>
        <w:rFonts w:hint="eastAsia" w:ascii="宋体" w:hAnsi="宋体"/>
        <w:sz w:val="28"/>
        <w:szCs w:val="28"/>
      </w:rPr>
      <w:t>—</w:t>
    </w:r>
    <w:r>
      <w:rPr>
        <w:rStyle w:val="32"/>
        <w:rFonts w:ascii="宋体" w:hAnsi="宋体"/>
        <w:sz w:val="26"/>
        <w:szCs w:val="26"/>
      </w:rPr>
      <w:fldChar w:fldCharType="begin"/>
    </w:r>
    <w:r>
      <w:rPr>
        <w:rStyle w:val="32"/>
        <w:rFonts w:ascii="宋体" w:hAnsi="宋体"/>
        <w:sz w:val="26"/>
        <w:szCs w:val="26"/>
      </w:rPr>
      <w:instrText xml:space="preserve">PAGE  </w:instrText>
    </w:r>
    <w:r>
      <w:rPr>
        <w:rStyle w:val="32"/>
        <w:rFonts w:ascii="宋体" w:hAnsi="宋体"/>
        <w:sz w:val="26"/>
        <w:szCs w:val="26"/>
      </w:rPr>
      <w:fldChar w:fldCharType="separate"/>
    </w:r>
    <w:r>
      <w:rPr>
        <w:rStyle w:val="32"/>
        <w:rFonts w:ascii="宋体" w:hAnsi="宋体"/>
        <w:sz w:val="26"/>
        <w:szCs w:val="26"/>
      </w:rPr>
      <w:t>1</w:t>
    </w:r>
    <w:r>
      <w:rPr>
        <w:rStyle w:val="32"/>
        <w:rFonts w:ascii="宋体" w:hAnsi="宋体"/>
        <w:sz w:val="26"/>
        <w:szCs w:val="26"/>
      </w:rPr>
      <w:fldChar w:fldCharType="end"/>
    </w:r>
    <w:r>
      <w:rPr>
        <w:rStyle w:val="32"/>
        <w:rFonts w:hint="eastAsia" w:ascii="宋体" w:hAnsi="宋体"/>
        <w:sz w:val="28"/>
        <w:szCs w:val="28"/>
      </w:rPr>
      <w:t>—</w:t>
    </w:r>
  </w:p>
  <w:p w14:paraId="45C22EA5">
    <w:pPr>
      <w:pStyle w:val="21"/>
      <w:ind w:right="360" w:firstLine="360"/>
      <w:jc w:val="cen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6C60B9"/>
    <w:multiLevelType w:val="singleLevel"/>
    <w:tmpl w:val="076C60B9"/>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attachedTemplate r:id="rId1"/>
  <w:documentProtection w:edit="trackedChanges" w:enforcement="0"/>
  <w:defaultTabStop w:val="420"/>
  <w:doNotHyphenateCaps/>
  <w:drawingGridHorizontalSpacing w:val="10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4947"/>
    <w:rsid w:val="00000177"/>
    <w:rsid w:val="0000025A"/>
    <w:rsid w:val="000002FC"/>
    <w:rsid w:val="00000474"/>
    <w:rsid w:val="00000933"/>
    <w:rsid w:val="00000F99"/>
    <w:rsid w:val="00001332"/>
    <w:rsid w:val="00001405"/>
    <w:rsid w:val="0000151B"/>
    <w:rsid w:val="0000195C"/>
    <w:rsid w:val="00001E7F"/>
    <w:rsid w:val="00002340"/>
    <w:rsid w:val="0000235B"/>
    <w:rsid w:val="000028E1"/>
    <w:rsid w:val="000029DC"/>
    <w:rsid w:val="00002A69"/>
    <w:rsid w:val="00002F4B"/>
    <w:rsid w:val="0000303E"/>
    <w:rsid w:val="00003156"/>
    <w:rsid w:val="00003401"/>
    <w:rsid w:val="000036C7"/>
    <w:rsid w:val="0000377F"/>
    <w:rsid w:val="00003815"/>
    <w:rsid w:val="00003A12"/>
    <w:rsid w:val="00003C24"/>
    <w:rsid w:val="00003CBE"/>
    <w:rsid w:val="00003FF3"/>
    <w:rsid w:val="00004082"/>
    <w:rsid w:val="000040BA"/>
    <w:rsid w:val="00004B79"/>
    <w:rsid w:val="00004BE0"/>
    <w:rsid w:val="000050EC"/>
    <w:rsid w:val="000054A2"/>
    <w:rsid w:val="00005645"/>
    <w:rsid w:val="0000566E"/>
    <w:rsid w:val="00005851"/>
    <w:rsid w:val="000060B3"/>
    <w:rsid w:val="0000611C"/>
    <w:rsid w:val="000064C8"/>
    <w:rsid w:val="0000672F"/>
    <w:rsid w:val="00006C72"/>
    <w:rsid w:val="000070EB"/>
    <w:rsid w:val="00007286"/>
    <w:rsid w:val="0000737D"/>
    <w:rsid w:val="00007A2C"/>
    <w:rsid w:val="00007EA8"/>
    <w:rsid w:val="0001057F"/>
    <w:rsid w:val="0001075F"/>
    <w:rsid w:val="00010782"/>
    <w:rsid w:val="000107ED"/>
    <w:rsid w:val="000109F5"/>
    <w:rsid w:val="00011527"/>
    <w:rsid w:val="00011704"/>
    <w:rsid w:val="000118EA"/>
    <w:rsid w:val="00011954"/>
    <w:rsid w:val="00011A42"/>
    <w:rsid w:val="00011CD2"/>
    <w:rsid w:val="0001217D"/>
    <w:rsid w:val="000121DB"/>
    <w:rsid w:val="000122D9"/>
    <w:rsid w:val="0001241F"/>
    <w:rsid w:val="00012713"/>
    <w:rsid w:val="00012727"/>
    <w:rsid w:val="00012AB8"/>
    <w:rsid w:val="00012B04"/>
    <w:rsid w:val="00012D2F"/>
    <w:rsid w:val="00012E8E"/>
    <w:rsid w:val="0001329B"/>
    <w:rsid w:val="000133C3"/>
    <w:rsid w:val="00013441"/>
    <w:rsid w:val="00013452"/>
    <w:rsid w:val="00013457"/>
    <w:rsid w:val="00013539"/>
    <w:rsid w:val="00013628"/>
    <w:rsid w:val="000138BA"/>
    <w:rsid w:val="0001391D"/>
    <w:rsid w:val="00013C96"/>
    <w:rsid w:val="00013D50"/>
    <w:rsid w:val="000140CE"/>
    <w:rsid w:val="000141DE"/>
    <w:rsid w:val="000141FD"/>
    <w:rsid w:val="0001438D"/>
    <w:rsid w:val="000144A9"/>
    <w:rsid w:val="000145ED"/>
    <w:rsid w:val="000148D3"/>
    <w:rsid w:val="000149A6"/>
    <w:rsid w:val="00014A0C"/>
    <w:rsid w:val="00014AC2"/>
    <w:rsid w:val="00014AF7"/>
    <w:rsid w:val="00014B38"/>
    <w:rsid w:val="00014E5B"/>
    <w:rsid w:val="00015309"/>
    <w:rsid w:val="000156E3"/>
    <w:rsid w:val="00015E0E"/>
    <w:rsid w:val="00015E3E"/>
    <w:rsid w:val="00015F20"/>
    <w:rsid w:val="000161FF"/>
    <w:rsid w:val="0001621E"/>
    <w:rsid w:val="000162F4"/>
    <w:rsid w:val="0001631D"/>
    <w:rsid w:val="00016920"/>
    <w:rsid w:val="00016F00"/>
    <w:rsid w:val="00017130"/>
    <w:rsid w:val="0001725C"/>
    <w:rsid w:val="0001728B"/>
    <w:rsid w:val="000175C0"/>
    <w:rsid w:val="0001796A"/>
    <w:rsid w:val="00020576"/>
    <w:rsid w:val="00020585"/>
    <w:rsid w:val="00020899"/>
    <w:rsid w:val="00020B57"/>
    <w:rsid w:val="0002148F"/>
    <w:rsid w:val="0002155D"/>
    <w:rsid w:val="00021818"/>
    <w:rsid w:val="0002188A"/>
    <w:rsid w:val="00021961"/>
    <w:rsid w:val="00021D64"/>
    <w:rsid w:val="00022459"/>
    <w:rsid w:val="00022946"/>
    <w:rsid w:val="00022B58"/>
    <w:rsid w:val="00022C2E"/>
    <w:rsid w:val="00022D5B"/>
    <w:rsid w:val="00022DE7"/>
    <w:rsid w:val="00022E31"/>
    <w:rsid w:val="00023666"/>
    <w:rsid w:val="0002379A"/>
    <w:rsid w:val="000238F2"/>
    <w:rsid w:val="000238FD"/>
    <w:rsid w:val="00023C3C"/>
    <w:rsid w:val="00023FD6"/>
    <w:rsid w:val="000241EC"/>
    <w:rsid w:val="00024650"/>
    <w:rsid w:val="00024835"/>
    <w:rsid w:val="00024B29"/>
    <w:rsid w:val="00024C28"/>
    <w:rsid w:val="00024E2C"/>
    <w:rsid w:val="000255B8"/>
    <w:rsid w:val="00025944"/>
    <w:rsid w:val="00025A0E"/>
    <w:rsid w:val="00025A29"/>
    <w:rsid w:val="00025ACE"/>
    <w:rsid w:val="00025BA0"/>
    <w:rsid w:val="00025E30"/>
    <w:rsid w:val="000263A0"/>
    <w:rsid w:val="000263C1"/>
    <w:rsid w:val="0002678C"/>
    <w:rsid w:val="00026801"/>
    <w:rsid w:val="00026862"/>
    <w:rsid w:val="00026B73"/>
    <w:rsid w:val="00026C32"/>
    <w:rsid w:val="00026C9E"/>
    <w:rsid w:val="00026D08"/>
    <w:rsid w:val="00027516"/>
    <w:rsid w:val="0002771F"/>
    <w:rsid w:val="00027855"/>
    <w:rsid w:val="00027962"/>
    <w:rsid w:val="00027EEE"/>
    <w:rsid w:val="0003006F"/>
    <w:rsid w:val="000300B1"/>
    <w:rsid w:val="000306A0"/>
    <w:rsid w:val="000306A6"/>
    <w:rsid w:val="000306D5"/>
    <w:rsid w:val="0003079A"/>
    <w:rsid w:val="000307DF"/>
    <w:rsid w:val="00030ECF"/>
    <w:rsid w:val="000310CE"/>
    <w:rsid w:val="0003110A"/>
    <w:rsid w:val="00031182"/>
    <w:rsid w:val="000311D9"/>
    <w:rsid w:val="000312FD"/>
    <w:rsid w:val="00031603"/>
    <w:rsid w:val="00031686"/>
    <w:rsid w:val="000317D1"/>
    <w:rsid w:val="00031A39"/>
    <w:rsid w:val="00031A44"/>
    <w:rsid w:val="00031CA8"/>
    <w:rsid w:val="00031E05"/>
    <w:rsid w:val="00031FC4"/>
    <w:rsid w:val="00032274"/>
    <w:rsid w:val="000322B7"/>
    <w:rsid w:val="0003243B"/>
    <w:rsid w:val="000324D8"/>
    <w:rsid w:val="00032500"/>
    <w:rsid w:val="00032531"/>
    <w:rsid w:val="00032652"/>
    <w:rsid w:val="00032676"/>
    <w:rsid w:val="0003281D"/>
    <w:rsid w:val="00032855"/>
    <w:rsid w:val="000328D9"/>
    <w:rsid w:val="00032B2E"/>
    <w:rsid w:val="00032CBB"/>
    <w:rsid w:val="00032DCB"/>
    <w:rsid w:val="00032F9A"/>
    <w:rsid w:val="0003314B"/>
    <w:rsid w:val="000333EE"/>
    <w:rsid w:val="00033605"/>
    <w:rsid w:val="000337AB"/>
    <w:rsid w:val="00033D70"/>
    <w:rsid w:val="00033DD5"/>
    <w:rsid w:val="000340D7"/>
    <w:rsid w:val="000343AF"/>
    <w:rsid w:val="000345F3"/>
    <w:rsid w:val="000346BA"/>
    <w:rsid w:val="00034A1C"/>
    <w:rsid w:val="00034A6C"/>
    <w:rsid w:val="00034A8F"/>
    <w:rsid w:val="00034BA9"/>
    <w:rsid w:val="00034D4D"/>
    <w:rsid w:val="00035A48"/>
    <w:rsid w:val="00035D6D"/>
    <w:rsid w:val="00035D77"/>
    <w:rsid w:val="00035D8E"/>
    <w:rsid w:val="0003613E"/>
    <w:rsid w:val="000361D2"/>
    <w:rsid w:val="000368C6"/>
    <w:rsid w:val="00036AE7"/>
    <w:rsid w:val="00036C98"/>
    <w:rsid w:val="000371C8"/>
    <w:rsid w:val="0003722E"/>
    <w:rsid w:val="00037236"/>
    <w:rsid w:val="000373EB"/>
    <w:rsid w:val="000376F2"/>
    <w:rsid w:val="000377D2"/>
    <w:rsid w:val="00037AAF"/>
    <w:rsid w:val="00037B21"/>
    <w:rsid w:val="00037EF9"/>
    <w:rsid w:val="00040112"/>
    <w:rsid w:val="00040547"/>
    <w:rsid w:val="00040614"/>
    <w:rsid w:val="00040BCC"/>
    <w:rsid w:val="00040F86"/>
    <w:rsid w:val="000415F7"/>
    <w:rsid w:val="0004184A"/>
    <w:rsid w:val="00041A12"/>
    <w:rsid w:val="00041CAE"/>
    <w:rsid w:val="000420CD"/>
    <w:rsid w:val="0004257C"/>
    <w:rsid w:val="00042879"/>
    <w:rsid w:val="00042906"/>
    <w:rsid w:val="00042A6D"/>
    <w:rsid w:val="00042F03"/>
    <w:rsid w:val="00043142"/>
    <w:rsid w:val="0004323F"/>
    <w:rsid w:val="00043502"/>
    <w:rsid w:val="00043594"/>
    <w:rsid w:val="0004364B"/>
    <w:rsid w:val="00043A26"/>
    <w:rsid w:val="000440A8"/>
    <w:rsid w:val="000440C4"/>
    <w:rsid w:val="00044200"/>
    <w:rsid w:val="000442F4"/>
    <w:rsid w:val="0004437A"/>
    <w:rsid w:val="000446D2"/>
    <w:rsid w:val="00044714"/>
    <w:rsid w:val="00044AC0"/>
    <w:rsid w:val="00044C75"/>
    <w:rsid w:val="00044F83"/>
    <w:rsid w:val="00045404"/>
    <w:rsid w:val="000455EF"/>
    <w:rsid w:val="00045661"/>
    <w:rsid w:val="00045956"/>
    <w:rsid w:val="00045DF6"/>
    <w:rsid w:val="00045EF0"/>
    <w:rsid w:val="00046144"/>
    <w:rsid w:val="000463D2"/>
    <w:rsid w:val="000464C2"/>
    <w:rsid w:val="00046883"/>
    <w:rsid w:val="00046CD7"/>
    <w:rsid w:val="00046D02"/>
    <w:rsid w:val="00046D32"/>
    <w:rsid w:val="00046DB1"/>
    <w:rsid w:val="0004703A"/>
    <w:rsid w:val="000471A0"/>
    <w:rsid w:val="00047334"/>
    <w:rsid w:val="000477EE"/>
    <w:rsid w:val="000478C7"/>
    <w:rsid w:val="00047917"/>
    <w:rsid w:val="00047AC2"/>
    <w:rsid w:val="00047F23"/>
    <w:rsid w:val="00050362"/>
    <w:rsid w:val="0005062C"/>
    <w:rsid w:val="00050961"/>
    <w:rsid w:val="00050CBF"/>
    <w:rsid w:val="00050D67"/>
    <w:rsid w:val="00050DAF"/>
    <w:rsid w:val="000511E0"/>
    <w:rsid w:val="00051A97"/>
    <w:rsid w:val="00051AF1"/>
    <w:rsid w:val="00051B0B"/>
    <w:rsid w:val="00051C39"/>
    <w:rsid w:val="00051D43"/>
    <w:rsid w:val="00051DBC"/>
    <w:rsid w:val="00051E20"/>
    <w:rsid w:val="000529D2"/>
    <w:rsid w:val="00052F57"/>
    <w:rsid w:val="00052F5D"/>
    <w:rsid w:val="0005352D"/>
    <w:rsid w:val="0005359A"/>
    <w:rsid w:val="00053945"/>
    <w:rsid w:val="00053BBC"/>
    <w:rsid w:val="00053C15"/>
    <w:rsid w:val="00053C17"/>
    <w:rsid w:val="000541FB"/>
    <w:rsid w:val="0005433B"/>
    <w:rsid w:val="00054341"/>
    <w:rsid w:val="00054522"/>
    <w:rsid w:val="00054C02"/>
    <w:rsid w:val="00054C30"/>
    <w:rsid w:val="0005502A"/>
    <w:rsid w:val="0005507E"/>
    <w:rsid w:val="0005512F"/>
    <w:rsid w:val="0005541D"/>
    <w:rsid w:val="00055420"/>
    <w:rsid w:val="000554BC"/>
    <w:rsid w:val="00055596"/>
    <w:rsid w:val="00055BB1"/>
    <w:rsid w:val="00055C33"/>
    <w:rsid w:val="00055FDB"/>
    <w:rsid w:val="000562CA"/>
    <w:rsid w:val="00056735"/>
    <w:rsid w:val="00056870"/>
    <w:rsid w:val="000568EC"/>
    <w:rsid w:val="00056A65"/>
    <w:rsid w:val="00056B1F"/>
    <w:rsid w:val="00056BBC"/>
    <w:rsid w:val="000570C5"/>
    <w:rsid w:val="00057343"/>
    <w:rsid w:val="000578EF"/>
    <w:rsid w:val="00057941"/>
    <w:rsid w:val="00057AA2"/>
    <w:rsid w:val="00057BA7"/>
    <w:rsid w:val="000603BF"/>
    <w:rsid w:val="00060486"/>
    <w:rsid w:val="000609B1"/>
    <w:rsid w:val="00060B1F"/>
    <w:rsid w:val="00060BF5"/>
    <w:rsid w:val="00060D64"/>
    <w:rsid w:val="0006100B"/>
    <w:rsid w:val="000610BE"/>
    <w:rsid w:val="00061353"/>
    <w:rsid w:val="000618D3"/>
    <w:rsid w:val="0006194D"/>
    <w:rsid w:val="00061B1F"/>
    <w:rsid w:val="00061ED3"/>
    <w:rsid w:val="00061F95"/>
    <w:rsid w:val="000625F5"/>
    <w:rsid w:val="000626F1"/>
    <w:rsid w:val="00062B5A"/>
    <w:rsid w:val="00062CB6"/>
    <w:rsid w:val="00062E6D"/>
    <w:rsid w:val="00062FD1"/>
    <w:rsid w:val="00063125"/>
    <w:rsid w:val="0006364C"/>
    <w:rsid w:val="00063780"/>
    <w:rsid w:val="0006398F"/>
    <w:rsid w:val="00064236"/>
    <w:rsid w:val="00064420"/>
    <w:rsid w:val="000645B6"/>
    <w:rsid w:val="00064805"/>
    <w:rsid w:val="000649B5"/>
    <w:rsid w:val="00064AB4"/>
    <w:rsid w:val="00064EB4"/>
    <w:rsid w:val="00064F37"/>
    <w:rsid w:val="0006503A"/>
    <w:rsid w:val="0006545A"/>
    <w:rsid w:val="0006569A"/>
    <w:rsid w:val="0006584C"/>
    <w:rsid w:val="00065C54"/>
    <w:rsid w:val="00065D58"/>
    <w:rsid w:val="00065EA0"/>
    <w:rsid w:val="00065FF8"/>
    <w:rsid w:val="000661E8"/>
    <w:rsid w:val="00066251"/>
    <w:rsid w:val="00066327"/>
    <w:rsid w:val="000664E4"/>
    <w:rsid w:val="00066714"/>
    <w:rsid w:val="00066CC5"/>
    <w:rsid w:val="00066DF6"/>
    <w:rsid w:val="00066EFD"/>
    <w:rsid w:val="000672FB"/>
    <w:rsid w:val="0006766C"/>
    <w:rsid w:val="00067790"/>
    <w:rsid w:val="000678BC"/>
    <w:rsid w:val="0006793A"/>
    <w:rsid w:val="00067E48"/>
    <w:rsid w:val="00070107"/>
    <w:rsid w:val="0007061F"/>
    <w:rsid w:val="00070A30"/>
    <w:rsid w:val="00070AC1"/>
    <w:rsid w:val="0007106E"/>
    <w:rsid w:val="00071597"/>
    <w:rsid w:val="00071664"/>
    <w:rsid w:val="00071DEA"/>
    <w:rsid w:val="00071F4B"/>
    <w:rsid w:val="0007212B"/>
    <w:rsid w:val="0007256D"/>
    <w:rsid w:val="0007257D"/>
    <w:rsid w:val="00072677"/>
    <w:rsid w:val="00072877"/>
    <w:rsid w:val="00072B69"/>
    <w:rsid w:val="00072B98"/>
    <w:rsid w:val="00072CC6"/>
    <w:rsid w:val="00072E52"/>
    <w:rsid w:val="00072FE8"/>
    <w:rsid w:val="00073130"/>
    <w:rsid w:val="00073316"/>
    <w:rsid w:val="000733C4"/>
    <w:rsid w:val="0007359F"/>
    <w:rsid w:val="0007368A"/>
    <w:rsid w:val="000736AD"/>
    <w:rsid w:val="00073B2B"/>
    <w:rsid w:val="00073BC3"/>
    <w:rsid w:val="00073C11"/>
    <w:rsid w:val="00073C5A"/>
    <w:rsid w:val="00073D8E"/>
    <w:rsid w:val="00073EB2"/>
    <w:rsid w:val="00073F32"/>
    <w:rsid w:val="0007475B"/>
    <w:rsid w:val="00074783"/>
    <w:rsid w:val="000748B7"/>
    <w:rsid w:val="0007496D"/>
    <w:rsid w:val="00074BB5"/>
    <w:rsid w:val="00074E50"/>
    <w:rsid w:val="00074F5A"/>
    <w:rsid w:val="00074F61"/>
    <w:rsid w:val="000750F5"/>
    <w:rsid w:val="00075A15"/>
    <w:rsid w:val="00075A2B"/>
    <w:rsid w:val="00075ACB"/>
    <w:rsid w:val="00075D9E"/>
    <w:rsid w:val="000763AF"/>
    <w:rsid w:val="000767CE"/>
    <w:rsid w:val="00076A02"/>
    <w:rsid w:val="00076A66"/>
    <w:rsid w:val="00076C59"/>
    <w:rsid w:val="00076FD1"/>
    <w:rsid w:val="00077025"/>
    <w:rsid w:val="00077095"/>
    <w:rsid w:val="0007727B"/>
    <w:rsid w:val="00077617"/>
    <w:rsid w:val="00077631"/>
    <w:rsid w:val="000777E4"/>
    <w:rsid w:val="00077908"/>
    <w:rsid w:val="00077B2B"/>
    <w:rsid w:val="00077E19"/>
    <w:rsid w:val="00077FE8"/>
    <w:rsid w:val="000805EA"/>
    <w:rsid w:val="0008070B"/>
    <w:rsid w:val="000808F7"/>
    <w:rsid w:val="00081040"/>
    <w:rsid w:val="000810AC"/>
    <w:rsid w:val="000816F7"/>
    <w:rsid w:val="0008176A"/>
    <w:rsid w:val="0008179C"/>
    <w:rsid w:val="0008180E"/>
    <w:rsid w:val="000819A5"/>
    <w:rsid w:val="000819C6"/>
    <w:rsid w:val="00081A02"/>
    <w:rsid w:val="00081BDC"/>
    <w:rsid w:val="00082231"/>
    <w:rsid w:val="0008242C"/>
    <w:rsid w:val="000825E5"/>
    <w:rsid w:val="0008277C"/>
    <w:rsid w:val="00082A88"/>
    <w:rsid w:val="00082AAB"/>
    <w:rsid w:val="00083203"/>
    <w:rsid w:val="0008328E"/>
    <w:rsid w:val="0008347D"/>
    <w:rsid w:val="0008354B"/>
    <w:rsid w:val="0008366E"/>
    <w:rsid w:val="000838E0"/>
    <w:rsid w:val="00083B33"/>
    <w:rsid w:val="000846FD"/>
    <w:rsid w:val="000847B9"/>
    <w:rsid w:val="00084A79"/>
    <w:rsid w:val="00084B91"/>
    <w:rsid w:val="00084C81"/>
    <w:rsid w:val="0008506F"/>
    <w:rsid w:val="00085367"/>
    <w:rsid w:val="000854F8"/>
    <w:rsid w:val="000855B3"/>
    <w:rsid w:val="000857FE"/>
    <w:rsid w:val="00085A0D"/>
    <w:rsid w:val="00085D27"/>
    <w:rsid w:val="00085F3A"/>
    <w:rsid w:val="00085FDB"/>
    <w:rsid w:val="0008637D"/>
    <w:rsid w:val="00086782"/>
    <w:rsid w:val="00086819"/>
    <w:rsid w:val="000868DB"/>
    <w:rsid w:val="000869D2"/>
    <w:rsid w:val="00086CB2"/>
    <w:rsid w:val="0008743F"/>
    <w:rsid w:val="0008750C"/>
    <w:rsid w:val="00087670"/>
    <w:rsid w:val="000878F1"/>
    <w:rsid w:val="000901FC"/>
    <w:rsid w:val="00090227"/>
    <w:rsid w:val="00090343"/>
    <w:rsid w:val="000904D6"/>
    <w:rsid w:val="000906A9"/>
    <w:rsid w:val="00090771"/>
    <w:rsid w:val="00090A5C"/>
    <w:rsid w:val="00090CFD"/>
    <w:rsid w:val="00091246"/>
    <w:rsid w:val="0009152D"/>
    <w:rsid w:val="0009159A"/>
    <w:rsid w:val="000916C1"/>
    <w:rsid w:val="000918F3"/>
    <w:rsid w:val="000919F6"/>
    <w:rsid w:val="00091BF3"/>
    <w:rsid w:val="00091C95"/>
    <w:rsid w:val="00091EE5"/>
    <w:rsid w:val="000923E0"/>
    <w:rsid w:val="00092532"/>
    <w:rsid w:val="00092606"/>
    <w:rsid w:val="00092715"/>
    <w:rsid w:val="000928B8"/>
    <w:rsid w:val="00092BA3"/>
    <w:rsid w:val="00092D38"/>
    <w:rsid w:val="00092FE0"/>
    <w:rsid w:val="0009337E"/>
    <w:rsid w:val="000934E6"/>
    <w:rsid w:val="00093588"/>
    <w:rsid w:val="00093749"/>
    <w:rsid w:val="00093777"/>
    <w:rsid w:val="0009377B"/>
    <w:rsid w:val="00093840"/>
    <w:rsid w:val="00093DC9"/>
    <w:rsid w:val="00093E2D"/>
    <w:rsid w:val="00093FAE"/>
    <w:rsid w:val="0009406A"/>
    <w:rsid w:val="000945AD"/>
    <w:rsid w:val="00094AB8"/>
    <w:rsid w:val="00094E9A"/>
    <w:rsid w:val="00094FCA"/>
    <w:rsid w:val="0009504B"/>
    <w:rsid w:val="0009538A"/>
    <w:rsid w:val="0009541B"/>
    <w:rsid w:val="00095559"/>
    <w:rsid w:val="0009570A"/>
    <w:rsid w:val="00095724"/>
    <w:rsid w:val="00095AA1"/>
    <w:rsid w:val="0009601E"/>
    <w:rsid w:val="00096186"/>
    <w:rsid w:val="00096528"/>
    <w:rsid w:val="00096707"/>
    <w:rsid w:val="00096770"/>
    <w:rsid w:val="0009682A"/>
    <w:rsid w:val="00096B8F"/>
    <w:rsid w:val="00096CCF"/>
    <w:rsid w:val="00096E91"/>
    <w:rsid w:val="00096EBA"/>
    <w:rsid w:val="00096F7E"/>
    <w:rsid w:val="00097460"/>
    <w:rsid w:val="000976FD"/>
    <w:rsid w:val="0009771C"/>
    <w:rsid w:val="00097866"/>
    <w:rsid w:val="00097A62"/>
    <w:rsid w:val="00097E6F"/>
    <w:rsid w:val="000A03AB"/>
    <w:rsid w:val="000A0409"/>
    <w:rsid w:val="000A052A"/>
    <w:rsid w:val="000A05B6"/>
    <w:rsid w:val="000A09E4"/>
    <w:rsid w:val="000A0B44"/>
    <w:rsid w:val="000A0F09"/>
    <w:rsid w:val="000A1432"/>
    <w:rsid w:val="000A1808"/>
    <w:rsid w:val="000A189F"/>
    <w:rsid w:val="000A1D64"/>
    <w:rsid w:val="000A1E51"/>
    <w:rsid w:val="000A1F5D"/>
    <w:rsid w:val="000A1F98"/>
    <w:rsid w:val="000A20C9"/>
    <w:rsid w:val="000A21E7"/>
    <w:rsid w:val="000A220D"/>
    <w:rsid w:val="000A228B"/>
    <w:rsid w:val="000A272A"/>
    <w:rsid w:val="000A2B9B"/>
    <w:rsid w:val="000A2BA1"/>
    <w:rsid w:val="000A2C49"/>
    <w:rsid w:val="000A2EBD"/>
    <w:rsid w:val="000A2FAE"/>
    <w:rsid w:val="000A326C"/>
    <w:rsid w:val="000A35CE"/>
    <w:rsid w:val="000A3807"/>
    <w:rsid w:val="000A3D1C"/>
    <w:rsid w:val="000A3D1F"/>
    <w:rsid w:val="000A3D4B"/>
    <w:rsid w:val="000A3D5C"/>
    <w:rsid w:val="000A3E4C"/>
    <w:rsid w:val="000A3FD8"/>
    <w:rsid w:val="000A40D8"/>
    <w:rsid w:val="000A4135"/>
    <w:rsid w:val="000A4194"/>
    <w:rsid w:val="000A4353"/>
    <w:rsid w:val="000A456C"/>
    <w:rsid w:val="000A45FE"/>
    <w:rsid w:val="000A46E4"/>
    <w:rsid w:val="000A46F9"/>
    <w:rsid w:val="000A478E"/>
    <w:rsid w:val="000A49C3"/>
    <w:rsid w:val="000A4C65"/>
    <w:rsid w:val="000A4E8C"/>
    <w:rsid w:val="000A4F23"/>
    <w:rsid w:val="000A5030"/>
    <w:rsid w:val="000A51DC"/>
    <w:rsid w:val="000A55BA"/>
    <w:rsid w:val="000A59D8"/>
    <w:rsid w:val="000A5B3E"/>
    <w:rsid w:val="000A5D15"/>
    <w:rsid w:val="000A5F25"/>
    <w:rsid w:val="000A5FEC"/>
    <w:rsid w:val="000A6407"/>
    <w:rsid w:val="000A6A5D"/>
    <w:rsid w:val="000A6D07"/>
    <w:rsid w:val="000A7326"/>
    <w:rsid w:val="000A7C15"/>
    <w:rsid w:val="000A7D21"/>
    <w:rsid w:val="000A7F96"/>
    <w:rsid w:val="000A7FC2"/>
    <w:rsid w:val="000B008F"/>
    <w:rsid w:val="000B051F"/>
    <w:rsid w:val="000B058F"/>
    <w:rsid w:val="000B06AA"/>
    <w:rsid w:val="000B06DC"/>
    <w:rsid w:val="000B0806"/>
    <w:rsid w:val="000B096E"/>
    <w:rsid w:val="000B0AF7"/>
    <w:rsid w:val="000B0C9A"/>
    <w:rsid w:val="000B0F69"/>
    <w:rsid w:val="000B1182"/>
    <w:rsid w:val="000B11F0"/>
    <w:rsid w:val="000B1583"/>
    <w:rsid w:val="000B1776"/>
    <w:rsid w:val="000B1A6F"/>
    <w:rsid w:val="000B1B0F"/>
    <w:rsid w:val="000B1BD0"/>
    <w:rsid w:val="000B1DC1"/>
    <w:rsid w:val="000B1FD6"/>
    <w:rsid w:val="000B22C2"/>
    <w:rsid w:val="000B264D"/>
    <w:rsid w:val="000B28A6"/>
    <w:rsid w:val="000B2B55"/>
    <w:rsid w:val="000B2BFF"/>
    <w:rsid w:val="000B2D70"/>
    <w:rsid w:val="000B2F2F"/>
    <w:rsid w:val="000B340A"/>
    <w:rsid w:val="000B3584"/>
    <w:rsid w:val="000B3743"/>
    <w:rsid w:val="000B383B"/>
    <w:rsid w:val="000B38C1"/>
    <w:rsid w:val="000B3B73"/>
    <w:rsid w:val="000B3DC4"/>
    <w:rsid w:val="000B4048"/>
    <w:rsid w:val="000B4397"/>
    <w:rsid w:val="000B4467"/>
    <w:rsid w:val="000B45C3"/>
    <w:rsid w:val="000B4924"/>
    <w:rsid w:val="000B4A4A"/>
    <w:rsid w:val="000B4CCD"/>
    <w:rsid w:val="000B4DB9"/>
    <w:rsid w:val="000B507F"/>
    <w:rsid w:val="000B5239"/>
    <w:rsid w:val="000B52C1"/>
    <w:rsid w:val="000B53BB"/>
    <w:rsid w:val="000B5E9D"/>
    <w:rsid w:val="000B6368"/>
    <w:rsid w:val="000B6722"/>
    <w:rsid w:val="000B6CDF"/>
    <w:rsid w:val="000B6D28"/>
    <w:rsid w:val="000B6D55"/>
    <w:rsid w:val="000B7047"/>
    <w:rsid w:val="000B70DE"/>
    <w:rsid w:val="000B7102"/>
    <w:rsid w:val="000B7254"/>
    <w:rsid w:val="000B72AA"/>
    <w:rsid w:val="000B72AD"/>
    <w:rsid w:val="000B7694"/>
    <w:rsid w:val="000B7758"/>
    <w:rsid w:val="000B77BC"/>
    <w:rsid w:val="000B7B82"/>
    <w:rsid w:val="000B7C65"/>
    <w:rsid w:val="000B7D0E"/>
    <w:rsid w:val="000B7D4E"/>
    <w:rsid w:val="000C07E3"/>
    <w:rsid w:val="000C0995"/>
    <w:rsid w:val="000C09AC"/>
    <w:rsid w:val="000C0C19"/>
    <w:rsid w:val="000C0FC8"/>
    <w:rsid w:val="000C15EF"/>
    <w:rsid w:val="000C1988"/>
    <w:rsid w:val="000C1B26"/>
    <w:rsid w:val="000C1D9B"/>
    <w:rsid w:val="000C208B"/>
    <w:rsid w:val="000C224A"/>
    <w:rsid w:val="000C2308"/>
    <w:rsid w:val="000C23F6"/>
    <w:rsid w:val="000C28B1"/>
    <w:rsid w:val="000C2B34"/>
    <w:rsid w:val="000C2C01"/>
    <w:rsid w:val="000C2D2D"/>
    <w:rsid w:val="000C2D95"/>
    <w:rsid w:val="000C3527"/>
    <w:rsid w:val="000C373A"/>
    <w:rsid w:val="000C3AE2"/>
    <w:rsid w:val="000C3B2A"/>
    <w:rsid w:val="000C4009"/>
    <w:rsid w:val="000C420B"/>
    <w:rsid w:val="000C4519"/>
    <w:rsid w:val="000C4854"/>
    <w:rsid w:val="000C4B8D"/>
    <w:rsid w:val="000C4BF7"/>
    <w:rsid w:val="000C515F"/>
    <w:rsid w:val="000C547B"/>
    <w:rsid w:val="000C55AC"/>
    <w:rsid w:val="000C5D71"/>
    <w:rsid w:val="000C611A"/>
    <w:rsid w:val="000C61CA"/>
    <w:rsid w:val="000C657E"/>
    <w:rsid w:val="000C66F2"/>
    <w:rsid w:val="000C69EB"/>
    <w:rsid w:val="000C6C7F"/>
    <w:rsid w:val="000C700E"/>
    <w:rsid w:val="000C7198"/>
    <w:rsid w:val="000C71ED"/>
    <w:rsid w:val="000C7558"/>
    <w:rsid w:val="000C767F"/>
    <w:rsid w:val="000C76CE"/>
    <w:rsid w:val="000C7849"/>
    <w:rsid w:val="000C7C24"/>
    <w:rsid w:val="000D005E"/>
    <w:rsid w:val="000D01F6"/>
    <w:rsid w:val="000D0269"/>
    <w:rsid w:val="000D0422"/>
    <w:rsid w:val="000D042E"/>
    <w:rsid w:val="000D067C"/>
    <w:rsid w:val="000D09C5"/>
    <w:rsid w:val="000D14D8"/>
    <w:rsid w:val="000D1AFF"/>
    <w:rsid w:val="000D2132"/>
    <w:rsid w:val="000D236A"/>
    <w:rsid w:val="000D239B"/>
    <w:rsid w:val="000D240E"/>
    <w:rsid w:val="000D2499"/>
    <w:rsid w:val="000D2CBA"/>
    <w:rsid w:val="000D3096"/>
    <w:rsid w:val="000D32EB"/>
    <w:rsid w:val="000D36C9"/>
    <w:rsid w:val="000D3837"/>
    <w:rsid w:val="000D3BBF"/>
    <w:rsid w:val="000D3E72"/>
    <w:rsid w:val="000D3F70"/>
    <w:rsid w:val="000D3F8F"/>
    <w:rsid w:val="000D4138"/>
    <w:rsid w:val="000D4312"/>
    <w:rsid w:val="000D43B6"/>
    <w:rsid w:val="000D456F"/>
    <w:rsid w:val="000D4B66"/>
    <w:rsid w:val="000D4BAF"/>
    <w:rsid w:val="000D4CD6"/>
    <w:rsid w:val="000D4EE2"/>
    <w:rsid w:val="000D4FAC"/>
    <w:rsid w:val="000D5642"/>
    <w:rsid w:val="000D576F"/>
    <w:rsid w:val="000D5A44"/>
    <w:rsid w:val="000D6193"/>
    <w:rsid w:val="000D64F6"/>
    <w:rsid w:val="000D668F"/>
    <w:rsid w:val="000D71E5"/>
    <w:rsid w:val="000D7418"/>
    <w:rsid w:val="000D75CD"/>
    <w:rsid w:val="000D75FC"/>
    <w:rsid w:val="000D7929"/>
    <w:rsid w:val="000D7E8D"/>
    <w:rsid w:val="000D7F26"/>
    <w:rsid w:val="000D7FFA"/>
    <w:rsid w:val="000E012D"/>
    <w:rsid w:val="000E02BD"/>
    <w:rsid w:val="000E0D86"/>
    <w:rsid w:val="000E0DA5"/>
    <w:rsid w:val="000E0E9A"/>
    <w:rsid w:val="000E0F75"/>
    <w:rsid w:val="000E0FF3"/>
    <w:rsid w:val="000E15B2"/>
    <w:rsid w:val="000E1801"/>
    <w:rsid w:val="000E18CA"/>
    <w:rsid w:val="000E1C5D"/>
    <w:rsid w:val="000E1C72"/>
    <w:rsid w:val="000E1CBD"/>
    <w:rsid w:val="000E1E0F"/>
    <w:rsid w:val="000E2109"/>
    <w:rsid w:val="000E2155"/>
    <w:rsid w:val="000E2346"/>
    <w:rsid w:val="000E2861"/>
    <w:rsid w:val="000E2CF3"/>
    <w:rsid w:val="000E309F"/>
    <w:rsid w:val="000E3155"/>
    <w:rsid w:val="000E340E"/>
    <w:rsid w:val="000E37DF"/>
    <w:rsid w:val="000E37E4"/>
    <w:rsid w:val="000E3930"/>
    <w:rsid w:val="000E3ED2"/>
    <w:rsid w:val="000E3F77"/>
    <w:rsid w:val="000E42A5"/>
    <w:rsid w:val="000E435A"/>
    <w:rsid w:val="000E4759"/>
    <w:rsid w:val="000E4A2A"/>
    <w:rsid w:val="000E5143"/>
    <w:rsid w:val="000E532B"/>
    <w:rsid w:val="000E53EE"/>
    <w:rsid w:val="000E5446"/>
    <w:rsid w:val="000E5CA4"/>
    <w:rsid w:val="000E5E8A"/>
    <w:rsid w:val="000E5F6B"/>
    <w:rsid w:val="000E678E"/>
    <w:rsid w:val="000E684C"/>
    <w:rsid w:val="000E68B9"/>
    <w:rsid w:val="000E6A77"/>
    <w:rsid w:val="000E6C2D"/>
    <w:rsid w:val="000E7A7C"/>
    <w:rsid w:val="000E7DBD"/>
    <w:rsid w:val="000E7F41"/>
    <w:rsid w:val="000E7FD7"/>
    <w:rsid w:val="000F0531"/>
    <w:rsid w:val="000F056C"/>
    <w:rsid w:val="000F076B"/>
    <w:rsid w:val="000F0841"/>
    <w:rsid w:val="000F0888"/>
    <w:rsid w:val="000F090B"/>
    <w:rsid w:val="000F0AC8"/>
    <w:rsid w:val="000F0BCD"/>
    <w:rsid w:val="000F0CA3"/>
    <w:rsid w:val="000F0E45"/>
    <w:rsid w:val="000F0EDA"/>
    <w:rsid w:val="000F1073"/>
    <w:rsid w:val="000F14D8"/>
    <w:rsid w:val="000F182A"/>
    <w:rsid w:val="000F1A8E"/>
    <w:rsid w:val="000F1E5A"/>
    <w:rsid w:val="000F1F07"/>
    <w:rsid w:val="000F2629"/>
    <w:rsid w:val="000F27E0"/>
    <w:rsid w:val="000F280B"/>
    <w:rsid w:val="000F29D2"/>
    <w:rsid w:val="000F29FF"/>
    <w:rsid w:val="000F38AF"/>
    <w:rsid w:val="000F39D4"/>
    <w:rsid w:val="000F3D88"/>
    <w:rsid w:val="000F4246"/>
    <w:rsid w:val="000F42E8"/>
    <w:rsid w:val="000F4979"/>
    <w:rsid w:val="000F4BBB"/>
    <w:rsid w:val="000F4D69"/>
    <w:rsid w:val="000F5045"/>
    <w:rsid w:val="000F519B"/>
    <w:rsid w:val="000F54F4"/>
    <w:rsid w:val="000F597D"/>
    <w:rsid w:val="000F5EE6"/>
    <w:rsid w:val="000F60B1"/>
    <w:rsid w:val="000F6166"/>
    <w:rsid w:val="000F648F"/>
    <w:rsid w:val="000F6513"/>
    <w:rsid w:val="000F6878"/>
    <w:rsid w:val="000F68BB"/>
    <w:rsid w:val="000F6931"/>
    <w:rsid w:val="000F6956"/>
    <w:rsid w:val="000F6A6F"/>
    <w:rsid w:val="000F6B6C"/>
    <w:rsid w:val="000F6B72"/>
    <w:rsid w:val="000F70C4"/>
    <w:rsid w:val="000F758A"/>
    <w:rsid w:val="000F76D0"/>
    <w:rsid w:val="000F7B05"/>
    <w:rsid w:val="000F7F7D"/>
    <w:rsid w:val="0010028E"/>
    <w:rsid w:val="00100459"/>
    <w:rsid w:val="00100698"/>
    <w:rsid w:val="001006E8"/>
    <w:rsid w:val="00100740"/>
    <w:rsid w:val="001007EA"/>
    <w:rsid w:val="00100838"/>
    <w:rsid w:val="0010096A"/>
    <w:rsid w:val="00100981"/>
    <w:rsid w:val="00100D27"/>
    <w:rsid w:val="00101958"/>
    <w:rsid w:val="00101AF1"/>
    <w:rsid w:val="00101FA2"/>
    <w:rsid w:val="001022FF"/>
    <w:rsid w:val="00102338"/>
    <w:rsid w:val="0010234E"/>
    <w:rsid w:val="001023E2"/>
    <w:rsid w:val="001024FC"/>
    <w:rsid w:val="00102928"/>
    <w:rsid w:val="00103140"/>
    <w:rsid w:val="00103407"/>
    <w:rsid w:val="00103500"/>
    <w:rsid w:val="00103671"/>
    <w:rsid w:val="0010367A"/>
    <w:rsid w:val="00103710"/>
    <w:rsid w:val="001039CA"/>
    <w:rsid w:val="00103BD6"/>
    <w:rsid w:val="00103E3E"/>
    <w:rsid w:val="00103ECC"/>
    <w:rsid w:val="00103ED6"/>
    <w:rsid w:val="00103F69"/>
    <w:rsid w:val="00104064"/>
    <w:rsid w:val="001049D0"/>
    <w:rsid w:val="00104E0F"/>
    <w:rsid w:val="0010504F"/>
    <w:rsid w:val="00105173"/>
    <w:rsid w:val="00105270"/>
    <w:rsid w:val="001054BE"/>
    <w:rsid w:val="0010586E"/>
    <w:rsid w:val="00105965"/>
    <w:rsid w:val="00105A41"/>
    <w:rsid w:val="001061F9"/>
    <w:rsid w:val="0010634D"/>
    <w:rsid w:val="00106498"/>
    <w:rsid w:val="001069BD"/>
    <w:rsid w:val="001069E5"/>
    <w:rsid w:val="00106D01"/>
    <w:rsid w:val="00106E7B"/>
    <w:rsid w:val="00106F7E"/>
    <w:rsid w:val="0010708B"/>
    <w:rsid w:val="0010711F"/>
    <w:rsid w:val="00107240"/>
    <w:rsid w:val="00107319"/>
    <w:rsid w:val="00107889"/>
    <w:rsid w:val="001078EE"/>
    <w:rsid w:val="001104AD"/>
    <w:rsid w:val="001105DC"/>
    <w:rsid w:val="001106C3"/>
    <w:rsid w:val="0011094A"/>
    <w:rsid w:val="00110FCB"/>
    <w:rsid w:val="001113A1"/>
    <w:rsid w:val="001113C9"/>
    <w:rsid w:val="00111770"/>
    <w:rsid w:val="001119AD"/>
    <w:rsid w:val="00111A04"/>
    <w:rsid w:val="00111AB3"/>
    <w:rsid w:val="00111F14"/>
    <w:rsid w:val="00111F65"/>
    <w:rsid w:val="00112175"/>
    <w:rsid w:val="001121E4"/>
    <w:rsid w:val="00112564"/>
    <w:rsid w:val="0011259F"/>
    <w:rsid w:val="001125B0"/>
    <w:rsid w:val="00112687"/>
    <w:rsid w:val="0011289A"/>
    <w:rsid w:val="0011293F"/>
    <w:rsid w:val="001129BF"/>
    <w:rsid w:val="00112A8A"/>
    <w:rsid w:val="00112E89"/>
    <w:rsid w:val="00112F55"/>
    <w:rsid w:val="00113032"/>
    <w:rsid w:val="00113731"/>
    <w:rsid w:val="001137C6"/>
    <w:rsid w:val="0011393F"/>
    <w:rsid w:val="00113ABB"/>
    <w:rsid w:val="00113CF0"/>
    <w:rsid w:val="00113D5E"/>
    <w:rsid w:val="00113E26"/>
    <w:rsid w:val="00114133"/>
    <w:rsid w:val="00114400"/>
    <w:rsid w:val="001144AD"/>
    <w:rsid w:val="00114673"/>
    <w:rsid w:val="001146B0"/>
    <w:rsid w:val="001149B7"/>
    <w:rsid w:val="00114BC4"/>
    <w:rsid w:val="00114BD4"/>
    <w:rsid w:val="00114EB1"/>
    <w:rsid w:val="001155C5"/>
    <w:rsid w:val="00115821"/>
    <w:rsid w:val="00115950"/>
    <w:rsid w:val="00115A48"/>
    <w:rsid w:val="00115B27"/>
    <w:rsid w:val="00115B38"/>
    <w:rsid w:val="00115C78"/>
    <w:rsid w:val="00115D27"/>
    <w:rsid w:val="0011656C"/>
    <w:rsid w:val="00116652"/>
    <w:rsid w:val="00116981"/>
    <w:rsid w:val="001169BA"/>
    <w:rsid w:val="00116A42"/>
    <w:rsid w:val="00116B21"/>
    <w:rsid w:val="00116B83"/>
    <w:rsid w:val="00116C7C"/>
    <w:rsid w:val="00117046"/>
    <w:rsid w:val="00117358"/>
    <w:rsid w:val="00117987"/>
    <w:rsid w:val="00117AEA"/>
    <w:rsid w:val="00117B47"/>
    <w:rsid w:val="0012007B"/>
    <w:rsid w:val="0012012C"/>
    <w:rsid w:val="00120294"/>
    <w:rsid w:val="0012046D"/>
    <w:rsid w:val="001204B4"/>
    <w:rsid w:val="001208A5"/>
    <w:rsid w:val="00120B9F"/>
    <w:rsid w:val="00120CEF"/>
    <w:rsid w:val="00120D21"/>
    <w:rsid w:val="00120D26"/>
    <w:rsid w:val="00120F52"/>
    <w:rsid w:val="00121376"/>
    <w:rsid w:val="001215B8"/>
    <w:rsid w:val="001216E4"/>
    <w:rsid w:val="0012189E"/>
    <w:rsid w:val="00121F60"/>
    <w:rsid w:val="00122B1F"/>
    <w:rsid w:val="00122B93"/>
    <w:rsid w:val="00123491"/>
    <w:rsid w:val="001234D0"/>
    <w:rsid w:val="00123CA9"/>
    <w:rsid w:val="0012408C"/>
    <w:rsid w:val="00124170"/>
    <w:rsid w:val="001241F5"/>
    <w:rsid w:val="001242EF"/>
    <w:rsid w:val="0012453F"/>
    <w:rsid w:val="001245EC"/>
    <w:rsid w:val="001249E5"/>
    <w:rsid w:val="00124AE2"/>
    <w:rsid w:val="00124FF5"/>
    <w:rsid w:val="00125791"/>
    <w:rsid w:val="001257D3"/>
    <w:rsid w:val="00125904"/>
    <w:rsid w:val="00125A9C"/>
    <w:rsid w:val="00125AB5"/>
    <w:rsid w:val="0012628E"/>
    <w:rsid w:val="001263D6"/>
    <w:rsid w:val="00126566"/>
    <w:rsid w:val="00126A39"/>
    <w:rsid w:val="00126D53"/>
    <w:rsid w:val="00126FB7"/>
    <w:rsid w:val="00127031"/>
    <w:rsid w:val="00127256"/>
    <w:rsid w:val="0012752F"/>
    <w:rsid w:val="001277F5"/>
    <w:rsid w:val="00127A00"/>
    <w:rsid w:val="00127AF1"/>
    <w:rsid w:val="00127BA6"/>
    <w:rsid w:val="00127EED"/>
    <w:rsid w:val="00130254"/>
    <w:rsid w:val="00131DF7"/>
    <w:rsid w:val="00131F42"/>
    <w:rsid w:val="00131FB5"/>
    <w:rsid w:val="00132016"/>
    <w:rsid w:val="0013205A"/>
    <w:rsid w:val="00132169"/>
    <w:rsid w:val="001321CB"/>
    <w:rsid w:val="00132C87"/>
    <w:rsid w:val="00133028"/>
    <w:rsid w:val="001330A1"/>
    <w:rsid w:val="001335D5"/>
    <w:rsid w:val="0013361C"/>
    <w:rsid w:val="0013364B"/>
    <w:rsid w:val="00133E0A"/>
    <w:rsid w:val="00134396"/>
    <w:rsid w:val="001348E2"/>
    <w:rsid w:val="00134AD8"/>
    <w:rsid w:val="00134B70"/>
    <w:rsid w:val="00134C91"/>
    <w:rsid w:val="00134CDD"/>
    <w:rsid w:val="00134D6E"/>
    <w:rsid w:val="00134E4F"/>
    <w:rsid w:val="0013549A"/>
    <w:rsid w:val="001355BB"/>
    <w:rsid w:val="0013566C"/>
    <w:rsid w:val="00135765"/>
    <w:rsid w:val="001357F1"/>
    <w:rsid w:val="00135A0A"/>
    <w:rsid w:val="00135A2B"/>
    <w:rsid w:val="00135F27"/>
    <w:rsid w:val="00136399"/>
    <w:rsid w:val="001368D9"/>
    <w:rsid w:val="001369A1"/>
    <w:rsid w:val="00136C2C"/>
    <w:rsid w:val="00136E32"/>
    <w:rsid w:val="00136F23"/>
    <w:rsid w:val="00136F4F"/>
    <w:rsid w:val="00136FCC"/>
    <w:rsid w:val="00137071"/>
    <w:rsid w:val="001373CD"/>
    <w:rsid w:val="001373FF"/>
    <w:rsid w:val="00137886"/>
    <w:rsid w:val="00137FEC"/>
    <w:rsid w:val="00140146"/>
    <w:rsid w:val="00140184"/>
    <w:rsid w:val="0014065A"/>
    <w:rsid w:val="00140765"/>
    <w:rsid w:val="00140910"/>
    <w:rsid w:val="00140BCF"/>
    <w:rsid w:val="00140FA8"/>
    <w:rsid w:val="00141616"/>
    <w:rsid w:val="00141A3C"/>
    <w:rsid w:val="0014221E"/>
    <w:rsid w:val="001422D0"/>
    <w:rsid w:val="001423B7"/>
    <w:rsid w:val="001426EA"/>
    <w:rsid w:val="0014278B"/>
    <w:rsid w:val="00142CA3"/>
    <w:rsid w:val="00142EC1"/>
    <w:rsid w:val="00142FEB"/>
    <w:rsid w:val="0014314C"/>
    <w:rsid w:val="001432BC"/>
    <w:rsid w:val="001436D7"/>
    <w:rsid w:val="0014381D"/>
    <w:rsid w:val="00143A2D"/>
    <w:rsid w:val="00143B28"/>
    <w:rsid w:val="00143CBC"/>
    <w:rsid w:val="00143EA5"/>
    <w:rsid w:val="00144372"/>
    <w:rsid w:val="001444F8"/>
    <w:rsid w:val="001445FA"/>
    <w:rsid w:val="001447E4"/>
    <w:rsid w:val="00144D06"/>
    <w:rsid w:val="00144F33"/>
    <w:rsid w:val="0014524E"/>
    <w:rsid w:val="00145A41"/>
    <w:rsid w:val="00145FCE"/>
    <w:rsid w:val="001464CB"/>
    <w:rsid w:val="00146946"/>
    <w:rsid w:val="00146E94"/>
    <w:rsid w:val="00146FC7"/>
    <w:rsid w:val="00147043"/>
    <w:rsid w:val="00147710"/>
    <w:rsid w:val="00147838"/>
    <w:rsid w:val="0015012C"/>
    <w:rsid w:val="00150242"/>
    <w:rsid w:val="001502B9"/>
    <w:rsid w:val="0015065A"/>
    <w:rsid w:val="001507EC"/>
    <w:rsid w:val="00150AAF"/>
    <w:rsid w:val="00150AF7"/>
    <w:rsid w:val="00150B6A"/>
    <w:rsid w:val="00150B8F"/>
    <w:rsid w:val="0015130E"/>
    <w:rsid w:val="001514CF"/>
    <w:rsid w:val="001514E3"/>
    <w:rsid w:val="00151675"/>
    <w:rsid w:val="00151816"/>
    <w:rsid w:val="00151B7D"/>
    <w:rsid w:val="00151DEC"/>
    <w:rsid w:val="00152197"/>
    <w:rsid w:val="001522E2"/>
    <w:rsid w:val="00152C6A"/>
    <w:rsid w:val="00152D0E"/>
    <w:rsid w:val="00152E0B"/>
    <w:rsid w:val="00152EAE"/>
    <w:rsid w:val="00153362"/>
    <w:rsid w:val="001533C2"/>
    <w:rsid w:val="00153826"/>
    <w:rsid w:val="00153A3C"/>
    <w:rsid w:val="00153B75"/>
    <w:rsid w:val="00153C5B"/>
    <w:rsid w:val="00153C9C"/>
    <w:rsid w:val="00153F31"/>
    <w:rsid w:val="00154101"/>
    <w:rsid w:val="001542DF"/>
    <w:rsid w:val="00154A9D"/>
    <w:rsid w:val="00154F5A"/>
    <w:rsid w:val="00155014"/>
    <w:rsid w:val="00155592"/>
    <w:rsid w:val="001555AE"/>
    <w:rsid w:val="00155933"/>
    <w:rsid w:val="00155A49"/>
    <w:rsid w:val="00155D78"/>
    <w:rsid w:val="001561B0"/>
    <w:rsid w:val="00156279"/>
    <w:rsid w:val="0015632F"/>
    <w:rsid w:val="0015633F"/>
    <w:rsid w:val="0015665A"/>
    <w:rsid w:val="001568EC"/>
    <w:rsid w:val="00156AB7"/>
    <w:rsid w:val="00156AE0"/>
    <w:rsid w:val="00156CA6"/>
    <w:rsid w:val="0015703C"/>
    <w:rsid w:val="00157435"/>
    <w:rsid w:val="001575AF"/>
    <w:rsid w:val="0015762D"/>
    <w:rsid w:val="00157684"/>
    <w:rsid w:val="0015771D"/>
    <w:rsid w:val="001578E8"/>
    <w:rsid w:val="00157A43"/>
    <w:rsid w:val="00157CBA"/>
    <w:rsid w:val="00157CBE"/>
    <w:rsid w:val="00157E55"/>
    <w:rsid w:val="0016039C"/>
    <w:rsid w:val="001604E6"/>
    <w:rsid w:val="00160B84"/>
    <w:rsid w:val="00160D5A"/>
    <w:rsid w:val="00160D5E"/>
    <w:rsid w:val="00160F73"/>
    <w:rsid w:val="00161A0A"/>
    <w:rsid w:val="00161E8F"/>
    <w:rsid w:val="00161FEC"/>
    <w:rsid w:val="00162018"/>
    <w:rsid w:val="001621A4"/>
    <w:rsid w:val="0016272F"/>
    <w:rsid w:val="00162C81"/>
    <w:rsid w:val="00163265"/>
    <w:rsid w:val="001634F3"/>
    <w:rsid w:val="001638F8"/>
    <w:rsid w:val="001639EF"/>
    <w:rsid w:val="00164198"/>
    <w:rsid w:val="00164232"/>
    <w:rsid w:val="00164356"/>
    <w:rsid w:val="00164436"/>
    <w:rsid w:val="001646AD"/>
    <w:rsid w:val="00164F68"/>
    <w:rsid w:val="00165059"/>
    <w:rsid w:val="001650E9"/>
    <w:rsid w:val="00165198"/>
    <w:rsid w:val="00165843"/>
    <w:rsid w:val="001658FA"/>
    <w:rsid w:val="00165B40"/>
    <w:rsid w:val="00165B8E"/>
    <w:rsid w:val="00166275"/>
    <w:rsid w:val="00166606"/>
    <w:rsid w:val="00166950"/>
    <w:rsid w:val="001669C2"/>
    <w:rsid w:val="00166C7C"/>
    <w:rsid w:val="00166E58"/>
    <w:rsid w:val="0016730C"/>
    <w:rsid w:val="00167481"/>
    <w:rsid w:val="00167509"/>
    <w:rsid w:val="001677EF"/>
    <w:rsid w:val="0016789B"/>
    <w:rsid w:val="001679B6"/>
    <w:rsid w:val="00167B01"/>
    <w:rsid w:val="00167B29"/>
    <w:rsid w:val="00167F2E"/>
    <w:rsid w:val="00167F7B"/>
    <w:rsid w:val="00170168"/>
    <w:rsid w:val="00170297"/>
    <w:rsid w:val="001706B2"/>
    <w:rsid w:val="001707B8"/>
    <w:rsid w:val="001707F0"/>
    <w:rsid w:val="001709C1"/>
    <w:rsid w:val="00170A39"/>
    <w:rsid w:val="00170A41"/>
    <w:rsid w:val="001710E2"/>
    <w:rsid w:val="0017141E"/>
    <w:rsid w:val="001714F3"/>
    <w:rsid w:val="001715AC"/>
    <w:rsid w:val="0017175E"/>
    <w:rsid w:val="0017188F"/>
    <w:rsid w:val="00171936"/>
    <w:rsid w:val="00171A48"/>
    <w:rsid w:val="00171BE0"/>
    <w:rsid w:val="00171DCF"/>
    <w:rsid w:val="00172125"/>
    <w:rsid w:val="001724CB"/>
    <w:rsid w:val="001726EC"/>
    <w:rsid w:val="00172C5B"/>
    <w:rsid w:val="00172D68"/>
    <w:rsid w:val="00172E22"/>
    <w:rsid w:val="001736BC"/>
    <w:rsid w:val="001737E6"/>
    <w:rsid w:val="00173849"/>
    <w:rsid w:val="00173A1C"/>
    <w:rsid w:val="00173AF3"/>
    <w:rsid w:val="00173CA9"/>
    <w:rsid w:val="0017405E"/>
    <w:rsid w:val="001740B7"/>
    <w:rsid w:val="00174584"/>
    <w:rsid w:val="00174607"/>
    <w:rsid w:val="00174639"/>
    <w:rsid w:val="00174708"/>
    <w:rsid w:val="001748D4"/>
    <w:rsid w:val="00174929"/>
    <w:rsid w:val="00174B86"/>
    <w:rsid w:val="00174D31"/>
    <w:rsid w:val="0017504D"/>
    <w:rsid w:val="00175213"/>
    <w:rsid w:val="00175264"/>
    <w:rsid w:val="001752E9"/>
    <w:rsid w:val="0017534F"/>
    <w:rsid w:val="0017539A"/>
    <w:rsid w:val="00175509"/>
    <w:rsid w:val="00175531"/>
    <w:rsid w:val="00175669"/>
    <w:rsid w:val="00175924"/>
    <w:rsid w:val="001759B6"/>
    <w:rsid w:val="00175A6B"/>
    <w:rsid w:val="00175D03"/>
    <w:rsid w:val="0017606F"/>
    <w:rsid w:val="001761BF"/>
    <w:rsid w:val="001763CE"/>
    <w:rsid w:val="0017671A"/>
    <w:rsid w:val="0017677A"/>
    <w:rsid w:val="00176A8D"/>
    <w:rsid w:val="00176BC2"/>
    <w:rsid w:val="00176D7F"/>
    <w:rsid w:val="001773DD"/>
    <w:rsid w:val="00177422"/>
    <w:rsid w:val="00177431"/>
    <w:rsid w:val="0017759D"/>
    <w:rsid w:val="001779A7"/>
    <w:rsid w:val="00177FBD"/>
    <w:rsid w:val="00177FD5"/>
    <w:rsid w:val="001802CB"/>
    <w:rsid w:val="001805F5"/>
    <w:rsid w:val="001807E2"/>
    <w:rsid w:val="0018080C"/>
    <w:rsid w:val="00180855"/>
    <w:rsid w:val="00180897"/>
    <w:rsid w:val="001808C0"/>
    <w:rsid w:val="00180AF7"/>
    <w:rsid w:val="00180F71"/>
    <w:rsid w:val="00180FDC"/>
    <w:rsid w:val="00181AF7"/>
    <w:rsid w:val="00181C94"/>
    <w:rsid w:val="00181CB4"/>
    <w:rsid w:val="00181DBA"/>
    <w:rsid w:val="00181F5A"/>
    <w:rsid w:val="001824BE"/>
    <w:rsid w:val="00182789"/>
    <w:rsid w:val="00183178"/>
    <w:rsid w:val="00183B8F"/>
    <w:rsid w:val="00183D47"/>
    <w:rsid w:val="00183F55"/>
    <w:rsid w:val="0018412F"/>
    <w:rsid w:val="0018438B"/>
    <w:rsid w:val="00184590"/>
    <w:rsid w:val="0018507B"/>
    <w:rsid w:val="00185689"/>
    <w:rsid w:val="001861C6"/>
    <w:rsid w:val="001865CC"/>
    <w:rsid w:val="00186A34"/>
    <w:rsid w:val="00186B24"/>
    <w:rsid w:val="00186EE4"/>
    <w:rsid w:val="0018703F"/>
    <w:rsid w:val="001870D1"/>
    <w:rsid w:val="0018781E"/>
    <w:rsid w:val="00187894"/>
    <w:rsid w:val="001878CE"/>
    <w:rsid w:val="00187909"/>
    <w:rsid w:val="00187976"/>
    <w:rsid w:val="00187C4D"/>
    <w:rsid w:val="00187DC3"/>
    <w:rsid w:val="00187F48"/>
    <w:rsid w:val="00187FD4"/>
    <w:rsid w:val="001901DF"/>
    <w:rsid w:val="001904B7"/>
    <w:rsid w:val="00190634"/>
    <w:rsid w:val="00190858"/>
    <w:rsid w:val="00190959"/>
    <w:rsid w:val="00190DCA"/>
    <w:rsid w:val="00190E43"/>
    <w:rsid w:val="00190EBC"/>
    <w:rsid w:val="001911CB"/>
    <w:rsid w:val="001912E6"/>
    <w:rsid w:val="00191562"/>
    <w:rsid w:val="001917E6"/>
    <w:rsid w:val="0019203C"/>
    <w:rsid w:val="00192162"/>
    <w:rsid w:val="00192206"/>
    <w:rsid w:val="001922F9"/>
    <w:rsid w:val="00192309"/>
    <w:rsid w:val="0019262D"/>
    <w:rsid w:val="0019289E"/>
    <w:rsid w:val="00192E05"/>
    <w:rsid w:val="00192EEF"/>
    <w:rsid w:val="001932C0"/>
    <w:rsid w:val="001934EF"/>
    <w:rsid w:val="0019371F"/>
    <w:rsid w:val="001939CC"/>
    <w:rsid w:val="00193D39"/>
    <w:rsid w:val="00193DE8"/>
    <w:rsid w:val="00193F96"/>
    <w:rsid w:val="00194116"/>
    <w:rsid w:val="00194543"/>
    <w:rsid w:val="00194939"/>
    <w:rsid w:val="00194A8C"/>
    <w:rsid w:val="00194D3B"/>
    <w:rsid w:val="00194E1C"/>
    <w:rsid w:val="001956DE"/>
    <w:rsid w:val="001958DD"/>
    <w:rsid w:val="00195D71"/>
    <w:rsid w:val="00195FF8"/>
    <w:rsid w:val="001961C3"/>
    <w:rsid w:val="001963FE"/>
    <w:rsid w:val="00196712"/>
    <w:rsid w:val="0019682B"/>
    <w:rsid w:val="00196A47"/>
    <w:rsid w:val="00196B60"/>
    <w:rsid w:val="00196FA0"/>
    <w:rsid w:val="0019714B"/>
    <w:rsid w:val="00197696"/>
    <w:rsid w:val="00197D07"/>
    <w:rsid w:val="00197F84"/>
    <w:rsid w:val="001A00B2"/>
    <w:rsid w:val="001A0471"/>
    <w:rsid w:val="001A0BFD"/>
    <w:rsid w:val="001A0ED7"/>
    <w:rsid w:val="001A16A5"/>
    <w:rsid w:val="001A1969"/>
    <w:rsid w:val="001A1A22"/>
    <w:rsid w:val="001A1B35"/>
    <w:rsid w:val="001A209C"/>
    <w:rsid w:val="001A2355"/>
    <w:rsid w:val="001A27CA"/>
    <w:rsid w:val="001A27D6"/>
    <w:rsid w:val="001A29A3"/>
    <w:rsid w:val="001A2B41"/>
    <w:rsid w:val="001A2B5D"/>
    <w:rsid w:val="001A2F71"/>
    <w:rsid w:val="001A2F96"/>
    <w:rsid w:val="001A3073"/>
    <w:rsid w:val="001A33AE"/>
    <w:rsid w:val="001A3C07"/>
    <w:rsid w:val="001A407A"/>
    <w:rsid w:val="001A42BF"/>
    <w:rsid w:val="001A43F6"/>
    <w:rsid w:val="001A4454"/>
    <w:rsid w:val="001A45C1"/>
    <w:rsid w:val="001A48A2"/>
    <w:rsid w:val="001A5222"/>
    <w:rsid w:val="001A570F"/>
    <w:rsid w:val="001A587D"/>
    <w:rsid w:val="001A59EA"/>
    <w:rsid w:val="001A5A59"/>
    <w:rsid w:val="001A5C1F"/>
    <w:rsid w:val="001A5D78"/>
    <w:rsid w:val="001A6137"/>
    <w:rsid w:val="001A61F8"/>
    <w:rsid w:val="001A636D"/>
    <w:rsid w:val="001A64AD"/>
    <w:rsid w:val="001A6676"/>
    <w:rsid w:val="001A6688"/>
    <w:rsid w:val="001A6816"/>
    <w:rsid w:val="001A693A"/>
    <w:rsid w:val="001A69E3"/>
    <w:rsid w:val="001A6C11"/>
    <w:rsid w:val="001A6F11"/>
    <w:rsid w:val="001A6F61"/>
    <w:rsid w:val="001A7708"/>
    <w:rsid w:val="001A7CEA"/>
    <w:rsid w:val="001A7F0D"/>
    <w:rsid w:val="001A7FF9"/>
    <w:rsid w:val="001B00C7"/>
    <w:rsid w:val="001B0393"/>
    <w:rsid w:val="001B04C2"/>
    <w:rsid w:val="001B0CDF"/>
    <w:rsid w:val="001B0FFB"/>
    <w:rsid w:val="001B1116"/>
    <w:rsid w:val="001B11B9"/>
    <w:rsid w:val="001B11E0"/>
    <w:rsid w:val="001B14E1"/>
    <w:rsid w:val="001B1584"/>
    <w:rsid w:val="001B1B01"/>
    <w:rsid w:val="001B1B4F"/>
    <w:rsid w:val="001B1C4D"/>
    <w:rsid w:val="001B1E0B"/>
    <w:rsid w:val="001B2346"/>
    <w:rsid w:val="001B2921"/>
    <w:rsid w:val="001B2C94"/>
    <w:rsid w:val="001B3940"/>
    <w:rsid w:val="001B3D81"/>
    <w:rsid w:val="001B3E3E"/>
    <w:rsid w:val="001B3ECE"/>
    <w:rsid w:val="001B4780"/>
    <w:rsid w:val="001B4985"/>
    <w:rsid w:val="001B568E"/>
    <w:rsid w:val="001B56DC"/>
    <w:rsid w:val="001B5951"/>
    <w:rsid w:val="001B5CEB"/>
    <w:rsid w:val="001B6013"/>
    <w:rsid w:val="001B6056"/>
    <w:rsid w:val="001B608E"/>
    <w:rsid w:val="001B626A"/>
    <w:rsid w:val="001B6610"/>
    <w:rsid w:val="001B6694"/>
    <w:rsid w:val="001B681E"/>
    <w:rsid w:val="001B6C51"/>
    <w:rsid w:val="001B6E2B"/>
    <w:rsid w:val="001B7132"/>
    <w:rsid w:val="001B7214"/>
    <w:rsid w:val="001B722B"/>
    <w:rsid w:val="001B72B8"/>
    <w:rsid w:val="001B7625"/>
    <w:rsid w:val="001B775B"/>
    <w:rsid w:val="001B77D2"/>
    <w:rsid w:val="001B7937"/>
    <w:rsid w:val="001B7A18"/>
    <w:rsid w:val="001B7A31"/>
    <w:rsid w:val="001B7ACC"/>
    <w:rsid w:val="001C01AA"/>
    <w:rsid w:val="001C0918"/>
    <w:rsid w:val="001C0D92"/>
    <w:rsid w:val="001C0E20"/>
    <w:rsid w:val="001C0F67"/>
    <w:rsid w:val="001C0FF3"/>
    <w:rsid w:val="001C10BD"/>
    <w:rsid w:val="001C10C1"/>
    <w:rsid w:val="001C11EA"/>
    <w:rsid w:val="001C16F9"/>
    <w:rsid w:val="001C1905"/>
    <w:rsid w:val="001C19F7"/>
    <w:rsid w:val="001C1CCA"/>
    <w:rsid w:val="001C1CD7"/>
    <w:rsid w:val="001C1D8B"/>
    <w:rsid w:val="001C1DEE"/>
    <w:rsid w:val="001C1F20"/>
    <w:rsid w:val="001C23DD"/>
    <w:rsid w:val="001C24AF"/>
    <w:rsid w:val="001C24B6"/>
    <w:rsid w:val="001C279A"/>
    <w:rsid w:val="001C2A2A"/>
    <w:rsid w:val="001C2AF4"/>
    <w:rsid w:val="001C2C26"/>
    <w:rsid w:val="001C30CE"/>
    <w:rsid w:val="001C3185"/>
    <w:rsid w:val="001C32EF"/>
    <w:rsid w:val="001C3B24"/>
    <w:rsid w:val="001C3DB6"/>
    <w:rsid w:val="001C3E60"/>
    <w:rsid w:val="001C3EDF"/>
    <w:rsid w:val="001C4516"/>
    <w:rsid w:val="001C460D"/>
    <w:rsid w:val="001C46BA"/>
    <w:rsid w:val="001C46CA"/>
    <w:rsid w:val="001C489E"/>
    <w:rsid w:val="001C4A19"/>
    <w:rsid w:val="001C4AA6"/>
    <w:rsid w:val="001C4AFA"/>
    <w:rsid w:val="001C4C90"/>
    <w:rsid w:val="001C4F18"/>
    <w:rsid w:val="001C4FE1"/>
    <w:rsid w:val="001C5004"/>
    <w:rsid w:val="001C5065"/>
    <w:rsid w:val="001C50E0"/>
    <w:rsid w:val="001C56C4"/>
    <w:rsid w:val="001C57CD"/>
    <w:rsid w:val="001C597A"/>
    <w:rsid w:val="001C5AE4"/>
    <w:rsid w:val="001C5B00"/>
    <w:rsid w:val="001C6243"/>
    <w:rsid w:val="001C65D6"/>
    <w:rsid w:val="001C665C"/>
    <w:rsid w:val="001C67DC"/>
    <w:rsid w:val="001C69B3"/>
    <w:rsid w:val="001C6AFA"/>
    <w:rsid w:val="001C6CA5"/>
    <w:rsid w:val="001C6D03"/>
    <w:rsid w:val="001C71FB"/>
    <w:rsid w:val="001C73BC"/>
    <w:rsid w:val="001C745C"/>
    <w:rsid w:val="001C75BE"/>
    <w:rsid w:val="001C7946"/>
    <w:rsid w:val="001C7A04"/>
    <w:rsid w:val="001C7BC7"/>
    <w:rsid w:val="001C7C6C"/>
    <w:rsid w:val="001C7CC8"/>
    <w:rsid w:val="001D031D"/>
    <w:rsid w:val="001D0457"/>
    <w:rsid w:val="001D06B6"/>
    <w:rsid w:val="001D090F"/>
    <w:rsid w:val="001D099F"/>
    <w:rsid w:val="001D0B38"/>
    <w:rsid w:val="001D0FEE"/>
    <w:rsid w:val="001D118C"/>
    <w:rsid w:val="001D1582"/>
    <w:rsid w:val="001D1BE0"/>
    <w:rsid w:val="001D2289"/>
    <w:rsid w:val="001D23ED"/>
    <w:rsid w:val="001D2664"/>
    <w:rsid w:val="001D28BC"/>
    <w:rsid w:val="001D293A"/>
    <w:rsid w:val="001D2A38"/>
    <w:rsid w:val="001D3566"/>
    <w:rsid w:val="001D384A"/>
    <w:rsid w:val="001D3BF1"/>
    <w:rsid w:val="001D3D61"/>
    <w:rsid w:val="001D426A"/>
    <w:rsid w:val="001D44E2"/>
    <w:rsid w:val="001D4DA8"/>
    <w:rsid w:val="001D4F8F"/>
    <w:rsid w:val="001D540E"/>
    <w:rsid w:val="001D5595"/>
    <w:rsid w:val="001D585B"/>
    <w:rsid w:val="001D58A0"/>
    <w:rsid w:val="001D5AB6"/>
    <w:rsid w:val="001D5C28"/>
    <w:rsid w:val="001D5E30"/>
    <w:rsid w:val="001D6011"/>
    <w:rsid w:val="001D6107"/>
    <w:rsid w:val="001D6136"/>
    <w:rsid w:val="001D668A"/>
    <w:rsid w:val="001D66B5"/>
    <w:rsid w:val="001D6A63"/>
    <w:rsid w:val="001D6BB9"/>
    <w:rsid w:val="001D6EAB"/>
    <w:rsid w:val="001D6EC1"/>
    <w:rsid w:val="001D707C"/>
    <w:rsid w:val="001D710A"/>
    <w:rsid w:val="001D73D8"/>
    <w:rsid w:val="001D7536"/>
    <w:rsid w:val="001D7650"/>
    <w:rsid w:val="001D7708"/>
    <w:rsid w:val="001D781F"/>
    <w:rsid w:val="001D7874"/>
    <w:rsid w:val="001D7D8E"/>
    <w:rsid w:val="001D7F22"/>
    <w:rsid w:val="001E0595"/>
    <w:rsid w:val="001E09EA"/>
    <w:rsid w:val="001E0E54"/>
    <w:rsid w:val="001E11DF"/>
    <w:rsid w:val="001E1341"/>
    <w:rsid w:val="001E1437"/>
    <w:rsid w:val="001E149F"/>
    <w:rsid w:val="001E1587"/>
    <w:rsid w:val="001E19AA"/>
    <w:rsid w:val="001E1AB4"/>
    <w:rsid w:val="001E1BBA"/>
    <w:rsid w:val="001E2185"/>
    <w:rsid w:val="001E21E3"/>
    <w:rsid w:val="001E265F"/>
    <w:rsid w:val="001E28D8"/>
    <w:rsid w:val="001E305F"/>
    <w:rsid w:val="001E35BE"/>
    <w:rsid w:val="001E3819"/>
    <w:rsid w:val="001E3D63"/>
    <w:rsid w:val="001E3EBC"/>
    <w:rsid w:val="001E489C"/>
    <w:rsid w:val="001E4DDE"/>
    <w:rsid w:val="001E4DF8"/>
    <w:rsid w:val="001E4EE5"/>
    <w:rsid w:val="001E4FEB"/>
    <w:rsid w:val="001E5059"/>
    <w:rsid w:val="001E51BD"/>
    <w:rsid w:val="001E5297"/>
    <w:rsid w:val="001E5304"/>
    <w:rsid w:val="001E5528"/>
    <w:rsid w:val="001E5606"/>
    <w:rsid w:val="001E58EF"/>
    <w:rsid w:val="001E5AFC"/>
    <w:rsid w:val="001E5BFA"/>
    <w:rsid w:val="001E5D10"/>
    <w:rsid w:val="001E5D7E"/>
    <w:rsid w:val="001E5E97"/>
    <w:rsid w:val="001E5F7D"/>
    <w:rsid w:val="001E6333"/>
    <w:rsid w:val="001E6509"/>
    <w:rsid w:val="001E668A"/>
    <w:rsid w:val="001E6759"/>
    <w:rsid w:val="001E6C03"/>
    <w:rsid w:val="001E6C7A"/>
    <w:rsid w:val="001E717E"/>
    <w:rsid w:val="001E7391"/>
    <w:rsid w:val="001E79EF"/>
    <w:rsid w:val="001E7A6E"/>
    <w:rsid w:val="001E7B9A"/>
    <w:rsid w:val="001F0012"/>
    <w:rsid w:val="001F0018"/>
    <w:rsid w:val="001F00A4"/>
    <w:rsid w:val="001F0113"/>
    <w:rsid w:val="001F03B3"/>
    <w:rsid w:val="001F08B9"/>
    <w:rsid w:val="001F0F17"/>
    <w:rsid w:val="001F1000"/>
    <w:rsid w:val="001F104A"/>
    <w:rsid w:val="001F11F9"/>
    <w:rsid w:val="001F17CA"/>
    <w:rsid w:val="001F1B67"/>
    <w:rsid w:val="001F1DC5"/>
    <w:rsid w:val="001F1EF7"/>
    <w:rsid w:val="001F2066"/>
    <w:rsid w:val="001F2304"/>
    <w:rsid w:val="001F275C"/>
    <w:rsid w:val="001F27D2"/>
    <w:rsid w:val="001F2B59"/>
    <w:rsid w:val="001F2C65"/>
    <w:rsid w:val="001F2CBB"/>
    <w:rsid w:val="001F30C7"/>
    <w:rsid w:val="001F3347"/>
    <w:rsid w:val="001F34B2"/>
    <w:rsid w:val="001F34CB"/>
    <w:rsid w:val="001F380D"/>
    <w:rsid w:val="001F3BFD"/>
    <w:rsid w:val="001F40D9"/>
    <w:rsid w:val="001F4415"/>
    <w:rsid w:val="001F48B2"/>
    <w:rsid w:val="001F4DA9"/>
    <w:rsid w:val="001F4E82"/>
    <w:rsid w:val="001F5255"/>
    <w:rsid w:val="001F555A"/>
    <w:rsid w:val="001F57C8"/>
    <w:rsid w:val="001F57DB"/>
    <w:rsid w:val="001F58A9"/>
    <w:rsid w:val="001F5A0D"/>
    <w:rsid w:val="001F5D37"/>
    <w:rsid w:val="001F6076"/>
    <w:rsid w:val="001F630C"/>
    <w:rsid w:val="001F642A"/>
    <w:rsid w:val="001F6675"/>
    <w:rsid w:val="001F670B"/>
    <w:rsid w:val="001F67FE"/>
    <w:rsid w:val="001F69E4"/>
    <w:rsid w:val="001F6DCD"/>
    <w:rsid w:val="001F701D"/>
    <w:rsid w:val="001F725A"/>
    <w:rsid w:val="001F75A7"/>
    <w:rsid w:val="001F7B36"/>
    <w:rsid w:val="001F7E13"/>
    <w:rsid w:val="001F7E1E"/>
    <w:rsid w:val="00200622"/>
    <w:rsid w:val="00200982"/>
    <w:rsid w:val="002009E8"/>
    <w:rsid w:val="00200BD4"/>
    <w:rsid w:val="00200BFB"/>
    <w:rsid w:val="00200E86"/>
    <w:rsid w:val="00200FB2"/>
    <w:rsid w:val="00201390"/>
    <w:rsid w:val="002013E9"/>
    <w:rsid w:val="002015BE"/>
    <w:rsid w:val="00201963"/>
    <w:rsid w:val="00201AA7"/>
    <w:rsid w:val="00202A4A"/>
    <w:rsid w:val="00202C02"/>
    <w:rsid w:val="00202FBB"/>
    <w:rsid w:val="002031B4"/>
    <w:rsid w:val="00203559"/>
    <w:rsid w:val="0020357F"/>
    <w:rsid w:val="00203A09"/>
    <w:rsid w:val="00203FE2"/>
    <w:rsid w:val="002041ED"/>
    <w:rsid w:val="00204415"/>
    <w:rsid w:val="00204460"/>
    <w:rsid w:val="002046E5"/>
    <w:rsid w:val="00204994"/>
    <w:rsid w:val="00204D3C"/>
    <w:rsid w:val="00204EB2"/>
    <w:rsid w:val="00204ECB"/>
    <w:rsid w:val="002050B3"/>
    <w:rsid w:val="002050F0"/>
    <w:rsid w:val="00205124"/>
    <w:rsid w:val="0020513C"/>
    <w:rsid w:val="00205343"/>
    <w:rsid w:val="00205517"/>
    <w:rsid w:val="00205571"/>
    <w:rsid w:val="0020558B"/>
    <w:rsid w:val="002056BC"/>
    <w:rsid w:val="0020574F"/>
    <w:rsid w:val="002058D1"/>
    <w:rsid w:val="0020594C"/>
    <w:rsid w:val="00205B9C"/>
    <w:rsid w:val="00205CD0"/>
    <w:rsid w:val="00205F1A"/>
    <w:rsid w:val="002061EB"/>
    <w:rsid w:val="0020682A"/>
    <w:rsid w:val="002071C8"/>
    <w:rsid w:val="002074E8"/>
    <w:rsid w:val="002077A7"/>
    <w:rsid w:val="00207B09"/>
    <w:rsid w:val="00207EF0"/>
    <w:rsid w:val="00207F44"/>
    <w:rsid w:val="00210038"/>
    <w:rsid w:val="0021022A"/>
    <w:rsid w:val="002106DD"/>
    <w:rsid w:val="00210702"/>
    <w:rsid w:val="00210840"/>
    <w:rsid w:val="00210A69"/>
    <w:rsid w:val="00210B34"/>
    <w:rsid w:val="00210D02"/>
    <w:rsid w:val="00211058"/>
    <w:rsid w:val="0021133C"/>
    <w:rsid w:val="002116E9"/>
    <w:rsid w:val="00211912"/>
    <w:rsid w:val="00211A89"/>
    <w:rsid w:val="00211FDA"/>
    <w:rsid w:val="002125B4"/>
    <w:rsid w:val="002126E7"/>
    <w:rsid w:val="00212717"/>
    <w:rsid w:val="00212E7F"/>
    <w:rsid w:val="00212F46"/>
    <w:rsid w:val="0021337B"/>
    <w:rsid w:val="00213428"/>
    <w:rsid w:val="00213570"/>
    <w:rsid w:val="00213632"/>
    <w:rsid w:val="0021382F"/>
    <w:rsid w:val="00213A6E"/>
    <w:rsid w:val="00213BEE"/>
    <w:rsid w:val="00213D47"/>
    <w:rsid w:val="0021449A"/>
    <w:rsid w:val="002147ED"/>
    <w:rsid w:val="002149BE"/>
    <w:rsid w:val="00214A6A"/>
    <w:rsid w:val="00214D1C"/>
    <w:rsid w:val="00214D3C"/>
    <w:rsid w:val="00214FDC"/>
    <w:rsid w:val="002154B5"/>
    <w:rsid w:val="002154D2"/>
    <w:rsid w:val="0021554F"/>
    <w:rsid w:val="002155B8"/>
    <w:rsid w:val="002157F1"/>
    <w:rsid w:val="00215A81"/>
    <w:rsid w:val="00215D4B"/>
    <w:rsid w:val="00215D7A"/>
    <w:rsid w:val="00215F5D"/>
    <w:rsid w:val="00216119"/>
    <w:rsid w:val="002161DF"/>
    <w:rsid w:val="00216251"/>
    <w:rsid w:val="0021644C"/>
    <w:rsid w:val="002164E3"/>
    <w:rsid w:val="00216810"/>
    <w:rsid w:val="002168B3"/>
    <w:rsid w:val="00216A2C"/>
    <w:rsid w:val="00216BE2"/>
    <w:rsid w:val="00216CA7"/>
    <w:rsid w:val="00216EE8"/>
    <w:rsid w:val="00216F96"/>
    <w:rsid w:val="002175B5"/>
    <w:rsid w:val="002179E5"/>
    <w:rsid w:val="00217B88"/>
    <w:rsid w:val="00217CA9"/>
    <w:rsid w:val="0022005A"/>
    <w:rsid w:val="00220331"/>
    <w:rsid w:val="00220490"/>
    <w:rsid w:val="00220A0E"/>
    <w:rsid w:val="00220BB2"/>
    <w:rsid w:val="00220C50"/>
    <w:rsid w:val="00220FEB"/>
    <w:rsid w:val="00221014"/>
    <w:rsid w:val="00221942"/>
    <w:rsid w:val="00221AA7"/>
    <w:rsid w:val="002220C8"/>
    <w:rsid w:val="002221C8"/>
    <w:rsid w:val="00222390"/>
    <w:rsid w:val="00222593"/>
    <w:rsid w:val="002226B9"/>
    <w:rsid w:val="0022271A"/>
    <w:rsid w:val="00222EFA"/>
    <w:rsid w:val="00223135"/>
    <w:rsid w:val="00223170"/>
    <w:rsid w:val="002231A9"/>
    <w:rsid w:val="002235EF"/>
    <w:rsid w:val="002238B2"/>
    <w:rsid w:val="00223AB2"/>
    <w:rsid w:val="00223BA2"/>
    <w:rsid w:val="00223BF7"/>
    <w:rsid w:val="00223DC6"/>
    <w:rsid w:val="0022474A"/>
    <w:rsid w:val="00224839"/>
    <w:rsid w:val="002249B2"/>
    <w:rsid w:val="00224A3A"/>
    <w:rsid w:val="00224A80"/>
    <w:rsid w:val="00224C90"/>
    <w:rsid w:val="00225182"/>
    <w:rsid w:val="00225477"/>
    <w:rsid w:val="00225667"/>
    <w:rsid w:val="00225794"/>
    <w:rsid w:val="00225AFB"/>
    <w:rsid w:val="00225BB0"/>
    <w:rsid w:val="00225FAC"/>
    <w:rsid w:val="00226088"/>
    <w:rsid w:val="00226089"/>
    <w:rsid w:val="00226522"/>
    <w:rsid w:val="00226574"/>
    <w:rsid w:val="00226A18"/>
    <w:rsid w:val="00226D58"/>
    <w:rsid w:val="00226F5D"/>
    <w:rsid w:val="00227618"/>
    <w:rsid w:val="002278EC"/>
    <w:rsid w:val="00230031"/>
    <w:rsid w:val="002300CD"/>
    <w:rsid w:val="002301CD"/>
    <w:rsid w:val="00230B9E"/>
    <w:rsid w:val="00230CCF"/>
    <w:rsid w:val="00230E67"/>
    <w:rsid w:val="0023119A"/>
    <w:rsid w:val="00231220"/>
    <w:rsid w:val="002312A3"/>
    <w:rsid w:val="00231375"/>
    <w:rsid w:val="002313A8"/>
    <w:rsid w:val="00231817"/>
    <w:rsid w:val="00231A34"/>
    <w:rsid w:val="00231A7F"/>
    <w:rsid w:val="00231C88"/>
    <w:rsid w:val="00231F6A"/>
    <w:rsid w:val="002325CD"/>
    <w:rsid w:val="0023280E"/>
    <w:rsid w:val="00232A33"/>
    <w:rsid w:val="00232EC0"/>
    <w:rsid w:val="00233146"/>
    <w:rsid w:val="00233179"/>
    <w:rsid w:val="002332CF"/>
    <w:rsid w:val="002334BC"/>
    <w:rsid w:val="00233770"/>
    <w:rsid w:val="0023382B"/>
    <w:rsid w:val="00233986"/>
    <w:rsid w:val="00233C11"/>
    <w:rsid w:val="00233D2C"/>
    <w:rsid w:val="00233F3F"/>
    <w:rsid w:val="00234038"/>
    <w:rsid w:val="0023444A"/>
    <w:rsid w:val="00234546"/>
    <w:rsid w:val="0023489E"/>
    <w:rsid w:val="002348EF"/>
    <w:rsid w:val="00234D1C"/>
    <w:rsid w:val="00234FC8"/>
    <w:rsid w:val="002350CA"/>
    <w:rsid w:val="0023520C"/>
    <w:rsid w:val="00235373"/>
    <w:rsid w:val="00235616"/>
    <w:rsid w:val="0023566C"/>
    <w:rsid w:val="0023578D"/>
    <w:rsid w:val="0023586C"/>
    <w:rsid w:val="00235873"/>
    <w:rsid w:val="00235B43"/>
    <w:rsid w:val="00235C56"/>
    <w:rsid w:val="00235E37"/>
    <w:rsid w:val="0023602D"/>
    <w:rsid w:val="00236277"/>
    <w:rsid w:val="002367EC"/>
    <w:rsid w:val="0023683B"/>
    <w:rsid w:val="0023684D"/>
    <w:rsid w:val="00236E7F"/>
    <w:rsid w:val="00237713"/>
    <w:rsid w:val="002377D1"/>
    <w:rsid w:val="00237959"/>
    <w:rsid w:val="00237CC1"/>
    <w:rsid w:val="00237DDA"/>
    <w:rsid w:val="00237E28"/>
    <w:rsid w:val="0024002C"/>
    <w:rsid w:val="00240098"/>
    <w:rsid w:val="00240A69"/>
    <w:rsid w:val="0024110B"/>
    <w:rsid w:val="002412DC"/>
    <w:rsid w:val="002415A4"/>
    <w:rsid w:val="002416D6"/>
    <w:rsid w:val="002417BD"/>
    <w:rsid w:val="00241BFD"/>
    <w:rsid w:val="00241CE4"/>
    <w:rsid w:val="00241D8E"/>
    <w:rsid w:val="00242324"/>
    <w:rsid w:val="0024263A"/>
    <w:rsid w:val="0024276E"/>
    <w:rsid w:val="00242A35"/>
    <w:rsid w:val="00242CA1"/>
    <w:rsid w:val="0024303D"/>
    <w:rsid w:val="00243763"/>
    <w:rsid w:val="00243E41"/>
    <w:rsid w:val="00243EC9"/>
    <w:rsid w:val="00243F7A"/>
    <w:rsid w:val="00244327"/>
    <w:rsid w:val="002445A5"/>
    <w:rsid w:val="00244750"/>
    <w:rsid w:val="0024475A"/>
    <w:rsid w:val="00244819"/>
    <w:rsid w:val="00244A39"/>
    <w:rsid w:val="00244CC0"/>
    <w:rsid w:val="00244E9C"/>
    <w:rsid w:val="0024511F"/>
    <w:rsid w:val="00245540"/>
    <w:rsid w:val="00245627"/>
    <w:rsid w:val="00245846"/>
    <w:rsid w:val="00245B0C"/>
    <w:rsid w:val="00245BFF"/>
    <w:rsid w:val="00245C8F"/>
    <w:rsid w:val="00246038"/>
    <w:rsid w:val="002460D6"/>
    <w:rsid w:val="002463AB"/>
    <w:rsid w:val="00246459"/>
    <w:rsid w:val="002468AF"/>
    <w:rsid w:val="00246AF0"/>
    <w:rsid w:val="00246C37"/>
    <w:rsid w:val="00246DF6"/>
    <w:rsid w:val="00246F86"/>
    <w:rsid w:val="00247095"/>
    <w:rsid w:val="00247230"/>
    <w:rsid w:val="0024726A"/>
    <w:rsid w:val="002478E6"/>
    <w:rsid w:val="00247989"/>
    <w:rsid w:val="00247AB3"/>
    <w:rsid w:val="00247F39"/>
    <w:rsid w:val="002506BC"/>
    <w:rsid w:val="002508FF"/>
    <w:rsid w:val="00250BE9"/>
    <w:rsid w:val="0025103B"/>
    <w:rsid w:val="0025105A"/>
    <w:rsid w:val="0025105C"/>
    <w:rsid w:val="0025120B"/>
    <w:rsid w:val="0025149E"/>
    <w:rsid w:val="0025187F"/>
    <w:rsid w:val="0025198D"/>
    <w:rsid w:val="00251ACC"/>
    <w:rsid w:val="00251C54"/>
    <w:rsid w:val="00252016"/>
    <w:rsid w:val="0025201B"/>
    <w:rsid w:val="002523E2"/>
    <w:rsid w:val="00252822"/>
    <w:rsid w:val="00252A76"/>
    <w:rsid w:val="00252F01"/>
    <w:rsid w:val="00253068"/>
    <w:rsid w:val="002530F1"/>
    <w:rsid w:val="00253698"/>
    <w:rsid w:val="00253AE7"/>
    <w:rsid w:val="00253FA3"/>
    <w:rsid w:val="002541B7"/>
    <w:rsid w:val="00254261"/>
    <w:rsid w:val="00254345"/>
    <w:rsid w:val="00254502"/>
    <w:rsid w:val="00254E44"/>
    <w:rsid w:val="002553C6"/>
    <w:rsid w:val="0025566C"/>
    <w:rsid w:val="002559C7"/>
    <w:rsid w:val="00255AA6"/>
    <w:rsid w:val="00256104"/>
    <w:rsid w:val="0025679D"/>
    <w:rsid w:val="002567D2"/>
    <w:rsid w:val="00256C01"/>
    <w:rsid w:val="00256CBB"/>
    <w:rsid w:val="00257693"/>
    <w:rsid w:val="002577E0"/>
    <w:rsid w:val="0026053D"/>
    <w:rsid w:val="00260852"/>
    <w:rsid w:val="00260A07"/>
    <w:rsid w:val="00260AB1"/>
    <w:rsid w:val="00260ACC"/>
    <w:rsid w:val="00260EFA"/>
    <w:rsid w:val="002614C5"/>
    <w:rsid w:val="0026156C"/>
    <w:rsid w:val="002617C1"/>
    <w:rsid w:val="00261D12"/>
    <w:rsid w:val="00262435"/>
    <w:rsid w:val="00262566"/>
    <w:rsid w:val="00262601"/>
    <w:rsid w:val="00262CE7"/>
    <w:rsid w:val="00263353"/>
    <w:rsid w:val="00263455"/>
    <w:rsid w:val="002635EF"/>
    <w:rsid w:val="0026389E"/>
    <w:rsid w:val="00263B0D"/>
    <w:rsid w:val="00263C48"/>
    <w:rsid w:val="00264069"/>
    <w:rsid w:val="00264095"/>
    <w:rsid w:val="00264253"/>
    <w:rsid w:val="00264557"/>
    <w:rsid w:val="00264721"/>
    <w:rsid w:val="00264983"/>
    <w:rsid w:val="00264A07"/>
    <w:rsid w:val="00264BB5"/>
    <w:rsid w:val="00265041"/>
    <w:rsid w:val="00265152"/>
    <w:rsid w:val="002658BF"/>
    <w:rsid w:val="00265C4F"/>
    <w:rsid w:val="00265EA1"/>
    <w:rsid w:val="002663AE"/>
    <w:rsid w:val="00266491"/>
    <w:rsid w:val="00266B6A"/>
    <w:rsid w:val="00266B7C"/>
    <w:rsid w:val="00266D55"/>
    <w:rsid w:val="002672DA"/>
    <w:rsid w:val="00267A19"/>
    <w:rsid w:val="00267E1D"/>
    <w:rsid w:val="002701A4"/>
    <w:rsid w:val="00270490"/>
    <w:rsid w:val="00270685"/>
    <w:rsid w:val="0027074F"/>
    <w:rsid w:val="00270A0F"/>
    <w:rsid w:val="00270D08"/>
    <w:rsid w:val="00271270"/>
    <w:rsid w:val="002713D4"/>
    <w:rsid w:val="00271A7D"/>
    <w:rsid w:val="00271B36"/>
    <w:rsid w:val="00272718"/>
    <w:rsid w:val="002728E8"/>
    <w:rsid w:val="00272956"/>
    <w:rsid w:val="00272B27"/>
    <w:rsid w:val="00273311"/>
    <w:rsid w:val="00273471"/>
    <w:rsid w:val="00273617"/>
    <w:rsid w:val="0027370D"/>
    <w:rsid w:val="00273AB0"/>
    <w:rsid w:val="00273BF8"/>
    <w:rsid w:val="00273C70"/>
    <w:rsid w:val="00273CEA"/>
    <w:rsid w:val="00273D7E"/>
    <w:rsid w:val="00273F5C"/>
    <w:rsid w:val="00273F7F"/>
    <w:rsid w:val="00273FFC"/>
    <w:rsid w:val="002745DC"/>
    <w:rsid w:val="00274664"/>
    <w:rsid w:val="00274CC8"/>
    <w:rsid w:val="002751D2"/>
    <w:rsid w:val="002751F3"/>
    <w:rsid w:val="00275283"/>
    <w:rsid w:val="0027545D"/>
    <w:rsid w:val="00275791"/>
    <w:rsid w:val="00275891"/>
    <w:rsid w:val="00275B0C"/>
    <w:rsid w:val="00275B7E"/>
    <w:rsid w:val="00275BA9"/>
    <w:rsid w:val="00276016"/>
    <w:rsid w:val="00276052"/>
    <w:rsid w:val="002760E7"/>
    <w:rsid w:val="00276235"/>
    <w:rsid w:val="002762EF"/>
    <w:rsid w:val="002766EB"/>
    <w:rsid w:val="00276A85"/>
    <w:rsid w:val="00276E18"/>
    <w:rsid w:val="00277180"/>
    <w:rsid w:val="002772C2"/>
    <w:rsid w:val="0027768C"/>
    <w:rsid w:val="00277788"/>
    <w:rsid w:val="002777F9"/>
    <w:rsid w:val="00277935"/>
    <w:rsid w:val="00277E48"/>
    <w:rsid w:val="00277EC8"/>
    <w:rsid w:val="00277EE6"/>
    <w:rsid w:val="00277F89"/>
    <w:rsid w:val="0028057E"/>
    <w:rsid w:val="002805AB"/>
    <w:rsid w:val="002806E2"/>
    <w:rsid w:val="00280B0E"/>
    <w:rsid w:val="00280E00"/>
    <w:rsid w:val="00280E04"/>
    <w:rsid w:val="002812E0"/>
    <w:rsid w:val="00281BC0"/>
    <w:rsid w:val="00281BCE"/>
    <w:rsid w:val="00281CE4"/>
    <w:rsid w:val="00281F49"/>
    <w:rsid w:val="002822B6"/>
    <w:rsid w:val="0028230C"/>
    <w:rsid w:val="002823B5"/>
    <w:rsid w:val="002824D5"/>
    <w:rsid w:val="00282BC4"/>
    <w:rsid w:val="00282F2A"/>
    <w:rsid w:val="0028310F"/>
    <w:rsid w:val="0028320A"/>
    <w:rsid w:val="0028327E"/>
    <w:rsid w:val="00283548"/>
    <w:rsid w:val="00283772"/>
    <w:rsid w:val="00283B08"/>
    <w:rsid w:val="00283FD8"/>
    <w:rsid w:val="00284204"/>
    <w:rsid w:val="002842A2"/>
    <w:rsid w:val="002842D3"/>
    <w:rsid w:val="002849B3"/>
    <w:rsid w:val="002849FA"/>
    <w:rsid w:val="00284A7F"/>
    <w:rsid w:val="00284BC2"/>
    <w:rsid w:val="00284BCE"/>
    <w:rsid w:val="00284FB6"/>
    <w:rsid w:val="00285010"/>
    <w:rsid w:val="0028542F"/>
    <w:rsid w:val="0028562A"/>
    <w:rsid w:val="00285D55"/>
    <w:rsid w:val="002864DE"/>
    <w:rsid w:val="002867F8"/>
    <w:rsid w:val="00286878"/>
    <w:rsid w:val="002868E2"/>
    <w:rsid w:val="00286B74"/>
    <w:rsid w:val="00286C40"/>
    <w:rsid w:val="00286F7A"/>
    <w:rsid w:val="00287520"/>
    <w:rsid w:val="0028782A"/>
    <w:rsid w:val="002878AC"/>
    <w:rsid w:val="00287C7E"/>
    <w:rsid w:val="00287EFC"/>
    <w:rsid w:val="002902C3"/>
    <w:rsid w:val="00290557"/>
    <w:rsid w:val="0029076E"/>
    <w:rsid w:val="002907A3"/>
    <w:rsid w:val="00290882"/>
    <w:rsid w:val="00290B5F"/>
    <w:rsid w:val="002913CA"/>
    <w:rsid w:val="00291461"/>
    <w:rsid w:val="002914F8"/>
    <w:rsid w:val="00291560"/>
    <w:rsid w:val="00291578"/>
    <w:rsid w:val="00291773"/>
    <w:rsid w:val="0029197B"/>
    <w:rsid w:val="0029209A"/>
    <w:rsid w:val="0029229E"/>
    <w:rsid w:val="002924C7"/>
    <w:rsid w:val="002926C4"/>
    <w:rsid w:val="002926DE"/>
    <w:rsid w:val="00292852"/>
    <w:rsid w:val="002928E1"/>
    <w:rsid w:val="00292B70"/>
    <w:rsid w:val="00292F0A"/>
    <w:rsid w:val="00293272"/>
    <w:rsid w:val="0029355C"/>
    <w:rsid w:val="0029368E"/>
    <w:rsid w:val="002936E8"/>
    <w:rsid w:val="00293AB2"/>
    <w:rsid w:val="00293D5A"/>
    <w:rsid w:val="0029410B"/>
    <w:rsid w:val="0029463A"/>
    <w:rsid w:val="0029496A"/>
    <w:rsid w:val="002949AA"/>
    <w:rsid w:val="00294AF6"/>
    <w:rsid w:val="00295301"/>
    <w:rsid w:val="00295405"/>
    <w:rsid w:val="00295738"/>
    <w:rsid w:val="00295998"/>
    <w:rsid w:val="00295C2B"/>
    <w:rsid w:val="00295CFE"/>
    <w:rsid w:val="00295FDA"/>
    <w:rsid w:val="0029623D"/>
    <w:rsid w:val="00296406"/>
    <w:rsid w:val="0029661D"/>
    <w:rsid w:val="00296701"/>
    <w:rsid w:val="00296712"/>
    <w:rsid w:val="0029697C"/>
    <w:rsid w:val="002969EE"/>
    <w:rsid w:val="00296C12"/>
    <w:rsid w:val="00297348"/>
    <w:rsid w:val="0029745A"/>
    <w:rsid w:val="002977A2"/>
    <w:rsid w:val="00297A5E"/>
    <w:rsid w:val="00297A66"/>
    <w:rsid w:val="00297B4E"/>
    <w:rsid w:val="00297E57"/>
    <w:rsid w:val="00297FA2"/>
    <w:rsid w:val="002A006C"/>
    <w:rsid w:val="002A0484"/>
    <w:rsid w:val="002A048B"/>
    <w:rsid w:val="002A0824"/>
    <w:rsid w:val="002A0852"/>
    <w:rsid w:val="002A0A17"/>
    <w:rsid w:val="002A0EA7"/>
    <w:rsid w:val="002A168C"/>
    <w:rsid w:val="002A174C"/>
    <w:rsid w:val="002A19C5"/>
    <w:rsid w:val="002A1A5F"/>
    <w:rsid w:val="002A1DAC"/>
    <w:rsid w:val="002A1E12"/>
    <w:rsid w:val="002A229D"/>
    <w:rsid w:val="002A23B8"/>
    <w:rsid w:val="002A2A39"/>
    <w:rsid w:val="002A2A7C"/>
    <w:rsid w:val="002A2DBB"/>
    <w:rsid w:val="002A2F19"/>
    <w:rsid w:val="002A3277"/>
    <w:rsid w:val="002A334D"/>
    <w:rsid w:val="002A3400"/>
    <w:rsid w:val="002A3405"/>
    <w:rsid w:val="002A358D"/>
    <w:rsid w:val="002A3744"/>
    <w:rsid w:val="002A3A34"/>
    <w:rsid w:val="002A3B6F"/>
    <w:rsid w:val="002A3CFF"/>
    <w:rsid w:val="002A3DC7"/>
    <w:rsid w:val="002A402E"/>
    <w:rsid w:val="002A42D3"/>
    <w:rsid w:val="002A43AA"/>
    <w:rsid w:val="002A43C9"/>
    <w:rsid w:val="002A44BB"/>
    <w:rsid w:val="002A4534"/>
    <w:rsid w:val="002A45FF"/>
    <w:rsid w:val="002A46FA"/>
    <w:rsid w:val="002A4701"/>
    <w:rsid w:val="002A4C18"/>
    <w:rsid w:val="002A4C7A"/>
    <w:rsid w:val="002A4E91"/>
    <w:rsid w:val="002A5508"/>
    <w:rsid w:val="002A5538"/>
    <w:rsid w:val="002A5771"/>
    <w:rsid w:val="002A5CF1"/>
    <w:rsid w:val="002A5D3A"/>
    <w:rsid w:val="002A5DBB"/>
    <w:rsid w:val="002A6253"/>
    <w:rsid w:val="002A63EB"/>
    <w:rsid w:val="002A6404"/>
    <w:rsid w:val="002A67CB"/>
    <w:rsid w:val="002A6807"/>
    <w:rsid w:val="002A6DCC"/>
    <w:rsid w:val="002A6E92"/>
    <w:rsid w:val="002A70F5"/>
    <w:rsid w:val="002A725C"/>
    <w:rsid w:val="002A727E"/>
    <w:rsid w:val="002A7681"/>
    <w:rsid w:val="002A76FE"/>
    <w:rsid w:val="002A7FB1"/>
    <w:rsid w:val="002B000D"/>
    <w:rsid w:val="002B006C"/>
    <w:rsid w:val="002B018D"/>
    <w:rsid w:val="002B01FA"/>
    <w:rsid w:val="002B0389"/>
    <w:rsid w:val="002B04D8"/>
    <w:rsid w:val="002B05EB"/>
    <w:rsid w:val="002B0E2B"/>
    <w:rsid w:val="002B1249"/>
    <w:rsid w:val="002B16EE"/>
    <w:rsid w:val="002B16F0"/>
    <w:rsid w:val="002B19B5"/>
    <w:rsid w:val="002B1B2C"/>
    <w:rsid w:val="002B1B37"/>
    <w:rsid w:val="002B1B95"/>
    <w:rsid w:val="002B1C18"/>
    <w:rsid w:val="002B1CF4"/>
    <w:rsid w:val="002B1E73"/>
    <w:rsid w:val="002B2149"/>
    <w:rsid w:val="002B25CC"/>
    <w:rsid w:val="002B2775"/>
    <w:rsid w:val="002B2B25"/>
    <w:rsid w:val="002B2B92"/>
    <w:rsid w:val="002B2BB7"/>
    <w:rsid w:val="002B2BD5"/>
    <w:rsid w:val="002B2E3C"/>
    <w:rsid w:val="002B3076"/>
    <w:rsid w:val="002B3089"/>
    <w:rsid w:val="002B3114"/>
    <w:rsid w:val="002B31C0"/>
    <w:rsid w:val="002B34A3"/>
    <w:rsid w:val="002B34A5"/>
    <w:rsid w:val="002B34F6"/>
    <w:rsid w:val="002B382D"/>
    <w:rsid w:val="002B3904"/>
    <w:rsid w:val="002B39D5"/>
    <w:rsid w:val="002B3A3F"/>
    <w:rsid w:val="002B419B"/>
    <w:rsid w:val="002B4635"/>
    <w:rsid w:val="002B49E2"/>
    <w:rsid w:val="002B50DD"/>
    <w:rsid w:val="002B5304"/>
    <w:rsid w:val="002B532C"/>
    <w:rsid w:val="002B54E1"/>
    <w:rsid w:val="002B5504"/>
    <w:rsid w:val="002B55F5"/>
    <w:rsid w:val="002B584A"/>
    <w:rsid w:val="002B59F0"/>
    <w:rsid w:val="002B5E13"/>
    <w:rsid w:val="002B5EB1"/>
    <w:rsid w:val="002B5EC1"/>
    <w:rsid w:val="002B63BF"/>
    <w:rsid w:val="002B67CC"/>
    <w:rsid w:val="002B6B1D"/>
    <w:rsid w:val="002B6B9E"/>
    <w:rsid w:val="002B6CC5"/>
    <w:rsid w:val="002B6D69"/>
    <w:rsid w:val="002B6E1B"/>
    <w:rsid w:val="002B6EA9"/>
    <w:rsid w:val="002B6F95"/>
    <w:rsid w:val="002B7229"/>
    <w:rsid w:val="002B76F5"/>
    <w:rsid w:val="002B77E1"/>
    <w:rsid w:val="002B7B00"/>
    <w:rsid w:val="002B7B3E"/>
    <w:rsid w:val="002B7C44"/>
    <w:rsid w:val="002B7CC6"/>
    <w:rsid w:val="002B7DD6"/>
    <w:rsid w:val="002B7F65"/>
    <w:rsid w:val="002C00D0"/>
    <w:rsid w:val="002C033E"/>
    <w:rsid w:val="002C04E0"/>
    <w:rsid w:val="002C171A"/>
    <w:rsid w:val="002C188A"/>
    <w:rsid w:val="002C1922"/>
    <w:rsid w:val="002C1F6A"/>
    <w:rsid w:val="002C207B"/>
    <w:rsid w:val="002C2084"/>
    <w:rsid w:val="002C2324"/>
    <w:rsid w:val="002C2476"/>
    <w:rsid w:val="002C2761"/>
    <w:rsid w:val="002C27CA"/>
    <w:rsid w:val="002C2894"/>
    <w:rsid w:val="002C2B17"/>
    <w:rsid w:val="002C2F75"/>
    <w:rsid w:val="002C3373"/>
    <w:rsid w:val="002C3585"/>
    <w:rsid w:val="002C37CF"/>
    <w:rsid w:val="002C3B7C"/>
    <w:rsid w:val="002C3D1A"/>
    <w:rsid w:val="002C3F37"/>
    <w:rsid w:val="002C3F41"/>
    <w:rsid w:val="002C4123"/>
    <w:rsid w:val="002C4528"/>
    <w:rsid w:val="002C4A71"/>
    <w:rsid w:val="002C4B59"/>
    <w:rsid w:val="002C4BEE"/>
    <w:rsid w:val="002C4C0A"/>
    <w:rsid w:val="002C4E3F"/>
    <w:rsid w:val="002C5181"/>
    <w:rsid w:val="002C5348"/>
    <w:rsid w:val="002C538D"/>
    <w:rsid w:val="002C5608"/>
    <w:rsid w:val="002C5811"/>
    <w:rsid w:val="002C5E5C"/>
    <w:rsid w:val="002C5F8E"/>
    <w:rsid w:val="002C61E7"/>
    <w:rsid w:val="002C6284"/>
    <w:rsid w:val="002C65AC"/>
    <w:rsid w:val="002C6710"/>
    <w:rsid w:val="002C69E8"/>
    <w:rsid w:val="002C6D4F"/>
    <w:rsid w:val="002C6D52"/>
    <w:rsid w:val="002C6F90"/>
    <w:rsid w:val="002C70D0"/>
    <w:rsid w:val="002C7185"/>
    <w:rsid w:val="002C72FC"/>
    <w:rsid w:val="002D00D4"/>
    <w:rsid w:val="002D015F"/>
    <w:rsid w:val="002D0603"/>
    <w:rsid w:val="002D073B"/>
    <w:rsid w:val="002D0ED0"/>
    <w:rsid w:val="002D0ED5"/>
    <w:rsid w:val="002D10D9"/>
    <w:rsid w:val="002D11B2"/>
    <w:rsid w:val="002D11DD"/>
    <w:rsid w:val="002D132C"/>
    <w:rsid w:val="002D1360"/>
    <w:rsid w:val="002D1575"/>
    <w:rsid w:val="002D18F5"/>
    <w:rsid w:val="002D1911"/>
    <w:rsid w:val="002D1D3D"/>
    <w:rsid w:val="002D1D84"/>
    <w:rsid w:val="002D1F57"/>
    <w:rsid w:val="002D20AC"/>
    <w:rsid w:val="002D2429"/>
    <w:rsid w:val="002D2BAF"/>
    <w:rsid w:val="002D33C8"/>
    <w:rsid w:val="002D33FD"/>
    <w:rsid w:val="002D34E7"/>
    <w:rsid w:val="002D3668"/>
    <w:rsid w:val="002D3A9A"/>
    <w:rsid w:val="002D3AB9"/>
    <w:rsid w:val="002D3BF2"/>
    <w:rsid w:val="002D3DD0"/>
    <w:rsid w:val="002D3F8C"/>
    <w:rsid w:val="002D407C"/>
    <w:rsid w:val="002D4391"/>
    <w:rsid w:val="002D45E2"/>
    <w:rsid w:val="002D4FB3"/>
    <w:rsid w:val="002D5138"/>
    <w:rsid w:val="002D51AF"/>
    <w:rsid w:val="002D5218"/>
    <w:rsid w:val="002D52BB"/>
    <w:rsid w:val="002D5800"/>
    <w:rsid w:val="002D5A61"/>
    <w:rsid w:val="002D5B04"/>
    <w:rsid w:val="002D5C03"/>
    <w:rsid w:val="002D5C06"/>
    <w:rsid w:val="002D5DDF"/>
    <w:rsid w:val="002D67AD"/>
    <w:rsid w:val="002D6B20"/>
    <w:rsid w:val="002D6DD7"/>
    <w:rsid w:val="002D7558"/>
    <w:rsid w:val="002D7612"/>
    <w:rsid w:val="002D7706"/>
    <w:rsid w:val="002D77E3"/>
    <w:rsid w:val="002D796A"/>
    <w:rsid w:val="002D798C"/>
    <w:rsid w:val="002D7A62"/>
    <w:rsid w:val="002D7B2A"/>
    <w:rsid w:val="002E03A6"/>
    <w:rsid w:val="002E0872"/>
    <w:rsid w:val="002E0C27"/>
    <w:rsid w:val="002E0E3B"/>
    <w:rsid w:val="002E0F8E"/>
    <w:rsid w:val="002E1022"/>
    <w:rsid w:val="002E10D3"/>
    <w:rsid w:val="002E1228"/>
    <w:rsid w:val="002E12BC"/>
    <w:rsid w:val="002E15EB"/>
    <w:rsid w:val="002E15FA"/>
    <w:rsid w:val="002E1C85"/>
    <w:rsid w:val="002E1F3A"/>
    <w:rsid w:val="002E1F3D"/>
    <w:rsid w:val="002E1FE1"/>
    <w:rsid w:val="002E23F5"/>
    <w:rsid w:val="002E2885"/>
    <w:rsid w:val="002E298A"/>
    <w:rsid w:val="002E299C"/>
    <w:rsid w:val="002E3406"/>
    <w:rsid w:val="002E3912"/>
    <w:rsid w:val="002E3A20"/>
    <w:rsid w:val="002E4188"/>
    <w:rsid w:val="002E41C3"/>
    <w:rsid w:val="002E436E"/>
    <w:rsid w:val="002E454E"/>
    <w:rsid w:val="002E45A5"/>
    <w:rsid w:val="002E4757"/>
    <w:rsid w:val="002E47B6"/>
    <w:rsid w:val="002E4807"/>
    <w:rsid w:val="002E4A19"/>
    <w:rsid w:val="002E4B84"/>
    <w:rsid w:val="002E4CEB"/>
    <w:rsid w:val="002E4FD0"/>
    <w:rsid w:val="002E52D3"/>
    <w:rsid w:val="002E56C9"/>
    <w:rsid w:val="002E5938"/>
    <w:rsid w:val="002E5A3B"/>
    <w:rsid w:val="002E5E8A"/>
    <w:rsid w:val="002E6725"/>
    <w:rsid w:val="002E6976"/>
    <w:rsid w:val="002E6E50"/>
    <w:rsid w:val="002E6EC5"/>
    <w:rsid w:val="002E6EC7"/>
    <w:rsid w:val="002E7969"/>
    <w:rsid w:val="002E79BA"/>
    <w:rsid w:val="002E7D2B"/>
    <w:rsid w:val="002F04E3"/>
    <w:rsid w:val="002F0527"/>
    <w:rsid w:val="002F0A62"/>
    <w:rsid w:val="002F0B46"/>
    <w:rsid w:val="002F0E68"/>
    <w:rsid w:val="002F0ECA"/>
    <w:rsid w:val="002F11A7"/>
    <w:rsid w:val="002F1475"/>
    <w:rsid w:val="002F17C7"/>
    <w:rsid w:val="002F18C1"/>
    <w:rsid w:val="002F1C32"/>
    <w:rsid w:val="002F1F2F"/>
    <w:rsid w:val="002F246C"/>
    <w:rsid w:val="002F2606"/>
    <w:rsid w:val="002F266C"/>
    <w:rsid w:val="002F28A1"/>
    <w:rsid w:val="002F2D52"/>
    <w:rsid w:val="002F2E14"/>
    <w:rsid w:val="002F33B3"/>
    <w:rsid w:val="002F33C9"/>
    <w:rsid w:val="002F3787"/>
    <w:rsid w:val="002F37DD"/>
    <w:rsid w:val="002F3988"/>
    <w:rsid w:val="002F3AF9"/>
    <w:rsid w:val="002F3CBE"/>
    <w:rsid w:val="002F4199"/>
    <w:rsid w:val="002F42EA"/>
    <w:rsid w:val="002F45EC"/>
    <w:rsid w:val="002F4647"/>
    <w:rsid w:val="002F4675"/>
    <w:rsid w:val="002F486C"/>
    <w:rsid w:val="002F4893"/>
    <w:rsid w:val="002F4FA3"/>
    <w:rsid w:val="002F573C"/>
    <w:rsid w:val="002F5810"/>
    <w:rsid w:val="002F5A50"/>
    <w:rsid w:val="002F5BD0"/>
    <w:rsid w:val="002F5D45"/>
    <w:rsid w:val="002F5FE7"/>
    <w:rsid w:val="002F633A"/>
    <w:rsid w:val="002F64DC"/>
    <w:rsid w:val="002F68C3"/>
    <w:rsid w:val="002F6DE9"/>
    <w:rsid w:val="002F7111"/>
    <w:rsid w:val="002F73BC"/>
    <w:rsid w:val="002F75B5"/>
    <w:rsid w:val="002F7847"/>
    <w:rsid w:val="002F7874"/>
    <w:rsid w:val="002F7A47"/>
    <w:rsid w:val="002F7A8E"/>
    <w:rsid w:val="003002C5"/>
    <w:rsid w:val="003004B1"/>
    <w:rsid w:val="003004F9"/>
    <w:rsid w:val="0030060A"/>
    <w:rsid w:val="00300617"/>
    <w:rsid w:val="00300813"/>
    <w:rsid w:val="00300A2A"/>
    <w:rsid w:val="00300B6A"/>
    <w:rsid w:val="00300F98"/>
    <w:rsid w:val="003010FE"/>
    <w:rsid w:val="00301634"/>
    <w:rsid w:val="00301789"/>
    <w:rsid w:val="00301950"/>
    <w:rsid w:val="0030195C"/>
    <w:rsid w:val="00301978"/>
    <w:rsid w:val="00301A6F"/>
    <w:rsid w:val="00301B68"/>
    <w:rsid w:val="00301C1A"/>
    <w:rsid w:val="00301DD8"/>
    <w:rsid w:val="0030233C"/>
    <w:rsid w:val="00302519"/>
    <w:rsid w:val="00302888"/>
    <w:rsid w:val="00302ED4"/>
    <w:rsid w:val="00303053"/>
    <w:rsid w:val="0030332C"/>
    <w:rsid w:val="003033A2"/>
    <w:rsid w:val="0030388E"/>
    <w:rsid w:val="00303D30"/>
    <w:rsid w:val="003040C3"/>
    <w:rsid w:val="00304285"/>
    <w:rsid w:val="003042D4"/>
    <w:rsid w:val="003042E6"/>
    <w:rsid w:val="00304403"/>
    <w:rsid w:val="003048E8"/>
    <w:rsid w:val="00304F97"/>
    <w:rsid w:val="00305195"/>
    <w:rsid w:val="003051C2"/>
    <w:rsid w:val="003051E1"/>
    <w:rsid w:val="00305253"/>
    <w:rsid w:val="003057E5"/>
    <w:rsid w:val="003058DC"/>
    <w:rsid w:val="00305AE0"/>
    <w:rsid w:val="00305C5E"/>
    <w:rsid w:val="00305E20"/>
    <w:rsid w:val="003061B0"/>
    <w:rsid w:val="00306234"/>
    <w:rsid w:val="00306288"/>
    <w:rsid w:val="003066A3"/>
    <w:rsid w:val="003066B0"/>
    <w:rsid w:val="00306A23"/>
    <w:rsid w:val="00306DE0"/>
    <w:rsid w:val="00306DFE"/>
    <w:rsid w:val="00306EB1"/>
    <w:rsid w:val="0030702E"/>
    <w:rsid w:val="003072BC"/>
    <w:rsid w:val="00307311"/>
    <w:rsid w:val="003073C6"/>
    <w:rsid w:val="003077B4"/>
    <w:rsid w:val="00307813"/>
    <w:rsid w:val="00307AF9"/>
    <w:rsid w:val="00307B99"/>
    <w:rsid w:val="00307BD5"/>
    <w:rsid w:val="00307BF5"/>
    <w:rsid w:val="00307ECE"/>
    <w:rsid w:val="0031016D"/>
    <w:rsid w:val="003102C4"/>
    <w:rsid w:val="0031030E"/>
    <w:rsid w:val="003103C4"/>
    <w:rsid w:val="003105C4"/>
    <w:rsid w:val="00310C24"/>
    <w:rsid w:val="003115E4"/>
    <w:rsid w:val="0031185B"/>
    <w:rsid w:val="0031187F"/>
    <w:rsid w:val="00311B9C"/>
    <w:rsid w:val="00311C85"/>
    <w:rsid w:val="00311D47"/>
    <w:rsid w:val="003120F3"/>
    <w:rsid w:val="00312296"/>
    <w:rsid w:val="00312374"/>
    <w:rsid w:val="00312AD2"/>
    <w:rsid w:val="00313353"/>
    <w:rsid w:val="00313614"/>
    <w:rsid w:val="00313723"/>
    <w:rsid w:val="003139F1"/>
    <w:rsid w:val="00313D22"/>
    <w:rsid w:val="00313DD2"/>
    <w:rsid w:val="00313E5A"/>
    <w:rsid w:val="00314027"/>
    <w:rsid w:val="00314064"/>
    <w:rsid w:val="00314631"/>
    <w:rsid w:val="003146EF"/>
    <w:rsid w:val="003147E2"/>
    <w:rsid w:val="0031495C"/>
    <w:rsid w:val="00314ADA"/>
    <w:rsid w:val="00314AEF"/>
    <w:rsid w:val="00314F0E"/>
    <w:rsid w:val="003156A4"/>
    <w:rsid w:val="00315723"/>
    <w:rsid w:val="00315775"/>
    <w:rsid w:val="0031586C"/>
    <w:rsid w:val="00315C8D"/>
    <w:rsid w:val="00315E7E"/>
    <w:rsid w:val="00316233"/>
    <w:rsid w:val="003169D1"/>
    <w:rsid w:val="00316B54"/>
    <w:rsid w:val="00316B74"/>
    <w:rsid w:val="00316DE3"/>
    <w:rsid w:val="00317120"/>
    <w:rsid w:val="003173F1"/>
    <w:rsid w:val="0031764D"/>
    <w:rsid w:val="0031775B"/>
    <w:rsid w:val="00317C66"/>
    <w:rsid w:val="00317CB4"/>
    <w:rsid w:val="00317E8E"/>
    <w:rsid w:val="00317EBB"/>
    <w:rsid w:val="00320450"/>
    <w:rsid w:val="003205A4"/>
    <w:rsid w:val="0032094A"/>
    <w:rsid w:val="00321D8E"/>
    <w:rsid w:val="00321F77"/>
    <w:rsid w:val="00322489"/>
    <w:rsid w:val="003225B8"/>
    <w:rsid w:val="003229E2"/>
    <w:rsid w:val="00322B64"/>
    <w:rsid w:val="00322B7A"/>
    <w:rsid w:val="00322B90"/>
    <w:rsid w:val="00322CAB"/>
    <w:rsid w:val="00322FDD"/>
    <w:rsid w:val="003231DE"/>
    <w:rsid w:val="00323261"/>
    <w:rsid w:val="0032356F"/>
    <w:rsid w:val="00323643"/>
    <w:rsid w:val="003236AD"/>
    <w:rsid w:val="0032376F"/>
    <w:rsid w:val="003237D0"/>
    <w:rsid w:val="003237F9"/>
    <w:rsid w:val="00323DE3"/>
    <w:rsid w:val="00323F63"/>
    <w:rsid w:val="00323FBC"/>
    <w:rsid w:val="00324AC9"/>
    <w:rsid w:val="00324CAC"/>
    <w:rsid w:val="00324F6D"/>
    <w:rsid w:val="00325471"/>
    <w:rsid w:val="003257A4"/>
    <w:rsid w:val="00325928"/>
    <w:rsid w:val="0032593A"/>
    <w:rsid w:val="00325A9D"/>
    <w:rsid w:val="00326178"/>
    <w:rsid w:val="003262FB"/>
    <w:rsid w:val="00326A8A"/>
    <w:rsid w:val="00326C9E"/>
    <w:rsid w:val="00326D4B"/>
    <w:rsid w:val="00326EEB"/>
    <w:rsid w:val="00326F5F"/>
    <w:rsid w:val="0032703C"/>
    <w:rsid w:val="003276A2"/>
    <w:rsid w:val="00327763"/>
    <w:rsid w:val="00327B6C"/>
    <w:rsid w:val="00330173"/>
    <w:rsid w:val="00330191"/>
    <w:rsid w:val="003309AC"/>
    <w:rsid w:val="003311D0"/>
    <w:rsid w:val="0033147C"/>
    <w:rsid w:val="00331538"/>
    <w:rsid w:val="0033158B"/>
    <w:rsid w:val="00331ADA"/>
    <w:rsid w:val="00331CCC"/>
    <w:rsid w:val="00331F54"/>
    <w:rsid w:val="003320C7"/>
    <w:rsid w:val="00332863"/>
    <w:rsid w:val="00332A25"/>
    <w:rsid w:val="00332AD7"/>
    <w:rsid w:val="0033316D"/>
    <w:rsid w:val="003333AF"/>
    <w:rsid w:val="0033350B"/>
    <w:rsid w:val="003335AD"/>
    <w:rsid w:val="003339B8"/>
    <w:rsid w:val="00333D9C"/>
    <w:rsid w:val="003341F3"/>
    <w:rsid w:val="0033457D"/>
    <w:rsid w:val="003345F5"/>
    <w:rsid w:val="003346BB"/>
    <w:rsid w:val="003348B9"/>
    <w:rsid w:val="003349E7"/>
    <w:rsid w:val="00334E5B"/>
    <w:rsid w:val="003356B4"/>
    <w:rsid w:val="00335770"/>
    <w:rsid w:val="003358FF"/>
    <w:rsid w:val="00335992"/>
    <w:rsid w:val="00335E64"/>
    <w:rsid w:val="00335EDB"/>
    <w:rsid w:val="003361EE"/>
    <w:rsid w:val="003364AD"/>
    <w:rsid w:val="00336590"/>
    <w:rsid w:val="00336681"/>
    <w:rsid w:val="0033684D"/>
    <w:rsid w:val="003368D1"/>
    <w:rsid w:val="00336A0C"/>
    <w:rsid w:val="00336A7A"/>
    <w:rsid w:val="00336CE4"/>
    <w:rsid w:val="00337287"/>
    <w:rsid w:val="003373CC"/>
    <w:rsid w:val="0033752A"/>
    <w:rsid w:val="003376F4"/>
    <w:rsid w:val="00337892"/>
    <w:rsid w:val="00337A92"/>
    <w:rsid w:val="00337B42"/>
    <w:rsid w:val="00337D08"/>
    <w:rsid w:val="00337D49"/>
    <w:rsid w:val="00340261"/>
    <w:rsid w:val="0034070E"/>
    <w:rsid w:val="0034091F"/>
    <w:rsid w:val="003409AC"/>
    <w:rsid w:val="00340A07"/>
    <w:rsid w:val="00340D2C"/>
    <w:rsid w:val="00340F0C"/>
    <w:rsid w:val="00341015"/>
    <w:rsid w:val="00341142"/>
    <w:rsid w:val="0034140A"/>
    <w:rsid w:val="0034146B"/>
    <w:rsid w:val="003415A4"/>
    <w:rsid w:val="0034162A"/>
    <w:rsid w:val="00341B42"/>
    <w:rsid w:val="00341D44"/>
    <w:rsid w:val="00341E06"/>
    <w:rsid w:val="003425D9"/>
    <w:rsid w:val="00342A99"/>
    <w:rsid w:val="00343039"/>
    <w:rsid w:val="0034310F"/>
    <w:rsid w:val="00343402"/>
    <w:rsid w:val="0034348F"/>
    <w:rsid w:val="0034368A"/>
    <w:rsid w:val="00343936"/>
    <w:rsid w:val="00343DF4"/>
    <w:rsid w:val="00343F1B"/>
    <w:rsid w:val="00343FD9"/>
    <w:rsid w:val="0034417B"/>
    <w:rsid w:val="0034453D"/>
    <w:rsid w:val="00344A92"/>
    <w:rsid w:val="00344F47"/>
    <w:rsid w:val="00345818"/>
    <w:rsid w:val="00346674"/>
    <w:rsid w:val="00346A9A"/>
    <w:rsid w:val="00346EED"/>
    <w:rsid w:val="0034725D"/>
    <w:rsid w:val="003475FC"/>
    <w:rsid w:val="00347915"/>
    <w:rsid w:val="00347A34"/>
    <w:rsid w:val="00347DBB"/>
    <w:rsid w:val="00350276"/>
    <w:rsid w:val="00350E9C"/>
    <w:rsid w:val="00351229"/>
    <w:rsid w:val="00351420"/>
    <w:rsid w:val="003517DF"/>
    <w:rsid w:val="00351B71"/>
    <w:rsid w:val="00351B8D"/>
    <w:rsid w:val="00351D17"/>
    <w:rsid w:val="00351E5E"/>
    <w:rsid w:val="0035270F"/>
    <w:rsid w:val="00352D20"/>
    <w:rsid w:val="00352FA0"/>
    <w:rsid w:val="00352FA6"/>
    <w:rsid w:val="00353036"/>
    <w:rsid w:val="003531D5"/>
    <w:rsid w:val="00353379"/>
    <w:rsid w:val="003536E9"/>
    <w:rsid w:val="003538FC"/>
    <w:rsid w:val="0035394D"/>
    <w:rsid w:val="00353990"/>
    <w:rsid w:val="00353BA0"/>
    <w:rsid w:val="00353F58"/>
    <w:rsid w:val="00354639"/>
    <w:rsid w:val="00354749"/>
    <w:rsid w:val="003547F8"/>
    <w:rsid w:val="003548D8"/>
    <w:rsid w:val="00354A0E"/>
    <w:rsid w:val="00354C2B"/>
    <w:rsid w:val="00354E0D"/>
    <w:rsid w:val="00354F06"/>
    <w:rsid w:val="003552E6"/>
    <w:rsid w:val="003553C9"/>
    <w:rsid w:val="0035580A"/>
    <w:rsid w:val="00355F40"/>
    <w:rsid w:val="003560BA"/>
    <w:rsid w:val="0035648E"/>
    <w:rsid w:val="00356653"/>
    <w:rsid w:val="003566F4"/>
    <w:rsid w:val="00356964"/>
    <w:rsid w:val="00356974"/>
    <w:rsid w:val="00356C7E"/>
    <w:rsid w:val="00356CD7"/>
    <w:rsid w:val="00356CF6"/>
    <w:rsid w:val="00356D3B"/>
    <w:rsid w:val="0035743F"/>
    <w:rsid w:val="003575CC"/>
    <w:rsid w:val="00357695"/>
    <w:rsid w:val="0035775C"/>
    <w:rsid w:val="003578D9"/>
    <w:rsid w:val="0035797F"/>
    <w:rsid w:val="00357A64"/>
    <w:rsid w:val="00357BE2"/>
    <w:rsid w:val="00357C77"/>
    <w:rsid w:val="00357DBE"/>
    <w:rsid w:val="00357FC8"/>
    <w:rsid w:val="0036003F"/>
    <w:rsid w:val="003604C4"/>
    <w:rsid w:val="00360713"/>
    <w:rsid w:val="003607B5"/>
    <w:rsid w:val="00360941"/>
    <w:rsid w:val="00360A2F"/>
    <w:rsid w:val="00360AD0"/>
    <w:rsid w:val="00360B43"/>
    <w:rsid w:val="00360EDA"/>
    <w:rsid w:val="00360FD3"/>
    <w:rsid w:val="003611B8"/>
    <w:rsid w:val="00361427"/>
    <w:rsid w:val="0036170C"/>
    <w:rsid w:val="003617A9"/>
    <w:rsid w:val="00361F1A"/>
    <w:rsid w:val="00362006"/>
    <w:rsid w:val="0036221C"/>
    <w:rsid w:val="00362305"/>
    <w:rsid w:val="00362440"/>
    <w:rsid w:val="00362476"/>
    <w:rsid w:val="003624C3"/>
    <w:rsid w:val="003624E3"/>
    <w:rsid w:val="003624F3"/>
    <w:rsid w:val="00362592"/>
    <w:rsid w:val="00362774"/>
    <w:rsid w:val="00362874"/>
    <w:rsid w:val="0036290A"/>
    <w:rsid w:val="00362940"/>
    <w:rsid w:val="00362E48"/>
    <w:rsid w:val="00362E4A"/>
    <w:rsid w:val="00363247"/>
    <w:rsid w:val="003632F4"/>
    <w:rsid w:val="003637DF"/>
    <w:rsid w:val="00363ADB"/>
    <w:rsid w:val="00363B2F"/>
    <w:rsid w:val="00363B3B"/>
    <w:rsid w:val="00363D09"/>
    <w:rsid w:val="00363F00"/>
    <w:rsid w:val="00363FD8"/>
    <w:rsid w:val="003642A6"/>
    <w:rsid w:val="00364443"/>
    <w:rsid w:val="003645DC"/>
    <w:rsid w:val="00364794"/>
    <w:rsid w:val="0036484F"/>
    <w:rsid w:val="00364A7D"/>
    <w:rsid w:val="00364CD9"/>
    <w:rsid w:val="00364F80"/>
    <w:rsid w:val="003652CE"/>
    <w:rsid w:val="003655CF"/>
    <w:rsid w:val="003658B9"/>
    <w:rsid w:val="00366005"/>
    <w:rsid w:val="003661DA"/>
    <w:rsid w:val="00366E0F"/>
    <w:rsid w:val="00367195"/>
    <w:rsid w:val="0036749B"/>
    <w:rsid w:val="003677BF"/>
    <w:rsid w:val="0036784B"/>
    <w:rsid w:val="003678F1"/>
    <w:rsid w:val="003678F3"/>
    <w:rsid w:val="00367997"/>
    <w:rsid w:val="00367C5D"/>
    <w:rsid w:val="00367CA6"/>
    <w:rsid w:val="00367D8A"/>
    <w:rsid w:val="00367ED1"/>
    <w:rsid w:val="0037045A"/>
    <w:rsid w:val="003706BC"/>
    <w:rsid w:val="00370AEE"/>
    <w:rsid w:val="00370E55"/>
    <w:rsid w:val="00371549"/>
    <w:rsid w:val="00371943"/>
    <w:rsid w:val="003719A2"/>
    <w:rsid w:val="00371D05"/>
    <w:rsid w:val="00371DDF"/>
    <w:rsid w:val="00371E8F"/>
    <w:rsid w:val="00371FFC"/>
    <w:rsid w:val="0037202C"/>
    <w:rsid w:val="003722D8"/>
    <w:rsid w:val="00372328"/>
    <w:rsid w:val="00372549"/>
    <w:rsid w:val="00372652"/>
    <w:rsid w:val="003728B2"/>
    <w:rsid w:val="00372AD4"/>
    <w:rsid w:val="00372B29"/>
    <w:rsid w:val="00372DBE"/>
    <w:rsid w:val="0037303B"/>
    <w:rsid w:val="00373579"/>
    <w:rsid w:val="003735CD"/>
    <w:rsid w:val="0037375D"/>
    <w:rsid w:val="00373B23"/>
    <w:rsid w:val="00374316"/>
    <w:rsid w:val="0037432C"/>
    <w:rsid w:val="0037452D"/>
    <w:rsid w:val="0037470D"/>
    <w:rsid w:val="00374928"/>
    <w:rsid w:val="0037495B"/>
    <w:rsid w:val="0037496D"/>
    <w:rsid w:val="00374A22"/>
    <w:rsid w:val="00374A65"/>
    <w:rsid w:val="00374CE7"/>
    <w:rsid w:val="00374DB0"/>
    <w:rsid w:val="003751B6"/>
    <w:rsid w:val="00375764"/>
    <w:rsid w:val="00375C4C"/>
    <w:rsid w:val="00375F1B"/>
    <w:rsid w:val="0037658C"/>
    <w:rsid w:val="003765E9"/>
    <w:rsid w:val="003766AE"/>
    <w:rsid w:val="00376811"/>
    <w:rsid w:val="003768F9"/>
    <w:rsid w:val="00376B1F"/>
    <w:rsid w:val="00376D67"/>
    <w:rsid w:val="00376F9B"/>
    <w:rsid w:val="00376FC5"/>
    <w:rsid w:val="00377067"/>
    <w:rsid w:val="003771E0"/>
    <w:rsid w:val="003802CF"/>
    <w:rsid w:val="0038039D"/>
    <w:rsid w:val="00380561"/>
    <w:rsid w:val="00380610"/>
    <w:rsid w:val="00380973"/>
    <w:rsid w:val="00380AC4"/>
    <w:rsid w:val="00380B7C"/>
    <w:rsid w:val="0038112A"/>
    <w:rsid w:val="00381273"/>
    <w:rsid w:val="003813E9"/>
    <w:rsid w:val="00381524"/>
    <w:rsid w:val="00381906"/>
    <w:rsid w:val="00381A72"/>
    <w:rsid w:val="00381BB6"/>
    <w:rsid w:val="00381BCD"/>
    <w:rsid w:val="00381E52"/>
    <w:rsid w:val="00381EAB"/>
    <w:rsid w:val="00381F5E"/>
    <w:rsid w:val="00383055"/>
    <w:rsid w:val="003830AD"/>
    <w:rsid w:val="0038323C"/>
    <w:rsid w:val="00383329"/>
    <w:rsid w:val="00383445"/>
    <w:rsid w:val="0038347F"/>
    <w:rsid w:val="00383720"/>
    <w:rsid w:val="0038388D"/>
    <w:rsid w:val="00383B58"/>
    <w:rsid w:val="00383E1F"/>
    <w:rsid w:val="00383E2C"/>
    <w:rsid w:val="003842F3"/>
    <w:rsid w:val="00384447"/>
    <w:rsid w:val="00384585"/>
    <w:rsid w:val="00384676"/>
    <w:rsid w:val="0038487F"/>
    <w:rsid w:val="00384A33"/>
    <w:rsid w:val="00384A8B"/>
    <w:rsid w:val="00384BF4"/>
    <w:rsid w:val="00384C51"/>
    <w:rsid w:val="00384E61"/>
    <w:rsid w:val="00384E93"/>
    <w:rsid w:val="003850D5"/>
    <w:rsid w:val="0038557D"/>
    <w:rsid w:val="00385B0B"/>
    <w:rsid w:val="00385CD9"/>
    <w:rsid w:val="00385D63"/>
    <w:rsid w:val="00385D68"/>
    <w:rsid w:val="0038674A"/>
    <w:rsid w:val="00386FBF"/>
    <w:rsid w:val="00387116"/>
    <w:rsid w:val="00387399"/>
    <w:rsid w:val="00387593"/>
    <w:rsid w:val="00387603"/>
    <w:rsid w:val="00387779"/>
    <w:rsid w:val="00387864"/>
    <w:rsid w:val="00387BDD"/>
    <w:rsid w:val="00387D7D"/>
    <w:rsid w:val="0039000C"/>
    <w:rsid w:val="00390399"/>
    <w:rsid w:val="003904A5"/>
    <w:rsid w:val="0039053C"/>
    <w:rsid w:val="00390752"/>
    <w:rsid w:val="00390857"/>
    <w:rsid w:val="00390972"/>
    <w:rsid w:val="00390C25"/>
    <w:rsid w:val="00390FBE"/>
    <w:rsid w:val="0039111A"/>
    <w:rsid w:val="0039126C"/>
    <w:rsid w:val="00391647"/>
    <w:rsid w:val="00391A92"/>
    <w:rsid w:val="00391C97"/>
    <w:rsid w:val="00391CE7"/>
    <w:rsid w:val="00391E3D"/>
    <w:rsid w:val="003920F4"/>
    <w:rsid w:val="003920FB"/>
    <w:rsid w:val="0039248F"/>
    <w:rsid w:val="00392546"/>
    <w:rsid w:val="003925FA"/>
    <w:rsid w:val="003926E3"/>
    <w:rsid w:val="003928FF"/>
    <w:rsid w:val="0039295E"/>
    <w:rsid w:val="003929AE"/>
    <w:rsid w:val="00392B37"/>
    <w:rsid w:val="003930DF"/>
    <w:rsid w:val="0039359A"/>
    <w:rsid w:val="0039394B"/>
    <w:rsid w:val="0039395D"/>
    <w:rsid w:val="003939D5"/>
    <w:rsid w:val="00393E64"/>
    <w:rsid w:val="0039470E"/>
    <w:rsid w:val="003947D5"/>
    <w:rsid w:val="00394C04"/>
    <w:rsid w:val="00394CA4"/>
    <w:rsid w:val="00394F8C"/>
    <w:rsid w:val="0039513A"/>
    <w:rsid w:val="00395271"/>
    <w:rsid w:val="00395326"/>
    <w:rsid w:val="00395341"/>
    <w:rsid w:val="003953B6"/>
    <w:rsid w:val="00395C2E"/>
    <w:rsid w:val="00395F77"/>
    <w:rsid w:val="00396276"/>
    <w:rsid w:val="003962B6"/>
    <w:rsid w:val="00396309"/>
    <w:rsid w:val="003965BA"/>
    <w:rsid w:val="0039695A"/>
    <w:rsid w:val="00396DD0"/>
    <w:rsid w:val="00396DF0"/>
    <w:rsid w:val="00397003"/>
    <w:rsid w:val="0039706D"/>
    <w:rsid w:val="003972A4"/>
    <w:rsid w:val="003975CF"/>
    <w:rsid w:val="00397A33"/>
    <w:rsid w:val="00397BC1"/>
    <w:rsid w:val="00397D7C"/>
    <w:rsid w:val="00397F3E"/>
    <w:rsid w:val="003A020C"/>
    <w:rsid w:val="003A035C"/>
    <w:rsid w:val="003A043A"/>
    <w:rsid w:val="003A05D1"/>
    <w:rsid w:val="003A0D68"/>
    <w:rsid w:val="003A17E0"/>
    <w:rsid w:val="003A1AD9"/>
    <w:rsid w:val="003A28BF"/>
    <w:rsid w:val="003A2943"/>
    <w:rsid w:val="003A2958"/>
    <w:rsid w:val="003A2C6E"/>
    <w:rsid w:val="003A2CE8"/>
    <w:rsid w:val="003A2DE6"/>
    <w:rsid w:val="003A2EBE"/>
    <w:rsid w:val="003A3083"/>
    <w:rsid w:val="003A3220"/>
    <w:rsid w:val="003A3645"/>
    <w:rsid w:val="003A46EA"/>
    <w:rsid w:val="003A48EB"/>
    <w:rsid w:val="003A4BF3"/>
    <w:rsid w:val="003A4D4C"/>
    <w:rsid w:val="003A561F"/>
    <w:rsid w:val="003A5973"/>
    <w:rsid w:val="003A5988"/>
    <w:rsid w:val="003A5B04"/>
    <w:rsid w:val="003A5B6B"/>
    <w:rsid w:val="003A6089"/>
    <w:rsid w:val="003A6109"/>
    <w:rsid w:val="003A6188"/>
    <w:rsid w:val="003A63FD"/>
    <w:rsid w:val="003A6650"/>
    <w:rsid w:val="003A6A36"/>
    <w:rsid w:val="003A6A63"/>
    <w:rsid w:val="003A6D4E"/>
    <w:rsid w:val="003A6DBA"/>
    <w:rsid w:val="003A6F15"/>
    <w:rsid w:val="003A725E"/>
    <w:rsid w:val="003A7364"/>
    <w:rsid w:val="003A7437"/>
    <w:rsid w:val="003A76A3"/>
    <w:rsid w:val="003A7C2F"/>
    <w:rsid w:val="003A7E45"/>
    <w:rsid w:val="003B02FE"/>
    <w:rsid w:val="003B0890"/>
    <w:rsid w:val="003B095C"/>
    <w:rsid w:val="003B09AE"/>
    <w:rsid w:val="003B09D7"/>
    <w:rsid w:val="003B110A"/>
    <w:rsid w:val="003B1410"/>
    <w:rsid w:val="003B1471"/>
    <w:rsid w:val="003B17F6"/>
    <w:rsid w:val="003B1D3D"/>
    <w:rsid w:val="003B1DC3"/>
    <w:rsid w:val="003B1F0C"/>
    <w:rsid w:val="003B1F7E"/>
    <w:rsid w:val="003B203E"/>
    <w:rsid w:val="003B20CD"/>
    <w:rsid w:val="003B2A3A"/>
    <w:rsid w:val="003B2A6C"/>
    <w:rsid w:val="003B2B71"/>
    <w:rsid w:val="003B2BBB"/>
    <w:rsid w:val="003B2BC6"/>
    <w:rsid w:val="003B300C"/>
    <w:rsid w:val="003B33B5"/>
    <w:rsid w:val="003B3561"/>
    <w:rsid w:val="003B3626"/>
    <w:rsid w:val="003B3A69"/>
    <w:rsid w:val="003B3DE9"/>
    <w:rsid w:val="003B3E98"/>
    <w:rsid w:val="003B3EB5"/>
    <w:rsid w:val="003B3FE1"/>
    <w:rsid w:val="003B420D"/>
    <w:rsid w:val="003B435F"/>
    <w:rsid w:val="003B4A68"/>
    <w:rsid w:val="003B4B86"/>
    <w:rsid w:val="003B4CB9"/>
    <w:rsid w:val="003B4DB9"/>
    <w:rsid w:val="003B4E69"/>
    <w:rsid w:val="003B5101"/>
    <w:rsid w:val="003B537D"/>
    <w:rsid w:val="003B5397"/>
    <w:rsid w:val="003B5530"/>
    <w:rsid w:val="003B5DF8"/>
    <w:rsid w:val="003B5EC6"/>
    <w:rsid w:val="003B5F84"/>
    <w:rsid w:val="003B643C"/>
    <w:rsid w:val="003B6521"/>
    <w:rsid w:val="003B656C"/>
    <w:rsid w:val="003B6593"/>
    <w:rsid w:val="003B6892"/>
    <w:rsid w:val="003B6ADF"/>
    <w:rsid w:val="003B6D3D"/>
    <w:rsid w:val="003B6D81"/>
    <w:rsid w:val="003B6ECD"/>
    <w:rsid w:val="003B6FEF"/>
    <w:rsid w:val="003B70F4"/>
    <w:rsid w:val="003B7D56"/>
    <w:rsid w:val="003C087A"/>
    <w:rsid w:val="003C0954"/>
    <w:rsid w:val="003C0E44"/>
    <w:rsid w:val="003C0FF2"/>
    <w:rsid w:val="003C15EA"/>
    <w:rsid w:val="003C1725"/>
    <w:rsid w:val="003C1D7B"/>
    <w:rsid w:val="003C1DE6"/>
    <w:rsid w:val="003C2211"/>
    <w:rsid w:val="003C2361"/>
    <w:rsid w:val="003C2624"/>
    <w:rsid w:val="003C2633"/>
    <w:rsid w:val="003C2772"/>
    <w:rsid w:val="003C2797"/>
    <w:rsid w:val="003C2A2F"/>
    <w:rsid w:val="003C2CE7"/>
    <w:rsid w:val="003C324A"/>
    <w:rsid w:val="003C356C"/>
    <w:rsid w:val="003C36A9"/>
    <w:rsid w:val="003C3777"/>
    <w:rsid w:val="003C3790"/>
    <w:rsid w:val="003C3D1E"/>
    <w:rsid w:val="003C3D53"/>
    <w:rsid w:val="003C3D7A"/>
    <w:rsid w:val="003C4240"/>
    <w:rsid w:val="003C4471"/>
    <w:rsid w:val="003C4496"/>
    <w:rsid w:val="003C468F"/>
    <w:rsid w:val="003C4ACA"/>
    <w:rsid w:val="003C4BCF"/>
    <w:rsid w:val="003C4CA7"/>
    <w:rsid w:val="003C4D00"/>
    <w:rsid w:val="003C4F0B"/>
    <w:rsid w:val="003C4FA7"/>
    <w:rsid w:val="003C4FCD"/>
    <w:rsid w:val="003C5292"/>
    <w:rsid w:val="003C5488"/>
    <w:rsid w:val="003C562C"/>
    <w:rsid w:val="003C564A"/>
    <w:rsid w:val="003C5919"/>
    <w:rsid w:val="003C5D16"/>
    <w:rsid w:val="003C5F83"/>
    <w:rsid w:val="003C61CF"/>
    <w:rsid w:val="003C6533"/>
    <w:rsid w:val="003C6C16"/>
    <w:rsid w:val="003C6F56"/>
    <w:rsid w:val="003C7174"/>
    <w:rsid w:val="003C773F"/>
    <w:rsid w:val="003C782F"/>
    <w:rsid w:val="003C7C88"/>
    <w:rsid w:val="003C7D3A"/>
    <w:rsid w:val="003C7D44"/>
    <w:rsid w:val="003C7D59"/>
    <w:rsid w:val="003C7E22"/>
    <w:rsid w:val="003D0159"/>
    <w:rsid w:val="003D01DD"/>
    <w:rsid w:val="003D0243"/>
    <w:rsid w:val="003D0260"/>
    <w:rsid w:val="003D0688"/>
    <w:rsid w:val="003D06C4"/>
    <w:rsid w:val="003D07D5"/>
    <w:rsid w:val="003D0998"/>
    <w:rsid w:val="003D0B62"/>
    <w:rsid w:val="003D161A"/>
    <w:rsid w:val="003D1743"/>
    <w:rsid w:val="003D1830"/>
    <w:rsid w:val="003D18CA"/>
    <w:rsid w:val="003D1A95"/>
    <w:rsid w:val="003D1B42"/>
    <w:rsid w:val="003D1E6B"/>
    <w:rsid w:val="003D1F11"/>
    <w:rsid w:val="003D1F7B"/>
    <w:rsid w:val="003D20E8"/>
    <w:rsid w:val="003D212D"/>
    <w:rsid w:val="003D2160"/>
    <w:rsid w:val="003D249B"/>
    <w:rsid w:val="003D2510"/>
    <w:rsid w:val="003D271C"/>
    <w:rsid w:val="003D292E"/>
    <w:rsid w:val="003D299E"/>
    <w:rsid w:val="003D2E97"/>
    <w:rsid w:val="003D2EA2"/>
    <w:rsid w:val="003D3036"/>
    <w:rsid w:val="003D3088"/>
    <w:rsid w:val="003D3168"/>
    <w:rsid w:val="003D3767"/>
    <w:rsid w:val="003D39CA"/>
    <w:rsid w:val="003D3A42"/>
    <w:rsid w:val="003D3DC6"/>
    <w:rsid w:val="003D3EC7"/>
    <w:rsid w:val="003D40DA"/>
    <w:rsid w:val="003D4175"/>
    <w:rsid w:val="003D44B5"/>
    <w:rsid w:val="003D4540"/>
    <w:rsid w:val="003D4820"/>
    <w:rsid w:val="003D4877"/>
    <w:rsid w:val="003D4B0E"/>
    <w:rsid w:val="003D4DCC"/>
    <w:rsid w:val="003D4E0C"/>
    <w:rsid w:val="003D4E3E"/>
    <w:rsid w:val="003D4E64"/>
    <w:rsid w:val="003D5330"/>
    <w:rsid w:val="003D547A"/>
    <w:rsid w:val="003D5613"/>
    <w:rsid w:val="003D5BB0"/>
    <w:rsid w:val="003D5F1D"/>
    <w:rsid w:val="003D5FDA"/>
    <w:rsid w:val="003D6171"/>
    <w:rsid w:val="003D6500"/>
    <w:rsid w:val="003D65B8"/>
    <w:rsid w:val="003D6828"/>
    <w:rsid w:val="003D6986"/>
    <w:rsid w:val="003D6995"/>
    <w:rsid w:val="003D6BF8"/>
    <w:rsid w:val="003D6F39"/>
    <w:rsid w:val="003D7896"/>
    <w:rsid w:val="003D794D"/>
    <w:rsid w:val="003D7966"/>
    <w:rsid w:val="003D7976"/>
    <w:rsid w:val="003D798E"/>
    <w:rsid w:val="003D7A8E"/>
    <w:rsid w:val="003D7C2A"/>
    <w:rsid w:val="003D7D3F"/>
    <w:rsid w:val="003D7E83"/>
    <w:rsid w:val="003E0064"/>
    <w:rsid w:val="003E07F5"/>
    <w:rsid w:val="003E0C4E"/>
    <w:rsid w:val="003E0D95"/>
    <w:rsid w:val="003E1147"/>
    <w:rsid w:val="003E124B"/>
    <w:rsid w:val="003E1596"/>
    <w:rsid w:val="003E1D66"/>
    <w:rsid w:val="003E229B"/>
    <w:rsid w:val="003E247B"/>
    <w:rsid w:val="003E25B4"/>
    <w:rsid w:val="003E295A"/>
    <w:rsid w:val="003E2AE7"/>
    <w:rsid w:val="003E2C57"/>
    <w:rsid w:val="003E2CE2"/>
    <w:rsid w:val="003E2D0B"/>
    <w:rsid w:val="003E2D99"/>
    <w:rsid w:val="003E2DB6"/>
    <w:rsid w:val="003E2E3C"/>
    <w:rsid w:val="003E2E64"/>
    <w:rsid w:val="003E2F77"/>
    <w:rsid w:val="003E3058"/>
    <w:rsid w:val="003E3165"/>
    <w:rsid w:val="003E38AC"/>
    <w:rsid w:val="003E38DD"/>
    <w:rsid w:val="003E3CFF"/>
    <w:rsid w:val="003E3D31"/>
    <w:rsid w:val="003E3ED0"/>
    <w:rsid w:val="003E40EA"/>
    <w:rsid w:val="003E43D2"/>
    <w:rsid w:val="003E4889"/>
    <w:rsid w:val="003E4C47"/>
    <w:rsid w:val="003E4D4D"/>
    <w:rsid w:val="003E4D58"/>
    <w:rsid w:val="003E51EE"/>
    <w:rsid w:val="003E5428"/>
    <w:rsid w:val="003E56B8"/>
    <w:rsid w:val="003E5835"/>
    <w:rsid w:val="003E5C5D"/>
    <w:rsid w:val="003E5F45"/>
    <w:rsid w:val="003E5FA3"/>
    <w:rsid w:val="003E60AB"/>
    <w:rsid w:val="003E6344"/>
    <w:rsid w:val="003E666F"/>
    <w:rsid w:val="003E6867"/>
    <w:rsid w:val="003E6F84"/>
    <w:rsid w:val="003E7598"/>
    <w:rsid w:val="003E7652"/>
    <w:rsid w:val="003E76A9"/>
    <w:rsid w:val="003E7715"/>
    <w:rsid w:val="003E7D69"/>
    <w:rsid w:val="003E7E33"/>
    <w:rsid w:val="003F0506"/>
    <w:rsid w:val="003F05DE"/>
    <w:rsid w:val="003F0809"/>
    <w:rsid w:val="003F0A0A"/>
    <w:rsid w:val="003F0E6D"/>
    <w:rsid w:val="003F0F41"/>
    <w:rsid w:val="003F13DF"/>
    <w:rsid w:val="003F197F"/>
    <w:rsid w:val="003F1EE8"/>
    <w:rsid w:val="003F20BD"/>
    <w:rsid w:val="003F23B6"/>
    <w:rsid w:val="003F23D6"/>
    <w:rsid w:val="003F26B6"/>
    <w:rsid w:val="003F2779"/>
    <w:rsid w:val="003F29BA"/>
    <w:rsid w:val="003F2B48"/>
    <w:rsid w:val="003F2C47"/>
    <w:rsid w:val="003F2CA0"/>
    <w:rsid w:val="003F2E2E"/>
    <w:rsid w:val="003F3154"/>
    <w:rsid w:val="003F360D"/>
    <w:rsid w:val="003F3622"/>
    <w:rsid w:val="003F372A"/>
    <w:rsid w:val="003F3775"/>
    <w:rsid w:val="003F3D1C"/>
    <w:rsid w:val="003F3E46"/>
    <w:rsid w:val="003F40BD"/>
    <w:rsid w:val="003F428F"/>
    <w:rsid w:val="003F4461"/>
    <w:rsid w:val="003F4684"/>
    <w:rsid w:val="003F4C39"/>
    <w:rsid w:val="003F542F"/>
    <w:rsid w:val="003F5989"/>
    <w:rsid w:val="003F5BEE"/>
    <w:rsid w:val="003F606D"/>
    <w:rsid w:val="003F60F1"/>
    <w:rsid w:val="003F647F"/>
    <w:rsid w:val="003F66F4"/>
    <w:rsid w:val="003F6A8C"/>
    <w:rsid w:val="003F6B63"/>
    <w:rsid w:val="003F6C31"/>
    <w:rsid w:val="003F755C"/>
    <w:rsid w:val="003F78C4"/>
    <w:rsid w:val="003F7B97"/>
    <w:rsid w:val="003F7DE6"/>
    <w:rsid w:val="0040027B"/>
    <w:rsid w:val="004002CD"/>
    <w:rsid w:val="0040044F"/>
    <w:rsid w:val="004004F7"/>
    <w:rsid w:val="00400575"/>
    <w:rsid w:val="00400634"/>
    <w:rsid w:val="00400675"/>
    <w:rsid w:val="00400A79"/>
    <w:rsid w:val="00400B4C"/>
    <w:rsid w:val="00401168"/>
    <w:rsid w:val="00401237"/>
    <w:rsid w:val="004016BE"/>
    <w:rsid w:val="004017B6"/>
    <w:rsid w:val="004019B0"/>
    <w:rsid w:val="00401A86"/>
    <w:rsid w:val="00401B00"/>
    <w:rsid w:val="00401C0A"/>
    <w:rsid w:val="00402014"/>
    <w:rsid w:val="0040207F"/>
    <w:rsid w:val="0040208B"/>
    <w:rsid w:val="0040221B"/>
    <w:rsid w:val="004022C5"/>
    <w:rsid w:val="004023F6"/>
    <w:rsid w:val="004024FB"/>
    <w:rsid w:val="00402664"/>
    <w:rsid w:val="0040276E"/>
    <w:rsid w:val="00402D80"/>
    <w:rsid w:val="00402DEE"/>
    <w:rsid w:val="004033A1"/>
    <w:rsid w:val="0040350B"/>
    <w:rsid w:val="004037E2"/>
    <w:rsid w:val="004038C3"/>
    <w:rsid w:val="00403B9C"/>
    <w:rsid w:val="00403BE4"/>
    <w:rsid w:val="0040414B"/>
    <w:rsid w:val="004042DE"/>
    <w:rsid w:val="004048BE"/>
    <w:rsid w:val="00404E78"/>
    <w:rsid w:val="00404F97"/>
    <w:rsid w:val="00405261"/>
    <w:rsid w:val="00405401"/>
    <w:rsid w:val="00405712"/>
    <w:rsid w:val="004059C6"/>
    <w:rsid w:val="00405F09"/>
    <w:rsid w:val="00406F01"/>
    <w:rsid w:val="00406F58"/>
    <w:rsid w:val="00406F7A"/>
    <w:rsid w:val="00406FE3"/>
    <w:rsid w:val="004072AF"/>
    <w:rsid w:val="00407576"/>
    <w:rsid w:val="0040774D"/>
    <w:rsid w:val="0040788D"/>
    <w:rsid w:val="00407A6C"/>
    <w:rsid w:val="00407ACA"/>
    <w:rsid w:val="00407D1C"/>
    <w:rsid w:val="004101E1"/>
    <w:rsid w:val="004102C5"/>
    <w:rsid w:val="0041087C"/>
    <w:rsid w:val="00410A4D"/>
    <w:rsid w:val="00410D0F"/>
    <w:rsid w:val="0041159C"/>
    <w:rsid w:val="0041165A"/>
    <w:rsid w:val="00411D53"/>
    <w:rsid w:val="00411F71"/>
    <w:rsid w:val="004123DE"/>
    <w:rsid w:val="00412518"/>
    <w:rsid w:val="004125C1"/>
    <w:rsid w:val="00412DB9"/>
    <w:rsid w:val="00413353"/>
    <w:rsid w:val="004133DE"/>
    <w:rsid w:val="0041340F"/>
    <w:rsid w:val="004139D8"/>
    <w:rsid w:val="00413E81"/>
    <w:rsid w:val="00413FCB"/>
    <w:rsid w:val="00413FF8"/>
    <w:rsid w:val="0041419F"/>
    <w:rsid w:val="004141E7"/>
    <w:rsid w:val="0041435B"/>
    <w:rsid w:val="004146AE"/>
    <w:rsid w:val="00414715"/>
    <w:rsid w:val="00414734"/>
    <w:rsid w:val="00414770"/>
    <w:rsid w:val="00414DFC"/>
    <w:rsid w:val="00414F8D"/>
    <w:rsid w:val="00414FCD"/>
    <w:rsid w:val="00415006"/>
    <w:rsid w:val="004152DF"/>
    <w:rsid w:val="004153E5"/>
    <w:rsid w:val="004154B9"/>
    <w:rsid w:val="004155DC"/>
    <w:rsid w:val="0041576A"/>
    <w:rsid w:val="00415A4D"/>
    <w:rsid w:val="00415BA9"/>
    <w:rsid w:val="00415D0B"/>
    <w:rsid w:val="00415FB5"/>
    <w:rsid w:val="0041600D"/>
    <w:rsid w:val="0041608F"/>
    <w:rsid w:val="004165A1"/>
    <w:rsid w:val="004168FC"/>
    <w:rsid w:val="00416B99"/>
    <w:rsid w:val="00416B9D"/>
    <w:rsid w:val="00416BA7"/>
    <w:rsid w:val="00416C3A"/>
    <w:rsid w:val="00416D50"/>
    <w:rsid w:val="00416E03"/>
    <w:rsid w:val="00416FD5"/>
    <w:rsid w:val="00417772"/>
    <w:rsid w:val="00417D2A"/>
    <w:rsid w:val="00417D40"/>
    <w:rsid w:val="00417E9F"/>
    <w:rsid w:val="00420025"/>
    <w:rsid w:val="00420100"/>
    <w:rsid w:val="00420448"/>
    <w:rsid w:val="0042049F"/>
    <w:rsid w:val="0042052C"/>
    <w:rsid w:val="00420A7A"/>
    <w:rsid w:val="00420C7D"/>
    <w:rsid w:val="00420E67"/>
    <w:rsid w:val="00420E6A"/>
    <w:rsid w:val="004210AC"/>
    <w:rsid w:val="004211C7"/>
    <w:rsid w:val="00421292"/>
    <w:rsid w:val="00421367"/>
    <w:rsid w:val="0042184E"/>
    <w:rsid w:val="00421978"/>
    <w:rsid w:val="00421A4E"/>
    <w:rsid w:val="00421C17"/>
    <w:rsid w:val="00422270"/>
    <w:rsid w:val="004224A3"/>
    <w:rsid w:val="00422503"/>
    <w:rsid w:val="00422696"/>
    <w:rsid w:val="00422B01"/>
    <w:rsid w:val="00422B47"/>
    <w:rsid w:val="00422C1E"/>
    <w:rsid w:val="00422F5C"/>
    <w:rsid w:val="00423093"/>
    <w:rsid w:val="004231B8"/>
    <w:rsid w:val="00423A9E"/>
    <w:rsid w:val="00423B31"/>
    <w:rsid w:val="00423BB7"/>
    <w:rsid w:val="00423EB7"/>
    <w:rsid w:val="004240CC"/>
    <w:rsid w:val="00424220"/>
    <w:rsid w:val="004242C0"/>
    <w:rsid w:val="00424307"/>
    <w:rsid w:val="004244D6"/>
    <w:rsid w:val="004246E6"/>
    <w:rsid w:val="00424BAC"/>
    <w:rsid w:val="00425A9E"/>
    <w:rsid w:val="00425B6A"/>
    <w:rsid w:val="00425DAE"/>
    <w:rsid w:val="00425F29"/>
    <w:rsid w:val="00426363"/>
    <w:rsid w:val="004263C5"/>
    <w:rsid w:val="00426B15"/>
    <w:rsid w:val="00426D6B"/>
    <w:rsid w:val="004271BA"/>
    <w:rsid w:val="004271EE"/>
    <w:rsid w:val="00427424"/>
    <w:rsid w:val="0042748A"/>
    <w:rsid w:val="00427775"/>
    <w:rsid w:val="00427B30"/>
    <w:rsid w:val="00427E7B"/>
    <w:rsid w:val="0043006F"/>
    <w:rsid w:val="004304B0"/>
    <w:rsid w:val="0043063A"/>
    <w:rsid w:val="004306D5"/>
    <w:rsid w:val="0043073F"/>
    <w:rsid w:val="004308BD"/>
    <w:rsid w:val="00430A58"/>
    <w:rsid w:val="00430C5A"/>
    <w:rsid w:val="004310B5"/>
    <w:rsid w:val="00431441"/>
    <w:rsid w:val="004318C9"/>
    <w:rsid w:val="00431AB9"/>
    <w:rsid w:val="00431C8E"/>
    <w:rsid w:val="00431DCE"/>
    <w:rsid w:val="00431E6C"/>
    <w:rsid w:val="00431FB0"/>
    <w:rsid w:val="004322E9"/>
    <w:rsid w:val="00432731"/>
    <w:rsid w:val="00432A42"/>
    <w:rsid w:val="00432B0B"/>
    <w:rsid w:val="00432B3D"/>
    <w:rsid w:val="00432D98"/>
    <w:rsid w:val="00432E63"/>
    <w:rsid w:val="00432EB0"/>
    <w:rsid w:val="00432F05"/>
    <w:rsid w:val="00432F2F"/>
    <w:rsid w:val="00433090"/>
    <w:rsid w:val="004331D4"/>
    <w:rsid w:val="00433357"/>
    <w:rsid w:val="004335EA"/>
    <w:rsid w:val="00433CE7"/>
    <w:rsid w:val="00433DF2"/>
    <w:rsid w:val="004340B2"/>
    <w:rsid w:val="004345B8"/>
    <w:rsid w:val="00434615"/>
    <w:rsid w:val="00434991"/>
    <w:rsid w:val="00434ECB"/>
    <w:rsid w:val="00435388"/>
    <w:rsid w:val="004354D2"/>
    <w:rsid w:val="00435635"/>
    <w:rsid w:val="00435A16"/>
    <w:rsid w:val="00435ED2"/>
    <w:rsid w:val="00436074"/>
    <w:rsid w:val="0043659A"/>
    <w:rsid w:val="00436FA2"/>
    <w:rsid w:val="00437428"/>
    <w:rsid w:val="00437580"/>
    <w:rsid w:val="004376C1"/>
    <w:rsid w:val="0043783A"/>
    <w:rsid w:val="004379D3"/>
    <w:rsid w:val="00437D69"/>
    <w:rsid w:val="00437DFB"/>
    <w:rsid w:val="00437F79"/>
    <w:rsid w:val="00440171"/>
    <w:rsid w:val="00440287"/>
    <w:rsid w:val="00440418"/>
    <w:rsid w:val="00440584"/>
    <w:rsid w:val="00440838"/>
    <w:rsid w:val="004409CC"/>
    <w:rsid w:val="00440BF1"/>
    <w:rsid w:val="00440ECB"/>
    <w:rsid w:val="00441155"/>
    <w:rsid w:val="004411F2"/>
    <w:rsid w:val="0044124A"/>
    <w:rsid w:val="00441390"/>
    <w:rsid w:val="004414E8"/>
    <w:rsid w:val="0044150C"/>
    <w:rsid w:val="00441760"/>
    <w:rsid w:val="004419B9"/>
    <w:rsid w:val="00441FA8"/>
    <w:rsid w:val="0044220A"/>
    <w:rsid w:val="00442570"/>
    <w:rsid w:val="0044260F"/>
    <w:rsid w:val="0044272D"/>
    <w:rsid w:val="00442A30"/>
    <w:rsid w:val="00442B78"/>
    <w:rsid w:val="00442C11"/>
    <w:rsid w:val="00442F39"/>
    <w:rsid w:val="00443284"/>
    <w:rsid w:val="0044335E"/>
    <w:rsid w:val="004435C1"/>
    <w:rsid w:val="00443766"/>
    <w:rsid w:val="00443992"/>
    <w:rsid w:val="00443C88"/>
    <w:rsid w:val="00443CA9"/>
    <w:rsid w:val="00443F88"/>
    <w:rsid w:val="0044435E"/>
    <w:rsid w:val="004444BB"/>
    <w:rsid w:val="00444576"/>
    <w:rsid w:val="004447CD"/>
    <w:rsid w:val="00444929"/>
    <w:rsid w:val="00444E28"/>
    <w:rsid w:val="00444F1B"/>
    <w:rsid w:val="0044505E"/>
    <w:rsid w:val="004450D3"/>
    <w:rsid w:val="004450D8"/>
    <w:rsid w:val="0044532E"/>
    <w:rsid w:val="00445598"/>
    <w:rsid w:val="00445E69"/>
    <w:rsid w:val="00446118"/>
    <w:rsid w:val="0044629E"/>
    <w:rsid w:val="00446395"/>
    <w:rsid w:val="00446652"/>
    <w:rsid w:val="00446707"/>
    <w:rsid w:val="00446A17"/>
    <w:rsid w:val="00446B03"/>
    <w:rsid w:val="00446C4F"/>
    <w:rsid w:val="00446D35"/>
    <w:rsid w:val="00447239"/>
    <w:rsid w:val="00447341"/>
    <w:rsid w:val="00447D95"/>
    <w:rsid w:val="00447E66"/>
    <w:rsid w:val="00450173"/>
    <w:rsid w:val="004504BA"/>
    <w:rsid w:val="00450598"/>
    <w:rsid w:val="00450665"/>
    <w:rsid w:val="00450895"/>
    <w:rsid w:val="0045098D"/>
    <w:rsid w:val="00450E10"/>
    <w:rsid w:val="00451219"/>
    <w:rsid w:val="004516DB"/>
    <w:rsid w:val="0045213A"/>
    <w:rsid w:val="00452738"/>
    <w:rsid w:val="00452849"/>
    <w:rsid w:val="00452AE2"/>
    <w:rsid w:val="00452BFE"/>
    <w:rsid w:val="00452CD3"/>
    <w:rsid w:val="00452D1B"/>
    <w:rsid w:val="00452E09"/>
    <w:rsid w:val="00452F57"/>
    <w:rsid w:val="0045307E"/>
    <w:rsid w:val="0045335D"/>
    <w:rsid w:val="00453632"/>
    <w:rsid w:val="0045365B"/>
    <w:rsid w:val="00453791"/>
    <w:rsid w:val="00453D45"/>
    <w:rsid w:val="004540B7"/>
    <w:rsid w:val="00454994"/>
    <w:rsid w:val="00454E5C"/>
    <w:rsid w:val="004554A0"/>
    <w:rsid w:val="0045561A"/>
    <w:rsid w:val="00455BC9"/>
    <w:rsid w:val="00456091"/>
    <w:rsid w:val="004560A7"/>
    <w:rsid w:val="00456297"/>
    <w:rsid w:val="00456828"/>
    <w:rsid w:val="00456968"/>
    <w:rsid w:val="00456BF8"/>
    <w:rsid w:val="00456C80"/>
    <w:rsid w:val="00457155"/>
    <w:rsid w:val="0045716A"/>
    <w:rsid w:val="0045718B"/>
    <w:rsid w:val="004575B0"/>
    <w:rsid w:val="004576AE"/>
    <w:rsid w:val="004577AA"/>
    <w:rsid w:val="004578AD"/>
    <w:rsid w:val="00457A1D"/>
    <w:rsid w:val="0046009B"/>
    <w:rsid w:val="0046019B"/>
    <w:rsid w:val="004602C6"/>
    <w:rsid w:val="00460398"/>
    <w:rsid w:val="004605AB"/>
    <w:rsid w:val="0046064E"/>
    <w:rsid w:val="00460766"/>
    <w:rsid w:val="00460AD6"/>
    <w:rsid w:val="00460F82"/>
    <w:rsid w:val="00461475"/>
    <w:rsid w:val="00461527"/>
    <w:rsid w:val="004619AF"/>
    <w:rsid w:val="00461A0A"/>
    <w:rsid w:val="00462083"/>
    <w:rsid w:val="00462093"/>
    <w:rsid w:val="00462955"/>
    <w:rsid w:val="00462BD6"/>
    <w:rsid w:val="00462C5F"/>
    <w:rsid w:val="00462ED2"/>
    <w:rsid w:val="004637FB"/>
    <w:rsid w:val="00463D65"/>
    <w:rsid w:val="00463D78"/>
    <w:rsid w:val="00463DA8"/>
    <w:rsid w:val="00463EEE"/>
    <w:rsid w:val="004649CA"/>
    <w:rsid w:val="00464E63"/>
    <w:rsid w:val="00464E93"/>
    <w:rsid w:val="004650CC"/>
    <w:rsid w:val="00465198"/>
    <w:rsid w:val="00465209"/>
    <w:rsid w:val="0046554B"/>
    <w:rsid w:val="00465609"/>
    <w:rsid w:val="0046567F"/>
    <w:rsid w:val="0046583E"/>
    <w:rsid w:val="0046591C"/>
    <w:rsid w:val="00465D29"/>
    <w:rsid w:val="00465D3E"/>
    <w:rsid w:val="00465F8B"/>
    <w:rsid w:val="00466185"/>
    <w:rsid w:val="00466261"/>
    <w:rsid w:val="00466321"/>
    <w:rsid w:val="00466787"/>
    <w:rsid w:val="00466798"/>
    <w:rsid w:val="00466C18"/>
    <w:rsid w:val="0046700E"/>
    <w:rsid w:val="00467333"/>
    <w:rsid w:val="0046739C"/>
    <w:rsid w:val="004674CD"/>
    <w:rsid w:val="00467552"/>
    <w:rsid w:val="004676F4"/>
    <w:rsid w:val="00467ABB"/>
    <w:rsid w:val="00470369"/>
    <w:rsid w:val="004703C3"/>
    <w:rsid w:val="00470896"/>
    <w:rsid w:val="004709DA"/>
    <w:rsid w:val="00470AA8"/>
    <w:rsid w:val="00470B9A"/>
    <w:rsid w:val="004710F6"/>
    <w:rsid w:val="0047181E"/>
    <w:rsid w:val="00471CFD"/>
    <w:rsid w:val="00471D8B"/>
    <w:rsid w:val="00471EBD"/>
    <w:rsid w:val="00471EC3"/>
    <w:rsid w:val="00471F0F"/>
    <w:rsid w:val="00471F69"/>
    <w:rsid w:val="00471FE0"/>
    <w:rsid w:val="00472096"/>
    <w:rsid w:val="004720A9"/>
    <w:rsid w:val="0047214A"/>
    <w:rsid w:val="0047284E"/>
    <w:rsid w:val="0047294F"/>
    <w:rsid w:val="00472999"/>
    <w:rsid w:val="0047317F"/>
    <w:rsid w:val="00473547"/>
    <w:rsid w:val="00473871"/>
    <w:rsid w:val="0047392E"/>
    <w:rsid w:val="00473AB9"/>
    <w:rsid w:val="00473BB2"/>
    <w:rsid w:val="00473E33"/>
    <w:rsid w:val="00473E9C"/>
    <w:rsid w:val="00474025"/>
    <w:rsid w:val="0047410A"/>
    <w:rsid w:val="00474327"/>
    <w:rsid w:val="00474375"/>
    <w:rsid w:val="0047447D"/>
    <w:rsid w:val="0047451B"/>
    <w:rsid w:val="0047468D"/>
    <w:rsid w:val="004746DD"/>
    <w:rsid w:val="004747F3"/>
    <w:rsid w:val="004747F5"/>
    <w:rsid w:val="00474B32"/>
    <w:rsid w:val="00474BBA"/>
    <w:rsid w:val="00474C00"/>
    <w:rsid w:val="00474D5F"/>
    <w:rsid w:val="00474D87"/>
    <w:rsid w:val="00474F9B"/>
    <w:rsid w:val="00475426"/>
    <w:rsid w:val="00475617"/>
    <w:rsid w:val="004756F5"/>
    <w:rsid w:val="0047593F"/>
    <w:rsid w:val="004759D3"/>
    <w:rsid w:val="004759F7"/>
    <w:rsid w:val="00475A74"/>
    <w:rsid w:val="00475ACA"/>
    <w:rsid w:val="00475AEF"/>
    <w:rsid w:val="00475BB8"/>
    <w:rsid w:val="00475BF1"/>
    <w:rsid w:val="00476436"/>
    <w:rsid w:val="00476479"/>
    <w:rsid w:val="00476664"/>
    <w:rsid w:val="004766CA"/>
    <w:rsid w:val="00476703"/>
    <w:rsid w:val="00476910"/>
    <w:rsid w:val="0047695F"/>
    <w:rsid w:val="00476AF1"/>
    <w:rsid w:val="00476EB8"/>
    <w:rsid w:val="004770FC"/>
    <w:rsid w:val="00477151"/>
    <w:rsid w:val="004775E3"/>
    <w:rsid w:val="00477B33"/>
    <w:rsid w:val="00477BB9"/>
    <w:rsid w:val="00477CB0"/>
    <w:rsid w:val="00477F93"/>
    <w:rsid w:val="00480107"/>
    <w:rsid w:val="004801DD"/>
    <w:rsid w:val="004803AE"/>
    <w:rsid w:val="004803C9"/>
    <w:rsid w:val="004809B4"/>
    <w:rsid w:val="00480F18"/>
    <w:rsid w:val="00480F55"/>
    <w:rsid w:val="004810D5"/>
    <w:rsid w:val="00481350"/>
    <w:rsid w:val="0048198C"/>
    <w:rsid w:val="00481B41"/>
    <w:rsid w:val="00481C56"/>
    <w:rsid w:val="00481CE5"/>
    <w:rsid w:val="004822B7"/>
    <w:rsid w:val="004822C5"/>
    <w:rsid w:val="004822DD"/>
    <w:rsid w:val="004827A6"/>
    <w:rsid w:val="00482F3B"/>
    <w:rsid w:val="00482FE2"/>
    <w:rsid w:val="0048326E"/>
    <w:rsid w:val="00483563"/>
    <w:rsid w:val="00483764"/>
    <w:rsid w:val="0048379E"/>
    <w:rsid w:val="004837E6"/>
    <w:rsid w:val="0048403A"/>
    <w:rsid w:val="00484105"/>
    <w:rsid w:val="00484204"/>
    <w:rsid w:val="00484698"/>
    <w:rsid w:val="00484B9B"/>
    <w:rsid w:val="00484FF8"/>
    <w:rsid w:val="004854DB"/>
    <w:rsid w:val="004855F6"/>
    <w:rsid w:val="0048577A"/>
    <w:rsid w:val="00485CF1"/>
    <w:rsid w:val="00485D43"/>
    <w:rsid w:val="00485D76"/>
    <w:rsid w:val="004864AD"/>
    <w:rsid w:val="004864DE"/>
    <w:rsid w:val="0048657A"/>
    <w:rsid w:val="004865F8"/>
    <w:rsid w:val="0048661E"/>
    <w:rsid w:val="0048662F"/>
    <w:rsid w:val="0048682F"/>
    <w:rsid w:val="00486B00"/>
    <w:rsid w:val="00486BDA"/>
    <w:rsid w:val="00487144"/>
    <w:rsid w:val="00487461"/>
    <w:rsid w:val="0048756F"/>
    <w:rsid w:val="00490096"/>
    <w:rsid w:val="0049065D"/>
    <w:rsid w:val="00490782"/>
    <w:rsid w:val="0049078C"/>
    <w:rsid w:val="004907C5"/>
    <w:rsid w:val="00490EAC"/>
    <w:rsid w:val="004911B5"/>
    <w:rsid w:val="004912F9"/>
    <w:rsid w:val="004912FA"/>
    <w:rsid w:val="004918DF"/>
    <w:rsid w:val="00491AB2"/>
    <w:rsid w:val="00492028"/>
    <w:rsid w:val="0049213C"/>
    <w:rsid w:val="004928DF"/>
    <w:rsid w:val="00492DD5"/>
    <w:rsid w:val="00492F11"/>
    <w:rsid w:val="0049390D"/>
    <w:rsid w:val="0049395E"/>
    <w:rsid w:val="00493AE5"/>
    <w:rsid w:val="00493AE8"/>
    <w:rsid w:val="0049439B"/>
    <w:rsid w:val="00494670"/>
    <w:rsid w:val="00494C61"/>
    <w:rsid w:val="00494CE1"/>
    <w:rsid w:val="00494D8A"/>
    <w:rsid w:val="00494F50"/>
    <w:rsid w:val="00495078"/>
    <w:rsid w:val="00495388"/>
    <w:rsid w:val="0049538A"/>
    <w:rsid w:val="00495633"/>
    <w:rsid w:val="00495698"/>
    <w:rsid w:val="004958C7"/>
    <w:rsid w:val="00495BB2"/>
    <w:rsid w:val="00495CA6"/>
    <w:rsid w:val="004968EA"/>
    <w:rsid w:val="004968F7"/>
    <w:rsid w:val="00496EA8"/>
    <w:rsid w:val="00496F60"/>
    <w:rsid w:val="00497703"/>
    <w:rsid w:val="00497AB5"/>
    <w:rsid w:val="00497CAC"/>
    <w:rsid w:val="00497D50"/>
    <w:rsid w:val="00497E4B"/>
    <w:rsid w:val="004A0590"/>
    <w:rsid w:val="004A05E3"/>
    <w:rsid w:val="004A068E"/>
    <w:rsid w:val="004A06CF"/>
    <w:rsid w:val="004A0743"/>
    <w:rsid w:val="004A09B6"/>
    <w:rsid w:val="004A0AEA"/>
    <w:rsid w:val="004A0F54"/>
    <w:rsid w:val="004A1006"/>
    <w:rsid w:val="004A102A"/>
    <w:rsid w:val="004A11AE"/>
    <w:rsid w:val="004A1252"/>
    <w:rsid w:val="004A14F2"/>
    <w:rsid w:val="004A1758"/>
    <w:rsid w:val="004A1953"/>
    <w:rsid w:val="004A1DCB"/>
    <w:rsid w:val="004A1E84"/>
    <w:rsid w:val="004A1FB9"/>
    <w:rsid w:val="004A227F"/>
    <w:rsid w:val="004A28CF"/>
    <w:rsid w:val="004A29D6"/>
    <w:rsid w:val="004A2A8E"/>
    <w:rsid w:val="004A3236"/>
    <w:rsid w:val="004A335B"/>
    <w:rsid w:val="004A3823"/>
    <w:rsid w:val="004A3ADD"/>
    <w:rsid w:val="004A3B5A"/>
    <w:rsid w:val="004A3B75"/>
    <w:rsid w:val="004A3CA3"/>
    <w:rsid w:val="004A4105"/>
    <w:rsid w:val="004A4185"/>
    <w:rsid w:val="004A41E5"/>
    <w:rsid w:val="004A4427"/>
    <w:rsid w:val="004A4489"/>
    <w:rsid w:val="004A467B"/>
    <w:rsid w:val="004A4803"/>
    <w:rsid w:val="004A4AD8"/>
    <w:rsid w:val="004A4B33"/>
    <w:rsid w:val="004A4CD6"/>
    <w:rsid w:val="004A4ED2"/>
    <w:rsid w:val="004A511D"/>
    <w:rsid w:val="004A5312"/>
    <w:rsid w:val="004A53FB"/>
    <w:rsid w:val="004A599D"/>
    <w:rsid w:val="004A5A2B"/>
    <w:rsid w:val="004A5E5C"/>
    <w:rsid w:val="004A5F72"/>
    <w:rsid w:val="004A6C98"/>
    <w:rsid w:val="004A6D7B"/>
    <w:rsid w:val="004A6E1C"/>
    <w:rsid w:val="004A6F02"/>
    <w:rsid w:val="004A739E"/>
    <w:rsid w:val="004A7554"/>
    <w:rsid w:val="004A75E3"/>
    <w:rsid w:val="004A78F8"/>
    <w:rsid w:val="004A7B9F"/>
    <w:rsid w:val="004A7CCD"/>
    <w:rsid w:val="004A7D54"/>
    <w:rsid w:val="004A7DD2"/>
    <w:rsid w:val="004B0335"/>
    <w:rsid w:val="004B04B9"/>
    <w:rsid w:val="004B0562"/>
    <w:rsid w:val="004B065F"/>
    <w:rsid w:val="004B06FC"/>
    <w:rsid w:val="004B0769"/>
    <w:rsid w:val="004B0874"/>
    <w:rsid w:val="004B10B8"/>
    <w:rsid w:val="004B13F9"/>
    <w:rsid w:val="004B17AD"/>
    <w:rsid w:val="004B190F"/>
    <w:rsid w:val="004B19B3"/>
    <w:rsid w:val="004B1C13"/>
    <w:rsid w:val="004B1D63"/>
    <w:rsid w:val="004B216B"/>
    <w:rsid w:val="004B23E7"/>
    <w:rsid w:val="004B24A3"/>
    <w:rsid w:val="004B2561"/>
    <w:rsid w:val="004B2626"/>
    <w:rsid w:val="004B271B"/>
    <w:rsid w:val="004B2B13"/>
    <w:rsid w:val="004B2CB6"/>
    <w:rsid w:val="004B2CF4"/>
    <w:rsid w:val="004B2D86"/>
    <w:rsid w:val="004B303D"/>
    <w:rsid w:val="004B3122"/>
    <w:rsid w:val="004B3538"/>
    <w:rsid w:val="004B3694"/>
    <w:rsid w:val="004B3702"/>
    <w:rsid w:val="004B37A1"/>
    <w:rsid w:val="004B3D03"/>
    <w:rsid w:val="004B3DF7"/>
    <w:rsid w:val="004B3F81"/>
    <w:rsid w:val="004B414E"/>
    <w:rsid w:val="004B41BD"/>
    <w:rsid w:val="004B478A"/>
    <w:rsid w:val="004B47CE"/>
    <w:rsid w:val="004B4845"/>
    <w:rsid w:val="004B4B50"/>
    <w:rsid w:val="004B4C02"/>
    <w:rsid w:val="004B4C0C"/>
    <w:rsid w:val="004B5039"/>
    <w:rsid w:val="004B5464"/>
    <w:rsid w:val="004B5602"/>
    <w:rsid w:val="004B5878"/>
    <w:rsid w:val="004B58D6"/>
    <w:rsid w:val="004B5DCC"/>
    <w:rsid w:val="004B5DE4"/>
    <w:rsid w:val="004B5F80"/>
    <w:rsid w:val="004B5FBE"/>
    <w:rsid w:val="004B60B1"/>
    <w:rsid w:val="004B60E5"/>
    <w:rsid w:val="004B60F5"/>
    <w:rsid w:val="004B632B"/>
    <w:rsid w:val="004B6C97"/>
    <w:rsid w:val="004B6F5E"/>
    <w:rsid w:val="004B703C"/>
    <w:rsid w:val="004B7476"/>
    <w:rsid w:val="004B7BF5"/>
    <w:rsid w:val="004B7DAE"/>
    <w:rsid w:val="004B7F3D"/>
    <w:rsid w:val="004C03AE"/>
    <w:rsid w:val="004C03BC"/>
    <w:rsid w:val="004C03BD"/>
    <w:rsid w:val="004C03E6"/>
    <w:rsid w:val="004C0B8F"/>
    <w:rsid w:val="004C0BF7"/>
    <w:rsid w:val="004C0C56"/>
    <w:rsid w:val="004C0CCD"/>
    <w:rsid w:val="004C0DEB"/>
    <w:rsid w:val="004C0E9B"/>
    <w:rsid w:val="004C0F98"/>
    <w:rsid w:val="004C0F9D"/>
    <w:rsid w:val="004C1029"/>
    <w:rsid w:val="004C1AE6"/>
    <w:rsid w:val="004C23D0"/>
    <w:rsid w:val="004C23DD"/>
    <w:rsid w:val="004C261C"/>
    <w:rsid w:val="004C26A8"/>
    <w:rsid w:val="004C277A"/>
    <w:rsid w:val="004C28AD"/>
    <w:rsid w:val="004C28EA"/>
    <w:rsid w:val="004C2AB3"/>
    <w:rsid w:val="004C2CC7"/>
    <w:rsid w:val="004C2DF3"/>
    <w:rsid w:val="004C3196"/>
    <w:rsid w:val="004C347D"/>
    <w:rsid w:val="004C3646"/>
    <w:rsid w:val="004C39B5"/>
    <w:rsid w:val="004C39F7"/>
    <w:rsid w:val="004C3A05"/>
    <w:rsid w:val="004C3B66"/>
    <w:rsid w:val="004C3C17"/>
    <w:rsid w:val="004C4638"/>
    <w:rsid w:val="004C4A32"/>
    <w:rsid w:val="004C4CB7"/>
    <w:rsid w:val="004C4D1B"/>
    <w:rsid w:val="004C4E74"/>
    <w:rsid w:val="004C5114"/>
    <w:rsid w:val="004C51B9"/>
    <w:rsid w:val="004C5592"/>
    <w:rsid w:val="004C59A0"/>
    <w:rsid w:val="004C5DA0"/>
    <w:rsid w:val="004C5F10"/>
    <w:rsid w:val="004C6007"/>
    <w:rsid w:val="004C6041"/>
    <w:rsid w:val="004C6245"/>
    <w:rsid w:val="004C62E2"/>
    <w:rsid w:val="004C63D8"/>
    <w:rsid w:val="004C64C5"/>
    <w:rsid w:val="004C67B2"/>
    <w:rsid w:val="004C67C3"/>
    <w:rsid w:val="004C79C0"/>
    <w:rsid w:val="004C7A72"/>
    <w:rsid w:val="004C7B21"/>
    <w:rsid w:val="004C7E0F"/>
    <w:rsid w:val="004C7F70"/>
    <w:rsid w:val="004C7FD1"/>
    <w:rsid w:val="004D042C"/>
    <w:rsid w:val="004D0557"/>
    <w:rsid w:val="004D05C6"/>
    <w:rsid w:val="004D1120"/>
    <w:rsid w:val="004D150F"/>
    <w:rsid w:val="004D1CEE"/>
    <w:rsid w:val="004D1D4C"/>
    <w:rsid w:val="004D1E76"/>
    <w:rsid w:val="004D202D"/>
    <w:rsid w:val="004D225C"/>
    <w:rsid w:val="004D254A"/>
    <w:rsid w:val="004D2684"/>
    <w:rsid w:val="004D26AC"/>
    <w:rsid w:val="004D2828"/>
    <w:rsid w:val="004D2912"/>
    <w:rsid w:val="004D2A7F"/>
    <w:rsid w:val="004D2CDB"/>
    <w:rsid w:val="004D2F33"/>
    <w:rsid w:val="004D3365"/>
    <w:rsid w:val="004D340E"/>
    <w:rsid w:val="004D36FF"/>
    <w:rsid w:val="004D3A82"/>
    <w:rsid w:val="004D3DAC"/>
    <w:rsid w:val="004D40C6"/>
    <w:rsid w:val="004D44DF"/>
    <w:rsid w:val="004D470D"/>
    <w:rsid w:val="004D491A"/>
    <w:rsid w:val="004D4962"/>
    <w:rsid w:val="004D4D2C"/>
    <w:rsid w:val="004D5732"/>
    <w:rsid w:val="004D5A46"/>
    <w:rsid w:val="004D5F57"/>
    <w:rsid w:val="004D633F"/>
    <w:rsid w:val="004D67C9"/>
    <w:rsid w:val="004D6837"/>
    <w:rsid w:val="004D68EF"/>
    <w:rsid w:val="004D6C42"/>
    <w:rsid w:val="004D6F22"/>
    <w:rsid w:val="004D7243"/>
    <w:rsid w:val="004D7412"/>
    <w:rsid w:val="004D7908"/>
    <w:rsid w:val="004D7A21"/>
    <w:rsid w:val="004D7E52"/>
    <w:rsid w:val="004E05A9"/>
    <w:rsid w:val="004E0711"/>
    <w:rsid w:val="004E0747"/>
    <w:rsid w:val="004E0AAA"/>
    <w:rsid w:val="004E0DC6"/>
    <w:rsid w:val="004E0DCC"/>
    <w:rsid w:val="004E0E89"/>
    <w:rsid w:val="004E107D"/>
    <w:rsid w:val="004E1137"/>
    <w:rsid w:val="004E13CC"/>
    <w:rsid w:val="004E18CF"/>
    <w:rsid w:val="004E1CA1"/>
    <w:rsid w:val="004E1F0B"/>
    <w:rsid w:val="004E2040"/>
    <w:rsid w:val="004E2337"/>
    <w:rsid w:val="004E23A8"/>
    <w:rsid w:val="004E25E9"/>
    <w:rsid w:val="004E2678"/>
    <w:rsid w:val="004E28CE"/>
    <w:rsid w:val="004E2935"/>
    <w:rsid w:val="004E31DC"/>
    <w:rsid w:val="004E33FF"/>
    <w:rsid w:val="004E3623"/>
    <w:rsid w:val="004E39AD"/>
    <w:rsid w:val="004E3CB4"/>
    <w:rsid w:val="004E3ED2"/>
    <w:rsid w:val="004E4060"/>
    <w:rsid w:val="004E40EF"/>
    <w:rsid w:val="004E449D"/>
    <w:rsid w:val="004E49E4"/>
    <w:rsid w:val="004E4BD0"/>
    <w:rsid w:val="004E4F25"/>
    <w:rsid w:val="004E5000"/>
    <w:rsid w:val="004E51D4"/>
    <w:rsid w:val="004E51E3"/>
    <w:rsid w:val="004E54CA"/>
    <w:rsid w:val="004E5861"/>
    <w:rsid w:val="004E5869"/>
    <w:rsid w:val="004E5A1D"/>
    <w:rsid w:val="004E5ACF"/>
    <w:rsid w:val="004E5EDA"/>
    <w:rsid w:val="004E6009"/>
    <w:rsid w:val="004E6232"/>
    <w:rsid w:val="004E66F8"/>
    <w:rsid w:val="004E6727"/>
    <w:rsid w:val="004E67ED"/>
    <w:rsid w:val="004E6879"/>
    <w:rsid w:val="004E6946"/>
    <w:rsid w:val="004E6A03"/>
    <w:rsid w:val="004E6D3A"/>
    <w:rsid w:val="004E6F94"/>
    <w:rsid w:val="004E7016"/>
    <w:rsid w:val="004E7457"/>
    <w:rsid w:val="004E7474"/>
    <w:rsid w:val="004E758B"/>
    <w:rsid w:val="004E771B"/>
    <w:rsid w:val="004E7840"/>
    <w:rsid w:val="004E7EB4"/>
    <w:rsid w:val="004F00B1"/>
    <w:rsid w:val="004F02ED"/>
    <w:rsid w:val="004F038E"/>
    <w:rsid w:val="004F0537"/>
    <w:rsid w:val="004F0650"/>
    <w:rsid w:val="004F0907"/>
    <w:rsid w:val="004F09E5"/>
    <w:rsid w:val="004F0D07"/>
    <w:rsid w:val="004F1106"/>
    <w:rsid w:val="004F1AD8"/>
    <w:rsid w:val="004F1D18"/>
    <w:rsid w:val="004F1DB6"/>
    <w:rsid w:val="004F1F5A"/>
    <w:rsid w:val="004F1FBC"/>
    <w:rsid w:val="004F2178"/>
    <w:rsid w:val="004F2297"/>
    <w:rsid w:val="004F2351"/>
    <w:rsid w:val="004F236B"/>
    <w:rsid w:val="004F2A85"/>
    <w:rsid w:val="004F2B59"/>
    <w:rsid w:val="004F2C2D"/>
    <w:rsid w:val="004F2C97"/>
    <w:rsid w:val="004F2E92"/>
    <w:rsid w:val="004F31A0"/>
    <w:rsid w:val="004F32DB"/>
    <w:rsid w:val="004F3A01"/>
    <w:rsid w:val="004F3A06"/>
    <w:rsid w:val="004F3B63"/>
    <w:rsid w:val="004F3C62"/>
    <w:rsid w:val="004F3CB2"/>
    <w:rsid w:val="004F3D05"/>
    <w:rsid w:val="004F3D63"/>
    <w:rsid w:val="004F437F"/>
    <w:rsid w:val="004F47EA"/>
    <w:rsid w:val="004F4A68"/>
    <w:rsid w:val="004F4A92"/>
    <w:rsid w:val="004F4AFD"/>
    <w:rsid w:val="004F4BBF"/>
    <w:rsid w:val="004F4BDF"/>
    <w:rsid w:val="004F4C99"/>
    <w:rsid w:val="004F4E6A"/>
    <w:rsid w:val="004F51ED"/>
    <w:rsid w:val="004F5237"/>
    <w:rsid w:val="004F53FD"/>
    <w:rsid w:val="004F551A"/>
    <w:rsid w:val="004F5548"/>
    <w:rsid w:val="004F55A4"/>
    <w:rsid w:val="004F58AD"/>
    <w:rsid w:val="004F5949"/>
    <w:rsid w:val="004F59DE"/>
    <w:rsid w:val="004F5C26"/>
    <w:rsid w:val="004F5E21"/>
    <w:rsid w:val="004F5EFB"/>
    <w:rsid w:val="004F5F79"/>
    <w:rsid w:val="004F60E4"/>
    <w:rsid w:val="004F627D"/>
    <w:rsid w:val="004F62E2"/>
    <w:rsid w:val="004F69AA"/>
    <w:rsid w:val="004F6AA7"/>
    <w:rsid w:val="004F6AD1"/>
    <w:rsid w:val="004F6B88"/>
    <w:rsid w:val="004F71A0"/>
    <w:rsid w:val="004F730D"/>
    <w:rsid w:val="004F785C"/>
    <w:rsid w:val="004F7878"/>
    <w:rsid w:val="004F7912"/>
    <w:rsid w:val="004F7D66"/>
    <w:rsid w:val="004F7F5F"/>
    <w:rsid w:val="00500084"/>
    <w:rsid w:val="00500121"/>
    <w:rsid w:val="0050021B"/>
    <w:rsid w:val="005004F2"/>
    <w:rsid w:val="00500645"/>
    <w:rsid w:val="0050096A"/>
    <w:rsid w:val="00500C2A"/>
    <w:rsid w:val="00500D9C"/>
    <w:rsid w:val="00500E03"/>
    <w:rsid w:val="00501163"/>
    <w:rsid w:val="00501479"/>
    <w:rsid w:val="005014E8"/>
    <w:rsid w:val="005016EA"/>
    <w:rsid w:val="005016F3"/>
    <w:rsid w:val="00501730"/>
    <w:rsid w:val="00501731"/>
    <w:rsid w:val="00501D02"/>
    <w:rsid w:val="00501D6B"/>
    <w:rsid w:val="00502069"/>
    <w:rsid w:val="005020D8"/>
    <w:rsid w:val="005024E0"/>
    <w:rsid w:val="00502D16"/>
    <w:rsid w:val="0050300A"/>
    <w:rsid w:val="0050371F"/>
    <w:rsid w:val="005039CB"/>
    <w:rsid w:val="00503F95"/>
    <w:rsid w:val="005042C7"/>
    <w:rsid w:val="005043F5"/>
    <w:rsid w:val="0050506F"/>
    <w:rsid w:val="005054D5"/>
    <w:rsid w:val="0050558F"/>
    <w:rsid w:val="0050562D"/>
    <w:rsid w:val="00505947"/>
    <w:rsid w:val="005059C3"/>
    <w:rsid w:val="00505DC4"/>
    <w:rsid w:val="00505F1E"/>
    <w:rsid w:val="00505F86"/>
    <w:rsid w:val="00506286"/>
    <w:rsid w:val="005065C3"/>
    <w:rsid w:val="00506666"/>
    <w:rsid w:val="005067D0"/>
    <w:rsid w:val="00506E1B"/>
    <w:rsid w:val="005071F3"/>
    <w:rsid w:val="00507203"/>
    <w:rsid w:val="0050766E"/>
    <w:rsid w:val="00507684"/>
    <w:rsid w:val="00507743"/>
    <w:rsid w:val="00507776"/>
    <w:rsid w:val="00507906"/>
    <w:rsid w:val="00507A75"/>
    <w:rsid w:val="00507E24"/>
    <w:rsid w:val="00510005"/>
    <w:rsid w:val="005101F6"/>
    <w:rsid w:val="00510424"/>
    <w:rsid w:val="0051044C"/>
    <w:rsid w:val="005105DE"/>
    <w:rsid w:val="00510743"/>
    <w:rsid w:val="00510813"/>
    <w:rsid w:val="00510830"/>
    <w:rsid w:val="005108FC"/>
    <w:rsid w:val="00510AA4"/>
    <w:rsid w:val="00510E26"/>
    <w:rsid w:val="00510FC6"/>
    <w:rsid w:val="00511947"/>
    <w:rsid w:val="00511990"/>
    <w:rsid w:val="00511DE0"/>
    <w:rsid w:val="00511EE6"/>
    <w:rsid w:val="0051222C"/>
    <w:rsid w:val="00512401"/>
    <w:rsid w:val="00512570"/>
    <w:rsid w:val="005125DD"/>
    <w:rsid w:val="00512DA3"/>
    <w:rsid w:val="00512EEA"/>
    <w:rsid w:val="005131A7"/>
    <w:rsid w:val="0051330F"/>
    <w:rsid w:val="005133C6"/>
    <w:rsid w:val="00513A2A"/>
    <w:rsid w:val="00513BC0"/>
    <w:rsid w:val="00514012"/>
    <w:rsid w:val="00514166"/>
    <w:rsid w:val="00514328"/>
    <w:rsid w:val="00514544"/>
    <w:rsid w:val="0051467F"/>
    <w:rsid w:val="005146B7"/>
    <w:rsid w:val="005146E3"/>
    <w:rsid w:val="00514870"/>
    <w:rsid w:val="00514B9B"/>
    <w:rsid w:val="00514C6D"/>
    <w:rsid w:val="00514D61"/>
    <w:rsid w:val="005150AB"/>
    <w:rsid w:val="00515446"/>
    <w:rsid w:val="00515795"/>
    <w:rsid w:val="0051589C"/>
    <w:rsid w:val="005159B4"/>
    <w:rsid w:val="00515B48"/>
    <w:rsid w:val="00515BBA"/>
    <w:rsid w:val="00515F9C"/>
    <w:rsid w:val="0051619D"/>
    <w:rsid w:val="0051626F"/>
    <w:rsid w:val="00516381"/>
    <w:rsid w:val="0051675B"/>
    <w:rsid w:val="0051677C"/>
    <w:rsid w:val="00516807"/>
    <w:rsid w:val="00516C7B"/>
    <w:rsid w:val="00516E53"/>
    <w:rsid w:val="00517544"/>
    <w:rsid w:val="005176CF"/>
    <w:rsid w:val="0051770E"/>
    <w:rsid w:val="005178E8"/>
    <w:rsid w:val="00517C69"/>
    <w:rsid w:val="00517F02"/>
    <w:rsid w:val="00520753"/>
    <w:rsid w:val="00520A3E"/>
    <w:rsid w:val="00520E46"/>
    <w:rsid w:val="005211B0"/>
    <w:rsid w:val="00521353"/>
    <w:rsid w:val="005216AE"/>
    <w:rsid w:val="00521A78"/>
    <w:rsid w:val="00521C00"/>
    <w:rsid w:val="00521E37"/>
    <w:rsid w:val="00522144"/>
    <w:rsid w:val="00522526"/>
    <w:rsid w:val="00522A22"/>
    <w:rsid w:val="00522A3C"/>
    <w:rsid w:val="00522D67"/>
    <w:rsid w:val="00522DC0"/>
    <w:rsid w:val="00523661"/>
    <w:rsid w:val="00523A86"/>
    <w:rsid w:val="00523E09"/>
    <w:rsid w:val="00523E1B"/>
    <w:rsid w:val="00524155"/>
    <w:rsid w:val="00524303"/>
    <w:rsid w:val="0052430F"/>
    <w:rsid w:val="0052445B"/>
    <w:rsid w:val="00524C6D"/>
    <w:rsid w:val="005251CD"/>
    <w:rsid w:val="0052578B"/>
    <w:rsid w:val="005258A2"/>
    <w:rsid w:val="00525A5E"/>
    <w:rsid w:val="00525C78"/>
    <w:rsid w:val="00525D16"/>
    <w:rsid w:val="005261FB"/>
    <w:rsid w:val="00526553"/>
    <w:rsid w:val="005266FC"/>
    <w:rsid w:val="005268E5"/>
    <w:rsid w:val="005269E5"/>
    <w:rsid w:val="00526F68"/>
    <w:rsid w:val="00527410"/>
    <w:rsid w:val="0052770B"/>
    <w:rsid w:val="00527841"/>
    <w:rsid w:val="00530065"/>
    <w:rsid w:val="005301CC"/>
    <w:rsid w:val="00530EC9"/>
    <w:rsid w:val="00530FC0"/>
    <w:rsid w:val="00531000"/>
    <w:rsid w:val="005312BB"/>
    <w:rsid w:val="00531377"/>
    <w:rsid w:val="005318C2"/>
    <w:rsid w:val="00531A74"/>
    <w:rsid w:val="00531BD7"/>
    <w:rsid w:val="00531E30"/>
    <w:rsid w:val="00532437"/>
    <w:rsid w:val="00532490"/>
    <w:rsid w:val="005326F8"/>
    <w:rsid w:val="005329A8"/>
    <w:rsid w:val="0053306F"/>
    <w:rsid w:val="00533133"/>
    <w:rsid w:val="00533361"/>
    <w:rsid w:val="00533798"/>
    <w:rsid w:val="005337FF"/>
    <w:rsid w:val="00533874"/>
    <w:rsid w:val="005339A8"/>
    <w:rsid w:val="00533B13"/>
    <w:rsid w:val="00533DC9"/>
    <w:rsid w:val="00533DE3"/>
    <w:rsid w:val="00533DE5"/>
    <w:rsid w:val="00534066"/>
    <w:rsid w:val="0053414C"/>
    <w:rsid w:val="0053453B"/>
    <w:rsid w:val="005348FD"/>
    <w:rsid w:val="00534D86"/>
    <w:rsid w:val="00534DAE"/>
    <w:rsid w:val="00535600"/>
    <w:rsid w:val="00535733"/>
    <w:rsid w:val="00535A33"/>
    <w:rsid w:val="00535E4B"/>
    <w:rsid w:val="00535FE1"/>
    <w:rsid w:val="0053610E"/>
    <w:rsid w:val="0053630C"/>
    <w:rsid w:val="00536449"/>
    <w:rsid w:val="0053661E"/>
    <w:rsid w:val="005369C2"/>
    <w:rsid w:val="00536D2B"/>
    <w:rsid w:val="00536DD2"/>
    <w:rsid w:val="005375B5"/>
    <w:rsid w:val="00537668"/>
    <w:rsid w:val="005377D5"/>
    <w:rsid w:val="00537F77"/>
    <w:rsid w:val="005401AE"/>
    <w:rsid w:val="00540296"/>
    <w:rsid w:val="00540489"/>
    <w:rsid w:val="00540557"/>
    <w:rsid w:val="005408E8"/>
    <w:rsid w:val="00540AE3"/>
    <w:rsid w:val="00540B82"/>
    <w:rsid w:val="00540C86"/>
    <w:rsid w:val="00540FF5"/>
    <w:rsid w:val="0054117D"/>
    <w:rsid w:val="00541208"/>
    <w:rsid w:val="0054127D"/>
    <w:rsid w:val="00541463"/>
    <w:rsid w:val="005414DD"/>
    <w:rsid w:val="00541BA7"/>
    <w:rsid w:val="00541F3E"/>
    <w:rsid w:val="00541F98"/>
    <w:rsid w:val="00542179"/>
    <w:rsid w:val="005423A1"/>
    <w:rsid w:val="00542415"/>
    <w:rsid w:val="00542447"/>
    <w:rsid w:val="00542573"/>
    <w:rsid w:val="005425C6"/>
    <w:rsid w:val="0054276F"/>
    <w:rsid w:val="00542A28"/>
    <w:rsid w:val="00542CA5"/>
    <w:rsid w:val="00542E07"/>
    <w:rsid w:val="00542E42"/>
    <w:rsid w:val="0054308C"/>
    <w:rsid w:val="005431A6"/>
    <w:rsid w:val="0054343A"/>
    <w:rsid w:val="005435E4"/>
    <w:rsid w:val="00543ED9"/>
    <w:rsid w:val="00544082"/>
    <w:rsid w:val="0054421C"/>
    <w:rsid w:val="005446D6"/>
    <w:rsid w:val="005446F5"/>
    <w:rsid w:val="00544704"/>
    <w:rsid w:val="00544978"/>
    <w:rsid w:val="00544985"/>
    <w:rsid w:val="00544B77"/>
    <w:rsid w:val="00544B9D"/>
    <w:rsid w:val="00544DFB"/>
    <w:rsid w:val="00545424"/>
    <w:rsid w:val="005454A8"/>
    <w:rsid w:val="00545B85"/>
    <w:rsid w:val="00545FAD"/>
    <w:rsid w:val="005460A6"/>
    <w:rsid w:val="005460BD"/>
    <w:rsid w:val="005462D5"/>
    <w:rsid w:val="00546A78"/>
    <w:rsid w:val="00546BA4"/>
    <w:rsid w:val="00546DB2"/>
    <w:rsid w:val="00546DB7"/>
    <w:rsid w:val="005470D7"/>
    <w:rsid w:val="005472C8"/>
    <w:rsid w:val="0054730C"/>
    <w:rsid w:val="005473C8"/>
    <w:rsid w:val="005474C6"/>
    <w:rsid w:val="005477F0"/>
    <w:rsid w:val="00547B87"/>
    <w:rsid w:val="00547E98"/>
    <w:rsid w:val="00547FE9"/>
    <w:rsid w:val="0055046C"/>
    <w:rsid w:val="005508B8"/>
    <w:rsid w:val="0055094B"/>
    <w:rsid w:val="00550B27"/>
    <w:rsid w:val="00550BEA"/>
    <w:rsid w:val="00550D1A"/>
    <w:rsid w:val="00550E8D"/>
    <w:rsid w:val="00551022"/>
    <w:rsid w:val="00551153"/>
    <w:rsid w:val="00551834"/>
    <w:rsid w:val="005518B5"/>
    <w:rsid w:val="00551B04"/>
    <w:rsid w:val="00551D97"/>
    <w:rsid w:val="00552092"/>
    <w:rsid w:val="005521D4"/>
    <w:rsid w:val="0055241A"/>
    <w:rsid w:val="00552943"/>
    <w:rsid w:val="00552BD8"/>
    <w:rsid w:val="00552BF4"/>
    <w:rsid w:val="00552C45"/>
    <w:rsid w:val="00552E88"/>
    <w:rsid w:val="00552F02"/>
    <w:rsid w:val="00553004"/>
    <w:rsid w:val="00553185"/>
    <w:rsid w:val="00553491"/>
    <w:rsid w:val="00553680"/>
    <w:rsid w:val="00553877"/>
    <w:rsid w:val="00553A4A"/>
    <w:rsid w:val="00553B40"/>
    <w:rsid w:val="00554365"/>
    <w:rsid w:val="005543EB"/>
    <w:rsid w:val="00554482"/>
    <w:rsid w:val="00554A7B"/>
    <w:rsid w:val="00554C48"/>
    <w:rsid w:val="00554D65"/>
    <w:rsid w:val="0055521D"/>
    <w:rsid w:val="0055572C"/>
    <w:rsid w:val="00555871"/>
    <w:rsid w:val="00555A88"/>
    <w:rsid w:val="00555E8C"/>
    <w:rsid w:val="0055618E"/>
    <w:rsid w:val="005562C6"/>
    <w:rsid w:val="0055680A"/>
    <w:rsid w:val="00556860"/>
    <w:rsid w:val="00556A90"/>
    <w:rsid w:val="00556AF5"/>
    <w:rsid w:val="00556D81"/>
    <w:rsid w:val="0055730A"/>
    <w:rsid w:val="005573D0"/>
    <w:rsid w:val="0055748A"/>
    <w:rsid w:val="00557740"/>
    <w:rsid w:val="00557847"/>
    <w:rsid w:val="00557A22"/>
    <w:rsid w:val="00557C73"/>
    <w:rsid w:val="0056044A"/>
    <w:rsid w:val="00560D8F"/>
    <w:rsid w:val="00560F16"/>
    <w:rsid w:val="00561055"/>
    <w:rsid w:val="00561059"/>
    <w:rsid w:val="0056106A"/>
    <w:rsid w:val="0056144C"/>
    <w:rsid w:val="005614D9"/>
    <w:rsid w:val="00561539"/>
    <w:rsid w:val="0056176B"/>
    <w:rsid w:val="005619A5"/>
    <w:rsid w:val="00561C71"/>
    <w:rsid w:val="00561C96"/>
    <w:rsid w:val="005620D3"/>
    <w:rsid w:val="00562161"/>
    <w:rsid w:val="005624A6"/>
    <w:rsid w:val="00562692"/>
    <w:rsid w:val="0056273C"/>
    <w:rsid w:val="00562D15"/>
    <w:rsid w:val="00562D94"/>
    <w:rsid w:val="0056314A"/>
    <w:rsid w:val="00563577"/>
    <w:rsid w:val="00563655"/>
    <w:rsid w:val="005638F7"/>
    <w:rsid w:val="00563E9E"/>
    <w:rsid w:val="005640B7"/>
    <w:rsid w:val="005642B7"/>
    <w:rsid w:val="0056431E"/>
    <w:rsid w:val="00564650"/>
    <w:rsid w:val="00564CD8"/>
    <w:rsid w:val="00564F58"/>
    <w:rsid w:val="0056515F"/>
    <w:rsid w:val="0056551C"/>
    <w:rsid w:val="00565847"/>
    <w:rsid w:val="00565A1E"/>
    <w:rsid w:val="00565C2A"/>
    <w:rsid w:val="00565C7E"/>
    <w:rsid w:val="00565F23"/>
    <w:rsid w:val="0056611D"/>
    <w:rsid w:val="005661D5"/>
    <w:rsid w:val="005663E7"/>
    <w:rsid w:val="005664AE"/>
    <w:rsid w:val="0056674E"/>
    <w:rsid w:val="00566F77"/>
    <w:rsid w:val="00566FAD"/>
    <w:rsid w:val="00567455"/>
    <w:rsid w:val="0056771C"/>
    <w:rsid w:val="00567750"/>
    <w:rsid w:val="0056782B"/>
    <w:rsid w:val="00567CD0"/>
    <w:rsid w:val="00567DCF"/>
    <w:rsid w:val="00567EC7"/>
    <w:rsid w:val="005700E6"/>
    <w:rsid w:val="005703A9"/>
    <w:rsid w:val="005708CF"/>
    <w:rsid w:val="005708ED"/>
    <w:rsid w:val="00570950"/>
    <w:rsid w:val="00570CFD"/>
    <w:rsid w:val="00570D8F"/>
    <w:rsid w:val="00570FE4"/>
    <w:rsid w:val="00571267"/>
    <w:rsid w:val="0057145E"/>
    <w:rsid w:val="00571576"/>
    <w:rsid w:val="00571579"/>
    <w:rsid w:val="00571798"/>
    <w:rsid w:val="00571988"/>
    <w:rsid w:val="00571C13"/>
    <w:rsid w:val="00571D70"/>
    <w:rsid w:val="00571F39"/>
    <w:rsid w:val="005720AE"/>
    <w:rsid w:val="00572135"/>
    <w:rsid w:val="00572212"/>
    <w:rsid w:val="0057277E"/>
    <w:rsid w:val="00572ABB"/>
    <w:rsid w:val="00572CF2"/>
    <w:rsid w:val="005730EB"/>
    <w:rsid w:val="005732B3"/>
    <w:rsid w:val="00573A30"/>
    <w:rsid w:val="00573D70"/>
    <w:rsid w:val="00573DBD"/>
    <w:rsid w:val="00573E40"/>
    <w:rsid w:val="005744AC"/>
    <w:rsid w:val="00574B2E"/>
    <w:rsid w:val="00574C85"/>
    <w:rsid w:val="005750D9"/>
    <w:rsid w:val="00575347"/>
    <w:rsid w:val="0057545F"/>
    <w:rsid w:val="00575699"/>
    <w:rsid w:val="00575701"/>
    <w:rsid w:val="005758D5"/>
    <w:rsid w:val="00575B03"/>
    <w:rsid w:val="005762FE"/>
    <w:rsid w:val="00576710"/>
    <w:rsid w:val="00576F06"/>
    <w:rsid w:val="00576F62"/>
    <w:rsid w:val="00577232"/>
    <w:rsid w:val="00577241"/>
    <w:rsid w:val="00577284"/>
    <w:rsid w:val="00577764"/>
    <w:rsid w:val="00577ADE"/>
    <w:rsid w:val="00580079"/>
    <w:rsid w:val="00580137"/>
    <w:rsid w:val="00580189"/>
    <w:rsid w:val="0058028C"/>
    <w:rsid w:val="005802B0"/>
    <w:rsid w:val="00580489"/>
    <w:rsid w:val="00580789"/>
    <w:rsid w:val="00580941"/>
    <w:rsid w:val="00580A22"/>
    <w:rsid w:val="00580BFF"/>
    <w:rsid w:val="00581146"/>
    <w:rsid w:val="00581415"/>
    <w:rsid w:val="0058154C"/>
    <w:rsid w:val="00581B2D"/>
    <w:rsid w:val="00581C2B"/>
    <w:rsid w:val="00582124"/>
    <w:rsid w:val="00582272"/>
    <w:rsid w:val="00582776"/>
    <w:rsid w:val="00582AC4"/>
    <w:rsid w:val="005831BC"/>
    <w:rsid w:val="00583791"/>
    <w:rsid w:val="00583984"/>
    <w:rsid w:val="00583B47"/>
    <w:rsid w:val="00583B77"/>
    <w:rsid w:val="00583D30"/>
    <w:rsid w:val="00583F81"/>
    <w:rsid w:val="0058425A"/>
    <w:rsid w:val="00584634"/>
    <w:rsid w:val="00584670"/>
    <w:rsid w:val="00584681"/>
    <w:rsid w:val="00584704"/>
    <w:rsid w:val="005847B7"/>
    <w:rsid w:val="00584A7B"/>
    <w:rsid w:val="00584B58"/>
    <w:rsid w:val="005852F0"/>
    <w:rsid w:val="00585502"/>
    <w:rsid w:val="00585B86"/>
    <w:rsid w:val="00585D2A"/>
    <w:rsid w:val="00585D8B"/>
    <w:rsid w:val="00586050"/>
    <w:rsid w:val="005864BB"/>
    <w:rsid w:val="005865B2"/>
    <w:rsid w:val="0058664B"/>
    <w:rsid w:val="005867A4"/>
    <w:rsid w:val="005867CD"/>
    <w:rsid w:val="00586892"/>
    <w:rsid w:val="00586F1C"/>
    <w:rsid w:val="0058705A"/>
    <w:rsid w:val="005870BC"/>
    <w:rsid w:val="0058713C"/>
    <w:rsid w:val="0058732C"/>
    <w:rsid w:val="005873CF"/>
    <w:rsid w:val="00587B33"/>
    <w:rsid w:val="00587C7A"/>
    <w:rsid w:val="005903DD"/>
    <w:rsid w:val="005907E5"/>
    <w:rsid w:val="005908FE"/>
    <w:rsid w:val="00590A60"/>
    <w:rsid w:val="00590A82"/>
    <w:rsid w:val="00591083"/>
    <w:rsid w:val="00591251"/>
    <w:rsid w:val="0059137F"/>
    <w:rsid w:val="00591750"/>
    <w:rsid w:val="005918AE"/>
    <w:rsid w:val="005919DE"/>
    <w:rsid w:val="00591CF1"/>
    <w:rsid w:val="00591FBF"/>
    <w:rsid w:val="00592115"/>
    <w:rsid w:val="0059212E"/>
    <w:rsid w:val="005921A1"/>
    <w:rsid w:val="0059276B"/>
    <w:rsid w:val="005927A2"/>
    <w:rsid w:val="005932C3"/>
    <w:rsid w:val="005932F5"/>
    <w:rsid w:val="00593478"/>
    <w:rsid w:val="00593681"/>
    <w:rsid w:val="0059368E"/>
    <w:rsid w:val="00593828"/>
    <w:rsid w:val="0059383E"/>
    <w:rsid w:val="005938A5"/>
    <w:rsid w:val="00593901"/>
    <w:rsid w:val="00593981"/>
    <w:rsid w:val="00593AE8"/>
    <w:rsid w:val="00593B34"/>
    <w:rsid w:val="00593CB7"/>
    <w:rsid w:val="005940A8"/>
    <w:rsid w:val="005940EC"/>
    <w:rsid w:val="005941F4"/>
    <w:rsid w:val="00594447"/>
    <w:rsid w:val="00594826"/>
    <w:rsid w:val="00594D77"/>
    <w:rsid w:val="00595155"/>
    <w:rsid w:val="00595426"/>
    <w:rsid w:val="00595C0F"/>
    <w:rsid w:val="005969E4"/>
    <w:rsid w:val="00596CB1"/>
    <w:rsid w:val="00596D96"/>
    <w:rsid w:val="00596DD7"/>
    <w:rsid w:val="00596EDC"/>
    <w:rsid w:val="00597471"/>
    <w:rsid w:val="005975E4"/>
    <w:rsid w:val="005976F9"/>
    <w:rsid w:val="0059778C"/>
    <w:rsid w:val="005977D3"/>
    <w:rsid w:val="00597855"/>
    <w:rsid w:val="00597958"/>
    <w:rsid w:val="00597EB7"/>
    <w:rsid w:val="00597F15"/>
    <w:rsid w:val="00597F44"/>
    <w:rsid w:val="00597F7C"/>
    <w:rsid w:val="005A004F"/>
    <w:rsid w:val="005A06B7"/>
    <w:rsid w:val="005A0EC1"/>
    <w:rsid w:val="005A0FC8"/>
    <w:rsid w:val="005A0FCC"/>
    <w:rsid w:val="005A1438"/>
    <w:rsid w:val="005A1759"/>
    <w:rsid w:val="005A1889"/>
    <w:rsid w:val="005A2757"/>
    <w:rsid w:val="005A29D1"/>
    <w:rsid w:val="005A31D5"/>
    <w:rsid w:val="005A3409"/>
    <w:rsid w:val="005A3580"/>
    <w:rsid w:val="005A3EC4"/>
    <w:rsid w:val="005A3F5F"/>
    <w:rsid w:val="005A40EC"/>
    <w:rsid w:val="005A43ED"/>
    <w:rsid w:val="005A4587"/>
    <w:rsid w:val="005A4616"/>
    <w:rsid w:val="005A480D"/>
    <w:rsid w:val="005A4AB4"/>
    <w:rsid w:val="005A4BD4"/>
    <w:rsid w:val="005A4D74"/>
    <w:rsid w:val="005A4ECC"/>
    <w:rsid w:val="005A50EC"/>
    <w:rsid w:val="005A516A"/>
    <w:rsid w:val="005A5365"/>
    <w:rsid w:val="005A54D5"/>
    <w:rsid w:val="005A562E"/>
    <w:rsid w:val="005A5873"/>
    <w:rsid w:val="005A5E30"/>
    <w:rsid w:val="005A5F45"/>
    <w:rsid w:val="005A6328"/>
    <w:rsid w:val="005A64BB"/>
    <w:rsid w:val="005A659A"/>
    <w:rsid w:val="005A6620"/>
    <w:rsid w:val="005A680A"/>
    <w:rsid w:val="005A68A7"/>
    <w:rsid w:val="005A697D"/>
    <w:rsid w:val="005A6AB3"/>
    <w:rsid w:val="005A6C3D"/>
    <w:rsid w:val="005A6C41"/>
    <w:rsid w:val="005A6D24"/>
    <w:rsid w:val="005A6DA9"/>
    <w:rsid w:val="005A6E01"/>
    <w:rsid w:val="005A6EF3"/>
    <w:rsid w:val="005A6FC1"/>
    <w:rsid w:val="005A6FCB"/>
    <w:rsid w:val="005A73B0"/>
    <w:rsid w:val="005A75BD"/>
    <w:rsid w:val="005A7C7A"/>
    <w:rsid w:val="005A7FA5"/>
    <w:rsid w:val="005B0060"/>
    <w:rsid w:val="005B02EF"/>
    <w:rsid w:val="005B089D"/>
    <w:rsid w:val="005B090B"/>
    <w:rsid w:val="005B0A0F"/>
    <w:rsid w:val="005B0E19"/>
    <w:rsid w:val="005B0E47"/>
    <w:rsid w:val="005B11D3"/>
    <w:rsid w:val="005B1551"/>
    <w:rsid w:val="005B1668"/>
    <w:rsid w:val="005B185B"/>
    <w:rsid w:val="005B1935"/>
    <w:rsid w:val="005B1E17"/>
    <w:rsid w:val="005B26C6"/>
    <w:rsid w:val="005B2800"/>
    <w:rsid w:val="005B2A8D"/>
    <w:rsid w:val="005B2C1D"/>
    <w:rsid w:val="005B2E2F"/>
    <w:rsid w:val="005B2F18"/>
    <w:rsid w:val="005B31B5"/>
    <w:rsid w:val="005B335F"/>
    <w:rsid w:val="005B395C"/>
    <w:rsid w:val="005B39A8"/>
    <w:rsid w:val="005B39CE"/>
    <w:rsid w:val="005B3AF2"/>
    <w:rsid w:val="005B3BA2"/>
    <w:rsid w:val="005B3CA2"/>
    <w:rsid w:val="005B3D50"/>
    <w:rsid w:val="005B3EB5"/>
    <w:rsid w:val="005B3ECA"/>
    <w:rsid w:val="005B4204"/>
    <w:rsid w:val="005B4396"/>
    <w:rsid w:val="005B43A9"/>
    <w:rsid w:val="005B4ADF"/>
    <w:rsid w:val="005B4FF5"/>
    <w:rsid w:val="005B504D"/>
    <w:rsid w:val="005B526E"/>
    <w:rsid w:val="005B52A3"/>
    <w:rsid w:val="005B5928"/>
    <w:rsid w:val="005B596B"/>
    <w:rsid w:val="005B5AC6"/>
    <w:rsid w:val="005B5B7A"/>
    <w:rsid w:val="005B6030"/>
    <w:rsid w:val="005B692A"/>
    <w:rsid w:val="005B6A2C"/>
    <w:rsid w:val="005B6B03"/>
    <w:rsid w:val="005B76D6"/>
    <w:rsid w:val="005B78A2"/>
    <w:rsid w:val="005B7A89"/>
    <w:rsid w:val="005C00F4"/>
    <w:rsid w:val="005C0591"/>
    <w:rsid w:val="005C070D"/>
    <w:rsid w:val="005C0B30"/>
    <w:rsid w:val="005C0BD1"/>
    <w:rsid w:val="005C0F65"/>
    <w:rsid w:val="005C11E2"/>
    <w:rsid w:val="005C12FE"/>
    <w:rsid w:val="005C18D2"/>
    <w:rsid w:val="005C191B"/>
    <w:rsid w:val="005C1A05"/>
    <w:rsid w:val="005C1A29"/>
    <w:rsid w:val="005C1A31"/>
    <w:rsid w:val="005C1E0B"/>
    <w:rsid w:val="005C1ED7"/>
    <w:rsid w:val="005C22DD"/>
    <w:rsid w:val="005C252B"/>
    <w:rsid w:val="005C25F2"/>
    <w:rsid w:val="005C27D5"/>
    <w:rsid w:val="005C2A1D"/>
    <w:rsid w:val="005C2BB7"/>
    <w:rsid w:val="005C2EBD"/>
    <w:rsid w:val="005C2EEF"/>
    <w:rsid w:val="005C3069"/>
    <w:rsid w:val="005C342D"/>
    <w:rsid w:val="005C352B"/>
    <w:rsid w:val="005C35CC"/>
    <w:rsid w:val="005C379D"/>
    <w:rsid w:val="005C38B7"/>
    <w:rsid w:val="005C3AB8"/>
    <w:rsid w:val="005C3F3A"/>
    <w:rsid w:val="005C3F57"/>
    <w:rsid w:val="005C416B"/>
    <w:rsid w:val="005C4200"/>
    <w:rsid w:val="005C424F"/>
    <w:rsid w:val="005C44C4"/>
    <w:rsid w:val="005C44F3"/>
    <w:rsid w:val="005C4942"/>
    <w:rsid w:val="005C4FB2"/>
    <w:rsid w:val="005C5049"/>
    <w:rsid w:val="005C51C4"/>
    <w:rsid w:val="005C55FF"/>
    <w:rsid w:val="005C59DF"/>
    <w:rsid w:val="005C5A31"/>
    <w:rsid w:val="005C5EAC"/>
    <w:rsid w:val="005C60A0"/>
    <w:rsid w:val="005C61B9"/>
    <w:rsid w:val="005C6372"/>
    <w:rsid w:val="005C64B2"/>
    <w:rsid w:val="005C683D"/>
    <w:rsid w:val="005C690C"/>
    <w:rsid w:val="005C6A0D"/>
    <w:rsid w:val="005C6E91"/>
    <w:rsid w:val="005C70B2"/>
    <w:rsid w:val="005C7227"/>
    <w:rsid w:val="005C73F3"/>
    <w:rsid w:val="005C77E4"/>
    <w:rsid w:val="005C7995"/>
    <w:rsid w:val="005C7A6D"/>
    <w:rsid w:val="005D00A5"/>
    <w:rsid w:val="005D01F9"/>
    <w:rsid w:val="005D03B2"/>
    <w:rsid w:val="005D07EF"/>
    <w:rsid w:val="005D082E"/>
    <w:rsid w:val="005D0BE7"/>
    <w:rsid w:val="005D10EE"/>
    <w:rsid w:val="005D1424"/>
    <w:rsid w:val="005D14AE"/>
    <w:rsid w:val="005D15F3"/>
    <w:rsid w:val="005D17E2"/>
    <w:rsid w:val="005D1837"/>
    <w:rsid w:val="005D1B38"/>
    <w:rsid w:val="005D1C66"/>
    <w:rsid w:val="005D1D10"/>
    <w:rsid w:val="005D1F65"/>
    <w:rsid w:val="005D1F6A"/>
    <w:rsid w:val="005D22BD"/>
    <w:rsid w:val="005D24E5"/>
    <w:rsid w:val="005D2722"/>
    <w:rsid w:val="005D2940"/>
    <w:rsid w:val="005D36AB"/>
    <w:rsid w:val="005D36FB"/>
    <w:rsid w:val="005D38E0"/>
    <w:rsid w:val="005D3FFC"/>
    <w:rsid w:val="005D45DC"/>
    <w:rsid w:val="005D462E"/>
    <w:rsid w:val="005D4668"/>
    <w:rsid w:val="005D4A31"/>
    <w:rsid w:val="005D5284"/>
    <w:rsid w:val="005D56C5"/>
    <w:rsid w:val="005D62F6"/>
    <w:rsid w:val="005D6724"/>
    <w:rsid w:val="005D67D8"/>
    <w:rsid w:val="005D67E5"/>
    <w:rsid w:val="005D6B48"/>
    <w:rsid w:val="005D7020"/>
    <w:rsid w:val="005D70D5"/>
    <w:rsid w:val="005D7610"/>
    <w:rsid w:val="005D7F6D"/>
    <w:rsid w:val="005E0180"/>
    <w:rsid w:val="005E04E2"/>
    <w:rsid w:val="005E0859"/>
    <w:rsid w:val="005E0A43"/>
    <w:rsid w:val="005E0C6E"/>
    <w:rsid w:val="005E0FD1"/>
    <w:rsid w:val="005E1039"/>
    <w:rsid w:val="005E126D"/>
    <w:rsid w:val="005E1316"/>
    <w:rsid w:val="005E1613"/>
    <w:rsid w:val="005E172D"/>
    <w:rsid w:val="005E1D6D"/>
    <w:rsid w:val="005E2088"/>
    <w:rsid w:val="005E298B"/>
    <w:rsid w:val="005E2AD1"/>
    <w:rsid w:val="005E2B01"/>
    <w:rsid w:val="005E2BDB"/>
    <w:rsid w:val="005E2E27"/>
    <w:rsid w:val="005E2E9B"/>
    <w:rsid w:val="005E2F75"/>
    <w:rsid w:val="005E3139"/>
    <w:rsid w:val="005E328D"/>
    <w:rsid w:val="005E3330"/>
    <w:rsid w:val="005E33DD"/>
    <w:rsid w:val="005E3567"/>
    <w:rsid w:val="005E35A8"/>
    <w:rsid w:val="005E370E"/>
    <w:rsid w:val="005E39AD"/>
    <w:rsid w:val="005E3A31"/>
    <w:rsid w:val="005E3D3E"/>
    <w:rsid w:val="005E46B3"/>
    <w:rsid w:val="005E4901"/>
    <w:rsid w:val="005E49BD"/>
    <w:rsid w:val="005E4C1D"/>
    <w:rsid w:val="005E4E57"/>
    <w:rsid w:val="005E5024"/>
    <w:rsid w:val="005E5292"/>
    <w:rsid w:val="005E5372"/>
    <w:rsid w:val="005E56B3"/>
    <w:rsid w:val="005E578D"/>
    <w:rsid w:val="005E57B1"/>
    <w:rsid w:val="005E5F11"/>
    <w:rsid w:val="005E5FCD"/>
    <w:rsid w:val="005E6433"/>
    <w:rsid w:val="005E6E28"/>
    <w:rsid w:val="005E6E39"/>
    <w:rsid w:val="005E7434"/>
    <w:rsid w:val="005E7457"/>
    <w:rsid w:val="005E758B"/>
    <w:rsid w:val="005E78C7"/>
    <w:rsid w:val="005E7DCE"/>
    <w:rsid w:val="005F0038"/>
    <w:rsid w:val="005F0129"/>
    <w:rsid w:val="005F0147"/>
    <w:rsid w:val="005F04D9"/>
    <w:rsid w:val="005F09C1"/>
    <w:rsid w:val="005F0AF8"/>
    <w:rsid w:val="005F1164"/>
    <w:rsid w:val="005F1286"/>
    <w:rsid w:val="005F1411"/>
    <w:rsid w:val="005F1978"/>
    <w:rsid w:val="005F2288"/>
    <w:rsid w:val="005F2290"/>
    <w:rsid w:val="005F23FE"/>
    <w:rsid w:val="005F2F94"/>
    <w:rsid w:val="005F309D"/>
    <w:rsid w:val="005F318A"/>
    <w:rsid w:val="005F358B"/>
    <w:rsid w:val="005F3B15"/>
    <w:rsid w:val="005F3DE7"/>
    <w:rsid w:val="005F3E09"/>
    <w:rsid w:val="005F3EB2"/>
    <w:rsid w:val="005F43A9"/>
    <w:rsid w:val="005F461A"/>
    <w:rsid w:val="005F4699"/>
    <w:rsid w:val="005F49A0"/>
    <w:rsid w:val="005F4ADC"/>
    <w:rsid w:val="005F597E"/>
    <w:rsid w:val="005F5CEE"/>
    <w:rsid w:val="005F5DA2"/>
    <w:rsid w:val="005F61BE"/>
    <w:rsid w:val="005F6209"/>
    <w:rsid w:val="005F65C9"/>
    <w:rsid w:val="005F6A74"/>
    <w:rsid w:val="005F6A79"/>
    <w:rsid w:val="005F6DB1"/>
    <w:rsid w:val="005F7169"/>
    <w:rsid w:val="005F71B7"/>
    <w:rsid w:val="005F7303"/>
    <w:rsid w:val="005F7475"/>
    <w:rsid w:val="005F79C7"/>
    <w:rsid w:val="005F7D21"/>
    <w:rsid w:val="005F7ED5"/>
    <w:rsid w:val="00600251"/>
    <w:rsid w:val="00600411"/>
    <w:rsid w:val="006004D9"/>
    <w:rsid w:val="006010CC"/>
    <w:rsid w:val="006012B7"/>
    <w:rsid w:val="00601753"/>
    <w:rsid w:val="006017BA"/>
    <w:rsid w:val="00601938"/>
    <w:rsid w:val="00601BCD"/>
    <w:rsid w:val="00601C92"/>
    <w:rsid w:val="00601CA1"/>
    <w:rsid w:val="00601DAB"/>
    <w:rsid w:val="00602237"/>
    <w:rsid w:val="00602398"/>
    <w:rsid w:val="00602665"/>
    <w:rsid w:val="006027AD"/>
    <w:rsid w:val="006027D3"/>
    <w:rsid w:val="006029D4"/>
    <w:rsid w:val="00602A4E"/>
    <w:rsid w:val="00602BB0"/>
    <w:rsid w:val="00602C90"/>
    <w:rsid w:val="00602E52"/>
    <w:rsid w:val="00602EA5"/>
    <w:rsid w:val="0060310E"/>
    <w:rsid w:val="00603156"/>
    <w:rsid w:val="00603201"/>
    <w:rsid w:val="006032E8"/>
    <w:rsid w:val="0060357D"/>
    <w:rsid w:val="00603629"/>
    <w:rsid w:val="00603877"/>
    <w:rsid w:val="00603C82"/>
    <w:rsid w:val="00603D7B"/>
    <w:rsid w:val="00603E58"/>
    <w:rsid w:val="00603E94"/>
    <w:rsid w:val="00604307"/>
    <w:rsid w:val="00604500"/>
    <w:rsid w:val="00604683"/>
    <w:rsid w:val="006046C1"/>
    <w:rsid w:val="00604952"/>
    <w:rsid w:val="00604A99"/>
    <w:rsid w:val="00604E56"/>
    <w:rsid w:val="00604E81"/>
    <w:rsid w:val="00604F30"/>
    <w:rsid w:val="00604FD1"/>
    <w:rsid w:val="00604FDE"/>
    <w:rsid w:val="00605037"/>
    <w:rsid w:val="006050E3"/>
    <w:rsid w:val="0060542B"/>
    <w:rsid w:val="00605445"/>
    <w:rsid w:val="006054AF"/>
    <w:rsid w:val="006054F8"/>
    <w:rsid w:val="006057D1"/>
    <w:rsid w:val="0060582A"/>
    <w:rsid w:val="00605E33"/>
    <w:rsid w:val="00605E84"/>
    <w:rsid w:val="006061FD"/>
    <w:rsid w:val="00606346"/>
    <w:rsid w:val="00606468"/>
    <w:rsid w:val="00606868"/>
    <w:rsid w:val="00606A1C"/>
    <w:rsid w:val="00606C82"/>
    <w:rsid w:val="00606C84"/>
    <w:rsid w:val="00606CA4"/>
    <w:rsid w:val="00606E68"/>
    <w:rsid w:val="00606F67"/>
    <w:rsid w:val="006070E4"/>
    <w:rsid w:val="006071CB"/>
    <w:rsid w:val="006075C3"/>
    <w:rsid w:val="00607930"/>
    <w:rsid w:val="00607B53"/>
    <w:rsid w:val="00607C3F"/>
    <w:rsid w:val="00607D5F"/>
    <w:rsid w:val="00607E88"/>
    <w:rsid w:val="00607F05"/>
    <w:rsid w:val="00610348"/>
    <w:rsid w:val="00610465"/>
    <w:rsid w:val="00610655"/>
    <w:rsid w:val="00610923"/>
    <w:rsid w:val="00610B85"/>
    <w:rsid w:val="00610F04"/>
    <w:rsid w:val="00610F7B"/>
    <w:rsid w:val="0061118F"/>
    <w:rsid w:val="006114C9"/>
    <w:rsid w:val="006115C2"/>
    <w:rsid w:val="00611675"/>
    <w:rsid w:val="006116B7"/>
    <w:rsid w:val="006118D4"/>
    <w:rsid w:val="0061195B"/>
    <w:rsid w:val="00611D42"/>
    <w:rsid w:val="00611F75"/>
    <w:rsid w:val="00611FEC"/>
    <w:rsid w:val="006120B1"/>
    <w:rsid w:val="00612245"/>
    <w:rsid w:val="006123DA"/>
    <w:rsid w:val="0061249A"/>
    <w:rsid w:val="00612AB7"/>
    <w:rsid w:val="00612DAA"/>
    <w:rsid w:val="00612DBB"/>
    <w:rsid w:val="00612FBF"/>
    <w:rsid w:val="0061300F"/>
    <w:rsid w:val="00613124"/>
    <w:rsid w:val="0061330F"/>
    <w:rsid w:val="0061335A"/>
    <w:rsid w:val="00613360"/>
    <w:rsid w:val="00613A0B"/>
    <w:rsid w:val="00613A90"/>
    <w:rsid w:val="00613D31"/>
    <w:rsid w:val="00613F2C"/>
    <w:rsid w:val="006142DC"/>
    <w:rsid w:val="0061455D"/>
    <w:rsid w:val="006145D8"/>
    <w:rsid w:val="006145FC"/>
    <w:rsid w:val="00614620"/>
    <w:rsid w:val="006147F2"/>
    <w:rsid w:val="00614CEB"/>
    <w:rsid w:val="00614D9E"/>
    <w:rsid w:val="00614F7F"/>
    <w:rsid w:val="00615024"/>
    <w:rsid w:val="006150E0"/>
    <w:rsid w:val="0061514C"/>
    <w:rsid w:val="00615358"/>
    <w:rsid w:val="00615563"/>
    <w:rsid w:val="00615C48"/>
    <w:rsid w:val="00615E07"/>
    <w:rsid w:val="0061617D"/>
    <w:rsid w:val="00616216"/>
    <w:rsid w:val="006164A2"/>
    <w:rsid w:val="0061682F"/>
    <w:rsid w:val="00616985"/>
    <w:rsid w:val="00616A3B"/>
    <w:rsid w:val="00616AA9"/>
    <w:rsid w:val="00616B68"/>
    <w:rsid w:val="00616BD7"/>
    <w:rsid w:val="00616C42"/>
    <w:rsid w:val="00616C7B"/>
    <w:rsid w:val="006170DE"/>
    <w:rsid w:val="00617344"/>
    <w:rsid w:val="00617462"/>
    <w:rsid w:val="006175E4"/>
    <w:rsid w:val="00617B97"/>
    <w:rsid w:val="00617CC3"/>
    <w:rsid w:val="00617DE3"/>
    <w:rsid w:val="00617ED2"/>
    <w:rsid w:val="00617F25"/>
    <w:rsid w:val="006202E2"/>
    <w:rsid w:val="00620481"/>
    <w:rsid w:val="00620814"/>
    <w:rsid w:val="00620990"/>
    <w:rsid w:val="00620CD8"/>
    <w:rsid w:val="006214F0"/>
    <w:rsid w:val="00621630"/>
    <w:rsid w:val="0062196D"/>
    <w:rsid w:val="006219A3"/>
    <w:rsid w:val="0062210F"/>
    <w:rsid w:val="006223D4"/>
    <w:rsid w:val="00622887"/>
    <w:rsid w:val="00622896"/>
    <w:rsid w:val="006228D3"/>
    <w:rsid w:val="0062290A"/>
    <w:rsid w:val="00622F84"/>
    <w:rsid w:val="00623083"/>
    <w:rsid w:val="00623222"/>
    <w:rsid w:val="0062361F"/>
    <w:rsid w:val="00623D54"/>
    <w:rsid w:val="00624189"/>
    <w:rsid w:val="00624535"/>
    <w:rsid w:val="00624886"/>
    <w:rsid w:val="00624F26"/>
    <w:rsid w:val="00624FEC"/>
    <w:rsid w:val="00625073"/>
    <w:rsid w:val="006252CD"/>
    <w:rsid w:val="006253D3"/>
    <w:rsid w:val="0062563C"/>
    <w:rsid w:val="00625989"/>
    <w:rsid w:val="006259A3"/>
    <w:rsid w:val="00625ADE"/>
    <w:rsid w:val="00625D45"/>
    <w:rsid w:val="006260D6"/>
    <w:rsid w:val="006263D6"/>
    <w:rsid w:val="0062644E"/>
    <w:rsid w:val="00626588"/>
    <w:rsid w:val="00626965"/>
    <w:rsid w:val="00626CA1"/>
    <w:rsid w:val="006273D5"/>
    <w:rsid w:val="00627413"/>
    <w:rsid w:val="00627421"/>
    <w:rsid w:val="006275F7"/>
    <w:rsid w:val="00627AE8"/>
    <w:rsid w:val="00627AFD"/>
    <w:rsid w:val="00627B2B"/>
    <w:rsid w:val="00627E88"/>
    <w:rsid w:val="00627E89"/>
    <w:rsid w:val="00630172"/>
    <w:rsid w:val="006304CE"/>
    <w:rsid w:val="00630993"/>
    <w:rsid w:val="00630B39"/>
    <w:rsid w:val="00630BB5"/>
    <w:rsid w:val="00630DD1"/>
    <w:rsid w:val="00630EC5"/>
    <w:rsid w:val="00631151"/>
    <w:rsid w:val="0063127A"/>
    <w:rsid w:val="00631317"/>
    <w:rsid w:val="006313B0"/>
    <w:rsid w:val="00631480"/>
    <w:rsid w:val="006318FA"/>
    <w:rsid w:val="00631E1A"/>
    <w:rsid w:val="00631EF1"/>
    <w:rsid w:val="006320C1"/>
    <w:rsid w:val="0063230F"/>
    <w:rsid w:val="0063235F"/>
    <w:rsid w:val="0063237B"/>
    <w:rsid w:val="00632660"/>
    <w:rsid w:val="006326E8"/>
    <w:rsid w:val="00632754"/>
    <w:rsid w:val="00632814"/>
    <w:rsid w:val="00632886"/>
    <w:rsid w:val="00632B8F"/>
    <w:rsid w:val="00632C47"/>
    <w:rsid w:val="00632E88"/>
    <w:rsid w:val="00632F0C"/>
    <w:rsid w:val="006330CC"/>
    <w:rsid w:val="00633533"/>
    <w:rsid w:val="0063355C"/>
    <w:rsid w:val="00633AAD"/>
    <w:rsid w:val="00633B06"/>
    <w:rsid w:val="00633F9A"/>
    <w:rsid w:val="00634292"/>
    <w:rsid w:val="006344FA"/>
    <w:rsid w:val="0063465D"/>
    <w:rsid w:val="00634962"/>
    <w:rsid w:val="0063499A"/>
    <w:rsid w:val="00634E37"/>
    <w:rsid w:val="0063532C"/>
    <w:rsid w:val="0063545C"/>
    <w:rsid w:val="006356CD"/>
    <w:rsid w:val="00635E1A"/>
    <w:rsid w:val="00635EEF"/>
    <w:rsid w:val="00636134"/>
    <w:rsid w:val="00636473"/>
    <w:rsid w:val="00636580"/>
    <w:rsid w:val="0063664D"/>
    <w:rsid w:val="00636961"/>
    <w:rsid w:val="006369CE"/>
    <w:rsid w:val="00636DA9"/>
    <w:rsid w:val="00637253"/>
    <w:rsid w:val="006372BE"/>
    <w:rsid w:val="0063743B"/>
    <w:rsid w:val="006374E0"/>
    <w:rsid w:val="006377A6"/>
    <w:rsid w:val="006378C1"/>
    <w:rsid w:val="006379B0"/>
    <w:rsid w:val="00637A3D"/>
    <w:rsid w:val="00637B5A"/>
    <w:rsid w:val="00637CD3"/>
    <w:rsid w:val="00637F03"/>
    <w:rsid w:val="00640206"/>
    <w:rsid w:val="00640348"/>
    <w:rsid w:val="00640641"/>
    <w:rsid w:val="00640878"/>
    <w:rsid w:val="00640DEB"/>
    <w:rsid w:val="006410D5"/>
    <w:rsid w:val="006411EF"/>
    <w:rsid w:val="00641214"/>
    <w:rsid w:val="006414C5"/>
    <w:rsid w:val="006417A8"/>
    <w:rsid w:val="00641B3A"/>
    <w:rsid w:val="00641D70"/>
    <w:rsid w:val="00641FBB"/>
    <w:rsid w:val="00642064"/>
    <w:rsid w:val="006420A7"/>
    <w:rsid w:val="006420D0"/>
    <w:rsid w:val="00642151"/>
    <w:rsid w:val="00642450"/>
    <w:rsid w:val="006424C5"/>
    <w:rsid w:val="00642539"/>
    <w:rsid w:val="006426B2"/>
    <w:rsid w:val="006427CD"/>
    <w:rsid w:val="0064281F"/>
    <w:rsid w:val="00642AAF"/>
    <w:rsid w:val="00642DB3"/>
    <w:rsid w:val="00642F67"/>
    <w:rsid w:val="00642FA2"/>
    <w:rsid w:val="00643061"/>
    <w:rsid w:val="006431ED"/>
    <w:rsid w:val="006434B0"/>
    <w:rsid w:val="006434C4"/>
    <w:rsid w:val="00643583"/>
    <w:rsid w:val="00643A0F"/>
    <w:rsid w:val="00643C06"/>
    <w:rsid w:val="0064436B"/>
    <w:rsid w:val="0064462F"/>
    <w:rsid w:val="00644845"/>
    <w:rsid w:val="00644941"/>
    <w:rsid w:val="00644F6B"/>
    <w:rsid w:val="006454EE"/>
    <w:rsid w:val="00645640"/>
    <w:rsid w:val="006456F9"/>
    <w:rsid w:val="006457AE"/>
    <w:rsid w:val="00645B17"/>
    <w:rsid w:val="00645B6E"/>
    <w:rsid w:val="00646258"/>
    <w:rsid w:val="006463CC"/>
    <w:rsid w:val="0064666C"/>
    <w:rsid w:val="00646862"/>
    <w:rsid w:val="00646A96"/>
    <w:rsid w:val="00646AF0"/>
    <w:rsid w:val="00646CEA"/>
    <w:rsid w:val="00646D1C"/>
    <w:rsid w:val="00646D74"/>
    <w:rsid w:val="006470D0"/>
    <w:rsid w:val="0064713C"/>
    <w:rsid w:val="00647513"/>
    <w:rsid w:val="0064756B"/>
    <w:rsid w:val="00647A2C"/>
    <w:rsid w:val="00647C14"/>
    <w:rsid w:val="00647CB3"/>
    <w:rsid w:val="00647FD2"/>
    <w:rsid w:val="00647FEB"/>
    <w:rsid w:val="0065008F"/>
    <w:rsid w:val="0065035F"/>
    <w:rsid w:val="00650F2D"/>
    <w:rsid w:val="00651361"/>
    <w:rsid w:val="00651368"/>
    <w:rsid w:val="006515A2"/>
    <w:rsid w:val="00651D69"/>
    <w:rsid w:val="00652381"/>
    <w:rsid w:val="00652546"/>
    <w:rsid w:val="00652691"/>
    <w:rsid w:val="00652C69"/>
    <w:rsid w:val="00652C81"/>
    <w:rsid w:val="00652FD2"/>
    <w:rsid w:val="006531F7"/>
    <w:rsid w:val="0065326D"/>
    <w:rsid w:val="00653319"/>
    <w:rsid w:val="006534A8"/>
    <w:rsid w:val="0065351E"/>
    <w:rsid w:val="0065392E"/>
    <w:rsid w:val="006539C1"/>
    <w:rsid w:val="00653CD9"/>
    <w:rsid w:val="00653CDE"/>
    <w:rsid w:val="006541EA"/>
    <w:rsid w:val="006542D3"/>
    <w:rsid w:val="006546EF"/>
    <w:rsid w:val="00654C84"/>
    <w:rsid w:val="00654CC6"/>
    <w:rsid w:val="00654DA6"/>
    <w:rsid w:val="00654E3B"/>
    <w:rsid w:val="006556AC"/>
    <w:rsid w:val="00655BBA"/>
    <w:rsid w:val="00655F23"/>
    <w:rsid w:val="006561B6"/>
    <w:rsid w:val="0065628A"/>
    <w:rsid w:val="00656325"/>
    <w:rsid w:val="006563AD"/>
    <w:rsid w:val="006566F6"/>
    <w:rsid w:val="00656800"/>
    <w:rsid w:val="00656D6F"/>
    <w:rsid w:val="00656EBC"/>
    <w:rsid w:val="00657118"/>
    <w:rsid w:val="0065712C"/>
    <w:rsid w:val="006573B8"/>
    <w:rsid w:val="00657474"/>
    <w:rsid w:val="006575FD"/>
    <w:rsid w:val="0065785A"/>
    <w:rsid w:val="00657923"/>
    <w:rsid w:val="00657C95"/>
    <w:rsid w:val="00657CD2"/>
    <w:rsid w:val="00657D1E"/>
    <w:rsid w:val="00660259"/>
    <w:rsid w:val="00660456"/>
    <w:rsid w:val="0066078F"/>
    <w:rsid w:val="00660962"/>
    <w:rsid w:val="0066121A"/>
    <w:rsid w:val="006613F1"/>
    <w:rsid w:val="0066218A"/>
    <w:rsid w:val="00662259"/>
    <w:rsid w:val="00662B7A"/>
    <w:rsid w:val="00662D67"/>
    <w:rsid w:val="00662DD3"/>
    <w:rsid w:val="00662FEB"/>
    <w:rsid w:val="006636C0"/>
    <w:rsid w:val="00663783"/>
    <w:rsid w:val="0066399B"/>
    <w:rsid w:val="00663DA5"/>
    <w:rsid w:val="00663F52"/>
    <w:rsid w:val="006641C0"/>
    <w:rsid w:val="006644AB"/>
    <w:rsid w:val="00664912"/>
    <w:rsid w:val="00664A7F"/>
    <w:rsid w:val="00664BCA"/>
    <w:rsid w:val="00664F00"/>
    <w:rsid w:val="0066544C"/>
    <w:rsid w:val="00665698"/>
    <w:rsid w:val="00665CC8"/>
    <w:rsid w:val="00666215"/>
    <w:rsid w:val="00666280"/>
    <w:rsid w:val="00666642"/>
    <w:rsid w:val="0066675D"/>
    <w:rsid w:val="00666DA7"/>
    <w:rsid w:val="006670D8"/>
    <w:rsid w:val="006671B8"/>
    <w:rsid w:val="0066741B"/>
    <w:rsid w:val="006675D3"/>
    <w:rsid w:val="00667BAD"/>
    <w:rsid w:val="00667FDD"/>
    <w:rsid w:val="00670343"/>
    <w:rsid w:val="00670420"/>
    <w:rsid w:val="006706D4"/>
    <w:rsid w:val="00670ABB"/>
    <w:rsid w:val="00670B22"/>
    <w:rsid w:val="00670BC7"/>
    <w:rsid w:val="00670D64"/>
    <w:rsid w:val="00670EA1"/>
    <w:rsid w:val="00670FCB"/>
    <w:rsid w:val="006711FD"/>
    <w:rsid w:val="006712A4"/>
    <w:rsid w:val="00671324"/>
    <w:rsid w:val="0067159B"/>
    <w:rsid w:val="00671970"/>
    <w:rsid w:val="00671985"/>
    <w:rsid w:val="00671ADA"/>
    <w:rsid w:val="0067202C"/>
    <w:rsid w:val="006721CE"/>
    <w:rsid w:val="00672435"/>
    <w:rsid w:val="00672771"/>
    <w:rsid w:val="00672826"/>
    <w:rsid w:val="00672E30"/>
    <w:rsid w:val="00673164"/>
    <w:rsid w:val="00673527"/>
    <w:rsid w:val="00673AE1"/>
    <w:rsid w:val="00673C5B"/>
    <w:rsid w:val="00673D02"/>
    <w:rsid w:val="00673E0A"/>
    <w:rsid w:val="006748B8"/>
    <w:rsid w:val="00675214"/>
    <w:rsid w:val="00675433"/>
    <w:rsid w:val="0067565E"/>
    <w:rsid w:val="00675C74"/>
    <w:rsid w:val="006760C8"/>
    <w:rsid w:val="006763BC"/>
    <w:rsid w:val="00676F90"/>
    <w:rsid w:val="00677019"/>
    <w:rsid w:val="006775C3"/>
    <w:rsid w:val="00677674"/>
    <w:rsid w:val="00677723"/>
    <w:rsid w:val="00677817"/>
    <w:rsid w:val="00677B59"/>
    <w:rsid w:val="00680029"/>
    <w:rsid w:val="006800BF"/>
    <w:rsid w:val="006800E3"/>
    <w:rsid w:val="006801BE"/>
    <w:rsid w:val="00680B6B"/>
    <w:rsid w:val="00681007"/>
    <w:rsid w:val="0068106C"/>
    <w:rsid w:val="00681269"/>
    <w:rsid w:val="0068197D"/>
    <w:rsid w:val="00681DCD"/>
    <w:rsid w:val="006823AD"/>
    <w:rsid w:val="0068286C"/>
    <w:rsid w:val="0068304B"/>
    <w:rsid w:val="006831A6"/>
    <w:rsid w:val="006832F2"/>
    <w:rsid w:val="0068330A"/>
    <w:rsid w:val="00683658"/>
    <w:rsid w:val="00683973"/>
    <w:rsid w:val="006839AF"/>
    <w:rsid w:val="00683C13"/>
    <w:rsid w:val="00683C6E"/>
    <w:rsid w:val="00683D31"/>
    <w:rsid w:val="00683E04"/>
    <w:rsid w:val="00683F30"/>
    <w:rsid w:val="006840FA"/>
    <w:rsid w:val="0068434A"/>
    <w:rsid w:val="00684668"/>
    <w:rsid w:val="00684A62"/>
    <w:rsid w:val="00684B44"/>
    <w:rsid w:val="00684DA7"/>
    <w:rsid w:val="00685006"/>
    <w:rsid w:val="00685056"/>
    <w:rsid w:val="006850D5"/>
    <w:rsid w:val="006854A3"/>
    <w:rsid w:val="0068585E"/>
    <w:rsid w:val="006859FB"/>
    <w:rsid w:val="00685B3A"/>
    <w:rsid w:val="00685C58"/>
    <w:rsid w:val="00685C62"/>
    <w:rsid w:val="00685EB2"/>
    <w:rsid w:val="00685F10"/>
    <w:rsid w:val="0068633C"/>
    <w:rsid w:val="0068636C"/>
    <w:rsid w:val="006864B5"/>
    <w:rsid w:val="00686932"/>
    <w:rsid w:val="0068695E"/>
    <w:rsid w:val="00686B18"/>
    <w:rsid w:val="00686E4C"/>
    <w:rsid w:val="00686FD4"/>
    <w:rsid w:val="006870EA"/>
    <w:rsid w:val="006871F2"/>
    <w:rsid w:val="006872AC"/>
    <w:rsid w:val="00687548"/>
    <w:rsid w:val="006877A1"/>
    <w:rsid w:val="006877DA"/>
    <w:rsid w:val="00687872"/>
    <w:rsid w:val="00687949"/>
    <w:rsid w:val="00687AF5"/>
    <w:rsid w:val="00687CE7"/>
    <w:rsid w:val="006902F3"/>
    <w:rsid w:val="0069030A"/>
    <w:rsid w:val="00690755"/>
    <w:rsid w:val="00690899"/>
    <w:rsid w:val="00690AFF"/>
    <w:rsid w:val="00690C03"/>
    <w:rsid w:val="00690CBA"/>
    <w:rsid w:val="00690D18"/>
    <w:rsid w:val="006912C5"/>
    <w:rsid w:val="006919A5"/>
    <w:rsid w:val="00691ABB"/>
    <w:rsid w:val="00691E39"/>
    <w:rsid w:val="0069207C"/>
    <w:rsid w:val="006920FD"/>
    <w:rsid w:val="0069237D"/>
    <w:rsid w:val="006923FE"/>
    <w:rsid w:val="0069276E"/>
    <w:rsid w:val="0069286C"/>
    <w:rsid w:val="0069290A"/>
    <w:rsid w:val="00692A16"/>
    <w:rsid w:val="00692B63"/>
    <w:rsid w:val="00692E66"/>
    <w:rsid w:val="00692F16"/>
    <w:rsid w:val="0069350B"/>
    <w:rsid w:val="006939BE"/>
    <w:rsid w:val="00693A76"/>
    <w:rsid w:val="00693BDF"/>
    <w:rsid w:val="00693D2B"/>
    <w:rsid w:val="00693DF1"/>
    <w:rsid w:val="00693F48"/>
    <w:rsid w:val="0069411A"/>
    <w:rsid w:val="00694266"/>
    <w:rsid w:val="006942B2"/>
    <w:rsid w:val="006945B4"/>
    <w:rsid w:val="0069486F"/>
    <w:rsid w:val="00695059"/>
    <w:rsid w:val="00695268"/>
    <w:rsid w:val="006952D0"/>
    <w:rsid w:val="0069539F"/>
    <w:rsid w:val="0069552E"/>
    <w:rsid w:val="00695564"/>
    <w:rsid w:val="00695770"/>
    <w:rsid w:val="00696239"/>
    <w:rsid w:val="006962CB"/>
    <w:rsid w:val="00696418"/>
    <w:rsid w:val="0069641D"/>
    <w:rsid w:val="0069655D"/>
    <w:rsid w:val="006968C8"/>
    <w:rsid w:val="00696BF4"/>
    <w:rsid w:val="00696C6A"/>
    <w:rsid w:val="00696D42"/>
    <w:rsid w:val="00696DBE"/>
    <w:rsid w:val="00696DD8"/>
    <w:rsid w:val="0069702F"/>
    <w:rsid w:val="006970AB"/>
    <w:rsid w:val="00697442"/>
    <w:rsid w:val="0069753F"/>
    <w:rsid w:val="00697724"/>
    <w:rsid w:val="0069775A"/>
    <w:rsid w:val="00697796"/>
    <w:rsid w:val="00697813"/>
    <w:rsid w:val="006A0061"/>
    <w:rsid w:val="006A022E"/>
    <w:rsid w:val="006A050A"/>
    <w:rsid w:val="006A0BDF"/>
    <w:rsid w:val="006A1127"/>
    <w:rsid w:val="006A1257"/>
    <w:rsid w:val="006A126C"/>
    <w:rsid w:val="006A14A3"/>
    <w:rsid w:val="006A154B"/>
    <w:rsid w:val="006A1665"/>
    <w:rsid w:val="006A19F7"/>
    <w:rsid w:val="006A1B5B"/>
    <w:rsid w:val="006A20B7"/>
    <w:rsid w:val="006A244B"/>
    <w:rsid w:val="006A2547"/>
    <w:rsid w:val="006A27B0"/>
    <w:rsid w:val="006A29B5"/>
    <w:rsid w:val="006A2F01"/>
    <w:rsid w:val="006A329C"/>
    <w:rsid w:val="006A353C"/>
    <w:rsid w:val="006A3A8B"/>
    <w:rsid w:val="006A3EE8"/>
    <w:rsid w:val="006A4177"/>
    <w:rsid w:val="006A41F3"/>
    <w:rsid w:val="006A45E6"/>
    <w:rsid w:val="006A4948"/>
    <w:rsid w:val="006A548C"/>
    <w:rsid w:val="006A54EA"/>
    <w:rsid w:val="006A56F9"/>
    <w:rsid w:val="006A584D"/>
    <w:rsid w:val="006A59FE"/>
    <w:rsid w:val="006A5AE2"/>
    <w:rsid w:val="006A5B66"/>
    <w:rsid w:val="006A5D6E"/>
    <w:rsid w:val="006A614A"/>
    <w:rsid w:val="006A6418"/>
    <w:rsid w:val="006A65C6"/>
    <w:rsid w:val="006A6B38"/>
    <w:rsid w:val="006A6D64"/>
    <w:rsid w:val="006A6DD6"/>
    <w:rsid w:val="006A7046"/>
    <w:rsid w:val="006A72BF"/>
    <w:rsid w:val="006A72F3"/>
    <w:rsid w:val="006A74F4"/>
    <w:rsid w:val="006A7602"/>
    <w:rsid w:val="006A7742"/>
    <w:rsid w:val="006A7AE9"/>
    <w:rsid w:val="006A7BCD"/>
    <w:rsid w:val="006A7E24"/>
    <w:rsid w:val="006B0208"/>
    <w:rsid w:val="006B03F2"/>
    <w:rsid w:val="006B0551"/>
    <w:rsid w:val="006B0611"/>
    <w:rsid w:val="006B09DA"/>
    <w:rsid w:val="006B0B3C"/>
    <w:rsid w:val="006B0D6F"/>
    <w:rsid w:val="006B0F00"/>
    <w:rsid w:val="006B0F64"/>
    <w:rsid w:val="006B10C5"/>
    <w:rsid w:val="006B139F"/>
    <w:rsid w:val="006B16C4"/>
    <w:rsid w:val="006B171F"/>
    <w:rsid w:val="006B1917"/>
    <w:rsid w:val="006B1A5D"/>
    <w:rsid w:val="006B1B76"/>
    <w:rsid w:val="006B1BD4"/>
    <w:rsid w:val="006B2448"/>
    <w:rsid w:val="006B2BD3"/>
    <w:rsid w:val="006B2BE9"/>
    <w:rsid w:val="006B3030"/>
    <w:rsid w:val="006B37DC"/>
    <w:rsid w:val="006B386A"/>
    <w:rsid w:val="006B3A6C"/>
    <w:rsid w:val="006B3C58"/>
    <w:rsid w:val="006B422A"/>
    <w:rsid w:val="006B44DC"/>
    <w:rsid w:val="006B460F"/>
    <w:rsid w:val="006B4765"/>
    <w:rsid w:val="006B4B4B"/>
    <w:rsid w:val="006B4B8F"/>
    <w:rsid w:val="006B4F68"/>
    <w:rsid w:val="006B4FA9"/>
    <w:rsid w:val="006B503B"/>
    <w:rsid w:val="006B602B"/>
    <w:rsid w:val="006B605A"/>
    <w:rsid w:val="006B6559"/>
    <w:rsid w:val="006B6795"/>
    <w:rsid w:val="006B6BA3"/>
    <w:rsid w:val="006B6D50"/>
    <w:rsid w:val="006B6F24"/>
    <w:rsid w:val="006B71AD"/>
    <w:rsid w:val="006B7217"/>
    <w:rsid w:val="006B77EF"/>
    <w:rsid w:val="006B78C7"/>
    <w:rsid w:val="006B7B57"/>
    <w:rsid w:val="006B7E78"/>
    <w:rsid w:val="006C01A3"/>
    <w:rsid w:val="006C0266"/>
    <w:rsid w:val="006C0592"/>
    <w:rsid w:val="006C0640"/>
    <w:rsid w:val="006C0693"/>
    <w:rsid w:val="006C09CD"/>
    <w:rsid w:val="006C0F2C"/>
    <w:rsid w:val="006C14B0"/>
    <w:rsid w:val="006C152B"/>
    <w:rsid w:val="006C1EFD"/>
    <w:rsid w:val="006C2344"/>
    <w:rsid w:val="006C24A1"/>
    <w:rsid w:val="006C2539"/>
    <w:rsid w:val="006C25C6"/>
    <w:rsid w:val="006C272E"/>
    <w:rsid w:val="006C2D71"/>
    <w:rsid w:val="006C2F6B"/>
    <w:rsid w:val="006C303F"/>
    <w:rsid w:val="006C3146"/>
    <w:rsid w:val="006C3969"/>
    <w:rsid w:val="006C39F8"/>
    <w:rsid w:val="006C3A43"/>
    <w:rsid w:val="006C3AE6"/>
    <w:rsid w:val="006C3E58"/>
    <w:rsid w:val="006C412B"/>
    <w:rsid w:val="006C422B"/>
    <w:rsid w:val="006C4462"/>
    <w:rsid w:val="006C44F8"/>
    <w:rsid w:val="006C46E6"/>
    <w:rsid w:val="006C4887"/>
    <w:rsid w:val="006C4988"/>
    <w:rsid w:val="006C4AFC"/>
    <w:rsid w:val="006C4B06"/>
    <w:rsid w:val="006C4C82"/>
    <w:rsid w:val="006C4EB0"/>
    <w:rsid w:val="006C5216"/>
    <w:rsid w:val="006C5479"/>
    <w:rsid w:val="006C5A69"/>
    <w:rsid w:val="006C5BDC"/>
    <w:rsid w:val="006C5D23"/>
    <w:rsid w:val="006C619E"/>
    <w:rsid w:val="006C63C5"/>
    <w:rsid w:val="006C6624"/>
    <w:rsid w:val="006C66CC"/>
    <w:rsid w:val="006C6730"/>
    <w:rsid w:val="006C684F"/>
    <w:rsid w:val="006C6922"/>
    <w:rsid w:val="006C6AC4"/>
    <w:rsid w:val="006C6B08"/>
    <w:rsid w:val="006C6D36"/>
    <w:rsid w:val="006C7103"/>
    <w:rsid w:val="006C7339"/>
    <w:rsid w:val="006C7469"/>
    <w:rsid w:val="006C784B"/>
    <w:rsid w:val="006C784F"/>
    <w:rsid w:val="006C78B7"/>
    <w:rsid w:val="006C7A09"/>
    <w:rsid w:val="006C7F99"/>
    <w:rsid w:val="006D0317"/>
    <w:rsid w:val="006D073E"/>
    <w:rsid w:val="006D0B42"/>
    <w:rsid w:val="006D0B63"/>
    <w:rsid w:val="006D115F"/>
    <w:rsid w:val="006D132C"/>
    <w:rsid w:val="006D136D"/>
    <w:rsid w:val="006D13A8"/>
    <w:rsid w:val="006D13B5"/>
    <w:rsid w:val="006D18A0"/>
    <w:rsid w:val="006D2924"/>
    <w:rsid w:val="006D2951"/>
    <w:rsid w:val="006D2BBE"/>
    <w:rsid w:val="006D3465"/>
    <w:rsid w:val="006D382E"/>
    <w:rsid w:val="006D391F"/>
    <w:rsid w:val="006D3B3C"/>
    <w:rsid w:val="006D3FD5"/>
    <w:rsid w:val="006D42C1"/>
    <w:rsid w:val="006D42E2"/>
    <w:rsid w:val="006D43E4"/>
    <w:rsid w:val="006D44F2"/>
    <w:rsid w:val="006D451F"/>
    <w:rsid w:val="006D463B"/>
    <w:rsid w:val="006D46E7"/>
    <w:rsid w:val="006D480C"/>
    <w:rsid w:val="006D4869"/>
    <w:rsid w:val="006D4886"/>
    <w:rsid w:val="006D4933"/>
    <w:rsid w:val="006D4A43"/>
    <w:rsid w:val="006D4C66"/>
    <w:rsid w:val="006D5176"/>
    <w:rsid w:val="006D54D5"/>
    <w:rsid w:val="006D5652"/>
    <w:rsid w:val="006D56D7"/>
    <w:rsid w:val="006D5845"/>
    <w:rsid w:val="006D5A9D"/>
    <w:rsid w:val="006D5AFA"/>
    <w:rsid w:val="006D5D8A"/>
    <w:rsid w:val="006D63FD"/>
    <w:rsid w:val="006D6969"/>
    <w:rsid w:val="006D69D8"/>
    <w:rsid w:val="006D6D23"/>
    <w:rsid w:val="006D6E77"/>
    <w:rsid w:val="006D6E80"/>
    <w:rsid w:val="006D6F97"/>
    <w:rsid w:val="006D7219"/>
    <w:rsid w:val="006D7734"/>
    <w:rsid w:val="006D77BF"/>
    <w:rsid w:val="006D7887"/>
    <w:rsid w:val="006D7E68"/>
    <w:rsid w:val="006D7F81"/>
    <w:rsid w:val="006E04D8"/>
    <w:rsid w:val="006E08A6"/>
    <w:rsid w:val="006E0BAA"/>
    <w:rsid w:val="006E0DA8"/>
    <w:rsid w:val="006E1269"/>
    <w:rsid w:val="006E1270"/>
    <w:rsid w:val="006E12FF"/>
    <w:rsid w:val="006E1491"/>
    <w:rsid w:val="006E1D81"/>
    <w:rsid w:val="006E1E07"/>
    <w:rsid w:val="006E25D2"/>
    <w:rsid w:val="006E283E"/>
    <w:rsid w:val="006E28F4"/>
    <w:rsid w:val="006E2A2C"/>
    <w:rsid w:val="006E2E0D"/>
    <w:rsid w:val="006E3188"/>
    <w:rsid w:val="006E3294"/>
    <w:rsid w:val="006E372C"/>
    <w:rsid w:val="006E3752"/>
    <w:rsid w:val="006E3814"/>
    <w:rsid w:val="006E3906"/>
    <w:rsid w:val="006E39EC"/>
    <w:rsid w:val="006E3A2D"/>
    <w:rsid w:val="006E3A77"/>
    <w:rsid w:val="006E3B19"/>
    <w:rsid w:val="006E4454"/>
    <w:rsid w:val="006E45B7"/>
    <w:rsid w:val="006E48CB"/>
    <w:rsid w:val="006E4AB6"/>
    <w:rsid w:val="006E4E40"/>
    <w:rsid w:val="006E531B"/>
    <w:rsid w:val="006E586C"/>
    <w:rsid w:val="006E5BA0"/>
    <w:rsid w:val="006E5DFA"/>
    <w:rsid w:val="006E607E"/>
    <w:rsid w:val="006E6398"/>
    <w:rsid w:val="006E64B0"/>
    <w:rsid w:val="006E67E1"/>
    <w:rsid w:val="006E6C29"/>
    <w:rsid w:val="006E6DBE"/>
    <w:rsid w:val="006E6DC2"/>
    <w:rsid w:val="006E6EC2"/>
    <w:rsid w:val="006E6EFA"/>
    <w:rsid w:val="006E6FD8"/>
    <w:rsid w:val="006E72C7"/>
    <w:rsid w:val="006E776A"/>
    <w:rsid w:val="006F0FDF"/>
    <w:rsid w:val="006F1620"/>
    <w:rsid w:val="006F1D75"/>
    <w:rsid w:val="006F1FBE"/>
    <w:rsid w:val="006F20A6"/>
    <w:rsid w:val="006F20D4"/>
    <w:rsid w:val="006F2481"/>
    <w:rsid w:val="006F30C4"/>
    <w:rsid w:val="006F321B"/>
    <w:rsid w:val="006F34F2"/>
    <w:rsid w:val="006F35B0"/>
    <w:rsid w:val="006F35F1"/>
    <w:rsid w:val="006F37A0"/>
    <w:rsid w:val="006F382F"/>
    <w:rsid w:val="006F385E"/>
    <w:rsid w:val="006F3CE9"/>
    <w:rsid w:val="006F40A5"/>
    <w:rsid w:val="006F44C5"/>
    <w:rsid w:val="006F46CA"/>
    <w:rsid w:val="006F4741"/>
    <w:rsid w:val="006F4766"/>
    <w:rsid w:val="006F4A63"/>
    <w:rsid w:val="006F4CA5"/>
    <w:rsid w:val="006F52AB"/>
    <w:rsid w:val="006F561C"/>
    <w:rsid w:val="006F565F"/>
    <w:rsid w:val="006F5677"/>
    <w:rsid w:val="006F5E4B"/>
    <w:rsid w:val="006F5FBA"/>
    <w:rsid w:val="006F608A"/>
    <w:rsid w:val="006F60B2"/>
    <w:rsid w:val="006F611B"/>
    <w:rsid w:val="006F6148"/>
    <w:rsid w:val="006F61CD"/>
    <w:rsid w:val="006F6734"/>
    <w:rsid w:val="006F69A5"/>
    <w:rsid w:val="006F69E3"/>
    <w:rsid w:val="006F6EDB"/>
    <w:rsid w:val="006F7211"/>
    <w:rsid w:val="006F72A7"/>
    <w:rsid w:val="006F77AC"/>
    <w:rsid w:val="006F7888"/>
    <w:rsid w:val="006F7CD3"/>
    <w:rsid w:val="006F7F03"/>
    <w:rsid w:val="00700467"/>
    <w:rsid w:val="007008D0"/>
    <w:rsid w:val="00700D11"/>
    <w:rsid w:val="00701022"/>
    <w:rsid w:val="007010AE"/>
    <w:rsid w:val="00701285"/>
    <w:rsid w:val="0070145B"/>
    <w:rsid w:val="007014FE"/>
    <w:rsid w:val="0070176A"/>
    <w:rsid w:val="00701787"/>
    <w:rsid w:val="007019AA"/>
    <w:rsid w:val="00701E1C"/>
    <w:rsid w:val="007023B8"/>
    <w:rsid w:val="00702478"/>
    <w:rsid w:val="00702565"/>
    <w:rsid w:val="0070291B"/>
    <w:rsid w:val="0070291F"/>
    <w:rsid w:val="00702E6E"/>
    <w:rsid w:val="00703110"/>
    <w:rsid w:val="00703130"/>
    <w:rsid w:val="00703181"/>
    <w:rsid w:val="00703183"/>
    <w:rsid w:val="00703435"/>
    <w:rsid w:val="007034B0"/>
    <w:rsid w:val="00703903"/>
    <w:rsid w:val="0070391C"/>
    <w:rsid w:val="00703A35"/>
    <w:rsid w:val="00704660"/>
    <w:rsid w:val="0070493A"/>
    <w:rsid w:val="0070497A"/>
    <w:rsid w:val="00705006"/>
    <w:rsid w:val="00705057"/>
    <w:rsid w:val="0070582D"/>
    <w:rsid w:val="007059C9"/>
    <w:rsid w:val="00705C42"/>
    <w:rsid w:val="00706400"/>
    <w:rsid w:val="007065D5"/>
    <w:rsid w:val="00706C32"/>
    <w:rsid w:val="00706C5D"/>
    <w:rsid w:val="0070719C"/>
    <w:rsid w:val="007072CA"/>
    <w:rsid w:val="00707CBC"/>
    <w:rsid w:val="00707E93"/>
    <w:rsid w:val="007100FA"/>
    <w:rsid w:val="00710241"/>
    <w:rsid w:val="00710343"/>
    <w:rsid w:val="007104A1"/>
    <w:rsid w:val="00710567"/>
    <w:rsid w:val="00710719"/>
    <w:rsid w:val="0071091A"/>
    <w:rsid w:val="00710C7B"/>
    <w:rsid w:val="00710E87"/>
    <w:rsid w:val="007117B8"/>
    <w:rsid w:val="00711EE2"/>
    <w:rsid w:val="00711EFC"/>
    <w:rsid w:val="00711FE8"/>
    <w:rsid w:val="007120B4"/>
    <w:rsid w:val="0071236F"/>
    <w:rsid w:val="00712601"/>
    <w:rsid w:val="00712657"/>
    <w:rsid w:val="00712663"/>
    <w:rsid w:val="00712683"/>
    <w:rsid w:val="0071286E"/>
    <w:rsid w:val="007129F9"/>
    <w:rsid w:val="00712F2E"/>
    <w:rsid w:val="00712FB9"/>
    <w:rsid w:val="0071306E"/>
    <w:rsid w:val="007131D0"/>
    <w:rsid w:val="00713EA5"/>
    <w:rsid w:val="0071406E"/>
    <w:rsid w:val="00714156"/>
    <w:rsid w:val="00714236"/>
    <w:rsid w:val="0071439A"/>
    <w:rsid w:val="00714525"/>
    <w:rsid w:val="007145BC"/>
    <w:rsid w:val="0071466B"/>
    <w:rsid w:val="0071468F"/>
    <w:rsid w:val="00714847"/>
    <w:rsid w:val="007148B5"/>
    <w:rsid w:val="00714B50"/>
    <w:rsid w:val="007150D8"/>
    <w:rsid w:val="0071585D"/>
    <w:rsid w:val="00715C18"/>
    <w:rsid w:val="00715CB0"/>
    <w:rsid w:val="00715D1D"/>
    <w:rsid w:val="00716098"/>
    <w:rsid w:val="007160CD"/>
    <w:rsid w:val="0071633B"/>
    <w:rsid w:val="007164E4"/>
    <w:rsid w:val="0071680B"/>
    <w:rsid w:val="00716A5B"/>
    <w:rsid w:val="00716ED3"/>
    <w:rsid w:val="0071731A"/>
    <w:rsid w:val="00717516"/>
    <w:rsid w:val="007176BE"/>
    <w:rsid w:val="0071780C"/>
    <w:rsid w:val="00717A00"/>
    <w:rsid w:val="00717AD4"/>
    <w:rsid w:val="00717B82"/>
    <w:rsid w:val="00717F3E"/>
    <w:rsid w:val="007200FE"/>
    <w:rsid w:val="00720281"/>
    <w:rsid w:val="007203F0"/>
    <w:rsid w:val="007203FC"/>
    <w:rsid w:val="00720915"/>
    <w:rsid w:val="0072098D"/>
    <w:rsid w:val="00720C9B"/>
    <w:rsid w:val="007211AB"/>
    <w:rsid w:val="00721304"/>
    <w:rsid w:val="007218EE"/>
    <w:rsid w:val="007219F7"/>
    <w:rsid w:val="00721B20"/>
    <w:rsid w:val="00721CB8"/>
    <w:rsid w:val="00721F38"/>
    <w:rsid w:val="007222F0"/>
    <w:rsid w:val="007224BE"/>
    <w:rsid w:val="007227A6"/>
    <w:rsid w:val="00722AC0"/>
    <w:rsid w:val="00722BDB"/>
    <w:rsid w:val="00722F81"/>
    <w:rsid w:val="007231FE"/>
    <w:rsid w:val="0072324E"/>
    <w:rsid w:val="007233E6"/>
    <w:rsid w:val="007236E1"/>
    <w:rsid w:val="00723DD7"/>
    <w:rsid w:val="00723FC4"/>
    <w:rsid w:val="00724139"/>
    <w:rsid w:val="0072477B"/>
    <w:rsid w:val="00724998"/>
    <w:rsid w:val="00724B0A"/>
    <w:rsid w:val="00724C2F"/>
    <w:rsid w:val="00724E82"/>
    <w:rsid w:val="00724FF2"/>
    <w:rsid w:val="007250CA"/>
    <w:rsid w:val="007254B3"/>
    <w:rsid w:val="007255AD"/>
    <w:rsid w:val="00725C46"/>
    <w:rsid w:val="00725D0A"/>
    <w:rsid w:val="00725EB1"/>
    <w:rsid w:val="007260F6"/>
    <w:rsid w:val="0072613C"/>
    <w:rsid w:val="00726273"/>
    <w:rsid w:val="00726276"/>
    <w:rsid w:val="007266EE"/>
    <w:rsid w:val="00726713"/>
    <w:rsid w:val="00726767"/>
    <w:rsid w:val="00726784"/>
    <w:rsid w:val="00726930"/>
    <w:rsid w:val="00726A52"/>
    <w:rsid w:val="00726B26"/>
    <w:rsid w:val="00726E2B"/>
    <w:rsid w:val="0072736B"/>
    <w:rsid w:val="00727834"/>
    <w:rsid w:val="007279EF"/>
    <w:rsid w:val="007303B6"/>
    <w:rsid w:val="007305BE"/>
    <w:rsid w:val="00730E05"/>
    <w:rsid w:val="00730E22"/>
    <w:rsid w:val="007313C9"/>
    <w:rsid w:val="007314A5"/>
    <w:rsid w:val="00731E44"/>
    <w:rsid w:val="00732021"/>
    <w:rsid w:val="007327F4"/>
    <w:rsid w:val="007328CF"/>
    <w:rsid w:val="00732922"/>
    <w:rsid w:val="007329C9"/>
    <w:rsid w:val="007329FB"/>
    <w:rsid w:val="00733085"/>
    <w:rsid w:val="007331D7"/>
    <w:rsid w:val="0073344D"/>
    <w:rsid w:val="0073363E"/>
    <w:rsid w:val="00733714"/>
    <w:rsid w:val="00733CAA"/>
    <w:rsid w:val="00733D98"/>
    <w:rsid w:val="00734012"/>
    <w:rsid w:val="0073431B"/>
    <w:rsid w:val="00734409"/>
    <w:rsid w:val="00734456"/>
    <w:rsid w:val="00734536"/>
    <w:rsid w:val="0073459C"/>
    <w:rsid w:val="007345ED"/>
    <w:rsid w:val="00734996"/>
    <w:rsid w:val="00734A51"/>
    <w:rsid w:val="00734F29"/>
    <w:rsid w:val="00735162"/>
    <w:rsid w:val="007354A7"/>
    <w:rsid w:val="007354D0"/>
    <w:rsid w:val="00735717"/>
    <w:rsid w:val="00735B79"/>
    <w:rsid w:val="00735D7B"/>
    <w:rsid w:val="00735E28"/>
    <w:rsid w:val="00736050"/>
    <w:rsid w:val="00736385"/>
    <w:rsid w:val="007364E9"/>
    <w:rsid w:val="00736536"/>
    <w:rsid w:val="00736554"/>
    <w:rsid w:val="007366B1"/>
    <w:rsid w:val="00736D59"/>
    <w:rsid w:val="007370AD"/>
    <w:rsid w:val="0073749D"/>
    <w:rsid w:val="007375E7"/>
    <w:rsid w:val="00737868"/>
    <w:rsid w:val="007378CE"/>
    <w:rsid w:val="00737AF1"/>
    <w:rsid w:val="00737C4F"/>
    <w:rsid w:val="00737D3F"/>
    <w:rsid w:val="00740100"/>
    <w:rsid w:val="00740671"/>
    <w:rsid w:val="0074071D"/>
    <w:rsid w:val="00740C36"/>
    <w:rsid w:val="0074121B"/>
    <w:rsid w:val="00741461"/>
    <w:rsid w:val="007418E0"/>
    <w:rsid w:val="007418FE"/>
    <w:rsid w:val="00741B86"/>
    <w:rsid w:val="00741C3E"/>
    <w:rsid w:val="007422B2"/>
    <w:rsid w:val="007422C9"/>
    <w:rsid w:val="007424A9"/>
    <w:rsid w:val="0074251F"/>
    <w:rsid w:val="0074258E"/>
    <w:rsid w:val="00742A0F"/>
    <w:rsid w:val="00742B45"/>
    <w:rsid w:val="00742B72"/>
    <w:rsid w:val="00742D5F"/>
    <w:rsid w:val="00742EAA"/>
    <w:rsid w:val="00742FC5"/>
    <w:rsid w:val="00742FEA"/>
    <w:rsid w:val="00743225"/>
    <w:rsid w:val="007436C9"/>
    <w:rsid w:val="0074381F"/>
    <w:rsid w:val="00743DC8"/>
    <w:rsid w:val="00744035"/>
    <w:rsid w:val="007440CC"/>
    <w:rsid w:val="007441D1"/>
    <w:rsid w:val="0074467F"/>
    <w:rsid w:val="00744836"/>
    <w:rsid w:val="007449C0"/>
    <w:rsid w:val="00744BC8"/>
    <w:rsid w:val="00744C8F"/>
    <w:rsid w:val="00744D4C"/>
    <w:rsid w:val="00744FA7"/>
    <w:rsid w:val="0074510F"/>
    <w:rsid w:val="007452D2"/>
    <w:rsid w:val="00745333"/>
    <w:rsid w:val="00745444"/>
    <w:rsid w:val="00745499"/>
    <w:rsid w:val="00745519"/>
    <w:rsid w:val="00745530"/>
    <w:rsid w:val="00745627"/>
    <w:rsid w:val="007457B1"/>
    <w:rsid w:val="0074594E"/>
    <w:rsid w:val="007459D2"/>
    <w:rsid w:val="00745EBC"/>
    <w:rsid w:val="00745F7C"/>
    <w:rsid w:val="00746345"/>
    <w:rsid w:val="00746D03"/>
    <w:rsid w:val="00746D2C"/>
    <w:rsid w:val="00747297"/>
    <w:rsid w:val="007475E6"/>
    <w:rsid w:val="007478FA"/>
    <w:rsid w:val="007479F4"/>
    <w:rsid w:val="00747AFC"/>
    <w:rsid w:val="00747BD4"/>
    <w:rsid w:val="00747C39"/>
    <w:rsid w:val="00747F8F"/>
    <w:rsid w:val="00750267"/>
    <w:rsid w:val="0075037A"/>
    <w:rsid w:val="007504BB"/>
    <w:rsid w:val="00750708"/>
    <w:rsid w:val="00750863"/>
    <w:rsid w:val="00750887"/>
    <w:rsid w:val="00750B5B"/>
    <w:rsid w:val="007511D8"/>
    <w:rsid w:val="007512C5"/>
    <w:rsid w:val="007513D6"/>
    <w:rsid w:val="0075162E"/>
    <w:rsid w:val="00751781"/>
    <w:rsid w:val="007519E0"/>
    <w:rsid w:val="00751C08"/>
    <w:rsid w:val="00751C74"/>
    <w:rsid w:val="00752258"/>
    <w:rsid w:val="0075258E"/>
    <w:rsid w:val="00752862"/>
    <w:rsid w:val="00752E6C"/>
    <w:rsid w:val="00752EBA"/>
    <w:rsid w:val="007531FE"/>
    <w:rsid w:val="0075331D"/>
    <w:rsid w:val="00753342"/>
    <w:rsid w:val="0075339A"/>
    <w:rsid w:val="007536A0"/>
    <w:rsid w:val="0075395F"/>
    <w:rsid w:val="00753A00"/>
    <w:rsid w:val="00753A12"/>
    <w:rsid w:val="00753AE6"/>
    <w:rsid w:val="00753AE9"/>
    <w:rsid w:val="00753CD9"/>
    <w:rsid w:val="00753EC3"/>
    <w:rsid w:val="00753F83"/>
    <w:rsid w:val="00754034"/>
    <w:rsid w:val="0075446B"/>
    <w:rsid w:val="007544E9"/>
    <w:rsid w:val="0075457E"/>
    <w:rsid w:val="007545D4"/>
    <w:rsid w:val="0075472E"/>
    <w:rsid w:val="007549E3"/>
    <w:rsid w:val="00754A25"/>
    <w:rsid w:val="0075518F"/>
    <w:rsid w:val="0075529A"/>
    <w:rsid w:val="00755396"/>
    <w:rsid w:val="0075544E"/>
    <w:rsid w:val="0075551E"/>
    <w:rsid w:val="0075586B"/>
    <w:rsid w:val="00755D70"/>
    <w:rsid w:val="0075600F"/>
    <w:rsid w:val="0075622D"/>
    <w:rsid w:val="00756556"/>
    <w:rsid w:val="007566CD"/>
    <w:rsid w:val="007567B6"/>
    <w:rsid w:val="007568B2"/>
    <w:rsid w:val="007569B9"/>
    <w:rsid w:val="0075705F"/>
    <w:rsid w:val="00757081"/>
    <w:rsid w:val="0075719E"/>
    <w:rsid w:val="007571A7"/>
    <w:rsid w:val="00757318"/>
    <w:rsid w:val="007576C8"/>
    <w:rsid w:val="00757971"/>
    <w:rsid w:val="00757B23"/>
    <w:rsid w:val="00757C96"/>
    <w:rsid w:val="00757CAE"/>
    <w:rsid w:val="00757E33"/>
    <w:rsid w:val="00760890"/>
    <w:rsid w:val="007608F5"/>
    <w:rsid w:val="00760AEE"/>
    <w:rsid w:val="00760BDE"/>
    <w:rsid w:val="007618C4"/>
    <w:rsid w:val="00761C1B"/>
    <w:rsid w:val="00761E5D"/>
    <w:rsid w:val="00761EA2"/>
    <w:rsid w:val="00761F7B"/>
    <w:rsid w:val="007621B7"/>
    <w:rsid w:val="007625C1"/>
    <w:rsid w:val="00762B57"/>
    <w:rsid w:val="00762FFC"/>
    <w:rsid w:val="0076328E"/>
    <w:rsid w:val="007632BD"/>
    <w:rsid w:val="007635E9"/>
    <w:rsid w:val="00763803"/>
    <w:rsid w:val="0076386A"/>
    <w:rsid w:val="007638F7"/>
    <w:rsid w:val="0076411A"/>
    <w:rsid w:val="00764329"/>
    <w:rsid w:val="007646B1"/>
    <w:rsid w:val="007649DA"/>
    <w:rsid w:val="00764AA4"/>
    <w:rsid w:val="00764B4B"/>
    <w:rsid w:val="007655E3"/>
    <w:rsid w:val="0076565E"/>
    <w:rsid w:val="00765C4A"/>
    <w:rsid w:val="00766060"/>
    <w:rsid w:val="0076608A"/>
    <w:rsid w:val="007663A8"/>
    <w:rsid w:val="007666F5"/>
    <w:rsid w:val="007667C5"/>
    <w:rsid w:val="00766AF7"/>
    <w:rsid w:val="00766BE0"/>
    <w:rsid w:val="00766F13"/>
    <w:rsid w:val="0076732D"/>
    <w:rsid w:val="00767494"/>
    <w:rsid w:val="007677A8"/>
    <w:rsid w:val="00767980"/>
    <w:rsid w:val="00767C30"/>
    <w:rsid w:val="00767CC7"/>
    <w:rsid w:val="00767DD8"/>
    <w:rsid w:val="00767E00"/>
    <w:rsid w:val="00767E3A"/>
    <w:rsid w:val="00767F15"/>
    <w:rsid w:val="00770008"/>
    <w:rsid w:val="007703D1"/>
    <w:rsid w:val="00770641"/>
    <w:rsid w:val="007706CE"/>
    <w:rsid w:val="007707A0"/>
    <w:rsid w:val="00770846"/>
    <w:rsid w:val="007708A8"/>
    <w:rsid w:val="00770B19"/>
    <w:rsid w:val="00770D19"/>
    <w:rsid w:val="00770E1A"/>
    <w:rsid w:val="00771545"/>
    <w:rsid w:val="007718EE"/>
    <w:rsid w:val="0077191C"/>
    <w:rsid w:val="0077191F"/>
    <w:rsid w:val="007720BA"/>
    <w:rsid w:val="00772246"/>
    <w:rsid w:val="007723E3"/>
    <w:rsid w:val="00772606"/>
    <w:rsid w:val="00772752"/>
    <w:rsid w:val="007729B1"/>
    <w:rsid w:val="00772E8D"/>
    <w:rsid w:val="0077339F"/>
    <w:rsid w:val="0077349A"/>
    <w:rsid w:val="0077361E"/>
    <w:rsid w:val="0077377C"/>
    <w:rsid w:val="00773AD6"/>
    <w:rsid w:val="00773BAA"/>
    <w:rsid w:val="00773C1E"/>
    <w:rsid w:val="007740D0"/>
    <w:rsid w:val="007742FD"/>
    <w:rsid w:val="0077463F"/>
    <w:rsid w:val="007746EB"/>
    <w:rsid w:val="00774D05"/>
    <w:rsid w:val="00774D7E"/>
    <w:rsid w:val="00774F74"/>
    <w:rsid w:val="00775045"/>
    <w:rsid w:val="00775749"/>
    <w:rsid w:val="00775B5B"/>
    <w:rsid w:val="00775CA7"/>
    <w:rsid w:val="007763C8"/>
    <w:rsid w:val="007763CB"/>
    <w:rsid w:val="007765E1"/>
    <w:rsid w:val="00776691"/>
    <w:rsid w:val="00776A67"/>
    <w:rsid w:val="0077745F"/>
    <w:rsid w:val="007776CE"/>
    <w:rsid w:val="0077798F"/>
    <w:rsid w:val="00777AF0"/>
    <w:rsid w:val="00777B84"/>
    <w:rsid w:val="0078054D"/>
    <w:rsid w:val="00780D0B"/>
    <w:rsid w:val="00780D6A"/>
    <w:rsid w:val="00780DE9"/>
    <w:rsid w:val="00780E81"/>
    <w:rsid w:val="00781259"/>
    <w:rsid w:val="007813C5"/>
    <w:rsid w:val="007813DB"/>
    <w:rsid w:val="007813FE"/>
    <w:rsid w:val="00781437"/>
    <w:rsid w:val="00781462"/>
    <w:rsid w:val="007819E6"/>
    <w:rsid w:val="00781FF4"/>
    <w:rsid w:val="00782143"/>
    <w:rsid w:val="007822D5"/>
    <w:rsid w:val="00782442"/>
    <w:rsid w:val="0078249C"/>
    <w:rsid w:val="0078249E"/>
    <w:rsid w:val="00782518"/>
    <w:rsid w:val="00782538"/>
    <w:rsid w:val="00782B51"/>
    <w:rsid w:val="00782C62"/>
    <w:rsid w:val="00782D73"/>
    <w:rsid w:val="00782F67"/>
    <w:rsid w:val="00782FF8"/>
    <w:rsid w:val="0078304F"/>
    <w:rsid w:val="0078316D"/>
    <w:rsid w:val="00783219"/>
    <w:rsid w:val="007836EA"/>
    <w:rsid w:val="007837A5"/>
    <w:rsid w:val="0078386E"/>
    <w:rsid w:val="00783E80"/>
    <w:rsid w:val="00784044"/>
    <w:rsid w:val="00784108"/>
    <w:rsid w:val="007844D5"/>
    <w:rsid w:val="007847BC"/>
    <w:rsid w:val="00784AA9"/>
    <w:rsid w:val="00784CDA"/>
    <w:rsid w:val="00784E29"/>
    <w:rsid w:val="007850D5"/>
    <w:rsid w:val="007850EE"/>
    <w:rsid w:val="007852C5"/>
    <w:rsid w:val="0078532F"/>
    <w:rsid w:val="007853DF"/>
    <w:rsid w:val="00785696"/>
    <w:rsid w:val="0078584E"/>
    <w:rsid w:val="00785AE1"/>
    <w:rsid w:val="00785B1E"/>
    <w:rsid w:val="00785BE9"/>
    <w:rsid w:val="00785C47"/>
    <w:rsid w:val="00785CB3"/>
    <w:rsid w:val="00785CF8"/>
    <w:rsid w:val="00785D60"/>
    <w:rsid w:val="007862E5"/>
    <w:rsid w:val="007864A4"/>
    <w:rsid w:val="0078657E"/>
    <w:rsid w:val="0078659B"/>
    <w:rsid w:val="007865A4"/>
    <w:rsid w:val="007865E2"/>
    <w:rsid w:val="007869D3"/>
    <w:rsid w:val="007869FC"/>
    <w:rsid w:val="00786BDD"/>
    <w:rsid w:val="00786C0A"/>
    <w:rsid w:val="00786E56"/>
    <w:rsid w:val="00787175"/>
    <w:rsid w:val="00787431"/>
    <w:rsid w:val="00787773"/>
    <w:rsid w:val="00787CE3"/>
    <w:rsid w:val="00787D54"/>
    <w:rsid w:val="00787DD9"/>
    <w:rsid w:val="0079011E"/>
    <w:rsid w:val="007902E0"/>
    <w:rsid w:val="007906C4"/>
    <w:rsid w:val="007907F5"/>
    <w:rsid w:val="00790A76"/>
    <w:rsid w:val="00790B5F"/>
    <w:rsid w:val="00790ED8"/>
    <w:rsid w:val="00790EE2"/>
    <w:rsid w:val="007911AE"/>
    <w:rsid w:val="00791765"/>
    <w:rsid w:val="0079177E"/>
    <w:rsid w:val="00791AA8"/>
    <w:rsid w:val="00791CDC"/>
    <w:rsid w:val="00791E51"/>
    <w:rsid w:val="00792327"/>
    <w:rsid w:val="00792395"/>
    <w:rsid w:val="00792396"/>
    <w:rsid w:val="007924BD"/>
    <w:rsid w:val="00792BDE"/>
    <w:rsid w:val="00792D30"/>
    <w:rsid w:val="00792D8C"/>
    <w:rsid w:val="00792E39"/>
    <w:rsid w:val="0079312F"/>
    <w:rsid w:val="007931B9"/>
    <w:rsid w:val="00793293"/>
    <w:rsid w:val="007932E4"/>
    <w:rsid w:val="007933A8"/>
    <w:rsid w:val="007938AE"/>
    <w:rsid w:val="007938D3"/>
    <w:rsid w:val="00793A6A"/>
    <w:rsid w:val="00793BCF"/>
    <w:rsid w:val="00793C13"/>
    <w:rsid w:val="00793C7B"/>
    <w:rsid w:val="007940EA"/>
    <w:rsid w:val="00794499"/>
    <w:rsid w:val="0079458C"/>
    <w:rsid w:val="007946A1"/>
    <w:rsid w:val="00794782"/>
    <w:rsid w:val="0079493D"/>
    <w:rsid w:val="00794BEF"/>
    <w:rsid w:val="00794EE2"/>
    <w:rsid w:val="00795692"/>
    <w:rsid w:val="00795961"/>
    <w:rsid w:val="00795AE5"/>
    <w:rsid w:val="00795F9A"/>
    <w:rsid w:val="00796562"/>
    <w:rsid w:val="007966FA"/>
    <w:rsid w:val="007967E8"/>
    <w:rsid w:val="0079687E"/>
    <w:rsid w:val="00796C4C"/>
    <w:rsid w:val="00796D9D"/>
    <w:rsid w:val="00796E9B"/>
    <w:rsid w:val="00797677"/>
    <w:rsid w:val="0079791D"/>
    <w:rsid w:val="0079792B"/>
    <w:rsid w:val="00797AB1"/>
    <w:rsid w:val="00797C87"/>
    <w:rsid w:val="00797DAC"/>
    <w:rsid w:val="007A0017"/>
    <w:rsid w:val="007A00C1"/>
    <w:rsid w:val="007A04BE"/>
    <w:rsid w:val="007A05D8"/>
    <w:rsid w:val="007A06E9"/>
    <w:rsid w:val="007A115C"/>
    <w:rsid w:val="007A13D2"/>
    <w:rsid w:val="007A13E5"/>
    <w:rsid w:val="007A1867"/>
    <w:rsid w:val="007A1C20"/>
    <w:rsid w:val="007A1FB2"/>
    <w:rsid w:val="007A20A7"/>
    <w:rsid w:val="007A20C0"/>
    <w:rsid w:val="007A2170"/>
    <w:rsid w:val="007A22BF"/>
    <w:rsid w:val="007A236E"/>
    <w:rsid w:val="007A24E3"/>
    <w:rsid w:val="007A275C"/>
    <w:rsid w:val="007A2BED"/>
    <w:rsid w:val="007A2DBE"/>
    <w:rsid w:val="007A2F1C"/>
    <w:rsid w:val="007A3241"/>
    <w:rsid w:val="007A3323"/>
    <w:rsid w:val="007A33AA"/>
    <w:rsid w:val="007A3AFC"/>
    <w:rsid w:val="007A3DDD"/>
    <w:rsid w:val="007A4034"/>
    <w:rsid w:val="007A41A9"/>
    <w:rsid w:val="007A421B"/>
    <w:rsid w:val="007A4958"/>
    <w:rsid w:val="007A49BD"/>
    <w:rsid w:val="007A4B63"/>
    <w:rsid w:val="007A4BFC"/>
    <w:rsid w:val="007A4EE5"/>
    <w:rsid w:val="007A5101"/>
    <w:rsid w:val="007A52CD"/>
    <w:rsid w:val="007A5304"/>
    <w:rsid w:val="007A54D0"/>
    <w:rsid w:val="007A587D"/>
    <w:rsid w:val="007A5AFA"/>
    <w:rsid w:val="007A5BB2"/>
    <w:rsid w:val="007A5CD8"/>
    <w:rsid w:val="007A5E67"/>
    <w:rsid w:val="007A603C"/>
    <w:rsid w:val="007A63DF"/>
    <w:rsid w:val="007A65F2"/>
    <w:rsid w:val="007A6647"/>
    <w:rsid w:val="007A6A6C"/>
    <w:rsid w:val="007A6B9E"/>
    <w:rsid w:val="007A6C37"/>
    <w:rsid w:val="007A6D6E"/>
    <w:rsid w:val="007A6ED5"/>
    <w:rsid w:val="007A7046"/>
    <w:rsid w:val="007A735B"/>
    <w:rsid w:val="007A74C5"/>
    <w:rsid w:val="007A7DE9"/>
    <w:rsid w:val="007B0937"/>
    <w:rsid w:val="007B0B2B"/>
    <w:rsid w:val="007B0CFF"/>
    <w:rsid w:val="007B0D0F"/>
    <w:rsid w:val="007B0F5C"/>
    <w:rsid w:val="007B11B9"/>
    <w:rsid w:val="007B130C"/>
    <w:rsid w:val="007B142E"/>
    <w:rsid w:val="007B143E"/>
    <w:rsid w:val="007B176E"/>
    <w:rsid w:val="007B1960"/>
    <w:rsid w:val="007B19EB"/>
    <w:rsid w:val="007B1B0B"/>
    <w:rsid w:val="007B1C43"/>
    <w:rsid w:val="007B1C49"/>
    <w:rsid w:val="007B1D62"/>
    <w:rsid w:val="007B1E1D"/>
    <w:rsid w:val="007B1FED"/>
    <w:rsid w:val="007B216F"/>
    <w:rsid w:val="007B2330"/>
    <w:rsid w:val="007B254A"/>
    <w:rsid w:val="007B2879"/>
    <w:rsid w:val="007B2E97"/>
    <w:rsid w:val="007B305E"/>
    <w:rsid w:val="007B3225"/>
    <w:rsid w:val="007B3CA2"/>
    <w:rsid w:val="007B3F8E"/>
    <w:rsid w:val="007B49C0"/>
    <w:rsid w:val="007B4CCE"/>
    <w:rsid w:val="007B4E2B"/>
    <w:rsid w:val="007B5359"/>
    <w:rsid w:val="007B56BC"/>
    <w:rsid w:val="007B56FB"/>
    <w:rsid w:val="007B58AE"/>
    <w:rsid w:val="007B5C03"/>
    <w:rsid w:val="007B5CA4"/>
    <w:rsid w:val="007B60BA"/>
    <w:rsid w:val="007B6585"/>
    <w:rsid w:val="007B659B"/>
    <w:rsid w:val="007B65F2"/>
    <w:rsid w:val="007B672D"/>
    <w:rsid w:val="007B6E1E"/>
    <w:rsid w:val="007B71E1"/>
    <w:rsid w:val="007B72B8"/>
    <w:rsid w:val="007B73E4"/>
    <w:rsid w:val="007B748B"/>
    <w:rsid w:val="007B77E1"/>
    <w:rsid w:val="007B77EB"/>
    <w:rsid w:val="007B785D"/>
    <w:rsid w:val="007B791D"/>
    <w:rsid w:val="007B7983"/>
    <w:rsid w:val="007B79EC"/>
    <w:rsid w:val="007B7A58"/>
    <w:rsid w:val="007B7B33"/>
    <w:rsid w:val="007B7C7C"/>
    <w:rsid w:val="007B7D9F"/>
    <w:rsid w:val="007B7E09"/>
    <w:rsid w:val="007C00CB"/>
    <w:rsid w:val="007C0174"/>
    <w:rsid w:val="007C04FD"/>
    <w:rsid w:val="007C090F"/>
    <w:rsid w:val="007C09CD"/>
    <w:rsid w:val="007C0C04"/>
    <w:rsid w:val="007C0D72"/>
    <w:rsid w:val="007C1807"/>
    <w:rsid w:val="007C1A33"/>
    <w:rsid w:val="007C1A4D"/>
    <w:rsid w:val="007C1B04"/>
    <w:rsid w:val="007C1CA7"/>
    <w:rsid w:val="007C1DC8"/>
    <w:rsid w:val="007C2184"/>
    <w:rsid w:val="007C21B5"/>
    <w:rsid w:val="007C23D8"/>
    <w:rsid w:val="007C2810"/>
    <w:rsid w:val="007C2DA6"/>
    <w:rsid w:val="007C2E52"/>
    <w:rsid w:val="007C2FB0"/>
    <w:rsid w:val="007C344E"/>
    <w:rsid w:val="007C347F"/>
    <w:rsid w:val="007C36E3"/>
    <w:rsid w:val="007C3A31"/>
    <w:rsid w:val="007C3ADF"/>
    <w:rsid w:val="007C3D34"/>
    <w:rsid w:val="007C45C1"/>
    <w:rsid w:val="007C47F6"/>
    <w:rsid w:val="007C4BE1"/>
    <w:rsid w:val="007C4DF7"/>
    <w:rsid w:val="007C4F29"/>
    <w:rsid w:val="007C5326"/>
    <w:rsid w:val="007C54DD"/>
    <w:rsid w:val="007C5660"/>
    <w:rsid w:val="007C5FF4"/>
    <w:rsid w:val="007C60C1"/>
    <w:rsid w:val="007C655F"/>
    <w:rsid w:val="007C6689"/>
    <w:rsid w:val="007C680F"/>
    <w:rsid w:val="007C6924"/>
    <w:rsid w:val="007C6AE0"/>
    <w:rsid w:val="007C6E1C"/>
    <w:rsid w:val="007C70FD"/>
    <w:rsid w:val="007C72EC"/>
    <w:rsid w:val="007C74A2"/>
    <w:rsid w:val="007C7816"/>
    <w:rsid w:val="007C7839"/>
    <w:rsid w:val="007C7955"/>
    <w:rsid w:val="007C7B8D"/>
    <w:rsid w:val="007C7C4B"/>
    <w:rsid w:val="007C7D47"/>
    <w:rsid w:val="007D00F6"/>
    <w:rsid w:val="007D012C"/>
    <w:rsid w:val="007D01D7"/>
    <w:rsid w:val="007D02C2"/>
    <w:rsid w:val="007D0929"/>
    <w:rsid w:val="007D09B1"/>
    <w:rsid w:val="007D1216"/>
    <w:rsid w:val="007D154B"/>
    <w:rsid w:val="007D1779"/>
    <w:rsid w:val="007D1BB7"/>
    <w:rsid w:val="007D1F0B"/>
    <w:rsid w:val="007D2415"/>
    <w:rsid w:val="007D2840"/>
    <w:rsid w:val="007D2900"/>
    <w:rsid w:val="007D2994"/>
    <w:rsid w:val="007D2F6B"/>
    <w:rsid w:val="007D2FCE"/>
    <w:rsid w:val="007D306D"/>
    <w:rsid w:val="007D37B4"/>
    <w:rsid w:val="007D386C"/>
    <w:rsid w:val="007D39AB"/>
    <w:rsid w:val="007D39F9"/>
    <w:rsid w:val="007D3D88"/>
    <w:rsid w:val="007D3DC7"/>
    <w:rsid w:val="007D4087"/>
    <w:rsid w:val="007D437B"/>
    <w:rsid w:val="007D4551"/>
    <w:rsid w:val="007D461E"/>
    <w:rsid w:val="007D4849"/>
    <w:rsid w:val="007D48D4"/>
    <w:rsid w:val="007D4933"/>
    <w:rsid w:val="007D4D8A"/>
    <w:rsid w:val="007D4F78"/>
    <w:rsid w:val="007D50F0"/>
    <w:rsid w:val="007D53DC"/>
    <w:rsid w:val="007D54CF"/>
    <w:rsid w:val="007D569A"/>
    <w:rsid w:val="007D5FB8"/>
    <w:rsid w:val="007D697D"/>
    <w:rsid w:val="007D6D2B"/>
    <w:rsid w:val="007D6DBF"/>
    <w:rsid w:val="007D6ED2"/>
    <w:rsid w:val="007D6F2A"/>
    <w:rsid w:val="007D7ADF"/>
    <w:rsid w:val="007E018A"/>
    <w:rsid w:val="007E01A2"/>
    <w:rsid w:val="007E0749"/>
    <w:rsid w:val="007E079E"/>
    <w:rsid w:val="007E0842"/>
    <w:rsid w:val="007E0BC1"/>
    <w:rsid w:val="007E0E75"/>
    <w:rsid w:val="007E0EC3"/>
    <w:rsid w:val="007E0F8D"/>
    <w:rsid w:val="007E1013"/>
    <w:rsid w:val="007E1331"/>
    <w:rsid w:val="007E140D"/>
    <w:rsid w:val="007E168D"/>
    <w:rsid w:val="007E16C5"/>
    <w:rsid w:val="007E18D8"/>
    <w:rsid w:val="007E196C"/>
    <w:rsid w:val="007E1987"/>
    <w:rsid w:val="007E1A5C"/>
    <w:rsid w:val="007E1CDA"/>
    <w:rsid w:val="007E1D17"/>
    <w:rsid w:val="007E21B4"/>
    <w:rsid w:val="007E21E6"/>
    <w:rsid w:val="007E28CC"/>
    <w:rsid w:val="007E2BE4"/>
    <w:rsid w:val="007E2BED"/>
    <w:rsid w:val="007E2C24"/>
    <w:rsid w:val="007E2EBF"/>
    <w:rsid w:val="007E2EE7"/>
    <w:rsid w:val="007E315A"/>
    <w:rsid w:val="007E31C0"/>
    <w:rsid w:val="007E3B59"/>
    <w:rsid w:val="007E3DAA"/>
    <w:rsid w:val="007E401C"/>
    <w:rsid w:val="007E4942"/>
    <w:rsid w:val="007E4BD2"/>
    <w:rsid w:val="007E546F"/>
    <w:rsid w:val="007E5781"/>
    <w:rsid w:val="007E58E2"/>
    <w:rsid w:val="007E5B06"/>
    <w:rsid w:val="007E6817"/>
    <w:rsid w:val="007E70DA"/>
    <w:rsid w:val="007E7276"/>
    <w:rsid w:val="007E7338"/>
    <w:rsid w:val="007E743C"/>
    <w:rsid w:val="007E7FBC"/>
    <w:rsid w:val="007F00E4"/>
    <w:rsid w:val="007F01DF"/>
    <w:rsid w:val="007F02E4"/>
    <w:rsid w:val="007F09AF"/>
    <w:rsid w:val="007F09D3"/>
    <w:rsid w:val="007F10D4"/>
    <w:rsid w:val="007F179E"/>
    <w:rsid w:val="007F1903"/>
    <w:rsid w:val="007F1A31"/>
    <w:rsid w:val="007F1BB3"/>
    <w:rsid w:val="007F1C17"/>
    <w:rsid w:val="007F1E4D"/>
    <w:rsid w:val="007F24FF"/>
    <w:rsid w:val="007F2850"/>
    <w:rsid w:val="007F2A73"/>
    <w:rsid w:val="007F2D28"/>
    <w:rsid w:val="007F2E80"/>
    <w:rsid w:val="007F2EDF"/>
    <w:rsid w:val="007F30EA"/>
    <w:rsid w:val="007F3113"/>
    <w:rsid w:val="007F3255"/>
    <w:rsid w:val="007F34CA"/>
    <w:rsid w:val="007F3641"/>
    <w:rsid w:val="007F3643"/>
    <w:rsid w:val="007F38E2"/>
    <w:rsid w:val="007F40A8"/>
    <w:rsid w:val="007F4392"/>
    <w:rsid w:val="007F475B"/>
    <w:rsid w:val="007F523F"/>
    <w:rsid w:val="007F5241"/>
    <w:rsid w:val="007F5465"/>
    <w:rsid w:val="007F56EF"/>
    <w:rsid w:val="007F576A"/>
    <w:rsid w:val="007F5900"/>
    <w:rsid w:val="007F5C00"/>
    <w:rsid w:val="007F5CB7"/>
    <w:rsid w:val="007F5CCE"/>
    <w:rsid w:val="007F61B0"/>
    <w:rsid w:val="007F665D"/>
    <w:rsid w:val="007F67B9"/>
    <w:rsid w:val="007F6BEA"/>
    <w:rsid w:val="007F7132"/>
    <w:rsid w:val="007F746B"/>
    <w:rsid w:val="007F7A43"/>
    <w:rsid w:val="007F7E24"/>
    <w:rsid w:val="007F7FAE"/>
    <w:rsid w:val="0080015A"/>
    <w:rsid w:val="008007EA"/>
    <w:rsid w:val="00800CB9"/>
    <w:rsid w:val="00800D9D"/>
    <w:rsid w:val="00800DF8"/>
    <w:rsid w:val="00800FCA"/>
    <w:rsid w:val="00801121"/>
    <w:rsid w:val="00801393"/>
    <w:rsid w:val="008016C9"/>
    <w:rsid w:val="00801A2B"/>
    <w:rsid w:val="00801A9B"/>
    <w:rsid w:val="00801C46"/>
    <w:rsid w:val="00801F0F"/>
    <w:rsid w:val="0080206C"/>
    <w:rsid w:val="00802134"/>
    <w:rsid w:val="008022D6"/>
    <w:rsid w:val="00802598"/>
    <w:rsid w:val="00802D4F"/>
    <w:rsid w:val="00802F88"/>
    <w:rsid w:val="0080303F"/>
    <w:rsid w:val="00803724"/>
    <w:rsid w:val="00803BCB"/>
    <w:rsid w:val="00803DA4"/>
    <w:rsid w:val="008041AA"/>
    <w:rsid w:val="00804236"/>
    <w:rsid w:val="00804435"/>
    <w:rsid w:val="0080450E"/>
    <w:rsid w:val="00804577"/>
    <w:rsid w:val="00804908"/>
    <w:rsid w:val="00804E88"/>
    <w:rsid w:val="00804ED6"/>
    <w:rsid w:val="00805284"/>
    <w:rsid w:val="008052CE"/>
    <w:rsid w:val="00805912"/>
    <w:rsid w:val="00805A0C"/>
    <w:rsid w:val="00805E06"/>
    <w:rsid w:val="00805EBF"/>
    <w:rsid w:val="00805F07"/>
    <w:rsid w:val="0080613A"/>
    <w:rsid w:val="00806574"/>
    <w:rsid w:val="008065D7"/>
    <w:rsid w:val="00806A7E"/>
    <w:rsid w:val="00806BD8"/>
    <w:rsid w:val="00806E47"/>
    <w:rsid w:val="00806E70"/>
    <w:rsid w:val="008074CC"/>
    <w:rsid w:val="0080760B"/>
    <w:rsid w:val="008076D1"/>
    <w:rsid w:val="0080776F"/>
    <w:rsid w:val="00807DA5"/>
    <w:rsid w:val="00807DA6"/>
    <w:rsid w:val="00810005"/>
    <w:rsid w:val="0081001E"/>
    <w:rsid w:val="0081030A"/>
    <w:rsid w:val="00810536"/>
    <w:rsid w:val="008106AE"/>
    <w:rsid w:val="0081089B"/>
    <w:rsid w:val="00810B17"/>
    <w:rsid w:val="00810D44"/>
    <w:rsid w:val="00810DB4"/>
    <w:rsid w:val="0081107B"/>
    <w:rsid w:val="008110C8"/>
    <w:rsid w:val="008113A0"/>
    <w:rsid w:val="008113AA"/>
    <w:rsid w:val="00811A38"/>
    <w:rsid w:val="00811A54"/>
    <w:rsid w:val="00811D69"/>
    <w:rsid w:val="008128EE"/>
    <w:rsid w:val="0081293E"/>
    <w:rsid w:val="00812B0E"/>
    <w:rsid w:val="00812CDF"/>
    <w:rsid w:val="00812CF3"/>
    <w:rsid w:val="00813571"/>
    <w:rsid w:val="0081368A"/>
    <w:rsid w:val="0081378D"/>
    <w:rsid w:val="008139BC"/>
    <w:rsid w:val="00813A98"/>
    <w:rsid w:val="00813E49"/>
    <w:rsid w:val="0081401A"/>
    <w:rsid w:val="00814035"/>
    <w:rsid w:val="00814080"/>
    <w:rsid w:val="00814698"/>
    <w:rsid w:val="00814E3B"/>
    <w:rsid w:val="00815465"/>
    <w:rsid w:val="0081575F"/>
    <w:rsid w:val="00815768"/>
    <w:rsid w:val="00815AAA"/>
    <w:rsid w:val="00815AF9"/>
    <w:rsid w:val="00815DEF"/>
    <w:rsid w:val="0081634A"/>
    <w:rsid w:val="00816431"/>
    <w:rsid w:val="008164C0"/>
    <w:rsid w:val="008164FC"/>
    <w:rsid w:val="00816512"/>
    <w:rsid w:val="00816720"/>
    <w:rsid w:val="008169F2"/>
    <w:rsid w:val="008169FF"/>
    <w:rsid w:val="00816A7A"/>
    <w:rsid w:val="00816D19"/>
    <w:rsid w:val="00816DEB"/>
    <w:rsid w:val="00816E15"/>
    <w:rsid w:val="008176A2"/>
    <w:rsid w:val="00817747"/>
    <w:rsid w:val="00817856"/>
    <w:rsid w:val="00817B69"/>
    <w:rsid w:val="00817C21"/>
    <w:rsid w:val="00817C2F"/>
    <w:rsid w:val="00817DC5"/>
    <w:rsid w:val="00817E9A"/>
    <w:rsid w:val="00820429"/>
    <w:rsid w:val="008208B1"/>
    <w:rsid w:val="0082133B"/>
    <w:rsid w:val="008213F2"/>
    <w:rsid w:val="008214BB"/>
    <w:rsid w:val="008215A7"/>
    <w:rsid w:val="008218C3"/>
    <w:rsid w:val="00821DF2"/>
    <w:rsid w:val="00821F82"/>
    <w:rsid w:val="00821FE6"/>
    <w:rsid w:val="008220B0"/>
    <w:rsid w:val="0082287C"/>
    <w:rsid w:val="008228D5"/>
    <w:rsid w:val="008228DF"/>
    <w:rsid w:val="00822C63"/>
    <w:rsid w:val="00822FD5"/>
    <w:rsid w:val="008233F0"/>
    <w:rsid w:val="0082357D"/>
    <w:rsid w:val="0082362D"/>
    <w:rsid w:val="00823B3E"/>
    <w:rsid w:val="00823D24"/>
    <w:rsid w:val="0082407F"/>
    <w:rsid w:val="00824156"/>
    <w:rsid w:val="0082418B"/>
    <w:rsid w:val="008241CB"/>
    <w:rsid w:val="008241ED"/>
    <w:rsid w:val="00824537"/>
    <w:rsid w:val="0082490F"/>
    <w:rsid w:val="00824953"/>
    <w:rsid w:val="008249BC"/>
    <w:rsid w:val="00824BC7"/>
    <w:rsid w:val="00824FDF"/>
    <w:rsid w:val="00825584"/>
    <w:rsid w:val="00825933"/>
    <w:rsid w:val="008259AA"/>
    <w:rsid w:val="00825DC8"/>
    <w:rsid w:val="00825EC1"/>
    <w:rsid w:val="00826E63"/>
    <w:rsid w:val="00826F2E"/>
    <w:rsid w:val="00827201"/>
    <w:rsid w:val="00827958"/>
    <w:rsid w:val="00827C0E"/>
    <w:rsid w:val="00827C8C"/>
    <w:rsid w:val="00827CDA"/>
    <w:rsid w:val="00827CE3"/>
    <w:rsid w:val="00827D1D"/>
    <w:rsid w:val="00827DD6"/>
    <w:rsid w:val="00827EA0"/>
    <w:rsid w:val="00827F30"/>
    <w:rsid w:val="00827F8F"/>
    <w:rsid w:val="00827FF4"/>
    <w:rsid w:val="008300DD"/>
    <w:rsid w:val="0083056A"/>
    <w:rsid w:val="00830630"/>
    <w:rsid w:val="00830694"/>
    <w:rsid w:val="008306BD"/>
    <w:rsid w:val="00830ADD"/>
    <w:rsid w:val="00830C96"/>
    <w:rsid w:val="00830EE7"/>
    <w:rsid w:val="00830FD1"/>
    <w:rsid w:val="008310B0"/>
    <w:rsid w:val="0083134B"/>
    <w:rsid w:val="00831676"/>
    <w:rsid w:val="008316C4"/>
    <w:rsid w:val="008318C6"/>
    <w:rsid w:val="00831A80"/>
    <w:rsid w:val="00831EAC"/>
    <w:rsid w:val="00831F9B"/>
    <w:rsid w:val="00832050"/>
    <w:rsid w:val="008320E5"/>
    <w:rsid w:val="00832191"/>
    <w:rsid w:val="008326FD"/>
    <w:rsid w:val="00832947"/>
    <w:rsid w:val="00832CC7"/>
    <w:rsid w:val="00832E1F"/>
    <w:rsid w:val="00833244"/>
    <w:rsid w:val="00833506"/>
    <w:rsid w:val="00833539"/>
    <w:rsid w:val="00833722"/>
    <w:rsid w:val="00833743"/>
    <w:rsid w:val="00833A15"/>
    <w:rsid w:val="00833C76"/>
    <w:rsid w:val="008340A4"/>
    <w:rsid w:val="008340E2"/>
    <w:rsid w:val="008341A8"/>
    <w:rsid w:val="008343A3"/>
    <w:rsid w:val="008343F8"/>
    <w:rsid w:val="0083476F"/>
    <w:rsid w:val="00834BA2"/>
    <w:rsid w:val="00834BB2"/>
    <w:rsid w:val="00834D57"/>
    <w:rsid w:val="00834F6D"/>
    <w:rsid w:val="0083531C"/>
    <w:rsid w:val="008356C6"/>
    <w:rsid w:val="00835BD2"/>
    <w:rsid w:val="00835CE5"/>
    <w:rsid w:val="00835F3A"/>
    <w:rsid w:val="0083618F"/>
    <w:rsid w:val="00836363"/>
    <w:rsid w:val="008363AE"/>
    <w:rsid w:val="008364B8"/>
    <w:rsid w:val="008365EB"/>
    <w:rsid w:val="00836654"/>
    <w:rsid w:val="00836722"/>
    <w:rsid w:val="0083674F"/>
    <w:rsid w:val="008367ED"/>
    <w:rsid w:val="00836B4E"/>
    <w:rsid w:val="00836BAE"/>
    <w:rsid w:val="008370F1"/>
    <w:rsid w:val="0083747C"/>
    <w:rsid w:val="008374B0"/>
    <w:rsid w:val="00837702"/>
    <w:rsid w:val="0083778D"/>
    <w:rsid w:val="0083778F"/>
    <w:rsid w:val="00837899"/>
    <w:rsid w:val="00837AA4"/>
    <w:rsid w:val="0084008E"/>
    <w:rsid w:val="0084020C"/>
    <w:rsid w:val="00840361"/>
    <w:rsid w:val="00840399"/>
    <w:rsid w:val="00840996"/>
    <w:rsid w:val="00840DA5"/>
    <w:rsid w:val="00841010"/>
    <w:rsid w:val="00841232"/>
    <w:rsid w:val="008414A5"/>
    <w:rsid w:val="00841688"/>
    <w:rsid w:val="00841D6C"/>
    <w:rsid w:val="00841DEC"/>
    <w:rsid w:val="00841E4D"/>
    <w:rsid w:val="008427E4"/>
    <w:rsid w:val="00842810"/>
    <w:rsid w:val="008428C3"/>
    <w:rsid w:val="00842A4A"/>
    <w:rsid w:val="00842D5F"/>
    <w:rsid w:val="008430B6"/>
    <w:rsid w:val="00843461"/>
    <w:rsid w:val="00843762"/>
    <w:rsid w:val="00843D08"/>
    <w:rsid w:val="00843F19"/>
    <w:rsid w:val="00844023"/>
    <w:rsid w:val="008448D7"/>
    <w:rsid w:val="00844A47"/>
    <w:rsid w:val="00844F84"/>
    <w:rsid w:val="008451E3"/>
    <w:rsid w:val="00845415"/>
    <w:rsid w:val="00845561"/>
    <w:rsid w:val="00845745"/>
    <w:rsid w:val="008458FF"/>
    <w:rsid w:val="00845AC4"/>
    <w:rsid w:val="00845B63"/>
    <w:rsid w:val="00845ED3"/>
    <w:rsid w:val="00845F0B"/>
    <w:rsid w:val="00845FF0"/>
    <w:rsid w:val="0084652D"/>
    <w:rsid w:val="00846C81"/>
    <w:rsid w:val="00846E0C"/>
    <w:rsid w:val="008472E3"/>
    <w:rsid w:val="0084756E"/>
    <w:rsid w:val="008476FB"/>
    <w:rsid w:val="00847760"/>
    <w:rsid w:val="00847AD3"/>
    <w:rsid w:val="00847D16"/>
    <w:rsid w:val="008501D0"/>
    <w:rsid w:val="008504A1"/>
    <w:rsid w:val="0085058A"/>
    <w:rsid w:val="008506AC"/>
    <w:rsid w:val="00850970"/>
    <w:rsid w:val="00850A82"/>
    <w:rsid w:val="00851001"/>
    <w:rsid w:val="00851168"/>
    <w:rsid w:val="008511C7"/>
    <w:rsid w:val="0085172C"/>
    <w:rsid w:val="008517CE"/>
    <w:rsid w:val="0085182D"/>
    <w:rsid w:val="00851854"/>
    <w:rsid w:val="00851C1A"/>
    <w:rsid w:val="00851C54"/>
    <w:rsid w:val="00851D1C"/>
    <w:rsid w:val="00851D2F"/>
    <w:rsid w:val="008520EC"/>
    <w:rsid w:val="00852365"/>
    <w:rsid w:val="008525CF"/>
    <w:rsid w:val="0085260A"/>
    <w:rsid w:val="0085297D"/>
    <w:rsid w:val="00852AED"/>
    <w:rsid w:val="00852CBE"/>
    <w:rsid w:val="00853219"/>
    <w:rsid w:val="00853265"/>
    <w:rsid w:val="008533E6"/>
    <w:rsid w:val="00853662"/>
    <w:rsid w:val="008537CE"/>
    <w:rsid w:val="00853DC5"/>
    <w:rsid w:val="00853F5E"/>
    <w:rsid w:val="008541C8"/>
    <w:rsid w:val="008547D6"/>
    <w:rsid w:val="008547D7"/>
    <w:rsid w:val="00854F76"/>
    <w:rsid w:val="008554FB"/>
    <w:rsid w:val="00855717"/>
    <w:rsid w:val="008557AB"/>
    <w:rsid w:val="00855A6F"/>
    <w:rsid w:val="00855BCD"/>
    <w:rsid w:val="008561F6"/>
    <w:rsid w:val="0085665E"/>
    <w:rsid w:val="00856F7B"/>
    <w:rsid w:val="0085717D"/>
    <w:rsid w:val="0085750B"/>
    <w:rsid w:val="0085774A"/>
    <w:rsid w:val="00857B9E"/>
    <w:rsid w:val="00857BB0"/>
    <w:rsid w:val="00857E7A"/>
    <w:rsid w:val="008606A2"/>
    <w:rsid w:val="008608E7"/>
    <w:rsid w:val="0086094D"/>
    <w:rsid w:val="00860A3F"/>
    <w:rsid w:val="0086105F"/>
    <w:rsid w:val="00861119"/>
    <w:rsid w:val="008615EB"/>
    <w:rsid w:val="00861804"/>
    <w:rsid w:val="00861DA7"/>
    <w:rsid w:val="008620D7"/>
    <w:rsid w:val="0086223C"/>
    <w:rsid w:val="008623B8"/>
    <w:rsid w:val="008623B9"/>
    <w:rsid w:val="008626D1"/>
    <w:rsid w:val="008627F4"/>
    <w:rsid w:val="00862C18"/>
    <w:rsid w:val="00862D32"/>
    <w:rsid w:val="0086353D"/>
    <w:rsid w:val="00863638"/>
    <w:rsid w:val="00863830"/>
    <w:rsid w:val="00863989"/>
    <w:rsid w:val="00863AC7"/>
    <w:rsid w:val="00863EB0"/>
    <w:rsid w:val="00864164"/>
    <w:rsid w:val="008641D1"/>
    <w:rsid w:val="008642B0"/>
    <w:rsid w:val="00864361"/>
    <w:rsid w:val="008647F6"/>
    <w:rsid w:val="00864989"/>
    <w:rsid w:val="00864C34"/>
    <w:rsid w:val="00865078"/>
    <w:rsid w:val="00865177"/>
    <w:rsid w:val="0086555E"/>
    <w:rsid w:val="0086575B"/>
    <w:rsid w:val="00865A18"/>
    <w:rsid w:val="00865CBA"/>
    <w:rsid w:val="00865D0E"/>
    <w:rsid w:val="00865DB3"/>
    <w:rsid w:val="00865DDE"/>
    <w:rsid w:val="0086615D"/>
    <w:rsid w:val="00866184"/>
    <w:rsid w:val="0086677C"/>
    <w:rsid w:val="00866D10"/>
    <w:rsid w:val="0086716B"/>
    <w:rsid w:val="00867647"/>
    <w:rsid w:val="008676E9"/>
    <w:rsid w:val="0086782C"/>
    <w:rsid w:val="00867989"/>
    <w:rsid w:val="008679EE"/>
    <w:rsid w:val="008701CF"/>
    <w:rsid w:val="0087060D"/>
    <w:rsid w:val="0087076B"/>
    <w:rsid w:val="00870A8F"/>
    <w:rsid w:val="00870B03"/>
    <w:rsid w:val="00870BFC"/>
    <w:rsid w:val="00870C7E"/>
    <w:rsid w:val="00870CDA"/>
    <w:rsid w:val="008711E4"/>
    <w:rsid w:val="0087135F"/>
    <w:rsid w:val="00871565"/>
    <w:rsid w:val="00871847"/>
    <w:rsid w:val="008718BA"/>
    <w:rsid w:val="00871AAD"/>
    <w:rsid w:val="00871B03"/>
    <w:rsid w:val="00871B33"/>
    <w:rsid w:val="00871C81"/>
    <w:rsid w:val="00871EC2"/>
    <w:rsid w:val="0087210E"/>
    <w:rsid w:val="00872269"/>
    <w:rsid w:val="00872912"/>
    <w:rsid w:val="00872A89"/>
    <w:rsid w:val="00872B6D"/>
    <w:rsid w:val="00872D94"/>
    <w:rsid w:val="0087305E"/>
    <w:rsid w:val="00873142"/>
    <w:rsid w:val="008734C4"/>
    <w:rsid w:val="008734CB"/>
    <w:rsid w:val="008734E3"/>
    <w:rsid w:val="008738BA"/>
    <w:rsid w:val="008739E9"/>
    <w:rsid w:val="00873F00"/>
    <w:rsid w:val="00874229"/>
    <w:rsid w:val="00874544"/>
    <w:rsid w:val="00874660"/>
    <w:rsid w:val="0087474F"/>
    <w:rsid w:val="008747D8"/>
    <w:rsid w:val="0087488A"/>
    <w:rsid w:val="00874FFB"/>
    <w:rsid w:val="0087563F"/>
    <w:rsid w:val="00875760"/>
    <w:rsid w:val="00875E8F"/>
    <w:rsid w:val="0087659D"/>
    <w:rsid w:val="00876817"/>
    <w:rsid w:val="008768F4"/>
    <w:rsid w:val="0087715F"/>
    <w:rsid w:val="0087722A"/>
    <w:rsid w:val="008774A3"/>
    <w:rsid w:val="008775B1"/>
    <w:rsid w:val="00877B72"/>
    <w:rsid w:val="00877BB7"/>
    <w:rsid w:val="00877D6A"/>
    <w:rsid w:val="00877F77"/>
    <w:rsid w:val="00880364"/>
    <w:rsid w:val="0088044A"/>
    <w:rsid w:val="00880461"/>
    <w:rsid w:val="00880575"/>
    <w:rsid w:val="00880634"/>
    <w:rsid w:val="0088076F"/>
    <w:rsid w:val="008809EE"/>
    <w:rsid w:val="0088113F"/>
    <w:rsid w:val="00881230"/>
    <w:rsid w:val="00881533"/>
    <w:rsid w:val="008816E5"/>
    <w:rsid w:val="0088182B"/>
    <w:rsid w:val="00881EFA"/>
    <w:rsid w:val="00882C3B"/>
    <w:rsid w:val="00882CBA"/>
    <w:rsid w:val="00883198"/>
    <w:rsid w:val="008831B1"/>
    <w:rsid w:val="008832BE"/>
    <w:rsid w:val="00883B79"/>
    <w:rsid w:val="00883D1A"/>
    <w:rsid w:val="00883FDB"/>
    <w:rsid w:val="00884177"/>
    <w:rsid w:val="008842E9"/>
    <w:rsid w:val="0088435D"/>
    <w:rsid w:val="008847BE"/>
    <w:rsid w:val="00884B15"/>
    <w:rsid w:val="00884E8A"/>
    <w:rsid w:val="00884F60"/>
    <w:rsid w:val="00884FD5"/>
    <w:rsid w:val="00884FDE"/>
    <w:rsid w:val="0088529F"/>
    <w:rsid w:val="00885545"/>
    <w:rsid w:val="00885817"/>
    <w:rsid w:val="00885BA8"/>
    <w:rsid w:val="00885C53"/>
    <w:rsid w:val="00885C56"/>
    <w:rsid w:val="00885D98"/>
    <w:rsid w:val="00885FA1"/>
    <w:rsid w:val="00885FB8"/>
    <w:rsid w:val="008861B1"/>
    <w:rsid w:val="008863F9"/>
    <w:rsid w:val="0088671E"/>
    <w:rsid w:val="00886A94"/>
    <w:rsid w:val="00886BBF"/>
    <w:rsid w:val="00886DFF"/>
    <w:rsid w:val="00887197"/>
    <w:rsid w:val="008871D8"/>
    <w:rsid w:val="0088736E"/>
    <w:rsid w:val="008873D5"/>
    <w:rsid w:val="00887983"/>
    <w:rsid w:val="00887B13"/>
    <w:rsid w:val="00887D0E"/>
    <w:rsid w:val="00890656"/>
    <w:rsid w:val="008906D6"/>
    <w:rsid w:val="0089088F"/>
    <w:rsid w:val="00890911"/>
    <w:rsid w:val="00890E71"/>
    <w:rsid w:val="00890ECB"/>
    <w:rsid w:val="00890F4C"/>
    <w:rsid w:val="008910F4"/>
    <w:rsid w:val="00891592"/>
    <w:rsid w:val="00891619"/>
    <w:rsid w:val="0089161B"/>
    <w:rsid w:val="0089177A"/>
    <w:rsid w:val="0089184E"/>
    <w:rsid w:val="008918A8"/>
    <w:rsid w:val="00891A4E"/>
    <w:rsid w:val="00891DBA"/>
    <w:rsid w:val="00891E9E"/>
    <w:rsid w:val="00891EF4"/>
    <w:rsid w:val="00891FC9"/>
    <w:rsid w:val="00892288"/>
    <w:rsid w:val="00892389"/>
    <w:rsid w:val="008923A1"/>
    <w:rsid w:val="008924AE"/>
    <w:rsid w:val="0089271D"/>
    <w:rsid w:val="00892AC6"/>
    <w:rsid w:val="0089315D"/>
    <w:rsid w:val="00893855"/>
    <w:rsid w:val="0089398D"/>
    <w:rsid w:val="00893F27"/>
    <w:rsid w:val="00894A48"/>
    <w:rsid w:val="00894A53"/>
    <w:rsid w:val="00895348"/>
    <w:rsid w:val="008953DD"/>
    <w:rsid w:val="008953EA"/>
    <w:rsid w:val="00895604"/>
    <w:rsid w:val="00895667"/>
    <w:rsid w:val="00895A15"/>
    <w:rsid w:val="00895B4B"/>
    <w:rsid w:val="00895C25"/>
    <w:rsid w:val="00895E20"/>
    <w:rsid w:val="008961F6"/>
    <w:rsid w:val="00896271"/>
    <w:rsid w:val="00896570"/>
    <w:rsid w:val="00896858"/>
    <w:rsid w:val="00896AA0"/>
    <w:rsid w:val="00896D30"/>
    <w:rsid w:val="00896DD4"/>
    <w:rsid w:val="00896FDD"/>
    <w:rsid w:val="008971D4"/>
    <w:rsid w:val="0089723F"/>
    <w:rsid w:val="008976C9"/>
    <w:rsid w:val="00897742"/>
    <w:rsid w:val="00897807"/>
    <w:rsid w:val="00897D52"/>
    <w:rsid w:val="00897DEE"/>
    <w:rsid w:val="00897FCD"/>
    <w:rsid w:val="008A04FB"/>
    <w:rsid w:val="008A0555"/>
    <w:rsid w:val="008A05D3"/>
    <w:rsid w:val="008A0CAC"/>
    <w:rsid w:val="008A0D78"/>
    <w:rsid w:val="008A108A"/>
    <w:rsid w:val="008A1347"/>
    <w:rsid w:val="008A19E2"/>
    <w:rsid w:val="008A1E0D"/>
    <w:rsid w:val="008A2140"/>
    <w:rsid w:val="008A2187"/>
    <w:rsid w:val="008A2339"/>
    <w:rsid w:val="008A236C"/>
    <w:rsid w:val="008A262C"/>
    <w:rsid w:val="008A2911"/>
    <w:rsid w:val="008A2968"/>
    <w:rsid w:val="008A2A94"/>
    <w:rsid w:val="008A2BB3"/>
    <w:rsid w:val="008A2E70"/>
    <w:rsid w:val="008A2EA9"/>
    <w:rsid w:val="008A2F68"/>
    <w:rsid w:val="008A33D5"/>
    <w:rsid w:val="008A37D2"/>
    <w:rsid w:val="008A3AD5"/>
    <w:rsid w:val="008A3EBC"/>
    <w:rsid w:val="008A4108"/>
    <w:rsid w:val="008A43DD"/>
    <w:rsid w:val="008A45FD"/>
    <w:rsid w:val="008A4753"/>
    <w:rsid w:val="008A47C7"/>
    <w:rsid w:val="008A48A5"/>
    <w:rsid w:val="008A490D"/>
    <w:rsid w:val="008A4D5C"/>
    <w:rsid w:val="008A5527"/>
    <w:rsid w:val="008A578E"/>
    <w:rsid w:val="008A5A40"/>
    <w:rsid w:val="008A5C69"/>
    <w:rsid w:val="008A5EF6"/>
    <w:rsid w:val="008A6065"/>
    <w:rsid w:val="008A606C"/>
    <w:rsid w:val="008A612D"/>
    <w:rsid w:val="008A6158"/>
    <w:rsid w:val="008A633E"/>
    <w:rsid w:val="008A6402"/>
    <w:rsid w:val="008A64EF"/>
    <w:rsid w:val="008A6535"/>
    <w:rsid w:val="008A6929"/>
    <w:rsid w:val="008A6FCB"/>
    <w:rsid w:val="008A7821"/>
    <w:rsid w:val="008A7A0D"/>
    <w:rsid w:val="008B0085"/>
    <w:rsid w:val="008B0106"/>
    <w:rsid w:val="008B01CD"/>
    <w:rsid w:val="008B0DBB"/>
    <w:rsid w:val="008B0E8B"/>
    <w:rsid w:val="008B0EF0"/>
    <w:rsid w:val="008B0FFA"/>
    <w:rsid w:val="008B10B5"/>
    <w:rsid w:val="008B128D"/>
    <w:rsid w:val="008B1447"/>
    <w:rsid w:val="008B14D4"/>
    <w:rsid w:val="008B18F0"/>
    <w:rsid w:val="008B1B3F"/>
    <w:rsid w:val="008B1D22"/>
    <w:rsid w:val="008B1FB8"/>
    <w:rsid w:val="008B20A4"/>
    <w:rsid w:val="008B2191"/>
    <w:rsid w:val="008B21C7"/>
    <w:rsid w:val="008B2306"/>
    <w:rsid w:val="008B2313"/>
    <w:rsid w:val="008B233E"/>
    <w:rsid w:val="008B258A"/>
    <w:rsid w:val="008B2BA7"/>
    <w:rsid w:val="008B2E5A"/>
    <w:rsid w:val="008B2E66"/>
    <w:rsid w:val="008B315E"/>
    <w:rsid w:val="008B3178"/>
    <w:rsid w:val="008B32BE"/>
    <w:rsid w:val="008B3638"/>
    <w:rsid w:val="008B38F9"/>
    <w:rsid w:val="008B3C52"/>
    <w:rsid w:val="008B40DF"/>
    <w:rsid w:val="008B42A8"/>
    <w:rsid w:val="008B4954"/>
    <w:rsid w:val="008B4BAC"/>
    <w:rsid w:val="008B4F22"/>
    <w:rsid w:val="008B4FA6"/>
    <w:rsid w:val="008B5183"/>
    <w:rsid w:val="008B5230"/>
    <w:rsid w:val="008B5282"/>
    <w:rsid w:val="008B528E"/>
    <w:rsid w:val="008B57DE"/>
    <w:rsid w:val="008B5D2C"/>
    <w:rsid w:val="008B6530"/>
    <w:rsid w:val="008B66F7"/>
    <w:rsid w:val="008B68B1"/>
    <w:rsid w:val="008B6972"/>
    <w:rsid w:val="008B6A7E"/>
    <w:rsid w:val="008B6E34"/>
    <w:rsid w:val="008B7010"/>
    <w:rsid w:val="008B722E"/>
    <w:rsid w:val="008B72AE"/>
    <w:rsid w:val="008B74A0"/>
    <w:rsid w:val="008B783A"/>
    <w:rsid w:val="008B7C17"/>
    <w:rsid w:val="008B7C6D"/>
    <w:rsid w:val="008B7EB9"/>
    <w:rsid w:val="008B7F30"/>
    <w:rsid w:val="008C00A6"/>
    <w:rsid w:val="008C036E"/>
    <w:rsid w:val="008C055F"/>
    <w:rsid w:val="008C0918"/>
    <w:rsid w:val="008C0C3B"/>
    <w:rsid w:val="008C0F8A"/>
    <w:rsid w:val="008C1125"/>
    <w:rsid w:val="008C1542"/>
    <w:rsid w:val="008C1728"/>
    <w:rsid w:val="008C1903"/>
    <w:rsid w:val="008C1B0B"/>
    <w:rsid w:val="008C1B3A"/>
    <w:rsid w:val="008C1C6C"/>
    <w:rsid w:val="008C1CCD"/>
    <w:rsid w:val="008C1F2C"/>
    <w:rsid w:val="008C1FAE"/>
    <w:rsid w:val="008C20EB"/>
    <w:rsid w:val="008C2269"/>
    <w:rsid w:val="008C27BD"/>
    <w:rsid w:val="008C28A4"/>
    <w:rsid w:val="008C2B3A"/>
    <w:rsid w:val="008C2C71"/>
    <w:rsid w:val="008C2D01"/>
    <w:rsid w:val="008C2D6E"/>
    <w:rsid w:val="008C2E92"/>
    <w:rsid w:val="008C306D"/>
    <w:rsid w:val="008C32F9"/>
    <w:rsid w:val="008C3374"/>
    <w:rsid w:val="008C3441"/>
    <w:rsid w:val="008C3443"/>
    <w:rsid w:val="008C34A0"/>
    <w:rsid w:val="008C3AEE"/>
    <w:rsid w:val="008C3CB8"/>
    <w:rsid w:val="008C40E6"/>
    <w:rsid w:val="008C43F9"/>
    <w:rsid w:val="008C50D7"/>
    <w:rsid w:val="008C5105"/>
    <w:rsid w:val="008C5829"/>
    <w:rsid w:val="008C5845"/>
    <w:rsid w:val="008C5CDA"/>
    <w:rsid w:val="008C5E6A"/>
    <w:rsid w:val="008C647F"/>
    <w:rsid w:val="008C67F5"/>
    <w:rsid w:val="008C68F8"/>
    <w:rsid w:val="008C6A1A"/>
    <w:rsid w:val="008C6F61"/>
    <w:rsid w:val="008C73AC"/>
    <w:rsid w:val="008C75C0"/>
    <w:rsid w:val="008C75F3"/>
    <w:rsid w:val="008C7685"/>
    <w:rsid w:val="008C77D5"/>
    <w:rsid w:val="008C792E"/>
    <w:rsid w:val="008C7C7D"/>
    <w:rsid w:val="008C7F4F"/>
    <w:rsid w:val="008D00EA"/>
    <w:rsid w:val="008D03D6"/>
    <w:rsid w:val="008D077F"/>
    <w:rsid w:val="008D0C7C"/>
    <w:rsid w:val="008D0C9A"/>
    <w:rsid w:val="008D0E91"/>
    <w:rsid w:val="008D0F7A"/>
    <w:rsid w:val="008D1294"/>
    <w:rsid w:val="008D19D1"/>
    <w:rsid w:val="008D1A0C"/>
    <w:rsid w:val="008D1BA2"/>
    <w:rsid w:val="008D1D7D"/>
    <w:rsid w:val="008D22DE"/>
    <w:rsid w:val="008D251E"/>
    <w:rsid w:val="008D2A3A"/>
    <w:rsid w:val="008D2A8D"/>
    <w:rsid w:val="008D2C2D"/>
    <w:rsid w:val="008D2E6A"/>
    <w:rsid w:val="008D2EBA"/>
    <w:rsid w:val="008D30FE"/>
    <w:rsid w:val="008D3436"/>
    <w:rsid w:val="008D3588"/>
    <w:rsid w:val="008D38E9"/>
    <w:rsid w:val="008D3A3C"/>
    <w:rsid w:val="008D4009"/>
    <w:rsid w:val="008D47C1"/>
    <w:rsid w:val="008D493C"/>
    <w:rsid w:val="008D4D5A"/>
    <w:rsid w:val="008D4EDE"/>
    <w:rsid w:val="008D5016"/>
    <w:rsid w:val="008D51CC"/>
    <w:rsid w:val="008D539E"/>
    <w:rsid w:val="008D54AE"/>
    <w:rsid w:val="008D56D9"/>
    <w:rsid w:val="008D5ACF"/>
    <w:rsid w:val="008D5C4C"/>
    <w:rsid w:val="008D6313"/>
    <w:rsid w:val="008D66B2"/>
    <w:rsid w:val="008D68E4"/>
    <w:rsid w:val="008D6962"/>
    <w:rsid w:val="008D6A10"/>
    <w:rsid w:val="008D6BBA"/>
    <w:rsid w:val="008D6C43"/>
    <w:rsid w:val="008D6E5E"/>
    <w:rsid w:val="008D6F75"/>
    <w:rsid w:val="008D6F9D"/>
    <w:rsid w:val="008D71E4"/>
    <w:rsid w:val="008D76B8"/>
    <w:rsid w:val="008D7719"/>
    <w:rsid w:val="008D7F9D"/>
    <w:rsid w:val="008E003A"/>
    <w:rsid w:val="008E0155"/>
    <w:rsid w:val="008E0506"/>
    <w:rsid w:val="008E0879"/>
    <w:rsid w:val="008E08CF"/>
    <w:rsid w:val="008E0A46"/>
    <w:rsid w:val="008E0A74"/>
    <w:rsid w:val="008E0B37"/>
    <w:rsid w:val="008E0BC6"/>
    <w:rsid w:val="008E0CFF"/>
    <w:rsid w:val="008E0F1C"/>
    <w:rsid w:val="008E11C9"/>
    <w:rsid w:val="008E11EB"/>
    <w:rsid w:val="008E1215"/>
    <w:rsid w:val="008E1591"/>
    <w:rsid w:val="008E1929"/>
    <w:rsid w:val="008E1B36"/>
    <w:rsid w:val="008E2016"/>
    <w:rsid w:val="008E231B"/>
    <w:rsid w:val="008E238C"/>
    <w:rsid w:val="008E23C0"/>
    <w:rsid w:val="008E2522"/>
    <w:rsid w:val="008E271B"/>
    <w:rsid w:val="008E2BF7"/>
    <w:rsid w:val="008E2CAA"/>
    <w:rsid w:val="008E2DB6"/>
    <w:rsid w:val="008E2EEA"/>
    <w:rsid w:val="008E3585"/>
    <w:rsid w:val="008E39C2"/>
    <w:rsid w:val="008E3BC8"/>
    <w:rsid w:val="008E3E27"/>
    <w:rsid w:val="008E40AA"/>
    <w:rsid w:val="008E410D"/>
    <w:rsid w:val="008E4273"/>
    <w:rsid w:val="008E42C9"/>
    <w:rsid w:val="008E43A2"/>
    <w:rsid w:val="008E4617"/>
    <w:rsid w:val="008E4772"/>
    <w:rsid w:val="008E4B43"/>
    <w:rsid w:val="008E4C0B"/>
    <w:rsid w:val="008E4CCC"/>
    <w:rsid w:val="008E4E8C"/>
    <w:rsid w:val="008E53A4"/>
    <w:rsid w:val="008E5785"/>
    <w:rsid w:val="008E5993"/>
    <w:rsid w:val="008E5D6B"/>
    <w:rsid w:val="008E5F0F"/>
    <w:rsid w:val="008E6393"/>
    <w:rsid w:val="008E6424"/>
    <w:rsid w:val="008E65EC"/>
    <w:rsid w:val="008E6D73"/>
    <w:rsid w:val="008E6DCA"/>
    <w:rsid w:val="008E7344"/>
    <w:rsid w:val="008E7370"/>
    <w:rsid w:val="008E7433"/>
    <w:rsid w:val="008E7454"/>
    <w:rsid w:val="008E76F0"/>
    <w:rsid w:val="008E7707"/>
    <w:rsid w:val="008E7C8C"/>
    <w:rsid w:val="008E7DD7"/>
    <w:rsid w:val="008E7EC0"/>
    <w:rsid w:val="008E7F4E"/>
    <w:rsid w:val="008F033C"/>
    <w:rsid w:val="008F07C2"/>
    <w:rsid w:val="008F0FAD"/>
    <w:rsid w:val="008F1393"/>
    <w:rsid w:val="008F15FE"/>
    <w:rsid w:val="008F1CD3"/>
    <w:rsid w:val="008F1DAD"/>
    <w:rsid w:val="008F1DB2"/>
    <w:rsid w:val="008F1F83"/>
    <w:rsid w:val="008F1F9A"/>
    <w:rsid w:val="008F2260"/>
    <w:rsid w:val="008F2362"/>
    <w:rsid w:val="008F2425"/>
    <w:rsid w:val="008F255C"/>
    <w:rsid w:val="008F25D5"/>
    <w:rsid w:val="008F28F8"/>
    <w:rsid w:val="008F2A5A"/>
    <w:rsid w:val="008F2B25"/>
    <w:rsid w:val="008F2D29"/>
    <w:rsid w:val="008F308E"/>
    <w:rsid w:val="008F3158"/>
    <w:rsid w:val="008F32BD"/>
    <w:rsid w:val="008F3457"/>
    <w:rsid w:val="008F3570"/>
    <w:rsid w:val="008F37E0"/>
    <w:rsid w:val="008F3D5E"/>
    <w:rsid w:val="008F4095"/>
    <w:rsid w:val="008F43E8"/>
    <w:rsid w:val="008F46DF"/>
    <w:rsid w:val="008F47D8"/>
    <w:rsid w:val="008F48DD"/>
    <w:rsid w:val="008F48E1"/>
    <w:rsid w:val="008F4BC0"/>
    <w:rsid w:val="008F4D34"/>
    <w:rsid w:val="008F4D55"/>
    <w:rsid w:val="008F4E03"/>
    <w:rsid w:val="008F4E15"/>
    <w:rsid w:val="008F4E7E"/>
    <w:rsid w:val="008F5047"/>
    <w:rsid w:val="008F5187"/>
    <w:rsid w:val="008F5565"/>
    <w:rsid w:val="008F575A"/>
    <w:rsid w:val="008F5F48"/>
    <w:rsid w:val="008F60D8"/>
    <w:rsid w:val="008F60E0"/>
    <w:rsid w:val="008F6910"/>
    <w:rsid w:val="008F6B62"/>
    <w:rsid w:val="008F6D10"/>
    <w:rsid w:val="008F6E4F"/>
    <w:rsid w:val="008F6F45"/>
    <w:rsid w:val="008F70AA"/>
    <w:rsid w:val="008F75B0"/>
    <w:rsid w:val="008F75BF"/>
    <w:rsid w:val="008F77E9"/>
    <w:rsid w:val="008F7822"/>
    <w:rsid w:val="008F7AAF"/>
    <w:rsid w:val="008F7F8E"/>
    <w:rsid w:val="009002EA"/>
    <w:rsid w:val="009004BB"/>
    <w:rsid w:val="00900552"/>
    <w:rsid w:val="009005C8"/>
    <w:rsid w:val="0090061E"/>
    <w:rsid w:val="00900AA1"/>
    <w:rsid w:val="00900F81"/>
    <w:rsid w:val="00900FB7"/>
    <w:rsid w:val="00900FC7"/>
    <w:rsid w:val="00901063"/>
    <w:rsid w:val="009010FE"/>
    <w:rsid w:val="0090126E"/>
    <w:rsid w:val="009015FE"/>
    <w:rsid w:val="0090181C"/>
    <w:rsid w:val="009018FF"/>
    <w:rsid w:val="00901B6B"/>
    <w:rsid w:val="00901C1A"/>
    <w:rsid w:val="00901EFE"/>
    <w:rsid w:val="009020C3"/>
    <w:rsid w:val="0090214E"/>
    <w:rsid w:val="00902534"/>
    <w:rsid w:val="00902600"/>
    <w:rsid w:val="00902727"/>
    <w:rsid w:val="009029A5"/>
    <w:rsid w:val="00902C02"/>
    <w:rsid w:val="0090312B"/>
    <w:rsid w:val="0090323A"/>
    <w:rsid w:val="009033E1"/>
    <w:rsid w:val="00903478"/>
    <w:rsid w:val="0090355B"/>
    <w:rsid w:val="009039D8"/>
    <w:rsid w:val="00903B93"/>
    <w:rsid w:val="00904123"/>
    <w:rsid w:val="009041AE"/>
    <w:rsid w:val="00904261"/>
    <w:rsid w:val="009042C8"/>
    <w:rsid w:val="00904305"/>
    <w:rsid w:val="009048E5"/>
    <w:rsid w:val="00904C9A"/>
    <w:rsid w:val="00904CAD"/>
    <w:rsid w:val="0090557A"/>
    <w:rsid w:val="0090582B"/>
    <w:rsid w:val="00905D71"/>
    <w:rsid w:val="00906609"/>
    <w:rsid w:val="009066F9"/>
    <w:rsid w:val="00906915"/>
    <w:rsid w:val="00906B69"/>
    <w:rsid w:val="00906EF4"/>
    <w:rsid w:val="00906F61"/>
    <w:rsid w:val="00907595"/>
    <w:rsid w:val="0090762E"/>
    <w:rsid w:val="00907729"/>
    <w:rsid w:val="00907791"/>
    <w:rsid w:val="00907923"/>
    <w:rsid w:val="00907BB8"/>
    <w:rsid w:val="00907BDE"/>
    <w:rsid w:val="00907C17"/>
    <w:rsid w:val="0091024D"/>
    <w:rsid w:val="009103C9"/>
    <w:rsid w:val="0091044F"/>
    <w:rsid w:val="0091045B"/>
    <w:rsid w:val="00910A22"/>
    <w:rsid w:val="00910A77"/>
    <w:rsid w:val="0091145A"/>
    <w:rsid w:val="0091147B"/>
    <w:rsid w:val="0091148D"/>
    <w:rsid w:val="00911665"/>
    <w:rsid w:val="00911919"/>
    <w:rsid w:val="00911923"/>
    <w:rsid w:val="0091194B"/>
    <w:rsid w:val="009121EB"/>
    <w:rsid w:val="0091255E"/>
    <w:rsid w:val="009125E1"/>
    <w:rsid w:val="00912A91"/>
    <w:rsid w:val="00912AFC"/>
    <w:rsid w:val="00912D9F"/>
    <w:rsid w:val="0091308D"/>
    <w:rsid w:val="009134D8"/>
    <w:rsid w:val="009136D5"/>
    <w:rsid w:val="009138B1"/>
    <w:rsid w:val="00913A63"/>
    <w:rsid w:val="00913B1C"/>
    <w:rsid w:val="00913C37"/>
    <w:rsid w:val="00914232"/>
    <w:rsid w:val="00914474"/>
    <w:rsid w:val="00915270"/>
    <w:rsid w:val="009154DC"/>
    <w:rsid w:val="00915CB5"/>
    <w:rsid w:val="00915DC2"/>
    <w:rsid w:val="00915DFE"/>
    <w:rsid w:val="00916431"/>
    <w:rsid w:val="00916524"/>
    <w:rsid w:val="0091692D"/>
    <w:rsid w:val="00916A93"/>
    <w:rsid w:val="00916E10"/>
    <w:rsid w:val="00916F45"/>
    <w:rsid w:val="00916FD0"/>
    <w:rsid w:val="00916FDD"/>
    <w:rsid w:val="0091736D"/>
    <w:rsid w:val="0091759F"/>
    <w:rsid w:val="00917B43"/>
    <w:rsid w:val="00917F1D"/>
    <w:rsid w:val="00920019"/>
    <w:rsid w:val="00920025"/>
    <w:rsid w:val="009202B2"/>
    <w:rsid w:val="00920374"/>
    <w:rsid w:val="009203EA"/>
    <w:rsid w:val="0092049F"/>
    <w:rsid w:val="00920A67"/>
    <w:rsid w:val="00920EAB"/>
    <w:rsid w:val="0092120D"/>
    <w:rsid w:val="00921884"/>
    <w:rsid w:val="00921EF4"/>
    <w:rsid w:val="009222B5"/>
    <w:rsid w:val="009225EA"/>
    <w:rsid w:val="00922682"/>
    <w:rsid w:val="00922854"/>
    <w:rsid w:val="009228F7"/>
    <w:rsid w:val="00922D73"/>
    <w:rsid w:val="00922E63"/>
    <w:rsid w:val="00922F08"/>
    <w:rsid w:val="00922F63"/>
    <w:rsid w:val="00922F8E"/>
    <w:rsid w:val="0092338E"/>
    <w:rsid w:val="0092360C"/>
    <w:rsid w:val="00923764"/>
    <w:rsid w:val="00923775"/>
    <w:rsid w:val="0092394E"/>
    <w:rsid w:val="00923958"/>
    <w:rsid w:val="009243ED"/>
    <w:rsid w:val="00924635"/>
    <w:rsid w:val="00924761"/>
    <w:rsid w:val="0092477E"/>
    <w:rsid w:val="009248E7"/>
    <w:rsid w:val="00924B78"/>
    <w:rsid w:val="009250F4"/>
    <w:rsid w:val="00925217"/>
    <w:rsid w:val="00925443"/>
    <w:rsid w:val="009254B5"/>
    <w:rsid w:val="00925689"/>
    <w:rsid w:val="00926074"/>
    <w:rsid w:val="00926291"/>
    <w:rsid w:val="00926659"/>
    <w:rsid w:val="00926CA3"/>
    <w:rsid w:val="00926E0B"/>
    <w:rsid w:val="0092710B"/>
    <w:rsid w:val="009271D1"/>
    <w:rsid w:val="00927485"/>
    <w:rsid w:val="009274C5"/>
    <w:rsid w:val="009274DF"/>
    <w:rsid w:val="009277F8"/>
    <w:rsid w:val="00927C44"/>
    <w:rsid w:val="00927CFF"/>
    <w:rsid w:val="00927DB4"/>
    <w:rsid w:val="00927E87"/>
    <w:rsid w:val="00927F14"/>
    <w:rsid w:val="00927FFA"/>
    <w:rsid w:val="00930200"/>
    <w:rsid w:val="0093037A"/>
    <w:rsid w:val="00930B13"/>
    <w:rsid w:val="00930B48"/>
    <w:rsid w:val="00930C1C"/>
    <w:rsid w:val="00930C36"/>
    <w:rsid w:val="00930FD2"/>
    <w:rsid w:val="009311EA"/>
    <w:rsid w:val="0093133F"/>
    <w:rsid w:val="00931347"/>
    <w:rsid w:val="0093163D"/>
    <w:rsid w:val="00931A87"/>
    <w:rsid w:val="00932139"/>
    <w:rsid w:val="0093243D"/>
    <w:rsid w:val="0093268E"/>
    <w:rsid w:val="0093296D"/>
    <w:rsid w:val="00932A13"/>
    <w:rsid w:val="00932A8E"/>
    <w:rsid w:val="00932C77"/>
    <w:rsid w:val="00932CB5"/>
    <w:rsid w:val="00932EFA"/>
    <w:rsid w:val="00932F5B"/>
    <w:rsid w:val="0093322B"/>
    <w:rsid w:val="00933235"/>
    <w:rsid w:val="009332E3"/>
    <w:rsid w:val="009333D3"/>
    <w:rsid w:val="009334ED"/>
    <w:rsid w:val="00933536"/>
    <w:rsid w:val="00933625"/>
    <w:rsid w:val="00933955"/>
    <w:rsid w:val="00933E1D"/>
    <w:rsid w:val="00933E27"/>
    <w:rsid w:val="00933EB7"/>
    <w:rsid w:val="009341E1"/>
    <w:rsid w:val="009342F5"/>
    <w:rsid w:val="0093441E"/>
    <w:rsid w:val="00934440"/>
    <w:rsid w:val="009348AF"/>
    <w:rsid w:val="0093496A"/>
    <w:rsid w:val="00934EEE"/>
    <w:rsid w:val="0093508D"/>
    <w:rsid w:val="009350D4"/>
    <w:rsid w:val="009351D0"/>
    <w:rsid w:val="009351D7"/>
    <w:rsid w:val="009353EF"/>
    <w:rsid w:val="00935489"/>
    <w:rsid w:val="00935B5E"/>
    <w:rsid w:val="00935C63"/>
    <w:rsid w:val="00935E0E"/>
    <w:rsid w:val="00935E98"/>
    <w:rsid w:val="00935FB5"/>
    <w:rsid w:val="00936366"/>
    <w:rsid w:val="0093669E"/>
    <w:rsid w:val="0093693E"/>
    <w:rsid w:val="00936982"/>
    <w:rsid w:val="00936B30"/>
    <w:rsid w:val="00936DF6"/>
    <w:rsid w:val="0093704D"/>
    <w:rsid w:val="00937359"/>
    <w:rsid w:val="0093743A"/>
    <w:rsid w:val="009377C1"/>
    <w:rsid w:val="00937842"/>
    <w:rsid w:val="00937A48"/>
    <w:rsid w:val="00937D1B"/>
    <w:rsid w:val="00937DC2"/>
    <w:rsid w:val="0094012B"/>
    <w:rsid w:val="009405DE"/>
    <w:rsid w:val="00940662"/>
    <w:rsid w:val="00940782"/>
    <w:rsid w:val="009407AE"/>
    <w:rsid w:val="00940912"/>
    <w:rsid w:val="0094095E"/>
    <w:rsid w:val="0094103B"/>
    <w:rsid w:val="009411FF"/>
    <w:rsid w:val="0094124D"/>
    <w:rsid w:val="0094133C"/>
    <w:rsid w:val="0094154D"/>
    <w:rsid w:val="0094169D"/>
    <w:rsid w:val="00941AB0"/>
    <w:rsid w:val="009423D3"/>
    <w:rsid w:val="0094283A"/>
    <w:rsid w:val="0094293B"/>
    <w:rsid w:val="0094296B"/>
    <w:rsid w:val="00942DA6"/>
    <w:rsid w:val="0094303D"/>
    <w:rsid w:val="00943394"/>
    <w:rsid w:val="0094353A"/>
    <w:rsid w:val="009436D9"/>
    <w:rsid w:val="00943B36"/>
    <w:rsid w:val="00943D27"/>
    <w:rsid w:val="00943E78"/>
    <w:rsid w:val="00944077"/>
    <w:rsid w:val="009440F6"/>
    <w:rsid w:val="00944154"/>
    <w:rsid w:val="00944570"/>
    <w:rsid w:val="00944C60"/>
    <w:rsid w:val="00944DC6"/>
    <w:rsid w:val="0094514F"/>
    <w:rsid w:val="00945196"/>
    <w:rsid w:val="0094520D"/>
    <w:rsid w:val="009452C5"/>
    <w:rsid w:val="0094551A"/>
    <w:rsid w:val="00945551"/>
    <w:rsid w:val="00945567"/>
    <w:rsid w:val="00945B95"/>
    <w:rsid w:val="00945BC7"/>
    <w:rsid w:val="00945C16"/>
    <w:rsid w:val="00945C56"/>
    <w:rsid w:val="00945E20"/>
    <w:rsid w:val="00945E5E"/>
    <w:rsid w:val="009462FC"/>
    <w:rsid w:val="00946314"/>
    <w:rsid w:val="00946374"/>
    <w:rsid w:val="00946843"/>
    <w:rsid w:val="0094686D"/>
    <w:rsid w:val="009468A5"/>
    <w:rsid w:val="009468B8"/>
    <w:rsid w:val="00946BD0"/>
    <w:rsid w:val="00946CC5"/>
    <w:rsid w:val="00946EC6"/>
    <w:rsid w:val="00946FB4"/>
    <w:rsid w:val="00947050"/>
    <w:rsid w:val="0094709B"/>
    <w:rsid w:val="0094711F"/>
    <w:rsid w:val="00947355"/>
    <w:rsid w:val="00947730"/>
    <w:rsid w:val="0094793B"/>
    <w:rsid w:val="00947BD8"/>
    <w:rsid w:val="00947ED7"/>
    <w:rsid w:val="00947F2C"/>
    <w:rsid w:val="00947F45"/>
    <w:rsid w:val="009500DF"/>
    <w:rsid w:val="0095019F"/>
    <w:rsid w:val="009502CE"/>
    <w:rsid w:val="009504B7"/>
    <w:rsid w:val="009508BF"/>
    <w:rsid w:val="009509DE"/>
    <w:rsid w:val="00950D6A"/>
    <w:rsid w:val="00951147"/>
    <w:rsid w:val="0095151E"/>
    <w:rsid w:val="0095155F"/>
    <w:rsid w:val="00951853"/>
    <w:rsid w:val="00951BC4"/>
    <w:rsid w:val="00951C16"/>
    <w:rsid w:val="0095221B"/>
    <w:rsid w:val="00952227"/>
    <w:rsid w:val="00952361"/>
    <w:rsid w:val="00952601"/>
    <w:rsid w:val="00952933"/>
    <w:rsid w:val="00952985"/>
    <w:rsid w:val="009529DD"/>
    <w:rsid w:val="00952D1C"/>
    <w:rsid w:val="0095341F"/>
    <w:rsid w:val="0095368C"/>
    <w:rsid w:val="00953736"/>
    <w:rsid w:val="00953809"/>
    <w:rsid w:val="00953848"/>
    <w:rsid w:val="0095399A"/>
    <w:rsid w:val="00953C67"/>
    <w:rsid w:val="0095413E"/>
    <w:rsid w:val="00954278"/>
    <w:rsid w:val="009543CA"/>
    <w:rsid w:val="00954429"/>
    <w:rsid w:val="0095451B"/>
    <w:rsid w:val="0095452C"/>
    <w:rsid w:val="009546EF"/>
    <w:rsid w:val="00954E51"/>
    <w:rsid w:val="009550F7"/>
    <w:rsid w:val="009551B9"/>
    <w:rsid w:val="0095554C"/>
    <w:rsid w:val="00955993"/>
    <w:rsid w:val="0095605A"/>
    <w:rsid w:val="00956168"/>
    <w:rsid w:val="0095616C"/>
    <w:rsid w:val="009563CE"/>
    <w:rsid w:val="009564DE"/>
    <w:rsid w:val="00956518"/>
    <w:rsid w:val="00956548"/>
    <w:rsid w:val="00956680"/>
    <w:rsid w:val="009567FD"/>
    <w:rsid w:val="009568F9"/>
    <w:rsid w:val="00956BF5"/>
    <w:rsid w:val="00957055"/>
    <w:rsid w:val="00957690"/>
    <w:rsid w:val="0095783E"/>
    <w:rsid w:val="00957C17"/>
    <w:rsid w:val="00957F8B"/>
    <w:rsid w:val="00960125"/>
    <w:rsid w:val="00960186"/>
    <w:rsid w:val="009605DB"/>
    <w:rsid w:val="00960848"/>
    <w:rsid w:val="009608CD"/>
    <w:rsid w:val="00960B7B"/>
    <w:rsid w:val="00960C37"/>
    <w:rsid w:val="00960D07"/>
    <w:rsid w:val="00960EEF"/>
    <w:rsid w:val="00961750"/>
    <w:rsid w:val="00961837"/>
    <w:rsid w:val="00961840"/>
    <w:rsid w:val="009618F0"/>
    <w:rsid w:val="00961A98"/>
    <w:rsid w:val="00961DB3"/>
    <w:rsid w:val="00961E90"/>
    <w:rsid w:val="00961EE4"/>
    <w:rsid w:val="009622CB"/>
    <w:rsid w:val="009623D8"/>
    <w:rsid w:val="00962A15"/>
    <w:rsid w:val="00962B01"/>
    <w:rsid w:val="00962C14"/>
    <w:rsid w:val="00962EE6"/>
    <w:rsid w:val="009632B7"/>
    <w:rsid w:val="00963368"/>
    <w:rsid w:val="009634AC"/>
    <w:rsid w:val="00963572"/>
    <w:rsid w:val="00963866"/>
    <w:rsid w:val="009638ED"/>
    <w:rsid w:val="00963935"/>
    <w:rsid w:val="009639A4"/>
    <w:rsid w:val="00963CA2"/>
    <w:rsid w:val="00963E0B"/>
    <w:rsid w:val="00964CC3"/>
    <w:rsid w:val="009651F2"/>
    <w:rsid w:val="009655D2"/>
    <w:rsid w:val="00965B36"/>
    <w:rsid w:val="00965C73"/>
    <w:rsid w:val="00966093"/>
    <w:rsid w:val="009660BE"/>
    <w:rsid w:val="0096638B"/>
    <w:rsid w:val="00966394"/>
    <w:rsid w:val="009663A0"/>
    <w:rsid w:val="009663F0"/>
    <w:rsid w:val="009669E2"/>
    <w:rsid w:val="00966E2A"/>
    <w:rsid w:val="00966E49"/>
    <w:rsid w:val="0096714F"/>
    <w:rsid w:val="00967472"/>
    <w:rsid w:val="0096752D"/>
    <w:rsid w:val="009677D7"/>
    <w:rsid w:val="00967869"/>
    <w:rsid w:val="009678FF"/>
    <w:rsid w:val="00967964"/>
    <w:rsid w:val="0096799E"/>
    <w:rsid w:val="00967C0B"/>
    <w:rsid w:val="00967EC2"/>
    <w:rsid w:val="009701AA"/>
    <w:rsid w:val="00970201"/>
    <w:rsid w:val="00970260"/>
    <w:rsid w:val="009703E5"/>
    <w:rsid w:val="00970A3D"/>
    <w:rsid w:val="00970ED3"/>
    <w:rsid w:val="00971084"/>
    <w:rsid w:val="00971F51"/>
    <w:rsid w:val="00972013"/>
    <w:rsid w:val="009720B3"/>
    <w:rsid w:val="009722CB"/>
    <w:rsid w:val="00972581"/>
    <w:rsid w:val="00972874"/>
    <w:rsid w:val="00972FF3"/>
    <w:rsid w:val="00973206"/>
    <w:rsid w:val="00973242"/>
    <w:rsid w:val="00973452"/>
    <w:rsid w:val="00973D6A"/>
    <w:rsid w:val="00974082"/>
    <w:rsid w:val="00974366"/>
    <w:rsid w:val="009743CB"/>
    <w:rsid w:val="009743DC"/>
    <w:rsid w:val="0097441E"/>
    <w:rsid w:val="009745DE"/>
    <w:rsid w:val="009749B7"/>
    <w:rsid w:val="00975417"/>
    <w:rsid w:val="00975781"/>
    <w:rsid w:val="00975899"/>
    <w:rsid w:val="00976252"/>
    <w:rsid w:val="009762C0"/>
    <w:rsid w:val="00976328"/>
    <w:rsid w:val="009763B5"/>
    <w:rsid w:val="009764A6"/>
    <w:rsid w:val="00976738"/>
    <w:rsid w:val="0097680D"/>
    <w:rsid w:val="00976A74"/>
    <w:rsid w:val="00976C27"/>
    <w:rsid w:val="00976D71"/>
    <w:rsid w:val="00976DA6"/>
    <w:rsid w:val="00976EFF"/>
    <w:rsid w:val="009776D6"/>
    <w:rsid w:val="00977968"/>
    <w:rsid w:val="00977EA5"/>
    <w:rsid w:val="0098012D"/>
    <w:rsid w:val="009804DD"/>
    <w:rsid w:val="00980668"/>
    <w:rsid w:val="00980A4F"/>
    <w:rsid w:val="009816F7"/>
    <w:rsid w:val="00981746"/>
    <w:rsid w:val="00981B31"/>
    <w:rsid w:val="00981D5C"/>
    <w:rsid w:val="00981F2D"/>
    <w:rsid w:val="00982121"/>
    <w:rsid w:val="00982438"/>
    <w:rsid w:val="0098260E"/>
    <w:rsid w:val="0098273D"/>
    <w:rsid w:val="009829EC"/>
    <w:rsid w:val="00983176"/>
    <w:rsid w:val="0098324D"/>
    <w:rsid w:val="00983445"/>
    <w:rsid w:val="0098361C"/>
    <w:rsid w:val="0098366F"/>
    <w:rsid w:val="00983D3B"/>
    <w:rsid w:val="00983EC5"/>
    <w:rsid w:val="00983F51"/>
    <w:rsid w:val="0098404C"/>
    <w:rsid w:val="0098428E"/>
    <w:rsid w:val="0098496B"/>
    <w:rsid w:val="00984A63"/>
    <w:rsid w:val="00984AB7"/>
    <w:rsid w:val="00984ABE"/>
    <w:rsid w:val="00984AE5"/>
    <w:rsid w:val="00984D47"/>
    <w:rsid w:val="009850DE"/>
    <w:rsid w:val="009851D5"/>
    <w:rsid w:val="00985283"/>
    <w:rsid w:val="00985BE3"/>
    <w:rsid w:val="00985CFB"/>
    <w:rsid w:val="0098616C"/>
    <w:rsid w:val="00986343"/>
    <w:rsid w:val="00986537"/>
    <w:rsid w:val="009868FE"/>
    <w:rsid w:val="00986CB3"/>
    <w:rsid w:val="00986D95"/>
    <w:rsid w:val="00986EBC"/>
    <w:rsid w:val="00987096"/>
    <w:rsid w:val="0098725C"/>
    <w:rsid w:val="00987487"/>
    <w:rsid w:val="0098779D"/>
    <w:rsid w:val="00987926"/>
    <w:rsid w:val="00987CEF"/>
    <w:rsid w:val="00987D4D"/>
    <w:rsid w:val="00987FD3"/>
    <w:rsid w:val="00990238"/>
    <w:rsid w:val="00990580"/>
    <w:rsid w:val="00990708"/>
    <w:rsid w:val="0099074B"/>
    <w:rsid w:val="00990FF0"/>
    <w:rsid w:val="00991087"/>
    <w:rsid w:val="0099151F"/>
    <w:rsid w:val="0099159A"/>
    <w:rsid w:val="009917FF"/>
    <w:rsid w:val="009918AA"/>
    <w:rsid w:val="00991C10"/>
    <w:rsid w:val="00991F66"/>
    <w:rsid w:val="00992014"/>
    <w:rsid w:val="00992054"/>
    <w:rsid w:val="009922CE"/>
    <w:rsid w:val="009925EF"/>
    <w:rsid w:val="00992EBF"/>
    <w:rsid w:val="009930B9"/>
    <w:rsid w:val="00993659"/>
    <w:rsid w:val="00993837"/>
    <w:rsid w:val="00993D7D"/>
    <w:rsid w:val="00993E15"/>
    <w:rsid w:val="00993F4A"/>
    <w:rsid w:val="00994E05"/>
    <w:rsid w:val="00995093"/>
    <w:rsid w:val="009950C3"/>
    <w:rsid w:val="0099520F"/>
    <w:rsid w:val="0099527B"/>
    <w:rsid w:val="00995477"/>
    <w:rsid w:val="00995563"/>
    <w:rsid w:val="009956BF"/>
    <w:rsid w:val="00995749"/>
    <w:rsid w:val="00995992"/>
    <w:rsid w:val="00995A60"/>
    <w:rsid w:val="00995AD4"/>
    <w:rsid w:val="00995F28"/>
    <w:rsid w:val="00995FD1"/>
    <w:rsid w:val="0099605B"/>
    <w:rsid w:val="00996231"/>
    <w:rsid w:val="00996295"/>
    <w:rsid w:val="009964A1"/>
    <w:rsid w:val="00996519"/>
    <w:rsid w:val="009965A2"/>
    <w:rsid w:val="009966B8"/>
    <w:rsid w:val="00996A5C"/>
    <w:rsid w:val="00996CDA"/>
    <w:rsid w:val="00997666"/>
    <w:rsid w:val="009977FF"/>
    <w:rsid w:val="00997A71"/>
    <w:rsid w:val="00997B8D"/>
    <w:rsid w:val="009A03E5"/>
    <w:rsid w:val="009A085C"/>
    <w:rsid w:val="009A0A56"/>
    <w:rsid w:val="009A0A90"/>
    <w:rsid w:val="009A0AB8"/>
    <w:rsid w:val="009A0C46"/>
    <w:rsid w:val="009A0F3B"/>
    <w:rsid w:val="009A0F79"/>
    <w:rsid w:val="009A108C"/>
    <w:rsid w:val="009A11B9"/>
    <w:rsid w:val="009A1209"/>
    <w:rsid w:val="009A1369"/>
    <w:rsid w:val="009A1506"/>
    <w:rsid w:val="009A1548"/>
    <w:rsid w:val="009A16E9"/>
    <w:rsid w:val="009A18DB"/>
    <w:rsid w:val="009A19E8"/>
    <w:rsid w:val="009A1A2D"/>
    <w:rsid w:val="009A1AE1"/>
    <w:rsid w:val="009A1BB4"/>
    <w:rsid w:val="009A1E56"/>
    <w:rsid w:val="009A1FB8"/>
    <w:rsid w:val="009A20C1"/>
    <w:rsid w:val="009A2625"/>
    <w:rsid w:val="009A2628"/>
    <w:rsid w:val="009A27D8"/>
    <w:rsid w:val="009A2BD5"/>
    <w:rsid w:val="009A2CA8"/>
    <w:rsid w:val="009A2EFB"/>
    <w:rsid w:val="009A3200"/>
    <w:rsid w:val="009A3233"/>
    <w:rsid w:val="009A3295"/>
    <w:rsid w:val="009A32B0"/>
    <w:rsid w:val="009A32CF"/>
    <w:rsid w:val="009A3517"/>
    <w:rsid w:val="009A360B"/>
    <w:rsid w:val="009A364D"/>
    <w:rsid w:val="009A36E3"/>
    <w:rsid w:val="009A386B"/>
    <w:rsid w:val="009A3C30"/>
    <w:rsid w:val="009A3DF4"/>
    <w:rsid w:val="009A3E5F"/>
    <w:rsid w:val="009A3F44"/>
    <w:rsid w:val="009A3FC7"/>
    <w:rsid w:val="009A4040"/>
    <w:rsid w:val="009A462A"/>
    <w:rsid w:val="009A47AD"/>
    <w:rsid w:val="009A4921"/>
    <w:rsid w:val="009A4B36"/>
    <w:rsid w:val="009A4E5C"/>
    <w:rsid w:val="009A518A"/>
    <w:rsid w:val="009A524F"/>
    <w:rsid w:val="009A556A"/>
    <w:rsid w:val="009A5640"/>
    <w:rsid w:val="009A580D"/>
    <w:rsid w:val="009A589C"/>
    <w:rsid w:val="009A58A2"/>
    <w:rsid w:val="009A5912"/>
    <w:rsid w:val="009A5F1D"/>
    <w:rsid w:val="009A6023"/>
    <w:rsid w:val="009A6176"/>
    <w:rsid w:val="009A664E"/>
    <w:rsid w:val="009A6815"/>
    <w:rsid w:val="009A6C0F"/>
    <w:rsid w:val="009A6C57"/>
    <w:rsid w:val="009A70C4"/>
    <w:rsid w:val="009A7104"/>
    <w:rsid w:val="009A7265"/>
    <w:rsid w:val="009A72CA"/>
    <w:rsid w:val="009A72E3"/>
    <w:rsid w:val="009A7846"/>
    <w:rsid w:val="009A7BF2"/>
    <w:rsid w:val="009A7D93"/>
    <w:rsid w:val="009B03E6"/>
    <w:rsid w:val="009B07A1"/>
    <w:rsid w:val="009B0897"/>
    <w:rsid w:val="009B0ABB"/>
    <w:rsid w:val="009B0F1E"/>
    <w:rsid w:val="009B11B2"/>
    <w:rsid w:val="009B1330"/>
    <w:rsid w:val="009B143F"/>
    <w:rsid w:val="009B16FA"/>
    <w:rsid w:val="009B1B6D"/>
    <w:rsid w:val="009B2095"/>
    <w:rsid w:val="009B2153"/>
    <w:rsid w:val="009B21E0"/>
    <w:rsid w:val="009B22EB"/>
    <w:rsid w:val="009B24F0"/>
    <w:rsid w:val="009B2669"/>
    <w:rsid w:val="009B29EA"/>
    <w:rsid w:val="009B2CA0"/>
    <w:rsid w:val="009B30F4"/>
    <w:rsid w:val="009B3199"/>
    <w:rsid w:val="009B31B5"/>
    <w:rsid w:val="009B3406"/>
    <w:rsid w:val="009B3835"/>
    <w:rsid w:val="009B3A0D"/>
    <w:rsid w:val="009B3C5C"/>
    <w:rsid w:val="009B417F"/>
    <w:rsid w:val="009B4684"/>
    <w:rsid w:val="009B4749"/>
    <w:rsid w:val="009B4925"/>
    <w:rsid w:val="009B4DB8"/>
    <w:rsid w:val="009B519C"/>
    <w:rsid w:val="009B56D2"/>
    <w:rsid w:val="009B58A7"/>
    <w:rsid w:val="009B5980"/>
    <w:rsid w:val="009B5D01"/>
    <w:rsid w:val="009B5D87"/>
    <w:rsid w:val="009B6350"/>
    <w:rsid w:val="009B63AB"/>
    <w:rsid w:val="009B654C"/>
    <w:rsid w:val="009B6906"/>
    <w:rsid w:val="009B6A6D"/>
    <w:rsid w:val="009B6D75"/>
    <w:rsid w:val="009B70A5"/>
    <w:rsid w:val="009B713A"/>
    <w:rsid w:val="009B71FF"/>
    <w:rsid w:val="009B7346"/>
    <w:rsid w:val="009B7BB1"/>
    <w:rsid w:val="009B7BD9"/>
    <w:rsid w:val="009B7CC8"/>
    <w:rsid w:val="009B7D8C"/>
    <w:rsid w:val="009B7E66"/>
    <w:rsid w:val="009C005F"/>
    <w:rsid w:val="009C0092"/>
    <w:rsid w:val="009C02FD"/>
    <w:rsid w:val="009C0385"/>
    <w:rsid w:val="009C0526"/>
    <w:rsid w:val="009C0596"/>
    <w:rsid w:val="009C076B"/>
    <w:rsid w:val="009C08A2"/>
    <w:rsid w:val="009C119B"/>
    <w:rsid w:val="009C1715"/>
    <w:rsid w:val="009C180F"/>
    <w:rsid w:val="009C1BE5"/>
    <w:rsid w:val="009C1DA2"/>
    <w:rsid w:val="009C1DF6"/>
    <w:rsid w:val="009C1E08"/>
    <w:rsid w:val="009C1FF5"/>
    <w:rsid w:val="009C2025"/>
    <w:rsid w:val="009C214A"/>
    <w:rsid w:val="009C24CE"/>
    <w:rsid w:val="009C31A0"/>
    <w:rsid w:val="009C355A"/>
    <w:rsid w:val="009C3811"/>
    <w:rsid w:val="009C3858"/>
    <w:rsid w:val="009C3CEF"/>
    <w:rsid w:val="009C3EA1"/>
    <w:rsid w:val="009C3FB9"/>
    <w:rsid w:val="009C3FE6"/>
    <w:rsid w:val="009C4067"/>
    <w:rsid w:val="009C4268"/>
    <w:rsid w:val="009C44BF"/>
    <w:rsid w:val="009C48A1"/>
    <w:rsid w:val="009C48D9"/>
    <w:rsid w:val="009C49B4"/>
    <w:rsid w:val="009C49B7"/>
    <w:rsid w:val="009C4C1B"/>
    <w:rsid w:val="009C4E60"/>
    <w:rsid w:val="009C4FF7"/>
    <w:rsid w:val="009C5180"/>
    <w:rsid w:val="009C51ED"/>
    <w:rsid w:val="009C5476"/>
    <w:rsid w:val="009C552F"/>
    <w:rsid w:val="009C56F2"/>
    <w:rsid w:val="009C584D"/>
    <w:rsid w:val="009C5CDA"/>
    <w:rsid w:val="009C5CEE"/>
    <w:rsid w:val="009C612A"/>
    <w:rsid w:val="009C61FB"/>
    <w:rsid w:val="009C6479"/>
    <w:rsid w:val="009C6494"/>
    <w:rsid w:val="009C64AC"/>
    <w:rsid w:val="009C64DA"/>
    <w:rsid w:val="009C65C8"/>
    <w:rsid w:val="009C665C"/>
    <w:rsid w:val="009C6745"/>
    <w:rsid w:val="009C6910"/>
    <w:rsid w:val="009C6B8D"/>
    <w:rsid w:val="009C6BCF"/>
    <w:rsid w:val="009C6DBD"/>
    <w:rsid w:val="009C7207"/>
    <w:rsid w:val="009C7DD5"/>
    <w:rsid w:val="009D0D93"/>
    <w:rsid w:val="009D0DEE"/>
    <w:rsid w:val="009D0F57"/>
    <w:rsid w:val="009D11D8"/>
    <w:rsid w:val="009D1A4A"/>
    <w:rsid w:val="009D2194"/>
    <w:rsid w:val="009D21C9"/>
    <w:rsid w:val="009D22DF"/>
    <w:rsid w:val="009D2593"/>
    <w:rsid w:val="009D29A8"/>
    <w:rsid w:val="009D2A7F"/>
    <w:rsid w:val="009D2D5A"/>
    <w:rsid w:val="009D2D95"/>
    <w:rsid w:val="009D2F7E"/>
    <w:rsid w:val="009D3201"/>
    <w:rsid w:val="009D3525"/>
    <w:rsid w:val="009D3582"/>
    <w:rsid w:val="009D38C0"/>
    <w:rsid w:val="009D390E"/>
    <w:rsid w:val="009D3938"/>
    <w:rsid w:val="009D3A84"/>
    <w:rsid w:val="009D3D74"/>
    <w:rsid w:val="009D426E"/>
    <w:rsid w:val="009D43EC"/>
    <w:rsid w:val="009D443D"/>
    <w:rsid w:val="009D47FF"/>
    <w:rsid w:val="009D4CD3"/>
    <w:rsid w:val="009D4D35"/>
    <w:rsid w:val="009D52F6"/>
    <w:rsid w:val="009D5714"/>
    <w:rsid w:val="009D5968"/>
    <w:rsid w:val="009D5B51"/>
    <w:rsid w:val="009D5B73"/>
    <w:rsid w:val="009D5BA3"/>
    <w:rsid w:val="009D5D73"/>
    <w:rsid w:val="009D60CF"/>
    <w:rsid w:val="009D620A"/>
    <w:rsid w:val="009D638F"/>
    <w:rsid w:val="009D6527"/>
    <w:rsid w:val="009D68A3"/>
    <w:rsid w:val="009D69C0"/>
    <w:rsid w:val="009D6A64"/>
    <w:rsid w:val="009D6B82"/>
    <w:rsid w:val="009D6C88"/>
    <w:rsid w:val="009D6CA6"/>
    <w:rsid w:val="009D6CC4"/>
    <w:rsid w:val="009D6E30"/>
    <w:rsid w:val="009D74C4"/>
    <w:rsid w:val="009D7678"/>
    <w:rsid w:val="009D773C"/>
    <w:rsid w:val="009D78AC"/>
    <w:rsid w:val="009D798E"/>
    <w:rsid w:val="009D7AB7"/>
    <w:rsid w:val="009D7EEF"/>
    <w:rsid w:val="009E0322"/>
    <w:rsid w:val="009E1068"/>
    <w:rsid w:val="009E11E1"/>
    <w:rsid w:val="009E12A8"/>
    <w:rsid w:val="009E12F9"/>
    <w:rsid w:val="009E131C"/>
    <w:rsid w:val="009E1AAA"/>
    <w:rsid w:val="009E1D45"/>
    <w:rsid w:val="009E1D7B"/>
    <w:rsid w:val="009E1DFA"/>
    <w:rsid w:val="009E227D"/>
    <w:rsid w:val="009E2331"/>
    <w:rsid w:val="009E2477"/>
    <w:rsid w:val="009E2512"/>
    <w:rsid w:val="009E2960"/>
    <w:rsid w:val="009E2ABF"/>
    <w:rsid w:val="009E31F0"/>
    <w:rsid w:val="009E36DB"/>
    <w:rsid w:val="009E378D"/>
    <w:rsid w:val="009E38D1"/>
    <w:rsid w:val="009E3D55"/>
    <w:rsid w:val="009E41FA"/>
    <w:rsid w:val="009E426C"/>
    <w:rsid w:val="009E4A6F"/>
    <w:rsid w:val="009E4B2F"/>
    <w:rsid w:val="009E4D8F"/>
    <w:rsid w:val="009E5019"/>
    <w:rsid w:val="009E5184"/>
    <w:rsid w:val="009E53A9"/>
    <w:rsid w:val="009E5440"/>
    <w:rsid w:val="009E5471"/>
    <w:rsid w:val="009E5588"/>
    <w:rsid w:val="009E5658"/>
    <w:rsid w:val="009E56DA"/>
    <w:rsid w:val="009E5820"/>
    <w:rsid w:val="009E61CA"/>
    <w:rsid w:val="009E680F"/>
    <w:rsid w:val="009E682A"/>
    <w:rsid w:val="009E6844"/>
    <w:rsid w:val="009E6C21"/>
    <w:rsid w:val="009E6F57"/>
    <w:rsid w:val="009E6FA7"/>
    <w:rsid w:val="009E7038"/>
    <w:rsid w:val="009E7107"/>
    <w:rsid w:val="009E7542"/>
    <w:rsid w:val="009E76C2"/>
    <w:rsid w:val="009E782C"/>
    <w:rsid w:val="009E79EC"/>
    <w:rsid w:val="009E7B66"/>
    <w:rsid w:val="009E7C00"/>
    <w:rsid w:val="009E7C3E"/>
    <w:rsid w:val="009E7EA9"/>
    <w:rsid w:val="009E7FF8"/>
    <w:rsid w:val="009F0056"/>
    <w:rsid w:val="009F009C"/>
    <w:rsid w:val="009F01B5"/>
    <w:rsid w:val="009F02A0"/>
    <w:rsid w:val="009F0540"/>
    <w:rsid w:val="009F0861"/>
    <w:rsid w:val="009F0C36"/>
    <w:rsid w:val="009F0D17"/>
    <w:rsid w:val="009F10C4"/>
    <w:rsid w:val="009F1162"/>
    <w:rsid w:val="009F156B"/>
    <w:rsid w:val="009F16D7"/>
    <w:rsid w:val="009F19B6"/>
    <w:rsid w:val="009F1F0C"/>
    <w:rsid w:val="009F22F5"/>
    <w:rsid w:val="009F256E"/>
    <w:rsid w:val="009F27F3"/>
    <w:rsid w:val="009F2907"/>
    <w:rsid w:val="009F29D4"/>
    <w:rsid w:val="009F2A74"/>
    <w:rsid w:val="009F2A83"/>
    <w:rsid w:val="009F2D83"/>
    <w:rsid w:val="009F2ED5"/>
    <w:rsid w:val="009F3091"/>
    <w:rsid w:val="009F33A9"/>
    <w:rsid w:val="009F340B"/>
    <w:rsid w:val="009F3542"/>
    <w:rsid w:val="009F3AF7"/>
    <w:rsid w:val="009F4096"/>
    <w:rsid w:val="009F4129"/>
    <w:rsid w:val="009F4453"/>
    <w:rsid w:val="009F459A"/>
    <w:rsid w:val="009F46D3"/>
    <w:rsid w:val="009F4BF2"/>
    <w:rsid w:val="009F4CB7"/>
    <w:rsid w:val="009F4D81"/>
    <w:rsid w:val="009F502A"/>
    <w:rsid w:val="009F5346"/>
    <w:rsid w:val="009F559C"/>
    <w:rsid w:val="009F5A48"/>
    <w:rsid w:val="009F5CD1"/>
    <w:rsid w:val="009F6155"/>
    <w:rsid w:val="009F6372"/>
    <w:rsid w:val="009F648B"/>
    <w:rsid w:val="009F64B6"/>
    <w:rsid w:val="009F65C1"/>
    <w:rsid w:val="009F693A"/>
    <w:rsid w:val="009F6C86"/>
    <w:rsid w:val="009F6CE6"/>
    <w:rsid w:val="009F6D20"/>
    <w:rsid w:val="009F70BD"/>
    <w:rsid w:val="009F727E"/>
    <w:rsid w:val="009F7412"/>
    <w:rsid w:val="009F7489"/>
    <w:rsid w:val="009F7566"/>
    <w:rsid w:val="009F77C0"/>
    <w:rsid w:val="009F7B05"/>
    <w:rsid w:val="009F7B78"/>
    <w:rsid w:val="009F7C31"/>
    <w:rsid w:val="00A00004"/>
    <w:rsid w:val="00A00190"/>
    <w:rsid w:val="00A001F6"/>
    <w:rsid w:val="00A0065D"/>
    <w:rsid w:val="00A0095B"/>
    <w:rsid w:val="00A00A82"/>
    <w:rsid w:val="00A00C18"/>
    <w:rsid w:val="00A00DD3"/>
    <w:rsid w:val="00A00E1C"/>
    <w:rsid w:val="00A011CE"/>
    <w:rsid w:val="00A012F2"/>
    <w:rsid w:val="00A017CF"/>
    <w:rsid w:val="00A01859"/>
    <w:rsid w:val="00A018A3"/>
    <w:rsid w:val="00A01CA0"/>
    <w:rsid w:val="00A01EC6"/>
    <w:rsid w:val="00A02349"/>
    <w:rsid w:val="00A026EE"/>
    <w:rsid w:val="00A029A3"/>
    <w:rsid w:val="00A02AC5"/>
    <w:rsid w:val="00A02B59"/>
    <w:rsid w:val="00A02DB4"/>
    <w:rsid w:val="00A02DF2"/>
    <w:rsid w:val="00A035E5"/>
    <w:rsid w:val="00A0360A"/>
    <w:rsid w:val="00A037AD"/>
    <w:rsid w:val="00A03A08"/>
    <w:rsid w:val="00A03BC4"/>
    <w:rsid w:val="00A03F2D"/>
    <w:rsid w:val="00A04026"/>
    <w:rsid w:val="00A040AB"/>
    <w:rsid w:val="00A04161"/>
    <w:rsid w:val="00A04664"/>
    <w:rsid w:val="00A0476C"/>
    <w:rsid w:val="00A04862"/>
    <w:rsid w:val="00A0489A"/>
    <w:rsid w:val="00A04E47"/>
    <w:rsid w:val="00A04F1B"/>
    <w:rsid w:val="00A0501B"/>
    <w:rsid w:val="00A0504F"/>
    <w:rsid w:val="00A054D6"/>
    <w:rsid w:val="00A05926"/>
    <w:rsid w:val="00A05A92"/>
    <w:rsid w:val="00A05C52"/>
    <w:rsid w:val="00A05E2E"/>
    <w:rsid w:val="00A060D1"/>
    <w:rsid w:val="00A06197"/>
    <w:rsid w:val="00A06482"/>
    <w:rsid w:val="00A0686E"/>
    <w:rsid w:val="00A06AF0"/>
    <w:rsid w:val="00A06BE1"/>
    <w:rsid w:val="00A07029"/>
    <w:rsid w:val="00A070E6"/>
    <w:rsid w:val="00A07274"/>
    <w:rsid w:val="00A072DC"/>
    <w:rsid w:val="00A07805"/>
    <w:rsid w:val="00A07C95"/>
    <w:rsid w:val="00A104F3"/>
    <w:rsid w:val="00A106CC"/>
    <w:rsid w:val="00A108C0"/>
    <w:rsid w:val="00A10CA2"/>
    <w:rsid w:val="00A10E87"/>
    <w:rsid w:val="00A1101F"/>
    <w:rsid w:val="00A11113"/>
    <w:rsid w:val="00A117C0"/>
    <w:rsid w:val="00A11AC9"/>
    <w:rsid w:val="00A11E5C"/>
    <w:rsid w:val="00A12178"/>
    <w:rsid w:val="00A121BD"/>
    <w:rsid w:val="00A121F4"/>
    <w:rsid w:val="00A124FE"/>
    <w:rsid w:val="00A1284C"/>
    <w:rsid w:val="00A12B06"/>
    <w:rsid w:val="00A12E1C"/>
    <w:rsid w:val="00A130A3"/>
    <w:rsid w:val="00A13269"/>
    <w:rsid w:val="00A13428"/>
    <w:rsid w:val="00A13784"/>
    <w:rsid w:val="00A139F4"/>
    <w:rsid w:val="00A13A6E"/>
    <w:rsid w:val="00A13ACC"/>
    <w:rsid w:val="00A13B7E"/>
    <w:rsid w:val="00A13D8A"/>
    <w:rsid w:val="00A13E84"/>
    <w:rsid w:val="00A140E4"/>
    <w:rsid w:val="00A1429F"/>
    <w:rsid w:val="00A146E4"/>
    <w:rsid w:val="00A1489D"/>
    <w:rsid w:val="00A14947"/>
    <w:rsid w:val="00A15127"/>
    <w:rsid w:val="00A1552A"/>
    <w:rsid w:val="00A15785"/>
    <w:rsid w:val="00A15944"/>
    <w:rsid w:val="00A15B6D"/>
    <w:rsid w:val="00A15D2B"/>
    <w:rsid w:val="00A16124"/>
    <w:rsid w:val="00A161C8"/>
    <w:rsid w:val="00A1681D"/>
    <w:rsid w:val="00A169C4"/>
    <w:rsid w:val="00A16A0D"/>
    <w:rsid w:val="00A16AB0"/>
    <w:rsid w:val="00A16B01"/>
    <w:rsid w:val="00A16C48"/>
    <w:rsid w:val="00A17135"/>
    <w:rsid w:val="00A173C3"/>
    <w:rsid w:val="00A17661"/>
    <w:rsid w:val="00A17941"/>
    <w:rsid w:val="00A17BD2"/>
    <w:rsid w:val="00A17E7F"/>
    <w:rsid w:val="00A200F7"/>
    <w:rsid w:val="00A201F6"/>
    <w:rsid w:val="00A202C6"/>
    <w:rsid w:val="00A20334"/>
    <w:rsid w:val="00A203D9"/>
    <w:rsid w:val="00A209BA"/>
    <w:rsid w:val="00A20E23"/>
    <w:rsid w:val="00A2106F"/>
    <w:rsid w:val="00A21129"/>
    <w:rsid w:val="00A2113C"/>
    <w:rsid w:val="00A212D3"/>
    <w:rsid w:val="00A2153F"/>
    <w:rsid w:val="00A2173C"/>
    <w:rsid w:val="00A21838"/>
    <w:rsid w:val="00A219AD"/>
    <w:rsid w:val="00A219EC"/>
    <w:rsid w:val="00A21B2A"/>
    <w:rsid w:val="00A21D87"/>
    <w:rsid w:val="00A22385"/>
    <w:rsid w:val="00A2256D"/>
    <w:rsid w:val="00A225E0"/>
    <w:rsid w:val="00A22847"/>
    <w:rsid w:val="00A229A6"/>
    <w:rsid w:val="00A229FA"/>
    <w:rsid w:val="00A22E72"/>
    <w:rsid w:val="00A2315E"/>
    <w:rsid w:val="00A23203"/>
    <w:rsid w:val="00A23252"/>
    <w:rsid w:val="00A2339E"/>
    <w:rsid w:val="00A2383D"/>
    <w:rsid w:val="00A23CCB"/>
    <w:rsid w:val="00A23FD1"/>
    <w:rsid w:val="00A240D8"/>
    <w:rsid w:val="00A2437D"/>
    <w:rsid w:val="00A24402"/>
    <w:rsid w:val="00A24622"/>
    <w:rsid w:val="00A24652"/>
    <w:rsid w:val="00A24A7C"/>
    <w:rsid w:val="00A24F5F"/>
    <w:rsid w:val="00A2506A"/>
    <w:rsid w:val="00A2516F"/>
    <w:rsid w:val="00A2564B"/>
    <w:rsid w:val="00A257AC"/>
    <w:rsid w:val="00A2597E"/>
    <w:rsid w:val="00A26000"/>
    <w:rsid w:val="00A26260"/>
    <w:rsid w:val="00A2675A"/>
    <w:rsid w:val="00A268CF"/>
    <w:rsid w:val="00A26A83"/>
    <w:rsid w:val="00A26B29"/>
    <w:rsid w:val="00A26B5B"/>
    <w:rsid w:val="00A26EBE"/>
    <w:rsid w:val="00A2758D"/>
    <w:rsid w:val="00A27C31"/>
    <w:rsid w:val="00A27FF9"/>
    <w:rsid w:val="00A30513"/>
    <w:rsid w:val="00A30A55"/>
    <w:rsid w:val="00A3115B"/>
    <w:rsid w:val="00A31377"/>
    <w:rsid w:val="00A3141B"/>
    <w:rsid w:val="00A3146E"/>
    <w:rsid w:val="00A314EE"/>
    <w:rsid w:val="00A31988"/>
    <w:rsid w:val="00A31E7C"/>
    <w:rsid w:val="00A31ED2"/>
    <w:rsid w:val="00A321A7"/>
    <w:rsid w:val="00A32479"/>
    <w:rsid w:val="00A324AC"/>
    <w:rsid w:val="00A324B9"/>
    <w:rsid w:val="00A3276D"/>
    <w:rsid w:val="00A32A83"/>
    <w:rsid w:val="00A32A9C"/>
    <w:rsid w:val="00A32E35"/>
    <w:rsid w:val="00A33150"/>
    <w:rsid w:val="00A3369F"/>
    <w:rsid w:val="00A33956"/>
    <w:rsid w:val="00A339F4"/>
    <w:rsid w:val="00A33D8F"/>
    <w:rsid w:val="00A340E5"/>
    <w:rsid w:val="00A345E7"/>
    <w:rsid w:val="00A34643"/>
    <w:rsid w:val="00A34779"/>
    <w:rsid w:val="00A34C28"/>
    <w:rsid w:val="00A34C54"/>
    <w:rsid w:val="00A34C80"/>
    <w:rsid w:val="00A34CF2"/>
    <w:rsid w:val="00A3501D"/>
    <w:rsid w:val="00A35275"/>
    <w:rsid w:val="00A355D1"/>
    <w:rsid w:val="00A35D65"/>
    <w:rsid w:val="00A35FE6"/>
    <w:rsid w:val="00A35FFC"/>
    <w:rsid w:val="00A3605B"/>
    <w:rsid w:val="00A3628E"/>
    <w:rsid w:val="00A362F6"/>
    <w:rsid w:val="00A36332"/>
    <w:rsid w:val="00A36457"/>
    <w:rsid w:val="00A36745"/>
    <w:rsid w:val="00A368DB"/>
    <w:rsid w:val="00A36E91"/>
    <w:rsid w:val="00A36F75"/>
    <w:rsid w:val="00A37066"/>
    <w:rsid w:val="00A3710D"/>
    <w:rsid w:val="00A3749C"/>
    <w:rsid w:val="00A376FF"/>
    <w:rsid w:val="00A37AB5"/>
    <w:rsid w:val="00A37E8D"/>
    <w:rsid w:val="00A401A7"/>
    <w:rsid w:val="00A402A4"/>
    <w:rsid w:val="00A4057E"/>
    <w:rsid w:val="00A407D3"/>
    <w:rsid w:val="00A40AFD"/>
    <w:rsid w:val="00A40C10"/>
    <w:rsid w:val="00A40E5F"/>
    <w:rsid w:val="00A41219"/>
    <w:rsid w:val="00A4191C"/>
    <w:rsid w:val="00A419AC"/>
    <w:rsid w:val="00A41E84"/>
    <w:rsid w:val="00A422CE"/>
    <w:rsid w:val="00A423AA"/>
    <w:rsid w:val="00A42422"/>
    <w:rsid w:val="00A42499"/>
    <w:rsid w:val="00A4278A"/>
    <w:rsid w:val="00A428C4"/>
    <w:rsid w:val="00A42911"/>
    <w:rsid w:val="00A42984"/>
    <w:rsid w:val="00A42BB7"/>
    <w:rsid w:val="00A42CF2"/>
    <w:rsid w:val="00A43058"/>
    <w:rsid w:val="00A43242"/>
    <w:rsid w:val="00A432E5"/>
    <w:rsid w:val="00A4368C"/>
    <w:rsid w:val="00A438D5"/>
    <w:rsid w:val="00A43C64"/>
    <w:rsid w:val="00A43F71"/>
    <w:rsid w:val="00A44287"/>
    <w:rsid w:val="00A443B0"/>
    <w:rsid w:val="00A446D8"/>
    <w:rsid w:val="00A447C6"/>
    <w:rsid w:val="00A44AB7"/>
    <w:rsid w:val="00A44D98"/>
    <w:rsid w:val="00A44F9D"/>
    <w:rsid w:val="00A45256"/>
    <w:rsid w:val="00A452F3"/>
    <w:rsid w:val="00A45395"/>
    <w:rsid w:val="00A45439"/>
    <w:rsid w:val="00A45475"/>
    <w:rsid w:val="00A45721"/>
    <w:rsid w:val="00A4576D"/>
    <w:rsid w:val="00A45824"/>
    <w:rsid w:val="00A45C69"/>
    <w:rsid w:val="00A45C86"/>
    <w:rsid w:val="00A461DF"/>
    <w:rsid w:val="00A467E3"/>
    <w:rsid w:val="00A4687B"/>
    <w:rsid w:val="00A468D0"/>
    <w:rsid w:val="00A46B21"/>
    <w:rsid w:val="00A46C08"/>
    <w:rsid w:val="00A46C23"/>
    <w:rsid w:val="00A4756D"/>
    <w:rsid w:val="00A47E79"/>
    <w:rsid w:val="00A50177"/>
    <w:rsid w:val="00A5051E"/>
    <w:rsid w:val="00A50B2E"/>
    <w:rsid w:val="00A50C16"/>
    <w:rsid w:val="00A50CB6"/>
    <w:rsid w:val="00A50E52"/>
    <w:rsid w:val="00A50F5D"/>
    <w:rsid w:val="00A50FD0"/>
    <w:rsid w:val="00A51423"/>
    <w:rsid w:val="00A514CD"/>
    <w:rsid w:val="00A51943"/>
    <w:rsid w:val="00A51A0B"/>
    <w:rsid w:val="00A51A55"/>
    <w:rsid w:val="00A51B09"/>
    <w:rsid w:val="00A52001"/>
    <w:rsid w:val="00A522BC"/>
    <w:rsid w:val="00A525A6"/>
    <w:rsid w:val="00A5265D"/>
    <w:rsid w:val="00A5269A"/>
    <w:rsid w:val="00A526ED"/>
    <w:rsid w:val="00A52ADA"/>
    <w:rsid w:val="00A52B42"/>
    <w:rsid w:val="00A52F54"/>
    <w:rsid w:val="00A52F97"/>
    <w:rsid w:val="00A53218"/>
    <w:rsid w:val="00A53E9B"/>
    <w:rsid w:val="00A53EC6"/>
    <w:rsid w:val="00A54017"/>
    <w:rsid w:val="00A547C2"/>
    <w:rsid w:val="00A54F80"/>
    <w:rsid w:val="00A5559A"/>
    <w:rsid w:val="00A5589E"/>
    <w:rsid w:val="00A55AD6"/>
    <w:rsid w:val="00A55C0F"/>
    <w:rsid w:val="00A55E8F"/>
    <w:rsid w:val="00A55EA8"/>
    <w:rsid w:val="00A561EB"/>
    <w:rsid w:val="00A561EE"/>
    <w:rsid w:val="00A5670A"/>
    <w:rsid w:val="00A56AF6"/>
    <w:rsid w:val="00A56E46"/>
    <w:rsid w:val="00A571B5"/>
    <w:rsid w:val="00A574B1"/>
    <w:rsid w:val="00A575AC"/>
    <w:rsid w:val="00A575D0"/>
    <w:rsid w:val="00A57644"/>
    <w:rsid w:val="00A57784"/>
    <w:rsid w:val="00A57843"/>
    <w:rsid w:val="00A578DC"/>
    <w:rsid w:val="00A57989"/>
    <w:rsid w:val="00A57AD6"/>
    <w:rsid w:val="00A57FE8"/>
    <w:rsid w:val="00A600A6"/>
    <w:rsid w:val="00A609A8"/>
    <w:rsid w:val="00A60AC0"/>
    <w:rsid w:val="00A60AFE"/>
    <w:rsid w:val="00A60DC5"/>
    <w:rsid w:val="00A61562"/>
    <w:rsid w:val="00A616BC"/>
    <w:rsid w:val="00A616E6"/>
    <w:rsid w:val="00A61753"/>
    <w:rsid w:val="00A617C8"/>
    <w:rsid w:val="00A61A0D"/>
    <w:rsid w:val="00A61A5C"/>
    <w:rsid w:val="00A61B76"/>
    <w:rsid w:val="00A61C43"/>
    <w:rsid w:val="00A62304"/>
    <w:rsid w:val="00A62554"/>
    <w:rsid w:val="00A62740"/>
    <w:rsid w:val="00A62CC0"/>
    <w:rsid w:val="00A63568"/>
    <w:rsid w:val="00A639BC"/>
    <w:rsid w:val="00A63CAB"/>
    <w:rsid w:val="00A64097"/>
    <w:rsid w:val="00A644BB"/>
    <w:rsid w:val="00A644DA"/>
    <w:rsid w:val="00A64A40"/>
    <w:rsid w:val="00A64FEB"/>
    <w:rsid w:val="00A65B99"/>
    <w:rsid w:val="00A65D3C"/>
    <w:rsid w:val="00A65EA9"/>
    <w:rsid w:val="00A6633B"/>
    <w:rsid w:val="00A66855"/>
    <w:rsid w:val="00A672B9"/>
    <w:rsid w:val="00A67333"/>
    <w:rsid w:val="00A674A4"/>
    <w:rsid w:val="00A677D0"/>
    <w:rsid w:val="00A67C27"/>
    <w:rsid w:val="00A67CEF"/>
    <w:rsid w:val="00A67D13"/>
    <w:rsid w:val="00A67E2F"/>
    <w:rsid w:val="00A67E45"/>
    <w:rsid w:val="00A67ED2"/>
    <w:rsid w:val="00A70156"/>
    <w:rsid w:val="00A70252"/>
    <w:rsid w:val="00A7027A"/>
    <w:rsid w:val="00A703F5"/>
    <w:rsid w:val="00A70A3B"/>
    <w:rsid w:val="00A70CF5"/>
    <w:rsid w:val="00A70D46"/>
    <w:rsid w:val="00A70D9E"/>
    <w:rsid w:val="00A71994"/>
    <w:rsid w:val="00A71D47"/>
    <w:rsid w:val="00A72519"/>
    <w:rsid w:val="00A72561"/>
    <w:rsid w:val="00A72814"/>
    <w:rsid w:val="00A729B6"/>
    <w:rsid w:val="00A72D81"/>
    <w:rsid w:val="00A730F2"/>
    <w:rsid w:val="00A73284"/>
    <w:rsid w:val="00A73538"/>
    <w:rsid w:val="00A73583"/>
    <w:rsid w:val="00A735C0"/>
    <w:rsid w:val="00A7365A"/>
    <w:rsid w:val="00A73BB1"/>
    <w:rsid w:val="00A73DB3"/>
    <w:rsid w:val="00A742AB"/>
    <w:rsid w:val="00A744F2"/>
    <w:rsid w:val="00A74840"/>
    <w:rsid w:val="00A74B3B"/>
    <w:rsid w:val="00A75959"/>
    <w:rsid w:val="00A759DA"/>
    <w:rsid w:val="00A75D1B"/>
    <w:rsid w:val="00A75D59"/>
    <w:rsid w:val="00A762E4"/>
    <w:rsid w:val="00A763A6"/>
    <w:rsid w:val="00A763FE"/>
    <w:rsid w:val="00A76454"/>
    <w:rsid w:val="00A777EE"/>
    <w:rsid w:val="00A7785F"/>
    <w:rsid w:val="00A77CD0"/>
    <w:rsid w:val="00A77D9F"/>
    <w:rsid w:val="00A8066F"/>
    <w:rsid w:val="00A80690"/>
    <w:rsid w:val="00A807B9"/>
    <w:rsid w:val="00A80A5F"/>
    <w:rsid w:val="00A80C4C"/>
    <w:rsid w:val="00A80C5A"/>
    <w:rsid w:val="00A80C5C"/>
    <w:rsid w:val="00A80C87"/>
    <w:rsid w:val="00A80D24"/>
    <w:rsid w:val="00A80D4B"/>
    <w:rsid w:val="00A8109A"/>
    <w:rsid w:val="00A810BF"/>
    <w:rsid w:val="00A81459"/>
    <w:rsid w:val="00A81479"/>
    <w:rsid w:val="00A814D2"/>
    <w:rsid w:val="00A81AC0"/>
    <w:rsid w:val="00A81B65"/>
    <w:rsid w:val="00A81C7B"/>
    <w:rsid w:val="00A81E1F"/>
    <w:rsid w:val="00A81F7A"/>
    <w:rsid w:val="00A8289F"/>
    <w:rsid w:val="00A82938"/>
    <w:rsid w:val="00A82B0D"/>
    <w:rsid w:val="00A82BDC"/>
    <w:rsid w:val="00A8338E"/>
    <w:rsid w:val="00A8357C"/>
    <w:rsid w:val="00A83987"/>
    <w:rsid w:val="00A83B4D"/>
    <w:rsid w:val="00A83B8B"/>
    <w:rsid w:val="00A83BF6"/>
    <w:rsid w:val="00A83C22"/>
    <w:rsid w:val="00A83C2F"/>
    <w:rsid w:val="00A83EA9"/>
    <w:rsid w:val="00A849B7"/>
    <w:rsid w:val="00A84DBB"/>
    <w:rsid w:val="00A85450"/>
    <w:rsid w:val="00A8594D"/>
    <w:rsid w:val="00A85A23"/>
    <w:rsid w:val="00A85A5D"/>
    <w:rsid w:val="00A861A6"/>
    <w:rsid w:val="00A865CA"/>
    <w:rsid w:val="00A867A8"/>
    <w:rsid w:val="00A86AD9"/>
    <w:rsid w:val="00A86C51"/>
    <w:rsid w:val="00A86FF2"/>
    <w:rsid w:val="00A8713F"/>
    <w:rsid w:val="00A87467"/>
    <w:rsid w:val="00A874C9"/>
    <w:rsid w:val="00A87566"/>
    <w:rsid w:val="00A875FE"/>
    <w:rsid w:val="00A877C9"/>
    <w:rsid w:val="00A87A44"/>
    <w:rsid w:val="00A87A58"/>
    <w:rsid w:val="00A87A73"/>
    <w:rsid w:val="00A87B25"/>
    <w:rsid w:val="00A87D52"/>
    <w:rsid w:val="00A87D92"/>
    <w:rsid w:val="00A87E90"/>
    <w:rsid w:val="00A87F1E"/>
    <w:rsid w:val="00A9041C"/>
    <w:rsid w:val="00A905FA"/>
    <w:rsid w:val="00A90609"/>
    <w:rsid w:val="00A90923"/>
    <w:rsid w:val="00A90BA1"/>
    <w:rsid w:val="00A90E99"/>
    <w:rsid w:val="00A90F1D"/>
    <w:rsid w:val="00A910A0"/>
    <w:rsid w:val="00A911A9"/>
    <w:rsid w:val="00A9127E"/>
    <w:rsid w:val="00A912BA"/>
    <w:rsid w:val="00A91447"/>
    <w:rsid w:val="00A91483"/>
    <w:rsid w:val="00A91BE2"/>
    <w:rsid w:val="00A91F00"/>
    <w:rsid w:val="00A91F5A"/>
    <w:rsid w:val="00A91FD2"/>
    <w:rsid w:val="00A92693"/>
    <w:rsid w:val="00A927BC"/>
    <w:rsid w:val="00A92828"/>
    <w:rsid w:val="00A92B0B"/>
    <w:rsid w:val="00A92F50"/>
    <w:rsid w:val="00A93308"/>
    <w:rsid w:val="00A93362"/>
    <w:rsid w:val="00A933F8"/>
    <w:rsid w:val="00A94115"/>
    <w:rsid w:val="00A942F1"/>
    <w:rsid w:val="00A9477D"/>
    <w:rsid w:val="00A9485B"/>
    <w:rsid w:val="00A9489B"/>
    <w:rsid w:val="00A94905"/>
    <w:rsid w:val="00A94DFD"/>
    <w:rsid w:val="00A94FA8"/>
    <w:rsid w:val="00A95212"/>
    <w:rsid w:val="00A957A1"/>
    <w:rsid w:val="00A959BF"/>
    <w:rsid w:val="00A95B4D"/>
    <w:rsid w:val="00A95F5E"/>
    <w:rsid w:val="00A95FED"/>
    <w:rsid w:val="00A961CB"/>
    <w:rsid w:val="00A96253"/>
    <w:rsid w:val="00A962D9"/>
    <w:rsid w:val="00A967AA"/>
    <w:rsid w:val="00A96832"/>
    <w:rsid w:val="00A96B8D"/>
    <w:rsid w:val="00A96D78"/>
    <w:rsid w:val="00A96EF6"/>
    <w:rsid w:val="00A97455"/>
    <w:rsid w:val="00A975B3"/>
    <w:rsid w:val="00A975CE"/>
    <w:rsid w:val="00A97752"/>
    <w:rsid w:val="00A978B2"/>
    <w:rsid w:val="00A979AA"/>
    <w:rsid w:val="00A979CB"/>
    <w:rsid w:val="00A97A9A"/>
    <w:rsid w:val="00A97A9F"/>
    <w:rsid w:val="00A97BBC"/>
    <w:rsid w:val="00A97EA3"/>
    <w:rsid w:val="00A97F55"/>
    <w:rsid w:val="00AA008A"/>
    <w:rsid w:val="00AA0671"/>
    <w:rsid w:val="00AA0708"/>
    <w:rsid w:val="00AA08A1"/>
    <w:rsid w:val="00AA098E"/>
    <w:rsid w:val="00AA099F"/>
    <w:rsid w:val="00AA0B14"/>
    <w:rsid w:val="00AA0D52"/>
    <w:rsid w:val="00AA1242"/>
    <w:rsid w:val="00AA1849"/>
    <w:rsid w:val="00AA1B91"/>
    <w:rsid w:val="00AA1E66"/>
    <w:rsid w:val="00AA1F81"/>
    <w:rsid w:val="00AA227A"/>
    <w:rsid w:val="00AA2299"/>
    <w:rsid w:val="00AA2531"/>
    <w:rsid w:val="00AA261C"/>
    <w:rsid w:val="00AA280D"/>
    <w:rsid w:val="00AA2831"/>
    <w:rsid w:val="00AA2948"/>
    <w:rsid w:val="00AA2A9E"/>
    <w:rsid w:val="00AA2D29"/>
    <w:rsid w:val="00AA2FA0"/>
    <w:rsid w:val="00AA3271"/>
    <w:rsid w:val="00AA36D0"/>
    <w:rsid w:val="00AA3A65"/>
    <w:rsid w:val="00AA3D1A"/>
    <w:rsid w:val="00AA3DFB"/>
    <w:rsid w:val="00AA3FF0"/>
    <w:rsid w:val="00AA4083"/>
    <w:rsid w:val="00AA42F1"/>
    <w:rsid w:val="00AA433B"/>
    <w:rsid w:val="00AA47D9"/>
    <w:rsid w:val="00AA4967"/>
    <w:rsid w:val="00AA4AF8"/>
    <w:rsid w:val="00AA4C12"/>
    <w:rsid w:val="00AA4D47"/>
    <w:rsid w:val="00AA4DCE"/>
    <w:rsid w:val="00AA4E56"/>
    <w:rsid w:val="00AA50F4"/>
    <w:rsid w:val="00AA571D"/>
    <w:rsid w:val="00AA5870"/>
    <w:rsid w:val="00AA5919"/>
    <w:rsid w:val="00AA5D1A"/>
    <w:rsid w:val="00AA5E77"/>
    <w:rsid w:val="00AA61C6"/>
    <w:rsid w:val="00AA620A"/>
    <w:rsid w:val="00AA6275"/>
    <w:rsid w:val="00AA66A5"/>
    <w:rsid w:val="00AA699F"/>
    <w:rsid w:val="00AA7198"/>
    <w:rsid w:val="00AA7633"/>
    <w:rsid w:val="00AA7688"/>
    <w:rsid w:val="00AA7987"/>
    <w:rsid w:val="00AA7A21"/>
    <w:rsid w:val="00AA7A41"/>
    <w:rsid w:val="00AA7F32"/>
    <w:rsid w:val="00AA7FA1"/>
    <w:rsid w:val="00AB035A"/>
    <w:rsid w:val="00AB0648"/>
    <w:rsid w:val="00AB066D"/>
    <w:rsid w:val="00AB076F"/>
    <w:rsid w:val="00AB0947"/>
    <w:rsid w:val="00AB0B17"/>
    <w:rsid w:val="00AB0ECC"/>
    <w:rsid w:val="00AB10C4"/>
    <w:rsid w:val="00AB13B6"/>
    <w:rsid w:val="00AB13DF"/>
    <w:rsid w:val="00AB1579"/>
    <w:rsid w:val="00AB1978"/>
    <w:rsid w:val="00AB19F7"/>
    <w:rsid w:val="00AB1E09"/>
    <w:rsid w:val="00AB23CC"/>
    <w:rsid w:val="00AB28F7"/>
    <w:rsid w:val="00AB2C97"/>
    <w:rsid w:val="00AB2D26"/>
    <w:rsid w:val="00AB3579"/>
    <w:rsid w:val="00AB42AB"/>
    <w:rsid w:val="00AB44DD"/>
    <w:rsid w:val="00AB46BF"/>
    <w:rsid w:val="00AB49D4"/>
    <w:rsid w:val="00AB4BF0"/>
    <w:rsid w:val="00AB4E03"/>
    <w:rsid w:val="00AB5016"/>
    <w:rsid w:val="00AB5275"/>
    <w:rsid w:val="00AB527D"/>
    <w:rsid w:val="00AB52FD"/>
    <w:rsid w:val="00AB5330"/>
    <w:rsid w:val="00AB535C"/>
    <w:rsid w:val="00AB54FD"/>
    <w:rsid w:val="00AB55AE"/>
    <w:rsid w:val="00AB56B8"/>
    <w:rsid w:val="00AB5767"/>
    <w:rsid w:val="00AB57E4"/>
    <w:rsid w:val="00AB5C77"/>
    <w:rsid w:val="00AB61B6"/>
    <w:rsid w:val="00AB64B3"/>
    <w:rsid w:val="00AB651A"/>
    <w:rsid w:val="00AB6527"/>
    <w:rsid w:val="00AB6843"/>
    <w:rsid w:val="00AB68C4"/>
    <w:rsid w:val="00AB6975"/>
    <w:rsid w:val="00AB6C71"/>
    <w:rsid w:val="00AB71C3"/>
    <w:rsid w:val="00AB71DB"/>
    <w:rsid w:val="00AB7345"/>
    <w:rsid w:val="00AB7664"/>
    <w:rsid w:val="00AB76AA"/>
    <w:rsid w:val="00AB76D4"/>
    <w:rsid w:val="00AB770D"/>
    <w:rsid w:val="00AB7747"/>
    <w:rsid w:val="00AB77EC"/>
    <w:rsid w:val="00AB7D11"/>
    <w:rsid w:val="00AB7FED"/>
    <w:rsid w:val="00AC00E2"/>
    <w:rsid w:val="00AC02FB"/>
    <w:rsid w:val="00AC034A"/>
    <w:rsid w:val="00AC034E"/>
    <w:rsid w:val="00AC0649"/>
    <w:rsid w:val="00AC075C"/>
    <w:rsid w:val="00AC0770"/>
    <w:rsid w:val="00AC08D7"/>
    <w:rsid w:val="00AC09E8"/>
    <w:rsid w:val="00AC0BA9"/>
    <w:rsid w:val="00AC0C27"/>
    <w:rsid w:val="00AC0D2D"/>
    <w:rsid w:val="00AC0E0D"/>
    <w:rsid w:val="00AC1191"/>
    <w:rsid w:val="00AC12B8"/>
    <w:rsid w:val="00AC14CE"/>
    <w:rsid w:val="00AC1640"/>
    <w:rsid w:val="00AC26D1"/>
    <w:rsid w:val="00AC27DB"/>
    <w:rsid w:val="00AC2A56"/>
    <w:rsid w:val="00AC2E68"/>
    <w:rsid w:val="00AC357C"/>
    <w:rsid w:val="00AC3812"/>
    <w:rsid w:val="00AC3864"/>
    <w:rsid w:val="00AC3CD6"/>
    <w:rsid w:val="00AC3D1B"/>
    <w:rsid w:val="00AC4517"/>
    <w:rsid w:val="00AC4649"/>
    <w:rsid w:val="00AC482C"/>
    <w:rsid w:val="00AC4BD5"/>
    <w:rsid w:val="00AC4C92"/>
    <w:rsid w:val="00AC4C9A"/>
    <w:rsid w:val="00AC4DF0"/>
    <w:rsid w:val="00AC4E46"/>
    <w:rsid w:val="00AC4F76"/>
    <w:rsid w:val="00AC52CC"/>
    <w:rsid w:val="00AC52D4"/>
    <w:rsid w:val="00AC52FD"/>
    <w:rsid w:val="00AC5735"/>
    <w:rsid w:val="00AC5948"/>
    <w:rsid w:val="00AC5E0F"/>
    <w:rsid w:val="00AC61A3"/>
    <w:rsid w:val="00AC63A1"/>
    <w:rsid w:val="00AC6805"/>
    <w:rsid w:val="00AC6EE1"/>
    <w:rsid w:val="00AC6F51"/>
    <w:rsid w:val="00AC7238"/>
    <w:rsid w:val="00AC73C6"/>
    <w:rsid w:val="00AC770F"/>
    <w:rsid w:val="00AC7A44"/>
    <w:rsid w:val="00AD0326"/>
    <w:rsid w:val="00AD055E"/>
    <w:rsid w:val="00AD06FE"/>
    <w:rsid w:val="00AD08D6"/>
    <w:rsid w:val="00AD0CB5"/>
    <w:rsid w:val="00AD0D48"/>
    <w:rsid w:val="00AD0FE5"/>
    <w:rsid w:val="00AD1014"/>
    <w:rsid w:val="00AD11A7"/>
    <w:rsid w:val="00AD1456"/>
    <w:rsid w:val="00AD167B"/>
    <w:rsid w:val="00AD18B8"/>
    <w:rsid w:val="00AD1DAB"/>
    <w:rsid w:val="00AD2303"/>
    <w:rsid w:val="00AD2423"/>
    <w:rsid w:val="00AD2491"/>
    <w:rsid w:val="00AD2525"/>
    <w:rsid w:val="00AD2545"/>
    <w:rsid w:val="00AD2606"/>
    <w:rsid w:val="00AD2AEE"/>
    <w:rsid w:val="00AD2AF0"/>
    <w:rsid w:val="00AD2D8C"/>
    <w:rsid w:val="00AD3062"/>
    <w:rsid w:val="00AD3473"/>
    <w:rsid w:val="00AD357A"/>
    <w:rsid w:val="00AD3627"/>
    <w:rsid w:val="00AD381A"/>
    <w:rsid w:val="00AD38C5"/>
    <w:rsid w:val="00AD3AF4"/>
    <w:rsid w:val="00AD3BFC"/>
    <w:rsid w:val="00AD3C83"/>
    <w:rsid w:val="00AD422C"/>
    <w:rsid w:val="00AD46A7"/>
    <w:rsid w:val="00AD47A7"/>
    <w:rsid w:val="00AD516F"/>
    <w:rsid w:val="00AD5287"/>
    <w:rsid w:val="00AD57BF"/>
    <w:rsid w:val="00AD5D51"/>
    <w:rsid w:val="00AD5D93"/>
    <w:rsid w:val="00AD5DCB"/>
    <w:rsid w:val="00AD5E16"/>
    <w:rsid w:val="00AD5FC3"/>
    <w:rsid w:val="00AD6732"/>
    <w:rsid w:val="00AD674B"/>
    <w:rsid w:val="00AD6B7A"/>
    <w:rsid w:val="00AD6DE1"/>
    <w:rsid w:val="00AD6E67"/>
    <w:rsid w:val="00AD70DA"/>
    <w:rsid w:val="00AD7171"/>
    <w:rsid w:val="00AD74AE"/>
    <w:rsid w:val="00AD7521"/>
    <w:rsid w:val="00AD7725"/>
    <w:rsid w:val="00AD7B67"/>
    <w:rsid w:val="00AE007C"/>
    <w:rsid w:val="00AE0216"/>
    <w:rsid w:val="00AE054C"/>
    <w:rsid w:val="00AE072B"/>
    <w:rsid w:val="00AE091F"/>
    <w:rsid w:val="00AE0A54"/>
    <w:rsid w:val="00AE0B73"/>
    <w:rsid w:val="00AE0CFD"/>
    <w:rsid w:val="00AE0E16"/>
    <w:rsid w:val="00AE11C8"/>
    <w:rsid w:val="00AE12C7"/>
    <w:rsid w:val="00AE14F0"/>
    <w:rsid w:val="00AE16C8"/>
    <w:rsid w:val="00AE178D"/>
    <w:rsid w:val="00AE17B5"/>
    <w:rsid w:val="00AE1C4E"/>
    <w:rsid w:val="00AE1D86"/>
    <w:rsid w:val="00AE1FF1"/>
    <w:rsid w:val="00AE2181"/>
    <w:rsid w:val="00AE2280"/>
    <w:rsid w:val="00AE25B2"/>
    <w:rsid w:val="00AE25B6"/>
    <w:rsid w:val="00AE2790"/>
    <w:rsid w:val="00AE27D0"/>
    <w:rsid w:val="00AE2804"/>
    <w:rsid w:val="00AE2828"/>
    <w:rsid w:val="00AE2BC5"/>
    <w:rsid w:val="00AE3044"/>
    <w:rsid w:val="00AE33D3"/>
    <w:rsid w:val="00AE3441"/>
    <w:rsid w:val="00AE37B8"/>
    <w:rsid w:val="00AE41EC"/>
    <w:rsid w:val="00AE425A"/>
    <w:rsid w:val="00AE437A"/>
    <w:rsid w:val="00AE4486"/>
    <w:rsid w:val="00AE4556"/>
    <w:rsid w:val="00AE4951"/>
    <w:rsid w:val="00AE4961"/>
    <w:rsid w:val="00AE4FF3"/>
    <w:rsid w:val="00AE53E3"/>
    <w:rsid w:val="00AE5482"/>
    <w:rsid w:val="00AE5894"/>
    <w:rsid w:val="00AE5D87"/>
    <w:rsid w:val="00AE61A8"/>
    <w:rsid w:val="00AE63C6"/>
    <w:rsid w:val="00AE6816"/>
    <w:rsid w:val="00AE68BE"/>
    <w:rsid w:val="00AE6AC6"/>
    <w:rsid w:val="00AE6BC1"/>
    <w:rsid w:val="00AE7A0F"/>
    <w:rsid w:val="00AE7B38"/>
    <w:rsid w:val="00AE7B66"/>
    <w:rsid w:val="00AF01FB"/>
    <w:rsid w:val="00AF0497"/>
    <w:rsid w:val="00AF0575"/>
    <w:rsid w:val="00AF0BEE"/>
    <w:rsid w:val="00AF0CBF"/>
    <w:rsid w:val="00AF0D02"/>
    <w:rsid w:val="00AF0F17"/>
    <w:rsid w:val="00AF0F71"/>
    <w:rsid w:val="00AF103B"/>
    <w:rsid w:val="00AF1400"/>
    <w:rsid w:val="00AF1E0D"/>
    <w:rsid w:val="00AF1E39"/>
    <w:rsid w:val="00AF2024"/>
    <w:rsid w:val="00AF2254"/>
    <w:rsid w:val="00AF23D8"/>
    <w:rsid w:val="00AF23DB"/>
    <w:rsid w:val="00AF257F"/>
    <w:rsid w:val="00AF27C9"/>
    <w:rsid w:val="00AF2DB4"/>
    <w:rsid w:val="00AF2F44"/>
    <w:rsid w:val="00AF2FA6"/>
    <w:rsid w:val="00AF33CF"/>
    <w:rsid w:val="00AF37F2"/>
    <w:rsid w:val="00AF389A"/>
    <w:rsid w:val="00AF3B0C"/>
    <w:rsid w:val="00AF3DB2"/>
    <w:rsid w:val="00AF3E21"/>
    <w:rsid w:val="00AF3F9E"/>
    <w:rsid w:val="00AF4101"/>
    <w:rsid w:val="00AF41A9"/>
    <w:rsid w:val="00AF421A"/>
    <w:rsid w:val="00AF437C"/>
    <w:rsid w:val="00AF4385"/>
    <w:rsid w:val="00AF44FE"/>
    <w:rsid w:val="00AF458D"/>
    <w:rsid w:val="00AF4671"/>
    <w:rsid w:val="00AF4761"/>
    <w:rsid w:val="00AF4D50"/>
    <w:rsid w:val="00AF4EBA"/>
    <w:rsid w:val="00AF51B4"/>
    <w:rsid w:val="00AF54D8"/>
    <w:rsid w:val="00AF5966"/>
    <w:rsid w:val="00AF5BF8"/>
    <w:rsid w:val="00AF6179"/>
    <w:rsid w:val="00AF61E3"/>
    <w:rsid w:val="00AF62CC"/>
    <w:rsid w:val="00AF6712"/>
    <w:rsid w:val="00AF675F"/>
    <w:rsid w:val="00AF69C5"/>
    <w:rsid w:val="00AF6B54"/>
    <w:rsid w:val="00AF6C82"/>
    <w:rsid w:val="00AF6CB1"/>
    <w:rsid w:val="00AF6DF8"/>
    <w:rsid w:val="00AF7153"/>
    <w:rsid w:val="00AF782F"/>
    <w:rsid w:val="00AF7CB1"/>
    <w:rsid w:val="00AF7DD3"/>
    <w:rsid w:val="00AF7FEC"/>
    <w:rsid w:val="00B01114"/>
    <w:rsid w:val="00B01262"/>
    <w:rsid w:val="00B0148A"/>
    <w:rsid w:val="00B016CE"/>
    <w:rsid w:val="00B0178F"/>
    <w:rsid w:val="00B01FE6"/>
    <w:rsid w:val="00B021A9"/>
    <w:rsid w:val="00B02251"/>
    <w:rsid w:val="00B0230F"/>
    <w:rsid w:val="00B0236A"/>
    <w:rsid w:val="00B023D1"/>
    <w:rsid w:val="00B02BB1"/>
    <w:rsid w:val="00B02D38"/>
    <w:rsid w:val="00B02D8B"/>
    <w:rsid w:val="00B02F34"/>
    <w:rsid w:val="00B0335C"/>
    <w:rsid w:val="00B03497"/>
    <w:rsid w:val="00B036A8"/>
    <w:rsid w:val="00B037F2"/>
    <w:rsid w:val="00B0399E"/>
    <w:rsid w:val="00B03D26"/>
    <w:rsid w:val="00B048EE"/>
    <w:rsid w:val="00B0491B"/>
    <w:rsid w:val="00B04A2A"/>
    <w:rsid w:val="00B04A2E"/>
    <w:rsid w:val="00B04DC7"/>
    <w:rsid w:val="00B050F1"/>
    <w:rsid w:val="00B05172"/>
    <w:rsid w:val="00B05499"/>
    <w:rsid w:val="00B059F0"/>
    <w:rsid w:val="00B05C88"/>
    <w:rsid w:val="00B0600D"/>
    <w:rsid w:val="00B060B2"/>
    <w:rsid w:val="00B0625B"/>
    <w:rsid w:val="00B062BA"/>
    <w:rsid w:val="00B062BC"/>
    <w:rsid w:val="00B06423"/>
    <w:rsid w:val="00B06575"/>
    <w:rsid w:val="00B065F6"/>
    <w:rsid w:val="00B06821"/>
    <w:rsid w:val="00B06E19"/>
    <w:rsid w:val="00B072B5"/>
    <w:rsid w:val="00B07402"/>
    <w:rsid w:val="00B074F5"/>
    <w:rsid w:val="00B078F4"/>
    <w:rsid w:val="00B07ABC"/>
    <w:rsid w:val="00B07B15"/>
    <w:rsid w:val="00B101FB"/>
    <w:rsid w:val="00B10531"/>
    <w:rsid w:val="00B10F7C"/>
    <w:rsid w:val="00B11177"/>
    <w:rsid w:val="00B1130F"/>
    <w:rsid w:val="00B116D6"/>
    <w:rsid w:val="00B116FB"/>
    <w:rsid w:val="00B118DF"/>
    <w:rsid w:val="00B11BFC"/>
    <w:rsid w:val="00B11D90"/>
    <w:rsid w:val="00B11E1C"/>
    <w:rsid w:val="00B11E2D"/>
    <w:rsid w:val="00B12361"/>
    <w:rsid w:val="00B12562"/>
    <w:rsid w:val="00B12575"/>
    <w:rsid w:val="00B1295A"/>
    <w:rsid w:val="00B129C9"/>
    <w:rsid w:val="00B12AFC"/>
    <w:rsid w:val="00B12ED6"/>
    <w:rsid w:val="00B1304F"/>
    <w:rsid w:val="00B131AD"/>
    <w:rsid w:val="00B13725"/>
    <w:rsid w:val="00B13808"/>
    <w:rsid w:val="00B138B0"/>
    <w:rsid w:val="00B139D1"/>
    <w:rsid w:val="00B13AAC"/>
    <w:rsid w:val="00B13B6E"/>
    <w:rsid w:val="00B13F7E"/>
    <w:rsid w:val="00B14397"/>
    <w:rsid w:val="00B145B1"/>
    <w:rsid w:val="00B1460B"/>
    <w:rsid w:val="00B14980"/>
    <w:rsid w:val="00B14B82"/>
    <w:rsid w:val="00B14C38"/>
    <w:rsid w:val="00B14F3B"/>
    <w:rsid w:val="00B15393"/>
    <w:rsid w:val="00B153A8"/>
    <w:rsid w:val="00B1571C"/>
    <w:rsid w:val="00B15B21"/>
    <w:rsid w:val="00B15C0E"/>
    <w:rsid w:val="00B15D65"/>
    <w:rsid w:val="00B15EF4"/>
    <w:rsid w:val="00B16113"/>
    <w:rsid w:val="00B16118"/>
    <w:rsid w:val="00B16892"/>
    <w:rsid w:val="00B16BE8"/>
    <w:rsid w:val="00B16FF7"/>
    <w:rsid w:val="00B17D32"/>
    <w:rsid w:val="00B20226"/>
    <w:rsid w:val="00B20400"/>
    <w:rsid w:val="00B2055C"/>
    <w:rsid w:val="00B2059B"/>
    <w:rsid w:val="00B205DF"/>
    <w:rsid w:val="00B20642"/>
    <w:rsid w:val="00B20A45"/>
    <w:rsid w:val="00B20BF6"/>
    <w:rsid w:val="00B20CA2"/>
    <w:rsid w:val="00B20EF0"/>
    <w:rsid w:val="00B211F3"/>
    <w:rsid w:val="00B21391"/>
    <w:rsid w:val="00B215D3"/>
    <w:rsid w:val="00B21C97"/>
    <w:rsid w:val="00B22575"/>
    <w:rsid w:val="00B225A4"/>
    <w:rsid w:val="00B225CA"/>
    <w:rsid w:val="00B226FC"/>
    <w:rsid w:val="00B227A0"/>
    <w:rsid w:val="00B22C5C"/>
    <w:rsid w:val="00B22DC1"/>
    <w:rsid w:val="00B22E66"/>
    <w:rsid w:val="00B23360"/>
    <w:rsid w:val="00B23770"/>
    <w:rsid w:val="00B23787"/>
    <w:rsid w:val="00B238D9"/>
    <w:rsid w:val="00B23C5E"/>
    <w:rsid w:val="00B241F6"/>
    <w:rsid w:val="00B249F0"/>
    <w:rsid w:val="00B24AEC"/>
    <w:rsid w:val="00B24C69"/>
    <w:rsid w:val="00B24CFD"/>
    <w:rsid w:val="00B24F30"/>
    <w:rsid w:val="00B25469"/>
    <w:rsid w:val="00B25517"/>
    <w:rsid w:val="00B25976"/>
    <w:rsid w:val="00B25C85"/>
    <w:rsid w:val="00B25F2B"/>
    <w:rsid w:val="00B26301"/>
    <w:rsid w:val="00B2660D"/>
    <w:rsid w:val="00B266FA"/>
    <w:rsid w:val="00B269C0"/>
    <w:rsid w:val="00B26B8B"/>
    <w:rsid w:val="00B26CF8"/>
    <w:rsid w:val="00B26EE6"/>
    <w:rsid w:val="00B26F3A"/>
    <w:rsid w:val="00B272BB"/>
    <w:rsid w:val="00B27317"/>
    <w:rsid w:val="00B273DD"/>
    <w:rsid w:val="00B27505"/>
    <w:rsid w:val="00B2795D"/>
    <w:rsid w:val="00B27985"/>
    <w:rsid w:val="00B27C57"/>
    <w:rsid w:val="00B27DB1"/>
    <w:rsid w:val="00B27ED5"/>
    <w:rsid w:val="00B3047E"/>
    <w:rsid w:val="00B30508"/>
    <w:rsid w:val="00B305DF"/>
    <w:rsid w:val="00B30740"/>
    <w:rsid w:val="00B30D38"/>
    <w:rsid w:val="00B3139B"/>
    <w:rsid w:val="00B313E3"/>
    <w:rsid w:val="00B316D5"/>
    <w:rsid w:val="00B3174D"/>
    <w:rsid w:val="00B3198E"/>
    <w:rsid w:val="00B31ABF"/>
    <w:rsid w:val="00B31C52"/>
    <w:rsid w:val="00B31E42"/>
    <w:rsid w:val="00B320D8"/>
    <w:rsid w:val="00B32201"/>
    <w:rsid w:val="00B32359"/>
    <w:rsid w:val="00B32B41"/>
    <w:rsid w:val="00B32C6E"/>
    <w:rsid w:val="00B32CB1"/>
    <w:rsid w:val="00B33294"/>
    <w:rsid w:val="00B333ED"/>
    <w:rsid w:val="00B3366E"/>
    <w:rsid w:val="00B3395C"/>
    <w:rsid w:val="00B33BE3"/>
    <w:rsid w:val="00B33F0B"/>
    <w:rsid w:val="00B33F7E"/>
    <w:rsid w:val="00B34436"/>
    <w:rsid w:val="00B349DC"/>
    <w:rsid w:val="00B34C53"/>
    <w:rsid w:val="00B34D7C"/>
    <w:rsid w:val="00B3558A"/>
    <w:rsid w:val="00B35874"/>
    <w:rsid w:val="00B35A19"/>
    <w:rsid w:val="00B35AC9"/>
    <w:rsid w:val="00B35C3A"/>
    <w:rsid w:val="00B35DB9"/>
    <w:rsid w:val="00B36057"/>
    <w:rsid w:val="00B3622F"/>
    <w:rsid w:val="00B365F0"/>
    <w:rsid w:val="00B368C7"/>
    <w:rsid w:val="00B36C86"/>
    <w:rsid w:val="00B37039"/>
    <w:rsid w:val="00B3728A"/>
    <w:rsid w:val="00B37518"/>
    <w:rsid w:val="00B37AF0"/>
    <w:rsid w:val="00B37C20"/>
    <w:rsid w:val="00B37D5C"/>
    <w:rsid w:val="00B37D81"/>
    <w:rsid w:val="00B4006B"/>
    <w:rsid w:val="00B4026E"/>
    <w:rsid w:val="00B4074A"/>
    <w:rsid w:val="00B4099A"/>
    <w:rsid w:val="00B40A40"/>
    <w:rsid w:val="00B40BA4"/>
    <w:rsid w:val="00B40E44"/>
    <w:rsid w:val="00B40F8D"/>
    <w:rsid w:val="00B41022"/>
    <w:rsid w:val="00B41442"/>
    <w:rsid w:val="00B4179E"/>
    <w:rsid w:val="00B41B2D"/>
    <w:rsid w:val="00B41C72"/>
    <w:rsid w:val="00B41C81"/>
    <w:rsid w:val="00B41D53"/>
    <w:rsid w:val="00B41DD2"/>
    <w:rsid w:val="00B41E84"/>
    <w:rsid w:val="00B41EE3"/>
    <w:rsid w:val="00B41EF2"/>
    <w:rsid w:val="00B41FA8"/>
    <w:rsid w:val="00B420DA"/>
    <w:rsid w:val="00B422BC"/>
    <w:rsid w:val="00B4244C"/>
    <w:rsid w:val="00B425AB"/>
    <w:rsid w:val="00B42883"/>
    <w:rsid w:val="00B4292E"/>
    <w:rsid w:val="00B4299F"/>
    <w:rsid w:val="00B42BE8"/>
    <w:rsid w:val="00B42E27"/>
    <w:rsid w:val="00B42ED0"/>
    <w:rsid w:val="00B4300F"/>
    <w:rsid w:val="00B432D5"/>
    <w:rsid w:val="00B4335F"/>
    <w:rsid w:val="00B43377"/>
    <w:rsid w:val="00B43AB2"/>
    <w:rsid w:val="00B43C1D"/>
    <w:rsid w:val="00B43ECF"/>
    <w:rsid w:val="00B4408A"/>
    <w:rsid w:val="00B44279"/>
    <w:rsid w:val="00B442CA"/>
    <w:rsid w:val="00B4432D"/>
    <w:rsid w:val="00B44535"/>
    <w:rsid w:val="00B445A5"/>
    <w:rsid w:val="00B4461D"/>
    <w:rsid w:val="00B44646"/>
    <w:rsid w:val="00B448F0"/>
    <w:rsid w:val="00B44AFB"/>
    <w:rsid w:val="00B44ECC"/>
    <w:rsid w:val="00B44F96"/>
    <w:rsid w:val="00B452A5"/>
    <w:rsid w:val="00B45742"/>
    <w:rsid w:val="00B45C72"/>
    <w:rsid w:val="00B463EF"/>
    <w:rsid w:val="00B46524"/>
    <w:rsid w:val="00B46915"/>
    <w:rsid w:val="00B4698A"/>
    <w:rsid w:val="00B46A16"/>
    <w:rsid w:val="00B46D76"/>
    <w:rsid w:val="00B46E48"/>
    <w:rsid w:val="00B47172"/>
    <w:rsid w:val="00B4740B"/>
    <w:rsid w:val="00B4743A"/>
    <w:rsid w:val="00B47724"/>
    <w:rsid w:val="00B47AA2"/>
    <w:rsid w:val="00B47C15"/>
    <w:rsid w:val="00B47E33"/>
    <w:rsid w:val="00B50286"/>
    <w:rsid w:val="00B505A6"/>
    <w:rsid w:val="00B50764"/>
    <w:rsid w:val="00B50994"/>
    <w:rsid w:val="00B509A9"/>
    <w:rsid w:val="00B50B5F"/>
    <w:rsid w:val="00B50FA4"/>
    <w:rsid w:val="00B5119C"/>
    <w:rsid w:val="00B513A7"/>
    <w:rsid w:val="00B51428"/>
    <w:rsid w:val="00B5148A"/>
    <w:rsid w:val="00B5151E"/>
    <w:rsid w:val="00B51630"/>
    <w:rsid w:val="00B5170F"/>
    <w:rsid w:val="00B51841"/>
    <w:rsid w:val="00B51CEB"/>
    <w:rsid w:val="00B51DFB"/>
    <w:rsid w:val="00B51EF3"/>
    <w:rsid w:val="00B524BE"/>
    <w:rsid w:val="00B528C9"/>
    <w:rsid w:val="00B52943"/>
    <w:rsid w:val="00B52BD4"/>
    <w:rsid w:val="00B52F75"/>
    <w:rsid w:val="00B532CF"/>
    <w:rsid w:val="00B532D9"/>
    <w:rsid w:val="00B53535"/>
    <w:rsid w:val="00B537D3"/>
    <w:rsid w:val="00B5381D"/>
    <w:rsid w:val="00B53859"/>
    <w:rsid w:val="00B53B5D"/>
    <w:rsid w:val="00B53C54"/>
    <w:rsid w:val="00B53EAE"/>
    <w:rsid w:val="00B53FE3"/>
    <w:rsid w:val="00B54434"/>
    <w:rsid w:val="00B54539"/>
    <w:rsid w:val="00B545BE"/>
    <w:rsid w:val="00B545F6"/>
    <w:rsid w:val="00B54718"/>
    <w:rsid w:val="00B547C6"/>
    <w:rsid w:val="00B552C8"/>
    <w:rsid w:val="00B55364"/>
    <w:rsid w:val="00B553DD"/>
    <w:rsid w:val="00B5589E"/>
    <w:rsid w:val="00B55B65"/>
    <w:rsid w:val="00B55F49"/>
    <w:rsid w:val="00B56557"/>
    <w:rsid w:val="00B5679C"/>
    <w:rsid w:val="00B5681E"/>
    <w:rsid w:val="00B56849"/>
    <w:rsid w:val="00B56A61"/>
    <w:rsid w:val="00B56C0F"/>
    <w:rsid w:val="00B5733C"/>
    <w:rsid w:val="00B5754F"/>
    <w:rsid w:val="00B57569"/>
    <w:rsid w:val="00B575F6"/>
    <w:rsid w:val="00B57644"/>
    <w:rsid w:val="00B57A42"/>
    <w:rsid w:val="00B57DB8"/>
    <w:rsid w:val="00B60173"/>
    <w:rsid w:val="00B6017D"/>
    <w:rsid w:val="00B602DF"/>
    <w:rsid w:val="00B603CD"/>
    <w:rsid w:val="00B604F4"/>
    <w:rsid w:val="00B6055E"/>
    <w:rsid w:val="00B60640"/>
    <w:rsid w:val="00B60AE7"/>
    <w:rsid w:val="00B60C5B"/>
    <w:rsid w:val="00B60C67"/>
    <w:rsid w:val="00B60DD5"/>
    <w:rsid w:val="00B6110D"/>
    <w:rsid w:val="00B613CC"/>
    <w:rsid w:val="00B613E6"/>
    <w:rsid w:val="00B6170E"/>
    <w:rsid w:val="00B617BF"/>
    <w:rsid w:val="00B61C99"/>
    <w:rsid w:val="00B61DD3"/>
    <w:rsid w:val="00B61FF2"/>
    <w:rsid w:val="00B62060"/>
    <w:rsid w:val="00B62217"/>
    <w:rsid w:val="00B6239C"/>
    <w:rsid w:val="00B62421"/>
    <w:rsid w:val="00B62521"/>
    <w:rsid w:val="00B62642"/>
    <w:rsid w:val="00B6286C"/>
    <w:rsid w:val="00B62967"/>
    <w:rsid w:val="00B62A07"/>
    <w:rsid w:val="00B62A9B"/>
    <w:rsid w:val="00B62C32"/>
    <w:rsid w:val="00B62F3A"/>
    <w:rsid w:val="00B63000"/>
    <w:rsid w:val="00B6317D"/>
    <w:rsid w:val="00B6358E"/>
    <w:rsid w:val="00B635ED"/>
    <w:rsid w:val="00B6369B"/>
    <w:rsid w:val="00B637B6"/>
    <w:rsid w:val="00B639AF"/>
    <w:rsid w:val="00B63A2C"/>
    <w:rsid w:val="00B64094"/>
    <w:rsid w:val="00B640F1"/>
    <w:rsid w:val="00B6440E"/>
    <w:rsid w:val="00B647E0"/>
    <w:rsid w:val="00B64DEA"/>
    <w:rsid w:val="00B65100"/>
    <w:rsid w:val="00B65894"/>
    <w:rsid w:val="00B659C1"/>
    <w:rsid w:val="00B659C8"/>
    <w:rsid w:val="00B65A5A"/>
    <w:rsid w:val="00B65A6A"/>
    <w:rsid w:val="00B663B4"/>
    <w:rsid w:val="00B6670A"/>
    <w:rsid w:val="00B667C9"/>
    <w:rsid w:val="00B66854"/>
    <w:rsid w:val="00B669AA"/>
    <w:rsid w:val="00B66C81"/>
    <w:rsid w:val="00B66DF6"/>
    <w:rsid w:val="00B6704D"/>
    <w:rsid w:val="00B671B6"/>
    <w:rsid w:val="00B674DF"/>
    <w:rsid w:val="00B67676"/>
    <w:rsid w:val="00B67786"/>
    <w:rsid w:val="00B67907"/>
    <w:rsid w:val="00B67B8D"/>
    <w:rsid w:val="00B67D51"/>
    <w:rsid w:val="00B67D76"/>
    <w:rsid w:val="00B67D90"/>
    <w:rsid w:val="00B70167"/>
    <w:rsid w:val="00B701AC"/>
    <w:rsid w:val="00B70667"/>
    <w:rsid w:val="00B70B6A"/>
    <w:rsid w:val="00B70C53"/>
    <w:rsid w:val="00B70EDF"/>
    <w:rsid w:val="00B710EB"/>
    <w:rsid w:val="00B711D8"/>
    <w:rsid w:val="00B7191E"/>
    <w:rsid w:val="00B71968"/>
    <w:rsid w:val="00B71AEC"/>
    <w:rsid w:val="00B71FA1"/>
    <w:rsid w:val="00B71FF2"/>
    <w:rsid w:val="00B7215E"/>
    <w:rsid w:val="00B7226C"/>
    <w:rsid w:val="00B7229B"/>
    <w:rsid w:val="00B722BC"/>
    <w:rsid w:val="00B72688"/>
    <w:rsid w:val="00B72D3A"/>
    <w:rsid w:val="00B73174"/>
    <w:rsid w:val="00B73584"/>
    <w:rsid w:val="00B7384D"/>
    <w:rsid w:val="00B73E8C"/>
    <w:rsid w:val="00B744FE"/>
    <w:rsid w:val="00B7450B"/>
    <w:rsid w:val="00B746D1"/>
    <w:rsid w:val="00B7492A"/>
    <w:rsid w:val="00B74AC2"/>
    <w:rsid w:val="00B74D0F"/>
    <w:rsid w:val="00B74D21"/>
    <w:rsid w:val="00B75568"/>
    <w:rsid w:val="00B7583A"/>
    <w:rsid w:val="00B75CC1"/>
    <w:rsid w:val="00B75F25"/>
    <w:rsid w:val="00B76189"/>
    <w:rsid w:val="00B7623B"/>
    <w:rsid w:val="00B76840"/>
    <w:rsid w:val="00B76E07"/>
    <w:rsid w:val="00B76F27"/>
    <w:rsid w:val="00B7723F"/>
    <w:rsid w:val="00B7727B"/>
    <w:rsid w:val="00B7749F"/>
    <w:rsid w:val="00B7757C"/>
    <w:rsid w:val="00B775B3"/>
    <w:rsid w:val="00B77625"/>
    <w:rsid w:val="00B776B4"/>
    <w:rsid w:val="00B77725"/>
    <w:rsid w:val="00B778BE"/>
    <w:rsid w:val="00B7799B"/>
    <w:rsid w:val="00B77B9B"/>
    <w:rsid w:val="00B77C1C"/>
    <w:rsid w:val="00B77D53"/>
    <w:rsid w:val="00B77E9B"/>
    <w:rsid w:val="00B8011C"/>
    <w:rsid w:val="00B80534"/>
    <w:rsid w:val="00B8055C"/>
    <w:rsid w:val="00B8065E"/>
    <w:rsid w:val="00B806F6"/>
    <w:rsid w:val="00B80A39"/>
    <w:rsid w:val="00B80BDA"/>
    <w:rsid w:val="00B80F0A"/>
    <w:rsid w:val="00B81C9C"/>
    <w:rsid w:val="00B8210D"/>
    <w:rsid w:val="00B821F9"/>
    <w:rsid w:val="00B826D6"/>
    <w:rsid w:val="00B82DD5"/>
    <w:rsid w:val="00B82F7E"/>
    <w:rsid w:val="00B82F82"/>
    <w:rsid w:val="00B83274"/>
    <w:rsid w:val="00B83319"/>
    <w:rsid w:val="00B8343B"/>
    <w:rsid w:val="00B83ECC"/>
    <w:rsid w:val="00B840BA"/>
    <w:rsid w:val="00B841CF"/>
    <w:rsid w:val="00B8433C"/>
    <w:rsid w:val="00B8492E"/>
    <w:rsid w:val="00B8496A"/>
    <w:rsid w:val="00B84AF2"/>
    <w:rsid w:val="00B84E90"/>
    <w:rsid w:val="00B85892"/>
    <w:rsid w:val="00B8589B"/>
    <w:rsid w:val="00B85902"/>
    <w:rsid w:val="00B85E29"/>
    <w:rsid w:val="00B86023"/>
    <w:rsid w:val="00B86333"/>
    <w:rsid w:val="00B8652B"/>
    <w:rsid w:val="00B865AC"/>
    <w:rsid w:val="00B86702"/>
    <w:rsid w:val="00B867D0"/>
    <w:rsid w:val="00B86805"/>
    <w:rsid w:val="00B868F8"/>
    <w:rsid w:val="00B86A42"/>
    <w:rsid w:val="00B86A49"/>
    <w:rsid w:val="00B86D56"/>
    <w:rsid w:val="00B86D80"/>
    <w:rsid w:val="00B86E39"/>
    <w:rsid w:val="00B870F5"/>
    <w:rsid w:val="00B8717A"/>
    <w:rsid w:val="00B873F8"/>
    <w:rsid w:val="00B87491"/>
    <w:rsid w:val="00B87519"/>
    <w:rsid w:val="00B87583"/>
    <w:rsid w:val="00B87BF0"/>
    <w:rsid w:val="00B87C1A"/>
    <w:rsid w:val="00B87FCD"/>
    <w:rsid w:val="00B87FCF"/>
    <w:rsid w:val="00B9019E"/>
    <w:rsid w:val="00B907BE"/>
    <w:rsid w:val="00B908BF"/>
    <w:rsid w:val="00B90A34"/>
    <w:rsid w:val="00B90B50"/>
    <w:rsid w:val="00B90C68"/>
    <w:rsid w:val="00B90EE9"/>
    <w:rsid w:val="00B91B3B"/>
    <w:rsid w:val="00B91E08"/>
    <w:rsid w:val="00B91E49"/>
    <w:rsid w:val="00B91FA3"/>
    <w:rsid w:val="00B9203C"/>
    <w:rsid w:val="00B9263E"/>
    <w:rsid w:val="00B926B1"/>
    <w:rsid w:val="00B92B50"/>
    <w:rsid w:val="00B92CB5"/>
    <w:rsid w:val="00B92EBE"/>
    <w:rsid w:val="00B92EED"/>
    <w:rsid w:val="00B92FDF"/>
    <w:rsid w:val="00B930C4"/>
    <w:rsid w:val="00B93306"/>
    <w:rsid w:val="00B933F9"/>
    <w:rsid w:val="00B93501"/>
    <w:rsid w:val="00B93661"/>
    <w:rsid w:val="00B937A1"/>
    <w:rsid w:val="00B93811"/>
    <w:rsid w:val="00B9394D"/>
    <w:rsid w:val="00B93A35"/>
    <w:rsid w:val="00B93A49"/>
    <w:rsid w:val="00B93AF5"/>
    <w:rsid w:val="00B93BA9"/>
    <w:rsid w:val="00B93DB8"/>
    <w:rsid w:val="00B93EDA"/>
    <w:rsid w:val="00B93F6B"/>
    <w:rsid w:val="00B945BE"/>
    <w:rsid w:val="00B94846"/>
    <w:rsid w:val="00B9486F"/>
    <w:rsid w:val="00B949DF"/>
    <w:rsid w:val="00B94A88"/>
    <w:rsid w:val="00B94E8F"/>
    <w:rsid w:val="00B94FCB"/>
    <w:rsid w:val="00B95031"/>
    <w:rsid w:val="00B950DD"/>
    <w:rsid w:val="00B9512E"/>
    <w:rsid w:val="00B95396"/>
    <w:rsid w:val="00B953C9"/>
    <w:rsid w:val="00B954B3"/>
    <w:rsid w:val="00B95639"/>
    <w:rsid w:val="00B956AD"/>
    <w:rsid w:val="00B9587F"/>
    <w:rsid w:val="00B95D09"/>
    <w:rsid w:val="00B962CB"/>
    <w:rsid w:val="00B96741"/>
    <w:rsid w:val="00B96855"/>
    <w:rsid w:val="00B968A4"/>
    <w:rsid w:val="00B9691E"/>
    <w:rsid w:val="00B96F42"/>
    <w:rsid w:val="00B97412"/>
    <w:rsid w:val="00B97795"/>
    <w:rsid w:val="00B977C4"/>
    <w:rsid w:val="00B97997"/>
    <w:rsid w:val="00B97AC8"/>
    <w:rsid w:val="00B97BB3"/>
    <w:rsid w:val="00BA041C"/>
    <w:rsid w:val="00BA0465"/>
    <w:rsid w:val="00BA0811"/>
    <w:rsid w:val="00BA0833"/>
    <w:rsid w:val="00BA09C1"/>
    <w:rsid w:val="00BA0B0B"/>
    <w:rsid w:val="00BA0C5C"/>
    <w:rsid w:val="00BA0CF9"/>
    <w:rsid w:val="00BA0D25"/>
    <w:rsid w:val="00BA1225"/>
    <w:rsid w:val="00BA132B"/>
    <w:rsid w:val="00BA1C86"/>
    <w:rsid w:val="00BA1DD4"/>
    <w:rsid w:val="00BA29E9"/>
    <w:rsid w:val="00BA2D51"/>
    <w:rsid w:val="00BA30BD"/>
    <w:rsid w:val="00BA333F"/>
    <w:rsid w:val="00BA359C"/>
    <w:rsid w:val="00BA3787"/>
    <w:rsid w:val="00BA3944"/>
    <w:rsid w:val="00BA3A3C"/>
    <w:rsid w:val="00BA3A48"/>
    <w:rsid w:val="00BA3E4B"/>
    <w:rsid w:val="00BA418C"/>
    <w:rsid w:val="00BA460A"/>
    <w:rsid w:val="00BA4694"/>
    <w:rsid w:val="00BA49BD"/>
    <w:rsid w:val="00BA4C80"/>
    <w:rsid w:val="00BA4EA3"/>
    <w:rsid w:val="00BA5311"/>
    <w:rsid w:val="00BA538C"/>
    <w:rsid w:val="00BA53E2"/>
    <w:rsid w:val="00BA54C4"/>
    <w:rsid w:val="00BA5592"/>
    <w:rsid w:val="00BA5829"/>
    <w:rsid w:val="00BA5A51"/>
    <w:rsid w:val="00BA5A78"/>
    <w:rsid w:val="00BA5C85"/>
    <w:rsid w:val="00BA616B"/>
    <w:rsid w:val="00BA642B"/>
    <w:rsid w:val="00BA6612"/>
    <w:rsid w:val="00BA6BA5"/>
    <w:rsid w:val="00BA6C28"/>
    <w:rsid w:val="00BA6F89"/>
    <w:rsid w:val="00BA7142"/>
    <w:rsid w:val="00BA71B0"/>
    <w:rsid w:val="00BA7381"/>
    <w:rsid w:val="00BA749F"/>
    <w:rsid w:val="00BA74B6"/>
    <w:rsid w:val="00BA74DC"/>
    <w:rsid w:val="00BA78C4"/>
    <w:rsid w:val="00BA7BAB"/>
    <w:rsid w:val="00BA7F86"/>
    <w:rsid w:val="00BB00DD"/>
    <w:rsid w:val="00BB0808"/>
    <w:rsid w:val="00BB0939"/>
    <w:rsid w:val="00BB09CD"/>
    <w:rsid w:val="00BB0A1F"/>
    <w:rsid w:val="00BB0A65"/>
    <w:rsid w:val="00BB0A93"/>
    <w:rsid w:val="00BB0C07"/>
    <w:rsid w:val="00BB0DA8"/>
    <w:rsid w:val="00BB0ED2"/>
    <w:rsid w:val="00BB140F"/>
    <w:rsid w:val="00BB1737"/>
    <w:rsid w:val="00BB17F3"/>
    <w:rsid w:val="00BB1D11"/>
    <w:rsid w:val="00BB1D7E"/>
    <w:rsid w:val="00BB1E31"/>
    <w:rsid w:val="00BB204D"/>
    <w:rsid w:val="00BB237C"/>
    <w:rsid w:val="00BB251C"/>
    <w:rsid w:val="00BB268B"/>
    <w:rsid w:val="00BB277E"/>
    <w:rsid w:val="00BB283E"/>
    <w:rsid w:val="00BB2863"/>
    <w:rsid w:val="00BB291E"/>
    <w:rsid w:val="00BB2C11"/>
    <w:rsid w:val="00BB2EF9"/>
    <w:rsid w:val="00BB2F35"/>
    <w:rsid w:val="00BB3735"/>
    <w:rsid w:val="00BB379D"/>
    <w:rsid w:val="00BB3907"/>
    <w:rsid w:val="00BB3A7B"/>
    <w:rsid w:val="00BB3DDD"/>
    <w:rsid w:val="00BB3EEF"/>
    <w:rsid w:val="00BB41A3"/>
    <w:rsid w:val="00BB42C1"/>
    <w:rsid w:val="00BB4455"/>
    <w:rsid w:val="00BB488E"/>
    <w:rsid w:val="00BB4CBC"/>
    <w:rsid w:val="00BB5266"/>
    <w:rsid w:val="00BB59E3"/>
    <w:rsid w:val="00BB5A75"/>
    <w:rsid w:val="00BB5EE7"/>
    <w:rsid w:val="00BB6197"/>
    <w:rsid w:val="00BB6343"/>
    <w:rsid w:val="00BB6374"/>
    <w:rsid w:val="00BB6744"/>
    <w:rsid w:val="00BB6951"/>
    <w:rsid w:val="00BB6989"/>
    <w:rsid w:val="00BB6B64"/>
    <w:rsid w:val="00BB6C1B"/>
    <w:rsid w:val="00BB6FD2"/>
    <w:rsid w:val="00BB7117"/>
    <w:rsid w:val="00BB7456"/>
    <w:rsid w:val="00BB7529"/>
    <w:rsid w:val="00BB76AC"/>
    <w:rsid w:val="00BB7B75"/>
    <w:rsid w:val="00BC00A9"/>
    <w:rsid w:val="00BC00E5"/>
    <w:rsid w:val="00BC0433"/>
    <w:rsid w:val="00BC04F1"/>
    <w:rsid w:val="00BC0871"/>
    <w:rsid w:val="00BC0C63"/>
    <w:rsid w:val="00BC0D06"/>
    <w:rsid w:val="00BC131D"/>
    <w:rsid w:val="00BC13E4"/>
    <w:rsid w:val="00BC1422"/>
    <w:rsid w:val="00BC16A3"/>
    <w:rsid w:val="00BC1AD4"/>
    <w:rsid w:val="00BC1AF7"/>
    <w:rsid w:val="00BC1B27"/>
    <w:rsid w:val="00BC1D3A"/>
    <w:rsid w:val="00BC1D43"/>
    <w:rsid w:val="00BC1DAB"/>
    <w:rsid w:val="00BC1F62"/>
    <w:rsid w:val="00BC20BB"/>
    <w:rsid w:val="00BC21D8"/>
    <w:rsid w:val="00BC245D"/>
    <w:rsid w:val="00BC2554"/>
    <w:rsid w:val="00BC2560"/>
    <w:rsid w:val="00BC256F"/>
    <w:rsid w:val="00BC263A"/>
    <w:rsid w:val="00BC2A66"/>
    <w:rsid w:val="00BC2C1B"/>
    <w:rsid w:val="00BC2DFF"/>
    <w:rsid w:val="00BC3228"/>
    <w:rsid w:val="00BC3233"/>
    <w:rsid w:val="00BC32DC"/>
    <w:rsid w:val="00BC334D"/>
    <w:rsid w:val="00BC3428"/>
    <w:rsid w:val="00BC34F6"/>
    <w:rsid w:val="00BC35A7"/>
    <w:rsid w:val="00BC35B6"/>
    <w:rsid w:val="00BC35DF"/>
    <w:rsid w:val="00BC36BC"/>
    <w:rsid w:val="00BC38D3"/>
    <w:rsid w:val="00BC3A4A"/>
    <w:rsid w:val="00BC4323"/>
    <w:rsid w:val="00BC4466"/>
    <w:rsid w:val="00BC44E8"/>
    <w:rsid w:val="00BC4F18"/>
    <w:rsid w:val="00BC50C7"/>
    <w:rsid w:val="00BC51E6"/>
    <w:rsid w:val="00BC5848"/>
    <w:rsid w:val="00BC586D"/>
    <w:rsid w:val="00BC5998"/>
    <w:rsid w:val="00BC5BEB"/>
    <w:rsid w:val="00BC5D8A"/>
    <w:rsid w:val="00BC5E99"/>
    <w:rsid w:val="00BC5F03"/>
    <w:rsid w:val="00BC6394"/>
    <w:rsid w:val="00BC6668"/>
    <w:rsid w:val="00BC6FE4"/>
    <w:rsid w:val="00BC71F9"/>
    <w:rsid w:val="00BC74DA"/>
    <w:rsid w:val="00BC74FE"/>
    <w:rsid w:val="00BC754A"/>
    <w:rsid w:val="00BC7597"/>
    <w:rsid w:val="00BC7743"/>
    <w:rsid w:val="00BC778A"/>
    <w:rsid w:val="00BC7B1F"/>
    <w:rsid w:val="00BC7E65"/>
    <w:rsid w:val="00BD0A25"/>
    <w:rsid w:val="00BD0B50"/>
    <w:rsid w:val="00BD11B4"/>
    <w:rsid w:val="00BD15E1"/>
    <w:rsid w:val="00BD178A"/>
    <w:rsid w:val="00BD17A8"/>
    <w:rsid w:val="00BD17D9"/>
    <w:rsid w:val="00BD1807"/>
    <w:rsid w:val="00BD1B51"/>
    <w:rsid w:val="00BD1B53"/>
    <w:rsid w:val="00BD1FD4"/>
    <w:rsid w:val="00BD20CB"/>
    <w:rsid w:val="00BD21E7"/>
    <w:rsid w:val="00BD22E3"/>
    <w:rsid w:val="00BD27C6"/>
    <w:rsid w:val="00BD2EC7"/>
    <w:rsid w:val="00BD2EE7"/>
    <w:rsid w:val="00BD30A8"/>
    <w:rsid w:val="00BD3174"/>
    <w:rsid w:val="00BD34F7"/>
    <w:rsid w:val="00BD3671"/>
    <w:rsid w:val="00BD390C"/>
    <w:rsid w:val="00BD3D0F"/>
    <w:rsid w:val="00BD4097"/>
    <w:rsid w:val="00BD40E6"/>
    <w:rsid w:val="00BD41EE"/>
    <w:rsid w:val="00BD4596"/>
    <w:rsid w:val="00BD45DD"/>
    <w:rsid w:val="00BD576A"/>
    <w:rsid w:val="00BD57E5"/>
    <w:rsid w:val="00BD58B9"/>
    <w:rsid w:val="00BD5DFC"/>
    <w:rsid w:val="00BD5E3E"/>
    <w:rsid w:val="00BD6223"/>
    <w:rsid w:val="00BD6772"/>
    <w:rsid w:val="00BD6E7B"/>
    <w:rsid w:val="00BD7840"/>
    <w:rsid w:val="00BD78BF"/>
    <w:rsid w:val="00BD78C0"/>
    <w:rsid w:val="00BD79D1"/>
    <w:rsid w:val="00BD7C01"/>
    <w:rsid w:val="00BD7D9D"/>
    <w:rsid w:val="00BD7E96"/>
    <w:rsid w:val="00BD7F52"/>
    <w:rsid w:val="00BE00C2"/>
    <w:rsid w:val="00BE0673"/>
    <w:rsid w:val="00BE07CB"/>
    <w:rsid w:val="00BE0841"/>
    <w:rsid w:val="00BE0AA4"/>
    <w:rsid w:val="00BE0C07"/>
    <w:rsid w:val="00BE0DAE"/>
    <w:rsid w:val="00BE0F32"/>
    <w:rsid w:val="00BE12B9"/>
    <w:rsid w:val="00BE1405"/>
    <w:rsid w:val="00BE15F2"/>
    <w:rsid w:val="00BE1637"/>
    <w:rsid w:val="00BE16B1"/>
    <w:rsid w:val="00BE1ACF"/>
    <w:rsid w:val="00BE21C8"/>
    <w:rsid w:val="00BE21F7"/>
    <w:rsid w:val="00BE27AF"/>
    <w:rsid w:val="00BE2A5C"/>
    <w:rsid w:val="00BE2EC7"/>
    <w:rsid w:val="00BE3012"/>
    <w:rsid w:val="00BE312D"/>
    <w:rsid w:val="00BE317A"/>
    <w:rsid w:val="00BE344F"/>
    <w:rsid w:val="00BE3726"/>
    <w:rsid w:val="00BE3E1E"/>
    <w:rsid w:val="00BE41E1"/>
    <w:rsid w:val="00BE4314"/>
    <w:rsid w:val="00BE43C2"/>
    <w:rsid w:val="00BE4979"/>
    <w:rsid w:val="00BE5025"/>
    <w:rsid w:val="00BE53A6"/>
    <w:rsid w:val="00BE54DD"/>
    <w:rsid w:val="00BE5551"/>
    <w:rsid w:val="00BE614B"/>
    <w:rsid w:val="00BE647E"/>
    <w:rsid w:val="00BE68B9"/>
    <w:rsid w:val="00BE6F37"/>
    <w:rsid w:val="00BE7344"/>
    <w:rsid w:val="00BE73AA"/>
    <w:rsid w:val="00BE7579"/>
    <w:rsid w:val="00BE7B5E"/>
    <w:rsid w:val="00BE7DEE"/>
    <w:rsid w:val="00BF068A"/>
    <w:rsid w:val="00BF0D7E"/>
    <w:rsid w:val="00BF0E51"/>
    <w:rsid w:val="00BF0EF8"/>
    <w:rsid w:val="00BF0F5B"/>
    <w:rsid w:val="00BF18AA"/>
    <w:rsid w:val="00BF1C20"/>
    <w:rsid w:val="00BF1C6D"/>
    <w:rsid w:val="00BF1D75"/>
    <w:rsid w:val="00BF1D9E"/>
    <w:rsid w:val="00BF1E52"/>
    <w:rsid w:val="00BF1FD3"/>
    <w:rsid w:val="00BF2047"/>
    <w:rsid w:val="00BF20FC"/>
    <w:rsid w:val="00BF246A"/>
    <w:rsid w:val="00BF251E"/>
    <w:rsid w:val="00BF340B"/>
    <w:rsid w:val="00BF36D9"/>
    <w:rsid w:val="00BF3722"/>
    <w:rsid w:val="00BF3857"/>
    <w:rsid w:val="00BF3B69"/>
    <w:rsid w:val="00BF3E66"/>
    <w:rsid w:val="00BF3F35"/>
    <w:rsid w:val="00BF411C"/>
    <w:rsid w:val="00BF46C0"/>
    <w:rsid w:val="00BF49AA"/>
    <w:rsid w:val="00BF4A33"/>
    <w:rsid w:val="00BF4B51"/>
    <w:rsid w:val="00BF4C4C"/>
    <w:rsid w:val="00BF4E0C"/>
    <w:rsid w:val="00BF5288"/>
    <w:rsid w:val="00BF5517"/>
    <w:rsid w:val="00BF5779"/>
    <w:rsid w:val="00BF57F1"/>
    <w:rsid w:val="00BF583E"/>
    <w:rsid w:val="00BF5842"/>
    <w:rsid w:val="00BF5886"/>
    <w:rsid w:val="00BF5AE7"/>
    <w:rsid w:val="00BF5B6D"/>
    <w:rsid w:val="00BF5BC4"/>
    <w:rsid w:val="00BF5C6E"/>
    <w:rsid w:val="00BF5C9E"/>
    <w:rsid w:val="00BF5D81"/>
    <w:rsid w:val="00BF62F1"/>
    <w:rsid w:val="00BF653C"/>
    <w:rsid w:val="00BF6721"/>
    <w:rsid w:val="00BF681D"/>
    <w:rsid w:val="00BF6AB2"/>
    <w:rsid w:val="00BF704B"/>
    <w:rsid w:val="00BF77EF"/>
    <w:rsid w:val="00BF783A"/>
    <w:rsid w:val="00BF7C93"/>
    <w:rsid w:val="00BF7CB2"/>
    <w:rsid w:val="00BF7F28"/>
    <w:rsid w:val="00BF7F38"/>
    <w:rsid w:val="00C0049E"/>
    <w:rsid w:val="00C00727"/>
    <w:rsid w:val="00C00E53"/>
    <w:rsid w:val="00C00FF2"/>
    <w:rsid w:val="00C01165"/>
    <w:rsid w:val="00C012EA"/>
    <w:rsid w:val="00C014CE"/>
    <w:rsid w:val="00C016AF"/>
    <w:rsid w:val="00C01747"/>
    <w:rsid w:val="00C017B6"/>
    <w:rsid w:val="00C01B86"/>
    <w:rsid w:val="00C01F99"/>
    <w:rsid w:val="00C021BF"/>
    <w:rsid w:val="00C021FC"/>
    <w:rsid w:val="00C02213"/>
    <w:rsid w:val="00C0230D"/>
    <w:rsid w:val="00C027D9"/>
    <w:rsid w:val="00C029A9"/>
    <w:rsid w:val="00C02A6E"/>
    <w:rsid w:val="00C02B1C"/>
    <w:rsid w:val="00C02D2B"/>
    <w:rsid w:val="00C02DEA"/>
    <w:rsid w:val="00C031EE"/>
    <w:rsid w:val="00C03355"/>
    <w:rsid w:val="00C03686"/>
    <w:rsid w:val="00C039CC"/>
    <w:rsid w:val="00C03A19"/>
    <w:rsid w:val="00C03EA8"/>
    <w:rsid w:val="00C042EA"/>
    <w:rsid w:val="00C043D2"/>
    <w:rsid w:val="00C0441C"/>
    <w:rsid w:val="00C04A3A"/>
    <w:rsid w:val="00C04EA3"/>
    <w:rsid w:val="00C04F04"/>
    <w:rsid w:val="00C052B0"/>
    <w:rsid w:val="00C052BC"/>
    <w:rsid w:val="00C052DB"/>
    <w:rsid w:val="00C053F7"/>
    <w:rsid w:val="00C05588"/>
    <w:rsid w:val="00C055AC"/>
    <w:rsid w:val="00C05B2C"/>
    <w:rsid w:val="00C05E35"/>
    <w:rsid w:val="00C05E52"/>
    <w:rsid w:val="00C05EED"/>
    <w:rsid w:val="00C06040"/>
    <w:rsid w:val="00C0604E"/>
    <w:rsid w:val="00C06545"/>
    <w:rsid w:val="00C0696F"/>
    <w:rsid w:val="00C069EC"/>
    <w:rsid w:val="00C07245"/>
    <w:rsid w:val="00C07B37"/>
    <w:rsid w:val="00C07DF9"/>
    <w:rsid w:val="00C10578"/>
    <w:rsid w:val="00C105AD"/>
    <w:rsid w:val="00C1095E"/>
    <w:rsid w:val="00C109F5"/>
    <w:rsid w:val="00C10BED"/>
    <w:rsid w:val="00C10CCB"/>
    <w:rsid w:val="00C10D7E"/>
    <w:rsid w:val="00C10ED2"/>
    <w:rsid w:val="00C110AE"/>
    <w:rsid w:val="00C11152"/>
    <w:rsid w:val="00C111EF"/>
    <w:rsid w:val="00C112BB"/>
    <w:rsid w:val="00C1181D"/>
    <w:rsid w:val="00C11855"/>
    <w:rsid w:val="00C118AA"/>
    <w:rsid w:val="00C11D4A"/>
    <w:rsid w:val="00C11D9E"/>
    <w:rsid w:val="00C124D9"/>
    <w:rsid w:val="00C12557"/>
    <w:rsid w:val="00C128D7"/>
    <w:rsid w:val="00C128D9"/>
    <w:rsid w:val="00C12DAB"/>
    <w:rsid w:val="00C12DEF"/>
    <w:rsid w:val="00C12ECE"/>
    <w:rsid w:val="00C13021"/>
    <w:rsid w:val="00C13278"/>
    <w:rsid w:val="00C1337A"/>
    <w:rsid w:val="00C135BC"/>
    <w:rsid w:val="00C13A02"/>
    <w:rsid w:val="00C13EA9"/>
    <w:rsid w:val="00C13EC5"/>
    <w:rsid w:val="00C14807"/>
    <w:rsid w:val="00C14B6D"/>
    <w:rsid w:val="00C14DAF"/>
    <w:rsid w:val="00C14FA9"/>
    <w:rsid w:val="00C15172"/>
    <w:rsid w:val="00C1527A"/>
    <w:rsid w:val="00C15421"/>
    <w:rsid w:val="00C157B8"/>
    <w:rsid w:val="00C158A3"/>
    <w:rsid w:val="00C158E4"/>
    <w:rsid w:val="00C15C95"/>
    <w:rsid w:val="00C16022"/>
    <w:rsid w:val="00C1642F"/>
    <w:rsid w:val="00C16848"/>
    <w:rsid w:val="00C174F0"/>
    <w:rsid w:val="00C17505"/>
    <w:rsid w:val="00C1781C"/>
    <w:rsid w:val="00C17E3A"/>
    <w:rsid w:val="00C17F17"/>
    <w:rsid w:val="00C20159"/>
    <w:rsid w:val="00C2038F"/>
    <w:rsid w:val="00C20471"/>
    <w:rsid w:val="00C204DD"/>
    <w:rsid w:val="00C2078D"/>
    <w:rsid w:val="00C2096B"/>
    <w:rsid w:val="00C20A71"/>
    <w:rsid w:val="00C20EDD"/>
    <w:rsid w:val="00C21282"/>
    <w:rsid w:val="00C21363"/>
    <w:rsid w:val="00C21369"/>
    <w:rsid w:val="00C2146D"/>
    <w:rsid w:val="00C21686"/>
    <w:rsid w:val="00C21853"/>
    <w:rsid w:val="00C21B24"/>
    <w:rsid w:val="00C21EF1"/>
    <w:rsid w:val="00C2241E"/>
    <w:rsid w:val="00C2263F"/>
    <w:rsid w:val="00C22893"/>
    <w:rsid w:val="00C22A44"/>
    <w:rsid w:val="00C22A5A"/>
    <w:rsid w:val="00C2308A"/>
    <w:rsid w:val="00C2319B"/>
    <w:rsid w:val="00C2370E"/>
    <w:rsid w:val="00C23936"/>
    <w:rsid w:val="00C23B10"/>
    <w:rsid w:val="00C23BE8"/>
    <w:rsid w:val="00C23C33"/>
    <w:rsid w:val="00C23D63"/>
    <w:rsid w:val="00C240F8"/>
    <w:rsid w:val="00C2433F"/>
    <w:rsid w:val="00C248EA"/>
    <w:rsid w:val="00C24B9F"/>
    <w:rsid w:val="00C24E74"/>
    <w:rsid w:val="00C2530C"/>
    <w:rsid w:val="00C253B1"/>
    <w:rsid w:val="00C253ED"/>
    <w:rsid w:val="00C254BD"/>
    <w:rsid w:val="00C2568C"/>
    <w:rsid w:val="00C2584D"/>
    <w:rsid w:val="00C2596A"/>
    <w:rsid w:val="00C25B85"/>
    <w:rsid w:val="00C25D3C"/>
    <w:rsid w:val="00C25D6C"/>
    <w:rsid w:val="00C25DF8"/>
    <w:rsid w:val="00C26661"/>
    <w:rsid w:val="00C26876"/>
    <w:rsid w:val="00C26A39"/>
    <w:rsid w:val="00C26AAE"/>
    <w:rsid w:val="00C26C22"/>
    <w:rsid w:val="00C26C80"/>
    <w:rsid w:val="00C26E6E"/>
    <w:rsid w:val="00C26E97"/>
    <w:rsid w:val="00C27537"/>
    <w:rsid w:val="00C275D7"/>
    <w:rsid w:val="00C27D4E"/>
    <w:rsid w:val="00C27D7A"/>
    <w:rsid w:val="00C30841"/>
    <w:rsid w:val="00C3094C"/>
    <w:rsid w:val="00C30A35"/>
    <w:rsid w:val="00C30C25"/>
    <w:rsid w:val="00C30DF7"/>
    <w:rsid w:val="00C30E3A"/>
    <w:rsid w:val="00C30FFC"/>
    <w:rsid w:val="00C317A3"/>
    <w:rsid w:val="00C319DF"/>
    <w:rsid w:val="00C31B52"/>
    <w:rsid w:val="00C31B62"/>
    <w:rsid w:val="00C31B91"/>
    <w:rsid w:val="00C31E92"/>
    <w:rsid w:val="00C328FE"/>
    <w:rsid w:val="00C32962"/>
    <w:rsid w:val="00C32F07"/>
    <w:rsid w:val="00C331E4"/>
    <w:rsid w:val="00C33507"/>
    <w:rsid w:val="00C3372D"/>
    <w:rsid w:val="00C33F43"/>
    <w:rsid w:val="00C34345"/>
    <w:rsid w:val="00C34402"/>
    <w:rsid w:val="00C34EF4"/>
    <w:rsid w:val="00C35313"/>
    <w:rsid w:val="00C355C8"/>
    <w:rsid w:val="00C35E61"/>
    <w:rsid w:val="00C35F11"/>
    <w:rsid w:val="00C36139"/>
    <w:rsid w:val="00C36454"/>
    <w:rsid w:val="00C3647C"/>
    <w:rsid w:val="00C3679C"/>
    <w:rsid w:val="00C3686E"/>
    <w:rsid w:val="00C36ED4"/>
    <w:rsid w:val="00C36F6C"/>
    <w:rsid w:val="00C36FC5"/>
    <w:rsid w:val="00C370C1"/>
    <w:rsid w:val="00C370F8"/>
    <w:rsid w:val="00C371AD"/>
    <w:rsid w:val="00C3742B"/>
    <w:rsid w:val="00C37491"/>
    <w:rsid w:val="00C37861"/>
    <w:rsid w:val="00C3796C"/>
    <w:rsid w:val="00C37970"/>
    <w:rsid w:val="00C37C81"/>
    <w:rsid w:val="00C37C89"/>
    <w:rsid w:val="00C37CEF"/>
    <w:rsid w:val="00C37FA1"/>
    <w:rsid w:val="00C4002D"/>
    <w:rsid w:val="00C4003E"/>
    <w:rsid w:val="00C40251"/>
    <w:rsid w:val="00C40318"/>
    <w:rsid w:val="00C4032A"/>
    <w:rsid w:val="00C404D9"/>
    <w:rsid w:val="00C404EA"/>
    <w:rsid w:val="00C406FC"/>
    <w:rsid w:val="00C40778"/>
    <w:rsid w:val="00C40D1F"/>
    <w:rsid w:val="00C412EA"/>
    <w:rsid w:val="00C41548"/>
    <w:rsid w:val="00C4175A"/>
    <w:rsid w:val="00C4181F"/>
    <w:rsid w:val="00C41C57"/>
    <w:rsid w:val="00C41E25"/>
    <w:rsid w:val="00C41EBC"/>
    <w:rsid w:val="00C42333"/>
    <w:rsid w:val="00C426EF"/>
    <w:rsid w:val="00C42A0D"/>
    <w:rsid w:val="00C42A5E"/>
    <w:rsid w:val="00C42A6C"/>
    <w:rsid w:val="00C431F0"/>
    <w:rsid w:val="00C43281"/>
    <w:rsid w:val="00C432FA"/>
    <w:rsid w:val="00C43334"/>
    <w:rsid w:val="00C43493"/>
    <w:rsid w:val="00C436AF"/>
    <w:rsid w:val="00C4374C"/>
    <w:rsid w:val="00C437AF"/>
    <w:rsid w:val="00C43F50"/>
    <w:rsid w:val="00C4409D"/>
    <w:rsid w:val="00C4418E"/>
    <w:rsid w:val="00C441B1"/>
    <w:rsid w:val="00C443C8"/>
    <w:rsid w:val="00C445D2"/>
    <w:rsid w:val="00C44954"/>
    <w:rsid w:val="00C44DA5"/>
    <w:rsid w:val="00C44E72"/>
    <w:rsid w:val="00C450B7"/>
    <w:rsid w:val="00C45103"/>
    <w:rsid w:val="00C45274"/>
    <w:rsid w:val="00C45720"/>
    <w:rsid w:val="00C45948"/>
    <w:rsid w:val="00C45A06"/>
    <w:rsid w:val="00C45DAA"/>
    <w:rsid w:val="00C45DAB"/>
    <w:rsid w:val="00C45FD7"/>
    <w:rsid w:val="00C45FE8"/>
    <w:rsid w:val="00C46371"/>
    <w:rsid w:val="00C47421"/>
    <w:rsid w:val="00C4744D"/>
    <w:rsid w:val="00C474F7"/>
    <w:rsid w:val="00C475FE"/>
    <w:rsid w:val="00C47962"/>
    <w:rsid w:val="00C47B75"/>
    <w:rsid w:val="00C47D33"/>
    <w:rsid w:val="00C47D77"/>
    <w:rsid w:val="00C47E5B"/>
    <w:rsid w:val="00C50079"/>
    <w:rsid w:val="00C50255"/>
    <w:rsid w:val="00C50360"/>
    <w:rsid w:val="00C5060B"/>
    <w:rsid w:val="00C50B1C"/>
    <w:rsid w:val="00C50DEF"/>
    <w:rsid w:val="00C50FA5"/>
    <w:rsid w:val="00C51D9C"/>
    <w:rsid w:val="00C51FBD"/>
    <w:rsid w:val="00C52372"/>
    <w:rsid w:val="00C528A3"/>
    <w:rsid w:val="00C52959"/>
    <w:rsid w:val="00C5301B"/>
    <w:rsid w:val="00C53269"/>
    <w:rsid w:val="00C53463"/>
    <w:rsid w:val="00C5374A"/>
    <w:rsid w:val="00C53A51"/>
    <w:rsid w:val="00C54184"/>
    <w:rsid w:val="00C541AB"/>
    <w:rsid w:val="00C541E8"/>
    <w:rsid w:val="00C54490"/>
    <w:rsid w:val="00C5461F"/>
    <w:rsid w:val="00C54694"/>
    <w:rsid w:val="00C548D9"/>
    <w:rsid w:val="00C54E80"/>
    <w:rsid w:val="00C54FB2"/>
    <w:rsid w:val="00C55506"/>
    <w:rsid w:val="00C555E4"/>
    <w:rsid w:val="00C55704"/>
    <w:rsid w:val="00C56074"/>
    <w:rsid w:val="00C5659C"/>
    <w:rsid w:val="00C568D6"/>
    <w:rsid w:val="00C56C2D"/>
    <w:rsid w:val="00C56DBE"/>
    <w:rsid w:val="00C56F59"/>
    <w:rsid w:val="00C572BD"/>
    <w:rsid w:val="00C5749F"/>
    <w:rsid w:val="00C5762C"/>
    <w:rsid w:val="00C576B2"/>
    <w:rsid w:val="00C57AD9"/>
    <w:rsid w:val="00C57AF2"/>
    <w:rsid w:val="00C57F31"/>
    <w:rsid w:val="00C6033C"/>
    <w:rsid w:val="00C607F2"/>
    <w:rsid w:val="00C60C11"/>
    <w:rsid w:val="00C61013"/>
    <w:rsid w:val="00C6156C"/>
    <w:rsid w:val="00C615ED"/>
    <w:rsid w:val="00C61691"/>
    <w:rsid w:val="00C617CC"/>
    <w:rsid w:val="00C61850"/>
    <w:rsid w:val="00C619D1"/>
    <w:rsid w:val="00C61C0F"/>
    <w:rsid w:val="00C61CF6"/>
    <w:rsid w:val="00C61E4B"/>
    <w:rsid w:val="00C624B2"/>
    <w:rsid w:val="00C625C7"/>
    <w:rsid w:val="00C62874"/>
    <w:rsid w:val="00C6297C"/>
    <w:rsid w:val="00C62AEB"/>
    <w:rsid w:val="00C62B2F"/>
    <w:rsid w:val="00C62BDE"/>
    <w:rsid w:val="00C62D19"/>
    <w:rsid w:val="00C62EC8"/>
    <w:rsid w:val="00C6322A"/>
    <w:rsid w:val="00C63320"/>
    <w:rsid w:val="00C6382F"/>
    <w:rsid w:val="00C63E06"/>
    <w:rsid w:val="00C64355"/>
    <w:rsid w:val="00C646FB"/>
    <w:rsid w:val="00C64BFF"/>
    <w:rsid w:val="00C64EF5"/>
    <w:rsid w:val="00C655A3"/>
    <w:rsid w:val="00C655FA"/>
    <w:rsid w:val="00C6567F"/>
    <w:rsid w:val="00C656FD"/>
    <w:rsid w:val="00C6594D"/>
    <w:rsid w:val="00C65BC6"/>
    <w:rsid w:val="00C65C70"/>
    <w:rsid w:val="00C65D4D"/>
    <w:rsid w:val="00C65E5B"/>
    <w:rsid w:val="00C65F37"/>
    <w:rsid w:val="00C66304"/>
    <w:rsid w:val="00C66396"/>
    <w:rsid w:val="00C666F0"/>
    <w:rsid w:val="00C6675D"/>
    <w:rsid w:val="00C66E03"/>
    <w:rsid w:val="00C66FC3"/>
    <w:rsid w:val="00C67412"/>
    <w:rsid w:val="00C6742D"/>
    <w:rsid w:val="00C675C7"/>
    <w:rsid w:val="00C678A5"/>
    <w:rsid w:val="00C67953"/>
    <w:rsid w:val="00C67B49"/>
    <w:rsid w:val="00C67BCF"/>
    <w:rsid w:val="00C67D84"/>
    <w:rsid w:val="00C67E7B"/>
    <w:rsid w:val="00C70219"/>
    <w:rsid w:val="00C70242"/>
    <w:rsid w:val="00C70258"/>
    <w:rsid w:val="00C703A8"/>
    <w:rsid w:val="00C703F3"/>
    <w:rsid w:val="00C70456"/>
    <w:rsid w:val="00C704E9"/>
    <w:rsid w:val="00C70941"/>
    <w:rsid w:val="00C709A5"/>
    <w:rsid w:val="00C70C0E"/>
    <w:rsid w:val="00C70CF2"/>
    <w:rsid w:val="00C70F84"/>
    <w:rsid w:val="00C710AE"/>
    <w:rsid w:val="00C713BE"/>
    <w:rsid w:val="00C71419"/>
    <w:rsid w:val="00C71455"/>
    <w:rsid w:val="00C71482"/>
    <w:rsid w:val="00C71582"/>
    <w:rsid w:val="00C715AF"/>
    <w:rsid w:val="00C71D0B"/>
    <w:rsid w:val="00C71D6D"/>
    <w:rsid w:val="00C71F7F"/>
    <w:rsid w:val="00C7218A"/>
    <w:rsid w:val="00C7271E"/>
    <w:rsid w:val="00C7273B"/>
    <w:rsid w:val="00C72B5D"/>
    <w:rsid w:val="00C72C8B"/>
    <w:rsid w:val="00C72DED"/>
    <w:rsid w:val="00C72ED9"/>
    <w:rsid w:val="00C733BE"/>
    <w:rsid w:val="00C736DF"/>
    <w:rsid w:val="00C73BD2"/>
    <w:rsid w:val="00C73CB3"/>
    <w:rsid w:val="00C73CB8"/>
    <w:rsid w:val="00C73E6C"/>
    <w:rsid w:val="00C7464B"/>
    <w:rsid w:val="00C74723"/>
    <w:rsid w:val="00C747CB"/>
    <w:rsid w:val="00C74A76"/>
    <w:rsid w:val="00C74A9F"/>
    <w:rsid w:val="00C74B7A"/>
    <w:rsid w:val="00C74D65"/>
    <w:rsid w:val="00C750BA"/>
    <w:rsid w:val="00C7520C"/>
    <w:rsid w:val="00C755D4"/>
    <w:rsid w:val="00C75D6C"/>
    <w:rsid w:val="00C76131"/>
    <w:rsid w:val="00C761FB"/>
    <w:rsid w:val="00C763C9"/>
    <w:rsid w:val="00C7641A"/>
    <w:rsid w:val="00C764B9"/>
    <w:rsid w:val="00C76554"/>
    <w:rsid w:val="00C76697"/>
    <w:rsid w:val="00C76EA1"/>
    <w:rsid w:val="00C76EB2"/>
    <w:rsid w:val="00C76F41"/>
    <w:rsid w:val="00C7714E"/>
    <w:rsid w:val="00C77232"/>
    <w:rsid w:val="00C77798"/>
    <w:rsid w:val="00C77C55"/>
    <w:rsid w:val="00C80057"/>
    <w:rsid w:val="00C80159"/>
    <w:rsid w:val="00C80265"/>
    <w:rsid w:val="00C805D6"/>
    <w:rsid w:val="00C8089F"/>
    <w:rsid w:val="00C80960"/>
    <w:rsid w:val="00C80ABF"/>
    <w:rsid w:val="00C80EC5"/>
    <w:rsid w:val="00C80FC9"/>
    <w:rsid w:val="00C810EB"/>
    <w:rsid w:val="00C81837"/>
    <w:rsid w:val="00C81DEE"/>
    <w:rsid w:val="00C82232"/>
    <w:rsid w:val="00C82349"/>
    <w:rsid w:val="00C824A5"/>
    <w:rsid w:val="00C826BC"/>
    <w:rsid w:val="00C828E1"/>
    <w:rsid w:val="00C82913"/>
    <w:rsid w:val="00C82A9F"/>
    <w:rsid w:val="00C82AAB"/>
    <w:rsid w:val="00C82D26"/>
    <w:rsid w:val="00C82F2C"/>
    <w:rsid w:val="00C82F6E"/>
    <w:rsid w:val="00C83290"/>
    <w:rsid w:val="00C83694"/>
    <w:rsid w:val="00C836B2"/>
    <w:rsid w:val="00C8377D"/>
    <w:rsid w:val="00C84900"/>
    <w:rsid w:val="00C8522C"/>
    <w:rsid w:val="00C852CB"/>
    <w:rsid w:val="00C852D0"/>
    <w:rsid w:val="00C854DE"/>
    <w:rsid w:val="00C85840"/>
    <w:rsid w:val="00C85A58"/>
    <w:rsid w:val="00C85B1B"/>
    <w:rsid w:val="00C85F19"/>
    <w:rsid w:val="00C86322"/>
    <w:rsid w:val="00C8636B"/>
    <w:rsid w:val="00C863E0"/>
    <w:rsid w:val="00C86693"/>
    <w:rsid w:val="00C86A33"/>
    <w:rsid w:val="00C86E3E"/>
    <w:rsid w:val="00C8722E"/>
    <w:rsid w:val="00C8777B"/>
    <w:rsid w:val="00C87978"/>
    <w:rsid w:val="00C87A11"/>
    <w:rsid w:val="00C9019A"/>
    <w:rsid w:val="00C90248"/>
    <w:rsid w:val="00C90768"/>
    <w:rsid w:val="00C907EA"/>
    <w:rsid w:val="00C9082A"/>
    <w:rsid w:val="00C90873"/>
    <w:rsid w:val="00C90898"/>
    <w:rsid w:val="00C9094B"/>
    <w:rsid w:val="00C90A38"/>
    <w:rsid w:val="00C90A4A"/>
    <w:rsid w:val="00C91506"/>
    <w:rsid w:val="00C916DC"/>
    <w:rsid w:val="00C9170C"/>
    <w:rsid w:val="00C9177F"/>
    <w:rsid w:val="00C918CD"/>
    <w:rsid w:val="00C91A6F"/>
    <w:rsid w:val="00C91E92"/>
    <w:rsid w:val="00C920C5"/>
    <w:rsid w:val="00C92352"/>
    <w:rsid w:val="00C923EF"/>
    <w:rsid w:val="00C926A3"/>
    <w:rsid w:val="00C926EA"/>
    <w:rsid w:val="00C9289E"/>
    <w:rsid w:val="00C928CC"/>
    <w:rsid w:val="00C92D29"/>
    <w:rsid w:val="00C92FC6"/>
    <w:rsid w:val="00C9311A"/>
    <w:rsid w:val="00C931FD"/>
    <w:rsid w:val="00C933B9"/>
    <w:rsid w:val="00C939B8"/>
    <w:rsid w:val="00C93A0E"/>
    <w:rsid w:val="00C93ACA"/>
    <w:rsid w:val="00C948E5"/>
    <w:rsid w:val="00C94A69"/>
    <w:rsid w:val="00C94B09"/>
    <w:rsid w:val="00C94E49"/>
    <w:rsid w:val="00C950B7"/>
    <w:rsid w:val="00C956E1"/>
    <w:rsid w:val="00C957BA"/>
    <w:rsid w:val="00C95958"/>
    <w:rsid w:val="00C95E51"/>
    <w:rsid w:val="00C965E1"/>
    <w:rsid w:val="00C966EE"/>
    <w:rsid w:val="00C9670C"/>
    <w:rsid w:val="00C96FB7"/>
    <w:rsid w:val="00C972B1"/>
    <w:rsid w:val="00C9749B"/>
    <w:rsid w:val="00C97706"/>
    <w:rsid w:val="00C97713"/>
    <w:rsid w:val="00C97756"/>
    <w:rsid w:val="00C97842"/>
    <w:rsid w:val="00C97A14"/>
    <w:rsid w:val="00C97F5B"/>
    <w:rsid w:val="00CA00C6"/>
    <w:rsid w:val="00CA01E6"/>
    <w:rsid w:val="00CA0332"/>
    <w:rsid w:val="00CA0766"/>
    <w:rsid w:val="00CA0791"/>
    <w:rsid w:val="00CA08CB"/>
    <w:rsid w:val="00CA0D61"/>
    <w:rsid w:val="00CA1171"/>
    <w:rsid w:val="00CA131C"/>
    <w:rsid w:val="00CA1372"/>
    <w:rsid w:val="00CA1715"/>
    <w:rsid w:val="00CA17A5"/>
    <w:rsid w:val="00CA17CE"/>
    <w:rsid w:val="00CA1C34"/>
    <w:rsid w:val="00CA1C79"/>
    <w:rsid w:val="00CA1CBC"/>
    <w:rsid w:val="00CA238B"/>
    <w:rsid w:val="00CA2983"/>
    <w:rsid w:val="00CA2CCE"/>
    <w:rsid w:val="00CA2D78"/>
    <w:rsid w:val="00CA2FDB"/>
    <w:rsid w:val="00CA30B9"/>
    <w:rsid w:val="00CA3250"/>
    <w:rsid w:val="00CA33F1"/>
    <w:rsid w:val="00CA379E"/>
    <w:rsid w:val="00CA3983"/>
    <w:rsid w:val="00CA39A2"/>
    <w:rsid w:val="00CA3F04"/>
    <w:rsid w:val="00CA3FD1"/>
    <w:rsid w:val="00CA3FEA"/>
    <w:rsid w:val="00CA43FD"/>
    <w:rsid w:val="00CA47ED"/>
    <w:rsid w:val="00CA4874"/>
    <w:rsid w:val="00CA4E4E"/>
    <w:rsid w:val="00CA50F4"/>
    <w:rsid w:val="00CA533A"/>
    <w:rsid w:val="00CA5582"/>
    <w:rsid w:val="00CA5699"/>
    <w:rsid w:val="00CA5B5C"/>
    <w:rsid w:val="00CA5C4A"/>
    <w:rsid w:val="00CA5F8E"/>
    <w:rsid w:val="00CA6047"/>
    <w:rsid w:val="00CA6128"/>
    <w:rsid w:val="00CA62F3"/>
    <w:rsid w:val="00CA66AF"/>
    <w:rsid w:val="00CA66D8"/>
    <w:rsid w:val="00CA6704"/>
    <w:rsid w:val="00CA6ABC"/>
    <w:rsid w:val="00CA6B10"/>
    <w:rsid w:val="00CA6E14"/>
    <w:rsid w:val="00CA758D"/>
    <w:rsid w:val="00CA75A9"/>
    <w:rsid w:val="00CA7A4B"/>
    <w:rsid w:val="00CA7C8A"/>
    <w:rsid w:val="00CA7EF8"/>
    <w:rsid w:val="00CB01A5"/>
    <w:rsid w:val="00CB059B"/>
    <w:rsid w:val="00CB0694"/>
    <w:rsid w:val="00CB0718"/>
    <w:rsid w:val="00CB08E8"/>
    <w:rsid w:val="00CB0921"/>
    <w:rsid w:val="00CB0B2D"/>
    <w:rsid w:val="00CB0DA1"/>
    <w:rsid w:val="00CB12E6"/>
    <w:rsid w:val="00CB1954"/>
    <w:rsid w:val="00CB23E4"/>
    <w:rsid w:val="00CB2647"/>
    <w:rsid w:val="00CB27D2"/>
    <w:rsid w:val="00CB2A0D"/>
    <w:rsid w:val="00CB2F4A"/>
    <w:rsid w:val="00CB306E"/>
    <w:rsid w:val="00CB30E9"/>
    <w:rsid w:val="00CB322B"/>
    <w:rsid w:val="00CB36A3"/>
    <w:rsid w:val="00CB3803"/>
    <w:rsid w:val="00CB3839"/>
    <w:rsid w:val="00CB39F9"/>
    <w:rsid w:val="00CB3A24"/>
    <w:rsid w:val="00CB3BC4"/>
    <w:rsid w:val="00CB3E8D"/>
    <w:rsid w:val="00CB3F9D"/>
    <w:rsid w:val="00CB3FDE"/>
    <w:rsid w:val="00CB40AC"/>
    <w:rsid w:val="00CB4375"/>
    <w:rsid w:val="00CB4967"/>
    <w:rsid w:val="00CB4AF4"/>
    <w:rsid w:val="00CB4EE7"/>
    <w:rsid w:val="00CB4F98"/>
    <w:rsid w:val="00CB5083"/>
    <w:rsid w:val="00CB5303"/>
    <w:rsid w:val="00CB5339"/>
    <w:rsid w:val="00CB54F0"/>
    <w:rsid w:val="00CB57CA"/>
    <w:rsid w:val="00CB5A80"/>
    <w:rsid w:val="00CB5C84"/>
    <w:rsid w:val="00CB5D16"/>
    <w:rsid w:val="00CB5DA1"/>
    <w:rsid w:val="00CB5E44"/>
    <w:rsid w:val="00CB5FCE"/>
    <w:rsid w:val="00CB6033"/>
    <w:rsid w:val="00CB61B0"/>
    <w:rsid w:val="00CB636D"/>
    <w:rsid w:val="00CB63C4"/>
    <w:rsid w:val="00CB676F"/>
    <w:rsid w:val="00CB6BA0"/>
    <w:rsid w:val="00CB6D04"/>
    <w:rsid w:val="00CB6F84"/>
    <w:rsid w:val="00CB6F97"/>
    <w:rsid w:val="00CB71AB"/>
    <w:rsid w:val="00CB723F"/>
    <w:rsid w:val="00CB756A"/>
    <w:rsid w:val="00CB76D0"/>
    <w:rsid w:val="00CB78C2"/>
    <w:rsid w:val="00CB79E2"/>
    <w:rsid w:val="00CB7A3B"/>
    <w:rsid w:val="00CB7C25"/>
    <w:rsid w:val="00CB7CF7"/>
    <w:rsid w:val="00CC02B9"/>
    <w:rsid w:val="00CC0636"/>
    <w:rsid w:val="00CC08DF"/>
    <w:rsid w:val="00CC0A8C"/>
    <w:rsid w:val="00CC0C56"/>
    <w:rsid w:val="00CC1076"/>
    <w:rsid w:val="00CC14A9"/>
    <w:rsid w:val="00CC161F"/>
    <w:rsid w:val="00CC1620"/>
    <w:rsid w:val="00CC1B68"/>
    <w:rsid w:val="00CC1CE7"/>
    <w:rsid w:val="00CC1D9F"/>
    <w:rsid w:val="00CC2116"/>
    <w:rsid w:val="00CC22C7"/>
    <w:rsid w:val="00CC2A20"/>
    <w:rsid w:val="00CC2E5E"/>
    <w:rsid w:val="00CC2E6D"/>
    <w:rsid w:val="00CC2F62"/>
    <w:rsid w:val="00CC302D"/>
    <w:rsid w:val="00CC3843"/>
    <w:rsid w:val="00CC385D"/>
    <w:rsid w:val="00CC46E2"/>
    <w:rsid w:val="00CC489B"/>
    <w:rsid w:val="00CC48F9"/>
    <w:rsid w:val="00CC4910"/>
    <w:rsid w:val="00CC49AE"/>
    <w:rsid w:val="00CC4AD3"/>
    <w:rsid w:val="00CC4BFE"/>
    <w:rsid w:val="00CC4CD8"/>
    <w:rsid w:val="00CC4D20"/>
    <w:rsid w:val="00CC4E17"/>
    <w:rsid w:val="00CC4E28"/>
    <w:rsid w:val="00CC4F48"/>
    <w:rsid w:val="00CC4FCA"/>
    <w:rsid w:val="00CC51B5"/>
    <w:rsid w:val="00CC58A1"/>
    <w:rsid w:val="00CC5AD0"/>
    <w:rsid w:val="00CC5BA4"/>
    <w:rsid w:val="00CC602D"/>
    <w:rsid w:val="00CC6235"/>
    <w:rsid w:val="00CC665C"/>
    <w:rsid w:val="00CC67A1"/>
    <w:rsid w:val="00CC691A"/>
    <w:rsid w:val="00CC69B6"/>
    <w:rsid w:val="00CC6C22"/>
    <w:rsid w:val="00CC6CBD"/>
    <w:rsid w:val="00CC6E7B"/>
    <w:rsid w:val="00CC71E6"/>
    <w:rsid w:val="00CC7515"/>
    <w:rsid w:val="00CC7616"/>
    <w:rsid w:val="00CC76CE"/>
    <w:rsid w:val="00CC7DDA"/>
    <w:rsid w:val="00CC7EC6"/>
    <w:rsid w:val="00CC7ECC"/>
    <w:rsid w:val="00CD01C3"/>
    <w:rsid w:val="00CD01F1"/>
    <w:rsid w:val="00CD0878"/>
    <w:rsid w:val="00CD09A9"/>
    <w:rsid w:val="00CD0B12"/>
    <w:rsid w:val="00CD14D6"/>
    <w:rsid w:val="00CD1617"/>
    <w:rsid w:val="00CD166B"/>
    <w:rsid w:val="00CD188F"/>
    <w:rsid w:val="00CD18D7"/>
    <w:rsid w:val="00CD1BD6"/>
    <w:rsid w:val="00CD22DA"/>
    <w:rsid w:val="00CD2503"/>
    <w:rsid w:val="00CD25CA"/>
    <w:rsid w:val="00CD2BCD"/>
    <w:rsid w:val="00CD2E38"/>
    <w:rsid w:val="00CD308C"/>
    <w:rsid w:val="00CD3546"/>
    <w:rsid w:val="00CD3563"/>
    <w:rsid w:val="00CD359F"/>
    <w:rsid w:val="00CD36FB"/>
    <w:rsid w:val="00CD3A4C"/>
    <w:rsid w:val="00CD3D66"/>
    <w:rsid w:val="00CD3E16"/>
    <w:rsid w:val="00CD3FEF"/>
    <w:rsid w:val="00CD4055"/>
    <w:rsid w:val="00CD435A"/>
    <w:rsid w:val="00CD45D8"/>
    <w:rsid w:val="00CD464F"/>
    <w:rsid w:val="00CD48EE"/>
    <w:rsid w:val="00CD4985"/>
    <w:rsid w:val="00CD49EF"/>
    <w:rsid w:val="00CD4E78"/>
    <w:rsid w:val="00CD4F37"/>
    <w:rsid w:val="00CD50C7"/>
    <w:rsid w:val="00CD53A4"/>
    <w:rsid w:val="00CD5495"/>
    <w:rsid w:val="00CD572E"/>
    <w:rsid w:val="00CD5D61"/>
    <w:rsid w:val="00CD60CC"/>
    <w:rsid w:val="00CD613F"/>
    <w:rsid w:val="00CD6463"/>
    <w:rsid w:val="00CD65F7"/>
    <w:rsid w:val="00CD6863"/>
    <w:rsid w:val="00CD6A0C"/>
    <w:rsid w:val="00CD6F4C"/>
    <w:rsid w:val="00CD6F9C"/>
    <w:rsid w:val="00CD7138"/>
    <w:rsid w:val="00CD7480"/>
    <w:rsid w:val="00CD768A"/>
    <w:rsid w:val="00CD780B"/>
    <w:rsid w:val="00CD7AFB"/>
    <w:rsid w:val="00CD7D0B"/>
    <w:rsid w:val="00CD7D38"/>
    <w:rsid w:val="00CE078F"/>
    <w:rsid w:val="00CE08A4"/>
    <w:rsid w:val="00CE0C90"/>
    <w:rsid w:val="00CE0CA1"/>
    <w:rsid w:val="00CE1061"/>
    <w:rsid w:val="00CE10E9"/>
    <w:rsid w:val="00CE11C8"/>
    <w:rsid w:val="00CE1238"/>
    <w:rsid w:val="00CE157B"/>
    <w:rsid w:val="00CE18E6"/>
    <w:rsid w:val="00CE196A"/>
    <w:rsid w:val="00CE1FD8"/>
    <w:rsid w:val="00CE27B9"/>
    <w:rsid w:val="00CE2910"/>
    <w:rsid w:val="00CE2995"/>
    <w:rsid w:val="00CE29AF"/>
    <w:rsid w:val="00CE2CBD"/>
    <w:rsid w:val="00CE2D33"/>
    <w:rsid w:val="00CE2DD6"/>
    <w:rsid w:val="00CE31E3"/>
    <w:rsid w:val="00CE347E"/>
    <w:rsid w:val="00CE35E1"/>
    <w:rsid w:val="00CE3997"/>
    <w:rsid w:val="00CE3A9A"/>
    <w:rsid w:val="00CE42D1"/>
    <w:rsid w:val="00CE4778"/>
    <w:rsid w:val="00CE4908"/>
    <w:rsid w:val="00CE4AED"/>
    <w:rsid w:val="00CE4B1E"/>
    <w:rsid w:val="00CE4BD1"/>
    <w:rsid w:val="00CE5082"/>
    <w:rsid w:val="00CE50AE"/>
    <w:rsid w:val="00CE5393"/>
    <w:rsid w:val="00CE54DA"/>
    <w:rsid w:val="00CE558F"/>
    <w:rsid w:val="00CE5945"/>
    <w:rsid w:val="00CE59CC"/>
    <w:rsid w:val="00CE5A03"/>
    <w:rsid w:val="00CE5E79"/>
    <w:rsid w:val="00CE5F39"/>
    <w:rsid w:val="00CE6025"/>
    <w:rsid w:val="00CE612A"/>
    <w:rsid w:val="00CE640F"/>
    <w:rsid w:val="00CE653B"/>
    <w:rsid w:val="00CE65B2"/>
    <w:rsid w:val="00CE6BA2"/>
    <w:rsid w:val="00CE6BE9"/>
    <w:rsid w:val="00CE6C9B"/>
    <w:rsid w:val="00CE6D44"/>
    <w:rsid w:val="00CE6F6A"/>
    <w:rsid w:val="00CE721E"/>
    <w:rsid w:val="00CE737C"/>
    <w:rsid w:val="00CE748C"/>
    <w:rsid w:val="00CE752A"/>
    <w:rsid w:val="00CE7683"/>
    <w:rsid w:val="00CE78A9"/>
    <w:rsid w:val="00CE78B5"/>
    <w:rsid w:val="00CE7AB1"/>
    <w:rsid w:val="00CE7C9A"/>
    <w:rsid w:val="00CE7E56"/>
    <w:rsid w:val="00CF0156"/>
    <w:rsid w:val="00CF01F1"/>
    <w:rsid w:val="00CF025F"/>
    <w:rsid w:val="00CF05AA"/>
    <w:rsid w:val="00CF0610"/>
    <w:rsid w:val="00CF0B30"/>
    <w:rsid w:val="00CF0C14"/>
    <w:rsid w:val="00CF0DB4"/>
    <w:rsid w:val="00CF0FC9"/>
    <w:rsid w:val="00CF1294"/>
    <w:rsid w:val="00CF12FF"/>
    <w:rsid w:val="00CF1396"/>
    <w:rsid w:val="00CF1447"/>
    <w:rsid w:val="00CF1C7C"/>
    <w:rsid w:val="00CF1DAD"/>
    <w:rsid w:val="00CF1F92"/>
    <w:rsid w:val="00CF202C"/>
    <w:rsid w:val="00CF2600"/>
    <w:rsid w:val="00CF2673"/>
    <w:rsid w:val="00CF26F8"/>
    <w:rsid w:val="00CF2EC7"/>
    <w:rsid w:val="00CF3098"/>
    <w:rsid w:val="00CF3228"/>
    <w:rsid w:val="00CF36AA"/>
    <w:rsid w:val="00CF36BE"/>
    <w:rsid w:val="00CF3C68"/>
    <w:rsid w:val="00CF3F8D"/>
    <w:rsid w:val="00CF42BC"/>
    <w:rsid w:val="00CF4B55"/>
    <w:rsid w:val="00CF4BD7"/>
    <w:rsid w:val="00CF4F18"/>
    <w:rsid w:val="00CF504C"/>
    <w:rsid w:val="00CF5979"/>
    <w:rsid w:val="00CF5ECC"/>
    <w:rsid w:val="00CF6000"/>
    <w:rsid w:val="00CF6241"/>
    <w:rsid w:val="00CF65AC"/>
    <w:rsid w:val="00CF661A"/>
    <w:rsid w:val="00CF68A2"/>
    <w:rsid w:val="00CF7053"/>
    <w:rsid w:val="00CF73CA"/>
    <w:rsid w:val="00CF7785"/>
    <w:rsid w:val="00CF77CC"/>
    <w:rsid w:val="00CF793B"/>
    <w:rsid w:val="00CF7B76"/>
    <w:rsid w:val="00CF7C91"/>
    <w:rsid w:val="00CF7D22"/>
    <w:rsid w:val="00CF7E1F"/>
    <w:rsid w:val="00CF7F45"/>
    <w:rsid w:val="00CF7FC8"/>
    <w:rsid w:val="00D000AC"/>
    <w:rsid w:val="00D0030D"/>
    <w:rsid w:val="00D003F3"/>
    <w:rsid w:val="00D004A3"/>
    <w:rsid w:val="00D00A28"/>
    <w:rsid w:val="00D00BA6"/>
    <w:rsid w:val="00D00C5F"/>
    <w:rsid w:val="00D00EE8"/>
    <w:rsid w:val="00D00F60"/>
    <w:rsid w:val="00D01038"/>
    <w:rsid w:val="00D01495"/>
    <w:rsid w:val="00D01C1B"/>
    <w:rsid w:val="00D01CCB"/>
    <w:rsid w:val="00D01D84"/>
    <w:rsid w:val="00D02419"/>
    <w:rsid w:val="00D0273F"/>
    <w:rsid w:val="00D0296F"/>
    <w:rsid w:val="00D02B90"/>
    <w:rsid w:val="00D02D75"/>
    <w:rsid w:val="00D02E31"/>
    <w:rsid w:val="00D0335B"/>
    <w:rsid w:val="00D0338D"/>
    <w:rsid w:val="00D0339E"/>
    <w:rsid w:val="00D0364F"/>
    <w:rsid w:val="00D036B4"/>
    <w:rsid w:val="00D037CE"/>
    <w:rsid w:val="00D037E9"/>
    <w:rsid w:val="00D03BE6"/>
    <w:rsid w:val="00D03C2C"/>
    <w:rsid w:val="00D03D41"/>
    <w:rsid w:val="00D03E38"/>
    <w:rsid w:val="00D041E7"/>
    <w:rsid w:val="00D04303"/>
    <w:rsid w:val="00D0436F"/>
    <w:rsid w:val="00D04393"/>
    <w:rsid w:val="00D04AF7"/>
    <w:rsid w:val="00D04DFC"/>
    <w:rsid w:val="00D05694"/>
    <w:rsid w:val="00D05881"/>
    <w:rsid w:val="00D058F7"/>
    <w:rsid w:val="00D059A0"/>
    <w:rsid w:val="00D05B16"/>
    <w:rsid w:val="00D05C24"/>
    <w:rsid w:val="00D05E62"/>
    <w:rsid w:val="00D06834"/>
    <w:rsid w:val="00D06835"/>
    <w:rsid w:val="00D06919"/>
    <w:rsid w:val="00D06D1C"/>
    <w:rsid w:val="00D06D28"/>
    <w:rsid w:val="00D06F8F"/>
    <w:rsid w:val="00D07379"/>
    <w:rsid w:val="00D0760C"/>
    <w:rsid w:val="00D0782D"/>
    <w:rsid w:val="00D07880"/>
    <w:rsid w:val="00D07920"/>
    <w:rsid w:val="00D07D1A"/>
    <w:rsid w:val="00D07D4D"/>
    <w:rsid w:val="00D100E1"/>
    <w:rsid w:val="00D10C12"/>
    <w:rsid w:val="00D10D0A"/>
    <w:rsid w:val="00D10D37"/>
    <w:rsid w:val="00D10FC7"/>
    <w:rsid w:val="00D1108C"/>
    <w:rsid w:val="00D110E9"/>
    <w:rsid w:val="00D11150"/>
    <w:rsid w:val="00D111F3"/>
    <w:rsid w:val="00D117AD"/>
    <w:rsid w:val="00D11904"/>
    <w:rsid w:val="00D11AB2"/>
    <w:rsid w:val="00D11D5E"/>
    <w:rsid w:val="00D1215A"/>
    <w:rsid w:val="00D12391"/>
    <w:rsid w:val="00D123AA"/>
    <w:rsid w:val="00D123E9"/>
    <w:rsid w:val="00D129F7"/>
    <w:rsid w:val="00D13243"/>
    <w:rsid w:val="00D13267"/>
    <w:rsid w:val="00D134C9"/>
    <w:rsid w:val="00D13B5D"/>
    <w:rsid w:val="00D14626"/>
    <w:rsid w:val="00D146BA"/>
    <w:rsid w:val="00D148DA"/>
    <w:rsid w:val="00D14A6B"/>
    <w:rsid w:val="00D14AE6"/>
    <w:rsid w:val="00D14C22"/>
    <w:rsid w:val="00D14C99"/>
    <w:rsid w:val="00D14D74"/>
    <w:rsid w:val="00D15097"/>
    <w:rsid w:val="00D150B5"/>
    <w:rsid w:val="00D1513F"/>
    <w:rsid w:val="00D15225"/>
    <w:rsid w:val="00D1549B"/>
    <w:rsid w:val="00D15532"/>
    <w:rsid w:val="00D156AD"/>
    <w:rsid w:val="00D15B2A"/>
    <w:rsid w:val="00D16227"/>
    <w:rsid w:val="00D16ABC"/>
    <w:rsid w:val="00D16B09"/>
    <w:rsid w:val="00D16D0E"/>
    <w:rsid w:val="00D16E4F"/>
    <w:rsid w:val="00D17347"/>
    <w:rsid w:val="00D17DA2"/>
    <w:rsid w:val="00D17FEE"/>
    <w:rsid w:val="00D2014D"/>
    <w:rsid w:val="00D20544"/>
    <w:rsid w:val="00D2078D"/>
    <w:rsid w:val="00D2081E"/>
    <w:rsid w:val="00D2093C"/>
    <w:rsid w:val="00D20B11"/>
    <w:rsid w:val="00D20B51"/>
    <w:rsid w:val="00D215BB"/>
    <w:rsid w:val="00D21639"/>
    <w:rsid w:val="00D21B7C"/>
    <w:rsid w:val="00D21CBB"/>
    <w:rsid w:val="00D21EBC"/>
    <w:rsid w:val="00D223EC"/>
    <w:rsid w:val="00D22413"/>
    <w:rsid w:val="00D225F3"/>
    <w:rsid w:val="00D22630"/>
    <w:rsid w:val="00D2286A"/>
    <w:rsid w:val="00D22A93"/>
    <w:rsid w:val="00D22E96"/>
    <w:rsid w:val="00D23299"/>
    <w:rsid w:val="00D23562"/>
    <w:rsid w:val="00D235A3"/>
    <w:rsid w:val="00D239D3"/>
    <w:rsid w:val="00D24320"/>
    <w:rsid w:val="00D2432A"/>
    <w:rsid w:val="00D24332"/>
    <w:rsid w:val="00D246D6"/>
    <w:rsid w:val="00D24D4E"/>
    <w:rsid w:val="00D250DF"/>
    <w:rsid w:val="00D251CC"/>
    <w:rsid w:val="00D252C6"/>
    <w:rsid w:val="00D254AD"/>
    <w:rsid w:val="00D254FD"/>
    <w:rsid w:val="00D2555B"/>
    <w:rsid w:val="00D25955"/>
    <w:rsid w:val="00D25C20"/>
    <w:rsid w:val="00D25C2D"/>
    <w:rsid w:val="00D25C41"/>
    <w:rsid w:val="00D25DD9"/>
    <w:rsid w:val="00D25E17"/>
    <w:rsid w:val="00D25EA7"/>
    <w:rsid w:val="00D25EFD"/>
    <w:rsid w:val="00D25FFE"/>
    <w:rsid w:val="00D260D1"/>
    <w:rsid w:val="00D26538"/>
    <w:rsid w:val="00D265EA"/>
    <w:rsid w:val="00D26AA2"/>
    <w:rsid w:val="00D26AF6"/>
    <w:rsid w:val="00D273C2"/>
    <w:rsid w:val="00D2749E"/>
    <w:rsid w:val="00D274EE"/>
    <w:rsid w:val="00D27BD8"/>
    <w:rsid w:val="00D27DEE"/>
    <w:rsid w:val="00D27E86"/>
    <w:rsid w:val="00D27E88"/>
    <w:rsid w:val="00D3019C"/>
    <w:rsid w:val="00D3021E"/>
    <w:rsid w:val="00D303EE"/>
    <w:rsid w:val="00D304DB"/>
    <w:rsid w:val="00D308ED"/>
    <w:rsid w:val="00D31641"/>
    <w:rsid w:val="00D3175B"/>
    <w:rsid w:val="00D31866"/>
    <w:rsid w:val="00D31A9F"/>
    <w:rsid w:val="00D31B5A"/>
    <w:rsid w:val="00D31BBA"/>
    <w:rsid w:val="00D31C53"/>
    <w:rsid w:val="00D31E7C"/>
    <w:rsid w:val="00D3243F"/>
    <w:rsid w:val="00D32543"/>
    <w:rsid w:val="00D32C30"/>
    <w:rsid w:val="00D32E7F"/>
    <w:rsid w:val="00D32F06"/>
    <w:rsid w:val="00D32FF8"/>
    <w:rsid w:val="00D33024"/>
    <w:rsid w:val="00D330AB"/>
    <w:rsid w:val="00D33799"/>
    <w:rsid w:val="00D33A60"/>
    <w:rsid w:val="00D33A86"/>
    <w:rsid w:val="00D33A9F"/>
    <w:rsid w:val="00D33CBB"/>
    <w:rsid w:val="00D33DEB"/>
    <w:rsid w:val="00D33E3C"/>
    <w:rsid w:val="00D34AED"/>
    <w:rsid w:val="00D34C8A"/>
    <w:rsid w:val="00D34C8B"/>
    <w:rsid w:val="00D34CA2"/>
    <w:rsid w:val="00D34DCC"/>
    <w:rsid w:val="00D35306"/>
    <w:rsid w:val="00D357DF"/>
    <w:rsid w:val="00D35B30"/>
    <w:rsid w:val="00D35EA9"/>
    <w:rsid w:val="00D35F7F"/>
    <w:rsid w:val="00D36188"/>
    <w:rsid w:val="00D3625C"/>
    <w:rsid w:val="00D3650E"/>
    <w:rsid w:val="00D36537"/>
    <w:rsid w:val="00D36A8F"/>
    <w:rsid w:val="00D36D86"/>
    <w:rsid w:val="00D36E08"/>
    <w:rsid w:val="00D37398"/>
    <w:rsid w:val="00D37641"/>
    <w:rsid w:val="00D3787F"/>
    <w:rsid w:val="00D378F6"/>
    <w:rsid w:val="00D37AB6"/>
    <w:rsid w:val="00D40372"/>
    <w:rsid w:val="00D40376"/>
    <w:rsid w:val="00D40A39"/>
    <w:rsid w:val="00D40A86"/>
    <w:rsid w:val="00D41161"/>
    <w:rsid w:val="00D4120C"/>
    <w:rsid w:val="00D4142C"/>
    <w:rsid w:val="00D419B3"/>
    <w:rsid w:val="00D41C3B"/>
    <w:rsid w:val="00D41DF6"/>
    <w:rsid w:val="00D41E1A"/>
    <w:rsid w:val="00D41E99"/>
    <w:rsid w:val="00D4252C"/>
    <w:rsid w:val="00D428AA"/>
    <w:rsid w:val="00D42E60"/>
    <w:rsid w:val="00D4318F"/>
    <w:rsid w:val="00D4367E"/>
    <w:rsid w:val="00D43A5A"/>
    <w:rsid w:val="00D43C03"/>
    <w:rsid w:val="00D44029"/>
    <w:rsid w:val="00D44233"/>
    <w:rsid w:val="00D4430B"/>
    <w:rsid w:val="00D4446B"/>
    <w:rsid w:val="00D44D0D"/>
    <w:rsid w:val="00D44D61"/>
    <w:rsid w:val="00D4521B"/>
    <w:rsid w:val="00D452EF"/>
    <w:rsid w:val="00D456F5"/>
    <w:rsid w:val="00D45956"/>
    <w:rsid w:val="00D45BF3"/>
    <w:rsid w:val="00D45C0C"/>
    <w:rsid w:val="00D45DFE"/>
    <w:rsid w:val="00D45F76"/>
    <w:rsid w:val="00D46219"/>
    <w:rsid w:val="00D462E6"/>
    <w:rsid w:val="00D46730"/>
    <w:rsid w:val="00D468DA"/>
    <w:rsid w:val="00D46C68"/>
    <w:rsid w:val="00D46DFF"/>
    <w:rsid w:val="00D46EC1"/>
    <w:rsid w:val="00D470F2"/>
    <w:rsid w:val="00D47589"/>
    <w:rsid w:val="00D4774C"/>
    <w:rsid w:val="00D47823"/>
    <w:rsid w:val="00D47860"/>
    <w:rsid w:val="00D503AB"/>
    <w:rsid w:val="00D50580"/>
    <w:rsid w:val="00D505D9"/>
    <w:rsid w:val="00D50A29"/>
    <w:rsid w:val="00D50A34"/>
    <w:rsid w:val="00D50A97"/>
    <w:rsid w:val="00D50DB6"/>
    <w:rsid w:val="00D50E6D"/>
    <w:rsid w:val="00D512F4"/>
    <w:rsid w:val="00D51376"/>
    <w:rsid w:val="00D51377"/>
    <w:rsid w:val="00D515E3"/>
    <w:rsid w:val="00D5163D"/>
    <w:rsid w:val="00D52398"/>
    <w:rsid w:val="00D523CD"/>
    <w:rsid w:val="00D52412"/>
    <w:rsid w:val="00D524E7"/>
    <w:rsid w:val="00D52546"/>
    <w:rsid w:val="00D5296D"/>
    <w:rsid w:val="00D52E9E"/>
    <w:rsid w:val="00D52F46"/>
    <w:rsid w:val="00D52F9E"/>
    <w:rsid w:val="00D531E8"/>
    <w:rsid w:val="00D5320E"/>
    <w:rsid w:val="00D537B4"/>
    <w:rsid w:val="00D53B6C"/>
    <w:rsid w:val="00D53EFA"/>
    <w:rsid w:val="00D542C7"/>
    <w:rsid w:val="00D54378"/>
    <w:rsid w:val="00D543B1"/>
    <w:rsid w:val="00D546E5"/>
    <w:rsid w:val="00D5473A"/>
    <w:rsid w:val="00D5491A"/>
    <w:rsid w:val="00D549F0"/>
    <w:rsid w:val="00D54A0C"/>
    <w:rsid w:val="00D54A70"/>
    <w:rsid w:val="00D54ABE"/>
    <w:rsid w:val="00D54C85"/>
    <w:rsid w:val="00D54E82"/>
    <w:rsid w:val="00D551BE"/>
    <w:rsid w:val="00D5538A"/>
    <w:rsid w:val="00D55516"/>
    <w:rsid w:val="00D55928"/>
    <w:rsid w:val="00D55DC2"/>
    <w:rsid w:val="00D55E61"/>
    <w:rsid w:val="00D55E64"/>
    <w:rsid w:val="00D5619D"/>
    <w:rsid w:val="00D561FD"/>
    <w:rsid w:val="00D5690E"/>
    <w:rsid w:val="00D56B94"/>
    <w:rsid w:val="00D56BC3"/>
    <w:rsid w:val="00D56BE4"/>
    <w:rsid w:val="00D56CA3"/>
    <w:rsid w:val="00D56F6C"/>
    <w:rsid w:val="00D570E0"/>
    <w:rsid w:val="00D571AC"/>
    <w:rsid w:val="00D574EE"/>
    <w:rsid w:val="00D574F1"/>
    <w:rsid w:val="00D57D5A"/>
    <w:rsid w:val="00D57DA5"/>
    <w:rsid w:val="00D600B3"/>
    <w:rsid w:val="00D60182"/>
    <w:rsid w:val="00D60467"/>
    <w:rsid w:val="00D60D0C"/>
    <w:rsid w:val="00D60D51"/>
    <w:rsid w:val="00D60E51"/>
    <w:rsid w:val="00D6104A"/>
    <w:rsid w:val="00D6114D"/>
    <w:rsid w:val="00D611DC"/>
    <w:rsid w:val="00D6121B"/>
    <w:rsid w:val="00D6152B"/>
    <w:rsid w:val="00D618FA"/>
    <w:rsid w:val="00D61C6D"/>
    <w:rsid w:val="00D61CE7"/>
    <w:rsid w:val="00D62541"/>
    <w:rsid w:val="00D625AD"/>
    <w:rsid w:val="00D62757"/>
    <w:rsid w:val="00D6290E"/>
    <w:rsid w:val="00D62965"/>
    <w:rsid w:val="00D62A10"/>
    <w:rsid w:val="00D633E7"/>
    <w:rsid w:val="00D634CA"/>
    <w:rsid w:val="00D635B5"/>
    <w:rsid w:val="00D63791"/>
    <w:rsid w:val="00D6391B"/>
    <w:rsid w:val="00D639AD"/>
    <w:rsid w:val="00D63CC4"/>
    <w:rsid w:val="00D64027"/>
    <w:rsid w:val="00D644AE"/>
    <w:rsid w:val="00D64721"/>
    <w:rsid w:val="00D647BC"/>
    <w:rsid w:val="00D64997"/>
    <w:rsid w:val="00D64CA4"/>
    <w:rsid w:val="00D66506"/>
    <w:rsid w:val="00D666AF"/>
    <w:rsid w:val="00D66876"/>
    <w:rsid w:val="00D669C8"/>
    <w:rsid w:val="00D66B0F"/>
    <w:rsid w:val="00D66C2E"/>
    <w:rsid w:val="00D66F38"/>
    <w:rsid w:val="00D67015"/>
    <w:rsid w:val="00D670B8"/>
    <w:rsid w:val="00D671D1"/>
    <w:rsid w:val="00D67405"/>
    <w:rsid w:val="00D67448"/>
    <w:rsid w:val="00D67705"/>
    <w:rsid w:val="00D67C05"/>
    <w:rsid w:val="00D67C20"/>
    <w:rsid w:val="00D67F00"/>
    <w:rsid w:val="00D7019D"/>
    <w:rsid w:val="00D70455"/>
    <w:rsid w:val="00D70882"/>
    <w:rsid w:val="00D70978"/>
    <w:rsid w:val="00D70A55"/>
    <w:rsid w:val="00D70CF4"/>
    <w:rsid w:val="00D70EB9"/>
    <w:rsid w:val="00D718A1"/>
    <w:rsid w:val="00D720BE"/>
    <w:rsid w:val="00D72174"/>
    <w:rsid w:val="00D721C6"/>
    <w:rsid w:val="00D72443"/>
    <w:rsid w:val="00D72715"/>
    <w:rsid w:val="00D72985"/>
    <w:rsid w:val="00D72A0F"/>
    <w:rsid w:val="00D72AF2"/>
    <w:rsid w:val="00D72AF3"/>
    <w:rsid w:val="00D72D00"/>
    <w:rsid w:val="00D72EDD"/>
    <w:rsid w:val="00D73105"/>
    <w:rsid w:val="00D732DB"/>
    <w:rsid w:val="00D734E5"/>
    <w:rsid w:val="00D735F5"/>
    <w:rsid w:val="00D736C2"/>
    <w:rsid w:val="00D7397B"/>
    <w:rsid w:val="00D73CAF"/>
    <w:rsid w:val="00D7445E"/>
    <w:rsid w:val="00D74514"/>
    <w:rsid w:val="00D745F2"/>
    <w:rsid w:val="00D74764"/>
    <w:rsid w:val="00D748DE"/>
    <w:rsid w:val="00D74966"/>
    <w:rsid w:val="00D749ED"/>
    <w:rsid w:val="00D74A62"/>
    <w:rsid w:val="00D74A6B"/>
    <w:rsid w:val="00D75145"/>
    <w:rsid w:val="00D754B6"/>
    <w:rsid w:val="00D75631"/>
    <w:rsid w:val="00D757B0"/>
    <w:rsid w:val="00D7590F"/>
    <w:rsid w:val="00D75C9E"/>
    <w:rsid w:val="00D75FC6"/>
    <w:rsid w:val="00D76002"/>
    <w:rsid w:val="00D76089"/>
    <w:rsid w:val="00D7650D"/>
    <w:rsid w:val="00D76565"/>
    <w:rsid w:val="00D76594"/>
    <w:rsid w:val="00D76AC2"/>
    <w:rsid w:val="00D76C3E"/>
    <w:rsid w:val="00D76D56"/>
    <w:rsid w:val="00D76F25"/>
    <w:rsid w:val="00D76F6A"/>
    <w:rsid w:val="00D771F8"/>
    <w:rsid w:val="00D77238"/>
    <w:rsid w:val="00D77375"/>
    <w:rsid w:val="00D773C0"/>
    <w:rsid w:val="00D7768D"/>
    <w:rsid w:val="00D77BBA"/>
    <w:rsid w:val="00D77F8D"/>
    <w:rsid w:val="00D80081"/>
    <w:rsid w:val="00D800BF"/>
    <w:rsid w:val="00D80892"/>
    <w:rsid w:val="00D808C7"/>
    <w:rsid w:val="00D809BC"/>
    <w:rsid w:val="00D80E07"/>
    <w:rsid w:val="00D80FCA"/>
    <w:rsid w:val="00D810BD"/>
    <w:rsid w:val="00D819AD"/>
    <w:rsid w:val="00D81E89"/>
    <w:rsid w:val="00D81F1C"/>
    <w:rsid w:val="00D81FA8"/>
    <w:rsid w:val="00D8209F"/>
    <w:rsid w:val="00D82488"/>
    <w:rsid w:val="00D8264E"/>
    <w:rsid w:val="00D829D1"/>
    <w:rsid w:val="00D82AE9"/>
    <w:rsid w:val="00D82AFA"/>
    <w:rsid w:val="00D82B02"/>
    <w:rsid w:val="00D82C6C"/>
    <w:rsid w:val="00D8329E"/>
    <w:rsid w:val="00D83689"/>
    <w:rsid w:val="00D83B1C"/>
    <w:rsid w:val="00D83C4B"/>
    <w:rsid w:val="00D83D55"/>
    <w:rsid w:val="00D83DC5"/>
    <w:rsid w:val="00D84170"/>
    <w:rsid w:val="00D84373"/>
    <w:rsid w:val="00D843BD"/>
    <w:rsid w:val="00D844F8"/>
    <w:rsid w:val="00D84B97"/>
    <w:rsid w:val="00D84E6B"/>
    <w:rsid w:val="00D85371"/>
    <w:rsid w:val="00D853AB"/>
    <w:rsid w:val="00D85413"/>
    <w:rsid w:val="00D85640"/>
    <w:rsid w:val="00D85FC0"/>
    <w:rsid w:val="00D86014"/>
    <w:rsid w:val="00D86349"/>
    <w:rsid w:val="00D86B40"/>
    <w:rsid w:val="00D86F3B"/>
    <w:rsid w:val="00D86FBD"/>
    <w:rsid w:val="00D872A0"/>
    <w:rsid w:val="00D874F1"/>
    <w:rsid w:val="00D8782F"/>
    <w:rsid w:val="00D87841"/>
    <w:rsid w:val="00D87929"/>
    <w:rsid w:val="00D87CDA"/>
    <w:rsid w:val="00D87FCA"/>
    <w:rsid w:val="00D90201"/>
    <w:rsid w:val="00D9050A"/>
    <w:rsid w:val="00D907AF"/>
    <w:rsid w:val="00D90CA4"/>
    <w:rsid w:val="00D912B8"/>
    <w:rsid w:val="00D91322"/>
    <w:rsid w:val="00D91624"/>
    <w:rsid w:val="00D9172E"/>
    <w:rsid w:val="00D917FD"/>
    <w:rsid w:val="00D91FAA"/>
    <w:rsid w:val="00D92302"/>
    <w:rsid w:val="00D92514"/>
    <w:rsid w:val="00D925EA"/>
    <w:rsid w:val="00D92B76"/>
    <w:rsid w:val="00D92FB0"/>
    <w:rsid w:val="00D93702"/>
    <w:rsid w:val="00D937E1"/>
    <w:rsid w:val="00D93FDC"/>
    <w:rsid w:val="00D940CA"/>
    <w:rsid w:val="00D941E1"/>
    <w:rsid w:val="00D9426B"/>
    <w:rsid w:val="00D94428"/>
    <w:rsid w:val="00D94507"/>
    <w:rsid w:val="00D94527"/>
    <w:rsid w:val="00D945EE"/>
    <w:rsid w:val="00D94A7C"/>
    <w:rsid w:val="00D94D5C"/>
    <w:rsid w:val="00D95586"/>
    <w:rsid w:val="00D95635"/>
    <w:rsid w:val="00D95896"/>
    <w:rsid w:val="00D9591D"/>
    <w:rsid w:val="00D9592E"/>
    <w:rsid w:val="00D95A0E"/>
    <w:rsid w:val="00D95C9B"/>
    <w:rsid w:val="00D95EEA"/>
    <w:rsid w:val="00D963C4"/>
    <w:rsid w:val="00D966DB"/>
    <w:rsid w:val="00D96DA9"/>
    <w:rsid w:val="00D97305"/>
    <w:rsid w:val="00D974E5"/>
    <w:rsid w:val="00D97B20"/>
    <w:rsid w:val="00DA01DD"/>
    <w:rsid w:val="00DA01E6"/>
    <w:rsid w:val="00DA0337"/>
    <w:rsid w:val="00DA0F1D"/>
    <w:rsid w:val="00DA1023"/>
    <w:rsid w:val="00DA1037"/>
    <w:rsid w:val="00DA1290"/>
    <w:rsid w:val="00DA1430"/>
    <w:rsid w:val="00DA155E"/>
    <w:rsid w:val="00DA159D"/>
    <w:rsid w:val="00DA1E4F"/>
    <w:rsid w:val="00DA1F68"/>
    <w:rsid w:val="00DA2059"/>
    <w:rsid w:val="00DA207B"/>
    <w:rsid w:val="00DA2233"/>
    <w:rsid w:val="00DA2489"/>
    <w:rsid w:val="00DA2958"/>
    <w:rsid w:val="00DA2F35"/>
    <w:rsid w:val="00DA305F"/>
    <w:rsid w:val="00DA3243"/>
    <w:rsid w:val="00DA331E"/>
    <w:rsid w:val="00DA3324"/>
    <w:rsid w:val="00DA34D6"/>
    <w:rsid w:val="00DA3A48"/>
    <w:rsid w:val="00DA3B5F"/>
    <w:rsid w:val="00DA3BC3"/>
    <w:rsid w:val="00DA3DF4"/>
    <w:rsid w:val="00DA3FCF"/>
    <w:rsid w:val="00DA4230"/>
    <w:rsid w:val="00DA4635"/>
    <w:rsid w:val="00DA4791"/>
    <w:rsid w:val="00DA48D7"/>
    <w:rsid w:val="00DA4A28"/>
    <w:rsid w:val="00DA4AE2"/>
    <w:rsid w:val="00DA4B57"/>
    <w:rsid w:val="00DA4B6F"/>
    <w:rsid w:val="00DA4DC1"/>
    <w:rsid w:val="00DA54FE"/>
    <w:rsid w:val="00DA56D6"/>
    <w:rsid w:val="00DA56E1"/>
    <w:rsid w:val="00DA5CAD"/>
    <w:rsid w:val="00DA5D79"/>
    <w:rsid w:val="00DA6180"/>
    <w:rsid w:val="00DA618F"/>
    <w:rsid w:val="00DA630F"/>
    <w:rsid w:val="00DA6495"/>
    <w:rsid w:val="00DA64C9"/>
    <w:rsid w:val="00DA66D3"/>
    <w:rsid w:val="00DA6828"/>
    <w:rsid w:val="00DA6889"/>
    <w:rsid w:val="00DA6914"/>
    <w:rsid w:val="00DA6C0E"/>
    <w:rsid w:val="00DA6C59"/>
    <w:rsid w:val="00DA6D7B"/>
    <w:rsid w:val="00DA6F14"/>
    <w:rsid w:val="00DA7B02"/>
    <w:rsid w:val="00DA7CCE"/>
    <w:rsid w:val="00DB006B"/>
    <w:rsid w:val="00DB0181"/>
    <w:rsid w:val="00DB087C"/>
    <w:rsid w:val="00DB089F"/>
    <w:rsid w:val="00DB0C9C"/>
    <w:rsid w:val="00DB0EFC"/>
    <w:rsid w:val="00DB0F16"/>
    <w:rsid w:val="00DB1348"/>
    <w:rsid w:val="00DB13BD"/>
    <w:rsid w:val="00DB13C6"/>
    <w:rsid w:val="00DB199E"/>
    <w:rsid w:val="00DB1B4D"/>
    <w:rsid w:val="00DB1D79"/>
    <w:rsid w:val="00DB1E86"/>
    <w:rsid w:val="00DB2164"/>
    <w:rsid w:val="00DB2207"/>
    <w:rsid w:val="00DB24D0"/>
    <w:rsid w:val="00DB25AA"/>
    <w:rsid w:val="00DB271E"/>
    <w:rsid w:val="00DB2948"/>
    <w:rsid w:val="00DB2983"/>
    <w:rsid w:val="00DB2BED"/>
    <w:rsid w:val="00DB2BFF"/>
    <w:rsid w:val="00DB2F40"/>
    <w:rsid w:val="00DB310F"/>
    <w:rsid w:val="00DB31E5"/>
    <w:rsid w:val="00DB32AC"/>
    <w:rsid w:val="00DB3386"/>
    <w:rsid w:val="00DB356F"/>
    <w:rsid w:val="00DB37A4"/>
    <w:rsid w:val="00DB3863"/>
    <w:rsid w:val="00DB4089"/>
    <w:rsid w:val="00DB4188"/>
    <w:rsid w:val="00DB418A"/>
    <w:rsid w:val="00DB4429"/>
    <w:rsid w:val="00DB46AF"/>
    <w:rsid w:val="00DB478C"/>
    <w:rsid w:val="00DB4813"/>
    <w:rsid w:val="00DB4CDC"/>
    <w:rsid w:val="00DB54DC"/>
    <w:rsid w:val="00DB54F6"/>
    <w:rsid w:val="00DB55A8"/>
    <w:rsid w:val="00DB56DC"/>
    <w:rsid w:val="00DB5777"/>
    <w:rsid w:val="00DB5906"/>
    <w:rsid w:val="00DB5A44"/>
    <w:rsid w:val="00DB5F5E"/>
    <w:rsid w:val="00DB6416"/>
    <w:rsid w:val="00DB64EB"/>
    <w:rsid w:val="00DB6629"/>
    <w:rsid w:val="00DB6689"/>
    <w:rsid w:val="00DB6A7B"/>
    <w:rsid w:val="00DB7303"/>
    <w:rsid w:val="00DB73D6"/>
    <w:rsid w:val="00DB746B"/>
    <w:rsid w:val="00DB7768"/>
    <w:rsid w:val="00DC0161"/>
    <w:rsid w:val="00DC0410"/>
    <w:rsid w:val="00DC0A67"/>
    <w:rsid w:val="00DC0CD5"/>
    <w:rsid w:val="00DC0D60"/>
    <w:rsid w:val="00DC0DD2"/>
    <w:rsid w:val="00DC0EF8"/>
    <w:rsid w:val="00DC11E0"/>
    <w:rsid w:val="00DC1257"/>
    <w:rsid w:val="00DC1402"/>
    <w:rsid w:val="00DC150A"/>
    <w:rsid w:val="00DC19C6"/>
    <w:rsid w:val="00DC1A9E"/>
    <w:rsid w:val="00DC1DDF"/>
    <w:rsid w:val="00DC20D0"/>
    <w:rsid w:val="00DC23E4"/>
    <w:rsid w:val="00DC243C"/>
    <w:rsid w:val="00DC24C8"/>
    <w:rsid w:val="00DC2519"/>
    <w:rsid w:val="00DC2730"/>
    <w:rsid w:val="00DC31CE"/>
    <w:rsid w:val="00DC337A"/>
    <w:rsid w:val="00DC35C2"/>
    <w:rsid w:val="00DC3BCD"/>
    <w:rsid w:val="00DC3DC0"/>
    <w:rsid w:val="00DC3DDD"/>
    <w:rsid w:val="00DC442F"/>
    <w:rsid w:val="00DC44AE"/>
    <w:rsid w:val="00DC4804"/>
    <w:rsid w:val="00DC4941"/>
    <w:rsid w:val="00DC4BF1"/>
    <w:rsid w:val="00DC4E15"/>
    <w:rsid w:val="00DC4E89"/>
    <w:rsid w:val="00DC55FE"/>
    <w:rsid w:val="00DC56CE"/>
    <w:rsid w:val="00DC56D9"/>
    <w:rsid w:val="00DC56F1"/>
    <w:rsid w:val="00DC5761"/>
    <w:rsid w:val="00DC58DF"/>
    <w:rsid w:val="00DC5AA3"/>
    <w:rsid w:val="00DC5B2B"/>
    <w:rsid w:val="00DC60DC"/>
    <w:rsid w:val="00DC6A97"/>
    <w:rsid w:val="00DC6EC8"/>
    <w:rsid w:val="00DC6F0E"/>
    <w:rsid w:val="00DC7014"/>
    <w:rsid w:val="00DC7342"/>
    <w:rsid w:val="00DC7472"/>
    <w:rsid w:val="00DC74B7"/>
    <w:rsid w:val="00DC75ED"/>
    <w:rsid w:val="00DC78ED"/>
    <w:rsid w:val="00DC7904"/>
    <w:rsid w:val="00DC7ACE"/>
    <w:rsid w:val="00DC7B96"/>
    <w:rsid w:val="00DC7F12"/>
    <w:rsid w:val="00DD01E3"/>
    <w:rsid w:val="00DD01F2"/>
    <w:rsid w:val="00DD06DD"/>
    <w:rsid w:val="00DD06DF"/>
    <w:rsid w:val="00DD08B1"/>
    <w:rsid w:val="00DD0A32"/>
    <w:rsid w:val="00DD0A4F"/>
    <w:rsid w:val="00DD0BD4"/>
    <w:rsid w:val="00DD0E9C"/>
    <w:rsid w:val="00DD0EFB"/>
    <w:rsid w:val="00DD1365"/>
    <w:rsid w:val="00DD1577"/>
    <w:rsid w:val="00DD1737"/>
    <w:rsid w:val="00DD18DE"/>
    <w:rsid w:val="00DD19CC"/>
    <w:rsid w:val="00DD1AF1"/>
    <w:rsid w:val="00DD1B32"/>
    <w:rsid w:val="00DD1F11"/>
    <w:rsid w:val="00DD2029"/>
    <w:rsid w:val="00DD22ED"/>
    <w:rsid w:val="00DD253C"/>
    <w:rsid w:val="00DD27E1"/>
    <w:rsid w:val="00DD2BF4"/>
    <w:rsid w:val="00DD2C93"/>
    <w:rsid w:val="00DD318D"/>
    <w:rsid w:val="00DD36C3"/>
    <w:rsid w:val="00DD3A53"/>
    <w:rsid w:val="00DD3B96"/>
    <w:rsid w:val="00DD3EE5"/>
    <w:rsid w:val="00DD3FF9"/>
    <w:rsid w:val="00DD42E1"/>
    <w:rsid w:val="00DD4382"/>
    <w:rsid w:val="00DD461C"/>
    <w:rsid w:val="00DD4AA3"/>
    <w:rsid w:val="00DD4D2C"/>
    <w:rsid w:val="00DD4DC0"/>
    <w:rsid w:val="00DD51BC"/>
    <w:rsid w:val="00DD59D8"/>
    <w:rsid w:val="00DD5ADD"/>
    <w:rsid w:val="00DD5BF5"/>
    <w:rsid w:val="00DD5D51"/>
    <w:rsid w:val="00DD5FE1"/>
    <w:rsid w:val="00DD602C"/>
    <w:rsid w:val="00DD6037"/>
    <w:rsid w:val="00DD66B9"/>
    <w:rsid w:val="00DD6772"/>
    <w:rsid w:val="00DD69DC"/>
    <w:rsid w:val="00DD7039"/>
    <w:rsid w:val="00DD70BB"/>
    <w:rsid w:val="00DD7249"/>
    <w:rsid w:val="00DD7329"/>
    <w:rsid w:val="00DD7717"/>
    <w:rsid w:val="00DD7C38"/>
    <w:rsid w:val="00DD7DA9"/>
    <w:rsid w:val="00DD7E9D"/>
    <w:rsid w:val="00DD7F18"/>
    <w:rsid w:val="00DE013D"/>
    <w:rsid w:val="00DE03EA"/>
    <w:rsid w:val="00DE04EA"/>
    <w:rsid w:val="00DE061E"/>
    <w:rsid w:val="00DE082D"/>
    <w:rsid w:val="00DE0C78"/>
    <w:rsid w:val="00DE0C83"/>
    <w:rsid w:val="00DE0E1B"/>
    <w:rsid w:val="00DE120B"/>
    <w:rsid w:val="00DE1246"/>
    <w:rsid w:val="00DE1C74"/>
    <w:rsid w:val="00DE1D35"/>
    <w:rsid w:val="00DE2562"/>
    <w:rsid w:val="00DE2658"/>
    <w:rsid w:val="00DE27F0"/>
    <w:rsid w:val="00DE2B10"/>
    <w:rsid w:val="00DE2D02"/>
    <w:rsid w:val="00DE313C"/>
    <w:rsid w:val="00DE32B7"/>
    <w:rsid w:val="00DE3305"/>
    <w:rsid w:val="00DE3467"/>
    <w:rsid w:val="00DE3882"/>
    <w:rsid w:val="00DE39C4"/>
    <w:rsid w:val="00DE3E8F"/>
    <w:rsid w:val="00DE3FF9"/>
    <w:rsid w:val="00DE41CA"/>
    <w:rsid w:val="00DE483B"/>
    <w:rsid w:val="00DE4B83"/>
    <w:rsid w:val="00DE4CA2"/>
    <w:rsid w:val="00DE4DF1"/>
    <w:rsid w:val="00DE4E1D"/>
    <w:rsid w:val="00DE527C"/>
    <w:rsid w:val="00DE541B"/>
    <w:rsid w:val="00DE590E"/>
    <w:rsid w:val="00DE6216"/>
    <w:rsid w:val="00DE6958"/>
    <w:rsid w:val="00DE6E7A"/>
    <w:rsid w:val="00DE6EB4"/>
    <w:rsid w:val="00DE6FD5"/>
    <w:rsid w:val="00DE7360"/>
    <w:rsid w:val="00DE7680"/>
    <w:rsid w:val="00DE79F7"/>
    <w:rsid w:val="00DF00AF"/>
    <w:rsid w:val="00DF0190"/>
    <w:rsid w:val="00DF020F"/>
    <w:rsid w:val="00DF0B9F"/>
    <w:rsid w:val="00DF0E14"/>
    <w:rsid w:val="00DF0F4C"/>
    <w:rsid w:val="00DF1143"/>
    <w:rsid w:val="00DF1451"/>
    <w:rsid w:val="00DF1549"/>
    <w:rsid w:val="00DF165F"/>
    <w:rsid w:val="00DF16A2"/>
    <w:rsid w:val="00DF1768"/>
    <w:rsid w:val="00DF1A6F"/>
    <w:rsid w:val="00DF1EB1"/>
    <w:rsid w:val="00DF2068"/>
    <w:rsid w:val="00DF226F"/>
    <w:rsid w:val="00DF2DC6"/>
    <w:rsid w:val="00DF2E12"/>
    <w:rsid w:val="00DF2E29"/>
    <w:rsid w:val="00DF2F87"/>
    <w:rsid w:val="00DF311E"/>
    <w:rsid w:val="00DF3B1E"/>
    <w:rsid w:val="00DF3BBB"/>
    <w:rsid w:val="00DF3EBE"/>
    <w:rsid w:val="00DF4163"/>
    <w:rsid w:val="00DF4741"/>
    <w:rsid w:val="00DF481E"/>
    <w:rsid w:val="00DF490B"/>
    <w:rsid w:val="00DF4C3D"/>
    <w:rsid w:val="00DF4DB6"/>
    <w:rsid w:val="00DF4FCD"/>
    <w:rsid w:val="00DF514A"/>
    <w:rsid w:val="00DF528C"/>
    <w:rsid w:val="00DF592D"/>
    <w:rsid w:val="00DF59D5"/>
    <w:rsid w:val="00DF5A34"/>
    <w:rsid w:val="00DF5D7E"/>
    <w:rsid w:val="00DF64F3"/>
    <w:rsid w:val="00DF652F"/>
    <w:rsid w:val="00DF6690"/>
    <w:rsid w:val="00DF66D0"/>
    <w:rsid w:val="00DF6804"/>
    <w:rsid w:val="00DF6B0F"/>
    <w:rsid w:val="00DF6BA4"/>
    <w:rsid w:val="00DF6BDC"/>
    <w:rsid w:val="00DF6EA2"/>
    <w:rsid w:val="00DF71B0"/>
    <w:rsid w:val="00DF726F"/>
    <w:rsid w:val="00DF78A6"/>
    <w:rsid w:val="00DF7C94"/>
    <w:rsid w:val="00DF7DF7"/>
    <w:rsid w:val="00E00605"/>
    <w:rsid w:val="00E00AFC"/>
    <w:rsid w:val="00E010DA"/>
    <w:rsid w:val="00E0140A"/>
    <w:rsid w:val="00E01524"/>
    <w:rsid w:val="00E017E0"/>
    <w:rsid w:val="00E01C73"/>
    <w:rsid w:val="00E01E00"/>
    <w:rsid w:val="00E01EAD"/>
    <w:rsid w:val="00E02335"/>
    <w:rsid w:val="00E024D4"/>
    <w:rsid w:val="00E026CA"/>
    <w:rsid w:val="00E02AF1"/>
    <w:rsid w:val="00E02CA5"/>
    <w:rsid w:val="00E02CEE"/>
    <w:rsid w:val="00E02DFD"/>
    <w:rsid w:val="00E030D5"/>
    <w:rsid w:val="00E032DC"/>
    <w:rsid w:val="00E033BF"/>
    <w:rsid w:val="00E0358D"/>
    <w:rsid w:val="00E036D8"/>
    <w:rsid w:val="00E03BD8"/>
    <w:rsid w:val="00E03F90"/>
    <w:rsid w:val="00E04323"/>
    <w:rsid w:val="00E04562"/>
    <w:rsid w:val="00E0457A"/>
    <w:rsid w:val="00E04FDA"/>
    <w:rsid w:val="00E05080"/>
    <w:rsid w:val="00E05272"/>
    <w:rsid w:val="00E05384"/>
    <w:rsid w:val="00E05684"/>
    <w:rsid w:val="00E05B53"/>
    <w:rsid w:val="00E05C49"/>
    <w:rsid w:val="00E05D35"/>
    <w:rsid w:val="00E05D88"/>
    <w:rsid w:val="00E05E7C"/>
    <w:rsid w:val="00E06152"/>
    <w:rsid w:val="00E06379"/>
    <w:rsid w:val="00E0650E"/>
    <w:rsid w:val="00E065B1"/>
    <w:rsid w:val="00E06635"/>
    <w:rsid w:val="00E066EC"/>
    <w:rsid w:val="00E06CA0"/>
    <w:rsid w:val="00E06EF5"/>
    <w:rsid w:val="00E07089"/>
    <w:rsid w:val="00E070A2"/>
    <w:rsid w:val="00E070AC"/>
    <w:rsid w:val="00E07108"/>
    <w:rsid w:val="00E07586"/>
    <w:rsid w:val="00E076C3"/>
    <w:rsid w:val="00E076F3"/>
    <w:rsid w:val="00E07852"/>
    <w:rsid w:val="00E079B6"/>
    <w:rsid w:val="00E07C75"/>
    <w:rsid w:val="00E07DE2"/>
    <w:rsid w:val="00E10273"/>
    <w:rsid w:val="00E10611"/>
    <w:rsid w:val="00E1069E"/>
    <w:rsid w:val="00E106AB"/>
    <w:rsid w:val="00E107E7"/>
    <w:rsid w:val="00E10A21"/>
    <w:rsid w:val="00E10D58"/>
    <w:rsid w:val="00E10FD5"/>
    <w:rsid w:val="00E1136A"/>
    <w:rsid w:val="00E1143E"/>
    <w:rsid w:val="00E11644"/>
    <w:rsid w:val="00E11981"/>
    <w:rsid w:val="00E11ABE"/>
    <w:rsid w:val="00E11AF0"/>
    <w:rsid w:val="00E11F84"/>
    <w:rsid w:val="00E11FC0"/>
    <w:rsid w:val="00E12046"/>
    <w:rsid w:val="00E12D78"/>
    <w:rsid w:val="00E13074"/>
    <w:rsid w:val="00E13399"/>
    <w:rsid w:val="00E13637"/>
    <w:rsid w:val="00E1366E"/>
    <w:rsid w:val="00E13DC2"/>
    <w:rsid w:val="00E13ED4"/>
    <w:rsid w:val="00E1406B"/>
    <w:rsid w:val="00E142D9"/>
    <w:rsid w:val="00E147E4"/>
    <w:rsid w:val="00E1484F"/>
    <w:rsid w:val="00E14BAD"/>
    <w:rsid w:val="00E14DC0"/>
    <w:rsid w:val="00E14FF5"/>
    <w:rsid w:val="00E15398"/>
    <w:rsid w:val="00E1544C"/>
    <w:rsid w:val="00E15867"/>
    <w:rsid w:val="00E15875"/>
    <w:rsid w:val="00E15D7A"/>
    <w:rsid w:val="00E15E9E"/>
    <w:rsid w:val="00E16299"/>
    <w:rsid w:val="00E16407"/>
    <w:rsid w:val="00E167B0"/>
    <w:rsid w:val="00E16EB6"/>
    <w:rsid w:val="00E16ECC"/>
    <w:rsid w:val="00E16F5F"/>
    <w:rsid w:val="00E173C8"/>
    <w:rsid w:val="00E1752E"/>
    <w:rsid w:val="00E175A8"/>
    <w:rsid w:val="00E17610"/>
    <w:rsid w:val="00E17911"/>
    <w:rsid w:val="00E202E8"/>
    <w:rsid w:val="00E203B8"/>
    <w:rsid w:val="00E2048B"/>
    <w:rsid w:val="00E20E41"/>
    <w:rsid w:val="00E20EAA"/>
    <w:rsid w:val="00E20FF9"/>
    <w:rsid w:val="00E2125C"/>
    <w:rsid w:val="00E21447"/>
    <w:rsid w:val="00E215DB"/>
    <w:rsid w:val="00E21661"/>
    <w:rsid w:val="00E21815"/>
    <w:rsid w:val="00E21C99"/>
    <w:rsid w:val="00E21FA4"/>
    <w:rsid w:val="00E220BE"/>
    <w:rsid w:val="00E22286"/>
    <w:rsid w:val="00E222CA"/>
    <w:rsid w:val="00E22EAC"/>
    <w:rsid w:val="00E23274"/>
    <w:rsid w:val="00E23701"/>
    <w:rsid w:val="00E23709"/>
    <w:rsid w:val="00E23A3D"/>
    <w:rsid w:val="00E23D7C"/>
    <w:rsid w:val="00E240AB"/>
    <w:rsid w:val="00E241A4"/>
    <w:rsid w:val="00E241CD"/>
    <w:rsid w:val="00E24240"/>
    <w:rsid w:val="00E24748"/>
    <w:rsid w:val="00E24817"/>
    <w:rsid w:val="00E2482B"/>
    <w:rsid w:val="00E24A9B"/>
    <w:rsid w:val="00E24C51"/>
    <w:rsid w:val="00E24F3C"/>
    <w:rsid w:val="00E25011"/>
    <w:rsid w:val="00E2504F"/>
    <w:rsid w:val="00E250D3"/>
    <w:rsid w:val="00E252F0"/>
    <w:rsid w:val="00E25466"/>
    <w:rsid w:val="00E25475"/>
    <w:rsid w:val="00E25526"/>
    <w:rsid w:val="00E25660"/>
    <w:rsid w:val="00E2656A"/>
    <w:rsid w:val="00E265EF"/>
    <w:rsid w:val="00E26735"/>
    <w:rsid w:val="00E26870"/>
    <w:rsid w:val="00E26906"/>
    <w:rsid w:val="00E26D09"/>
    <w:rsid w:val="00E26E4E"/>
    <w:rsid w:val="00E274A3"/>
    <w:rsid w:val="00E275E8"/>
    <w:rsid w:val="00E275FA"/>
    <w:rsid w:val="00E27632"/>
    <w:rsid w:val="00E2786F"/>
    <w:rsid w:val="00E27A26"/>
    <w:rsid w:val="00E27BE0"/>
    <w:rsid w:val="00E27C07"/>
    <w:rsid w:val="00E301F0"/>
    <w:rsid w:val="00E3029C"/>
    <w:rsid w:val="00E3054B"/>
    <w:rsid w:val="00E3091C"/>
    <w:rsid w:val="00E3099A"/>
    <w:rsid w:val="00E311EE"/>
    <w:rsid w:val="00E31298"/>
    <w:rsid w:val="00E31400"/>
    <w:rsid w:val="00E31431"/>
    <w:rsid w:val="00E319DC"/>
    <w:rsid w:val="00E319EF"/>
    <w:rsid w:val="00E31BF2"/>
    <w:rsid w:val="00E31E34"/>
    <w:rsid w:val="00E31F22"/>
    <w:rsid w:val="00E320C2"/>
    <w:rsid w:val="00E321A5"/>
    <w:rsid w:val="00E32255"/>
    <w:rsid w:val="00E322D4"/>
    <w:rsid w:val="00E32403"/>
    <w:rsid w:val="00E325C5"/>
    <w:rsid w:val="00E3300C"/>
    <w:rsid w:val="00E330B9"/>
    <w:rsid w:val="00E331C3"/>
    <w:rsid w:val="00E33227"/>
    <w:rsid w:val="00E335C2"/>
    <w:rsid w:val="00E3383B"/>
    <w:rsid w:val="00E33CF9"/>
    <w:rsid w:val="00E33D10"/>
    <w:rsid w:val="00E34082"/>
    <w:rsid w:val="00E34772"/>
    <w:rsid w:val="00E34A17"/>
    <w:rsid w:val="00E34BC7"/>
    <w:rsid w:val="00E34D18"/>
    <w:rsid w:val="00E3529F"/>
    <w:rsid w:val="00E35303"/>
    <w:rsid w:val="00E356B6"/>
    <w:rsid w:val="00E3572A"/>
    <w:rsid w:val="00E3585B"/>
    <w:rsid w:val="00E35D77"/>
    <w:rsid w:val="00E35E1F"/>
    <w:rsid w:val="00E363E3"/>
    <w:rsid w:val="00E365E6"/>
    <w:rsid w:val="00E36BA2"/>
    <w:rsid w:val="00E36FA1"/>
    <w:rsid w:val="00E3700D"/>
    <w:rsid w:val="00E37073"/>
    <w:rsid w:val="00E37117"/>
    <w:rsid w:val="00E3743E"/>
    <w:rsid w:val="00E376C0"/>
    <w:rsid w:val="00E37B35"/>
    <w:rsid w:val="00E37BB2"/>
    <w:rsid w:val="00E404A3"/>
    <w:rsid w:val="00E407EB"/>
    <w:rsid w:val="00E40992"/>
    <w:rsid w:val="00E409B2"/>
    <w:rsid w:val="00E40A69"/>
    <w:rsid w:val="00E40D6C"/>
    <w:rsid w:val="00E40E57"/>
    <w:rsid w:val="00E40F57"/>
    <w:rsid w:val="00E40F5B"/>
    <w:rsid w:val="00E4100D"/>
    <w:rsid w:val="00E41029"/>
    <w:rsid w:val="00E4114F"/>
    <w:rsid w:val="00E412D0"/>
    <w:rsid w:val="00E415EB"/>
    <w:rsid w:val="00E41715"/>
    <w:rsid w:val="00E42103"/>
    <w:rsid w:val="00E42108"/>
    <w:rsid w:val="00E422E9"/>
    <w:rsid w:val="00E4230A"/>
    <w:rsid w:val="00E424A5"/>
    <w:rsid w:val="00E424C1"/>
    <w:rsid w:val="00E425A4"/>
    <w:rsid w:val="00E426C8"/>
    <w:rsid w:val="00E42731"/>
    <w:rsid w:val="00E4277D"/>
    <w:rsid w:val="00E428A0"/>
    <w:rsid w:val="00E42BC6"/>
    <w:rsid w:val="00E42C5C"/>
    <w:rsid w:val="00E433EE"/>
    <w:rsid w:val="00E435E5"/>
    <w:rsid w:val="00E43751"/>
    <w:rsid w:val="00E439E9"/>
    <w:rsid w:val="00E43B6F"/>
    <w:rsid w:val="00E43E9C"/>
    <w:rsid w:val="00E4415A"/>
    <w:rsid w:val="00E4432B"/>
    <w:rsid w:val="00E449C6"/>
    <w:rsid w:val="00E44AA4"/>
    <w:rsid w:val="00E44F97"/>
    <w:rsid w:val="00E4548F"/>
    <w:rsid w:val="00E45C9B"/>
    <w:rsid w:val="00E45D15"/>
    <w:rsid w:val="00E460D7"/>
    <w:rsid w:val="00E46191"/>
    <w:rsid w:val="00E467DF"/>
    <w:rsid w:val="00E4688E"/>
    <w:rsid w:val="00E4696A"/>
    <w:rsid w:val="00E46BC6"/>
    <w:rsid w:val="00E4712E"/>
    <w:rsid w:val="00E4729C"/>
    <w:rsid w:val="00E47318"/>
    <w:rsid w:val="00E47A4C"/>
    <w:rsid w:val="00E50993"/>
    <w:rsid w:val="00E50D2D"/>
    <w:rsid w:val="00E50EC7"/>
    <w:rsid w:val="00E50F07"/>
    <w:rsid w:val="00E51001"/>
    <w:rsid w:val="00E5107E"/>
    <w:rsid w:val="00E51128"/>
    <w:rsid w:val="00E512CD"/>
    <w:rsid w:val="00E51400"/>
    <w:rsid w:val="00E519A5"/>
    <w:rsid w:val="00E519F8"/>
    <w:rsid w:val="00E51B41"/>
    <w:rsid w:val="00E51C4F"/>
    <w:rsid w:val="00E51CCE"/>
    <w:rsid w:val="00E51E38"/>
    <w:rsid w:val="00E51E46"/>
    <w:rsid w:val="00E5200D"/>
    <w:rsid w:val="00E5210D"/>
    <w:rsid w:val="00E526E1"/>
    <w:rsid w:val="00E53208"/>
    <w:rsid w:val="00E5387A"/>
    <w:rsid w:val="00E53A93"/>
    <w:rsid w:val="00E53C29"/>
    <w:rsid w:val="00E53D4D"/>
    <w:rsid w:val="00E53FD1"/>
    <w:rsid w:val="00E54347"/>
    <w:rsid w:val="00E5482B"/>
    <w:rsid w:val="00E54958"/>
    <w:rsid w:val="00E54967"/>
    <w:rsid w:val="00E54FBE"/>
    <w:rsid w:val="00E55167"/>
    <w:rsid w:val="00E55582"/>
    <w:rsid w:val="00E55705"/>
    <w:rsid w:val="00E55885"/>
    <w:rsid w:val="00E558BD"/>
    <w:rsid w:val="00E55962"/>
    <w:rsid w:val="00E55C2A"/>
    <w:rsid w:val="00E55D10"/>
    <w:rsid w:val="00E55E5A"/>
    <w:rsid w:val="00E55E77"/>
    <w:rsid w:val="00E55F62"/>
    <w:rsid w:val="00E560CB"/>
    <w:rsid w:val="00E5622A"/>
    <w:rsid w:val="00E56322"/>
    <w:rsid w:val="00E564DF"/>
    <w:rsid w:val="00E56515"/>
    <w:rsid w:val="00E56569"/>
    <w:rsid w:val="00E5693F"/>
    <w:rsid w:val="00E56A1D"/>
    <w:rsid w:val="00E56C16"/>
    <w:rsid w:val="00E56F4E"/>
    <w:rsid w:val="00E571CE"/>
    <w:rsid w:val="00E5735D"/>
    <w:rsid w:val="00E574E5"/>
    <w:rsid w:val="00E5773A"/>
    <w:rsid w:val="00E5789D"/>
    <w:rsid w:val="00E57C53"/>
    <w:rsid w:val="00E57D05"/>
    <w:rsid w:val="00E6007B"/>
    <w:rsid w:val="00E601C2"/>
    <w:rsid w:val="00E608B5"/>
    <w:rsid w:val="00E60982"/>
    <w:rsid w:val="00E60A53"/>
    <w:rsid w:val="00E60C16"/>
    <w:rsid w:val="00E610D5"/>
    <w:rsid w:val="00E611A8"/>
    <w:rsid w:val="00E61287"/>
    <w:rsid w:val="00E6130D"/>
    <w:rsid w:val="00E61604"/>
    <w:rsid w:val="00E616E8"/>
    <w:rsid w:val="00E617E0"/>
    <w:rsid w:val="00E61800"/>
    <w:rsid w:val="00E61B1C"/>
    <w:rsid w:val="00E621DB"/>
    <w:rsid w:val="00E62467"/>
    <w:rsid w:val="00E626F8"/>
    <w:rsid w:val="00E6297B"/>
    <w:rsid w:val="00E629CF"/>
    <w:rsid w:val="00E62C62"/>
    <w:rsid w:val="00E630E0"/>
    <w:rsid w:val="00E634A2"/>
    <w:rsid w:val="00E634F5"/>
    <w:rsid w:val="00E63608"/>
    <w:rsid w:val="00E63906"/>
    <w:rsid w:val="00E63BCF"/>
    <w:rsid w:val="00E63C74"/>
    <w:rsid w:val="00E6405A"/>
    <w:rsid w:val="00E643C5"/>
    <w:rsid w:val="00E646A1"/>
    <w:rsid w:val="00E64721"/>
    <w:rsid w:val="00E648C6"/>
    <w:rsid w:val="00E64B2E"/>
    <w:rsid w:val="00E64BE6"/>
    <w:rsid w:val="00E64BFF"/>
    <w:rsid w:val="00E64D40"/>
    <w:rsid w:val="00E650CE"/>
    <w:rsid w:val="00E653D9"/>
    <w:rsid w:val="00E6546B"/>
    <w:rsid w:val="00E654C1"/>
    <w:rsid w:val="00E655F2"/>
    <w:rsid w:val="00E65BA1"/>
    <w:rsid w:val="00E65D97"/>
    <w:rsid w:val="00E661ED"/>
    <w:rsid w:val="00E66241"/>
    <w:rsid w:val="00E666FB"/>
    <w:rsid w:val="00E6673F"/>
    <w:rsid w:val="00E66786"/>
    <w:rsid w:val="00E66C08"/>
    <w:rsid w:val="00E67557"/>
    <w:rsid w:val="00E67602"/>
    <w:rsid w:val="00E67DA0"/>
    <w:rsid w:val="00E70115"/>
    <w:rsid w:val="00E701EF"/>
    <w:rsid w:val="00E702BB"/>
    <w:rsid w:val="00E703C3"/>
    <w:rsid w:val="00E70711"/>
    <w:rsid w:val="00E70749"/>
    <w:rsid w:val="00E70781"/>
    <w:rsid w:val="00E70959"/>
    <w:rsid w:val="00E709B0"/>
    <w:rsid w:val="00E70CDF"/>
    <w:rsid w:val="00E70D7A"/>
    <w:rsid w:val="00E70DFB"/>
    <w:rsid w:val="00E70E36"/>
    <w:rsid w:val="00E71075"/>
    <w:rsid w:val="00E712B2"/>
    <w:rsid w:val="00E71381"/>
    <w:rsid w:val="00E714B0"/>
    <w:rsid w:val="00E71D1C"/>
    <w:rsid w:val="00E71EA1"/>
    <w:rsid w:val="00E72100"/>
    <w:rsid w:val="00E72122"/>
    <w:rsid w:val="00E7226C"/>
    <w:rsid w:val="00E72340"/>
    <w:rsid w:val="00E72A5A"/>
    <w:rsid w:val="00E72B94"/>
    <w:rsid w:val="00E72FA0"/>
    <w:rsid w:val="00E73354"/>
    <w:rsid w:val="00E738CD"/>
    <w:rsid w:val="00E739E3"/>
    <w:rsid w:val="00E74387"/>
    <w:rsid w:val="00E74622"/>
    <w:rsid w:val="00E746C2"/>
    <w:rsid w:val="00E746DC"/>
    <w:rsid w:val="00E74796"/>
    <w:rsid w:val="00E74A55"/>
    <w:rsid w:val="00E74E86"/>
    <w:rsid w:val="00E74E8C"/>
    <w:rsid w:val="00E75525"/>
    <w:rsid w:val="00E75658"/>
    <w:rsid w:val="00E75A82"/>
    <w:rsid w:val="00E75E3A"/>
    <w:rsid w:val="00E76237"/>
    <w:rsid w:val="00E76404"/>
    <w:rsid w:val="00E76997"/>
    <w:rsid w:val="00E76B30"/>
    <w:rsid w:val="00E76EC1"/>
    <w:rsid w:val="00E76F2C"/>
    <w:rsid w:val="00E76F81"/>
    <w:rsid w:val="00E77085"/>
    <w:rsid w:val="00E776C3"/>
    <w:rsid w:val="00E7779D"/>
    <w:rsid w:val="00E77D57"/>
    <w:rsid w:val="00E77FF5"/>
    <w:rsid w:val="00E8022D"/>
    <w:rsid w:val="00E809B8"/>
    <w:rsid w:val="00E80EEC"/>
    <w:rsid w:val="00E80FED"/>
    <w:rsid w:val="00E8124A"/>
    <w:rsid w:val="00E81827"/>
    <w:rsid w:val="00E819A7"/>
    <w:rsid w:val="00E821A0"/>
    <w:rsid w:val="00E823C9"/>
    <w:rsid w:val="00E8272F"/>
    <w:rsid w:val="00E82AF5"/>
    <w:rsid w:val="00E82CBE"/>
    <w:rsid w:val="00E82CF9"/>
    <w:rsid w:val="00E82D1F"/>
    <w:rsid w:val="00E82F92"/>
    <w:rsid w:val="00E83166"/>
    <w:rsid w:val="00E832A5"/>
    <w:rsid w:val="00E83625"/>
    <w:rsid w:val="00E838AB"/>
    <w:rsid w:val="00E838FA"/>
    <w:rsid w:val="00E83C12"/>
    <w:rsid w:val="00E83E8B"/>
    <w:rsid w:val="00E8406F"/>
    <w:rsid w:val="00E844B4"/>
    <w:rsid w:val="00E8455B"/>
    <w:rsid w:val="00E84568"/>
    <w:rsid w:val="00E845F4"/>
    <w:rsid w:val="00E84682"/>
    <w:rsid w:val="00E84C1F"/>
    <w:rsid w:val="00E84CF1"/>
    <w:rsid w:val="00E84D78"/>
    <w:rsid w:val="00E84EB3"/>
    <w:rsid w:val="00E84F81"/>
    <w:rsid w:val="00E8509C"/>
    <w:rsid w:val="00E8568C"/>
    <w:rsid w:val="00E856D8"/>
    <w:rsid w:val="00E859D2"/>
    <w:rsid w:val="00E85D19"/>
    <w:rsid w:val="00E85D29"/>
    <w:rsid w:val="00E85D5D"/>
    <w:rsid w:val="00E85E63"/>
    <w:rsid w:val="00E86050"/>
    <w:rsid w:val="00E860C4"/>
    <w:rsid w:val="00E8643B"/>
    <w:rsid w:val="00E8667E"/>
    <w:rsid w:val="00E868B1"/>
    <w:rsid w:val="00E8696E"/>
    <w:rsid w:val="00E86F18"/>
    <w:rsid w:val="00E86F78"/>
    <w:rsid w:val="00E8731A"/>
    <w:rsid w:val="00E87342"/>
    <w:rsid w:val="00E873AE"/>
    <w:rsid w:val="00E87622"/>
    <w:rsid w:val="00E87C18"/>
    <w:rsid w:val="00E87E55"/>
    <w:rsid w:val="00E9002A"/>
    <w:rsid w:val="00E9024A"/>
    <w:rsid w:val="00E90488"/>
    <w:rsid w:val="00E904FE"/>
    <w:rsid w:val="00E90A6C"/>
    <w:rsid w:val="00E90B0B"/>
    <w:rsid w:val="00E91196"/>
    <w:rsid w:val="00E91886"/>
    <w:rsid w:val="00E919B0"/>
    <w:rsid w:val="00E91B6F"/>
    <w:rsid w:val="00E91BB6"/>
    <w:rsid w:val="00E91D83"/>
    <w:rsid w:val="00E91EC6"/>
    <w:rsid w:val="00E91F64"/>
    <w:rsid w:val="00E92211"/>
    <w:rsid w:val="00E92319"/>
    <w:rsid w:val="00E9242D"/>
    <w:rsid w:val="00E92469"/>
    <w:rsid w:val="00E92FB8"/>
    <w:rsid w:val="00E934E5"/>
    <w:rsid w:val="00E93CB6"/>
    <w:rsid w:val="00E93E62"/>
    <w:rsid w:val="00E94352"/>
    <w:rsid w:val="00E94458"/>
    <w:rsid w:val="00E94844"/>
    <w:rsid w:val="00E94B9B"/>
    <w:rsid w:val="00E94E8D"/>
    <w:rsid w:val="00E95009"/>
    <w:rsid w:val="00E954C8"/>
    <w:rsid w:val="00E957BC"/>
    <w:rsid w:val="00E95929"/>
    <w:rsid w:val="00E95A8C"/>
    <w:rsid w:val="00E95C01"/>
    <w:rsid w:val="00E95DBC"/>
    <w:rsid w:val="00E96107"/>
    <w:rsid w:val="00E961DD"/>
    <w:rsid w:val="00E96697"/>
    <w:rsid w:val="00E9683D"/>
    <w:rsid w:val="00E96D52"/>
    <w:rsid w:val="00E9717C"/>
    <w:rsid w:val="00E974D9"/>
    <w:rsid w:val="00E9765B"/>
    <w:rsid w:val="00E979AD"/>
    <w:rsid w:val="00E97CAA"/>
    <w:rsid w:val="00E97F30"/>
    <w:rsid w:val="00EA0213"/>
    <w:rsid w:val="00EA0265"/>
    <w:rsid w:val="00EA0466"/>
    <w:rsid w:val="00EA05F4"/>
    <w:rsid w:val="00EA0645"/>
    <w:rsid w:val="00EA0A15"/>
    <w:rsid w:val="00EA0BEC"/>
    <w:rsid w:val="00EA0C9B"/>
    <w:rsid w:val="00EA1007"/>
    <w:rsid w:val="00EA1566"/>
    <w:rsid w:val="00EA16DF"/>
    <w:rsid w:val="00EA1872"/>
    <w:rsid w:val="00EA1B23"/>
    <w:rsid w:val="00EA1BC3"/>
    <w:rsid w:val="00EA1C92"/>
    <w:rsid w:val="00EA1FD4"/>
    <w:rsid w:val="00EA2010"/>
    <w:rsid w:val="00EA201F"/>
    <w:rsid w:val="00EA2265"/>
    <w:rsid w:val="00EA22D6"/>
    <w:rsid w:val="00EA2992"/>
    <w:rsid w:val="00EA2A9A"/>
    <w:rsid w:val="00EA2E19"/>
    <w:rsid w:val="00EA3276"/>
    <w:rsid w:val="00EA3666"/>
    <w:rsid w:val="00EA3680"/>
    <w:rsid w:val="00EA3725"/>
    <w:rsid w:val="00EA37DB"/>
    <w:rsid w:val="00EA3898"/>
    <w:rsid w:val="00EA392A"/>
    <w:rsid w:val="00EA3962"/>
    <w:rsid w:val="00EA3984"/>
    <w:rsid w:val="00EA3C01"/>
    <w:rsid w:val="00EA3E6F"/>
    <w:rsid w:val="00EA4413"/>
    <w:rsid w:val="00EA4C2E"/>
    <w:rsid w:val="00EA50F3"/>
    <w:rsid w:val="00EA5231"/>
    <w:rsid w:val="00EA557E"/>
    <w:rsid w:val="00EA55C1"/>
    <w:rsid w:val="00EA5792"/>
    <w:rsid w:val="00EA6305"/>
    <w:rsid w:val="00EA637B"/>
    <w:rsid w:val="00EA656C"/>
    <w:rsid w:val="00EA658E"/>
    <w:rsid w:val="00EA6789"/>
    <w:rsid w:val="00EA678A"/>
    <w:rsid w:val="00EA6836"/>
    <w:rsid w:val="00EA6A4F"/>
    <w:rsid w:val="00EA6B3C"/>
    <w:rsid w:val="00EA6C07"/>
    <w:rsid w:val="00EA6F4C"/>
    <w:rsid w:val="00EA7036"/>
    <w:rsid w:val="00EA7047"/>
    <w:rsid w:val="00EA70A9"/>
    <w:rsid w:val="00EA7287"/>
    <w:rsid w:val="00EA79AB"/>
    <w:rsid w:val="00EA7AF5"/>
    <w:rsid w:val="00EA7AFA"/>
    <w:rsid w:val="00EA7BC2"/>
    <w:rsid w:val="00EA7C59"/>
    <w:rsid w:val="00EA7F28"/>
    <w:rsid w:val="00EB01E9"/>
    <w:rsid w:val="00EB0303"/>
    <w:rsid w:val="00EB098F"/>
    <w:rsid w:val="00EB09E3"/>
    <w:rsid w:val="00EB12E3"/>
    <w:rsid w:val="00EB1666"/>
    <w:rsid w:val="00EB16DE"/>
    <w:rsid w:val="00EB17F4"/>
    <w:rsid w:val="00EB1B59"/>
    <w:rsid w:val="00EB2142"/>
    <w:rsid w:val="00EB21D4"/>
    <w:rsid w:val="00EB2234"/>
    <w:rsid w:val="00EB24E8"/>
    <w:rsid w:val="00EB29D1"/>
    <w:rsid w:val="00EB2B4A"/>
    <w:rsid w:val="00EB2BC6"/>
    <w:rsid w:val="00EB2BC9"/>
    <w:rsid w:val="00EB2C70"/>
    <w:rsid w:val="00EB2E98"/>
    <w:rsid w:val="00EB2FB2"/>
    <w:rsid w:val="00EB32C9"/>
    <w:rsid w:val="00EB3721"/>
    <w:rsid w:val="00EB3732"/>
    <w:rsid w:val="00EB38C5"/>
    <w:rsid w:val="00EB39B3"/>
    <w:rsid w:val="00EB3AA5"/>
    <w:rsid w:val="00EB3AEE"/>
    <w:rsid w:val="00EB3DBA"/>
    <w:rsid w:val="00EB3E8A"/>
    <w:rsid w:val="00EB3F63"/>
    <w:rsid w:val="00EB4418"/>
    <w:rsid w:val="00EB4503"/>
    <w:rsid w:val="00EB463E"/>
    <w:rsid w:val="00EB4AB7"/>
    <w:rsid w:val="00EB4D14"/>
    <w:rsid w:val="00EB4D67"/>
    <w:rsid w:val="00EB4F0E"/>
    <w:rsid w:val="00EB5255"/>
    <w:rsid w:val="00EB5659"/>
    <w:rsid w:val="00EB596C"/>
    <w:rsid w:val="00EB59E0"/>
    <w:rsid w:val="00EB5C47"/>
    <w:rsid w:val="00EB5CFA"/>
    <w:rsid w:val="00EB5E5E"/>
    <w:rsid w:val="00EB5EA4"/>
    <w:rsid w:val="00EB60D7"/>
    <w:rsid w:val="00EB63F8"/>
    <w:rsid w:val="00EB64A7"/>
    <w:rsid w:val="00EB6526"/>
    <w:rsid w:val="00EB71E7"/>
    <w:rsid w:val="00EB72D9"/>
    <w:rsid w:val="00EB7481"/>
    <w:rsid w:val="00EB7ED4"/>
    <w:rsid w:val="00EC02F0"/>
    <w:rsid w:val="00EC04EA"/>
    <w:rsid w:val="00EC0619"/>
    <w:rsid w:val="00EC08B2"/>
    <w:rsid w:val="00EC0E46"/>
    <w:rsid w:val="00EC1288"/>
    <w:rsid w:val="00EC13DC"/>
    <w:rsid w:val="00EC1A72"/>
    <w:rsid w:val="00EC1AE1"/>
    <w:rsid w:val="00EC1E3B"/>
    <w:rsid w:val="00EC1EDB"/>
    <w:rsid w:val="00EC2089"/>
    <w:rsid w:val="00EC237F"/>
    <w:rsid w:val="00EC245C"/>
    <w:rsid w:val="00EC25CF"/>
    <w:rsid w:val="00EC260D"/>
    <w:rsid w:val="00EC26BB"/>
    <w:rsid w:val="00EC275D"/>
    <w:rsid w:val="00EC29E9"/>
    <w:rsid w:val="00EC2A4A"/>
    <w:rsid w:val="00EC2B1A"/>
    <w:rsid w:val="00EC309C"/>
    <w:rsid w:val="00EC3751"/>
    <w:rsid w:val="00EC3A2A"/>
    <w:rsid w:val="00EC3DC7"/>
    <w:rsid w:val="00EC4390"/>
    <w:rsid w:val="00EC45AA"/>
    <w:rsid w:val="00EC45FE"/>
    <w:rsid w:val="00EC46C7"/>
    <w:rsid w:val="00EC46E3"/>
    <w:rsid w:val="00EC4A10"/>
    <w:rsid w:val="00EC4AAA"/>
    <w:rsid w:val="00EC4F76"/>
    <w:rsid w:val="00EC5206"/>
    <w:rsid w:val="00EC5C03"/>
    <w:rsid w:val="00EC5CDE"/>
    <w:rsid w:val="00EC62FD"/>
    <w:rsid w:val="00EC64FF"/>
    <w:rsid w:val="00EC6625"/>
    <w:rsid w:val="00EC6696"/>
    <w:rsid w:val="00EC6792"/>
    <w:rsid w:val="00EC6870"/>
    <w:rsid w:val="00EC6B87"/>
    <w:rsid w:val="00EC6CB4"/>
    <w:rsid w:val="00EC6DA4"/>
    <w:rsid w:val="00EC704F"/>
    <w:rsid w:val="00EC7575"/>
    <w:rsid w:val="00EC7655"/>
    <w:rsid w:val="00EC785F"/>
    <w:rsid w:val="00EC7B2B"/>
    <w:rsid w:val="00EC7CF5"/>
    <w:rsid w:val="00EC7E60"/>
    <w:rsid w:val="00ED007E"/>
    <w:rsid w:val="00ED00AD"/>
    <w:rsid w:val="00ED04A2"/>
    <w:rsid w:val="00ED0639"/>
    <w:rsid w:val="00ED0984"/>
    <w:rsid w:val="00ED0DEC"/>
    <w:rsid w:val="00ED0EB4"/>
    <w:rsid w:val="00ED0FB1"/>
    <w:rsid w:val="00ED11ED"/>
    <w:rsid w:val="00ED1703"/>
    <w:rsid w:val="00ED1C3B"/>
    <w:rsid w:val="00ED1FAE"/>
    <w:rsid w:val="00ED2819"/>
    <w:rsid w:val="00ED289D"/>
    <w:rsid w:val="00ED2958"/>
    <w:rsid w:val="00ED2983"/>
    <w:rsid w:val="00ED2D68"/>
    <w:rsid w:val="00ED31F8"/>
    <w:rsid w:val="00ED3302"/>
    <w:rsid w:val="00ED3418"/>
    <w:rsid w:val="00ED3453"/>
    <w:rsid w:val="00ED34F8"/>
    <w:rsid w:val="00ED35CB"/>
    <w:rsid w:val="00ED3E6E"/>
    <w:rsid w:val="00ED3EF8"/>
    <w:rsid w:val="00ED3FDD"/>
    <w:rsid w:val="00ED4049"/>
    <w:rsid w:val="00ED4096"/>
    <w:rsid w:val="00ED45C7"/>
    <w:rsid w:val="00ED4751"/>
    <w:rsid w:val="00ED485D"/>
    <w:rsid w:val="00ED4896"/>
    <w:rsid w:val="00ED4B96"/>
    <w:rsid w:val="00ED4DF1"/>
    <w:rsid w:val="00ED4F7E"/>
    <w:rsid w:val="00ED4FA4"/>
    <w:rsid w:val="00ED51FF"/>
    <w:rsid w:val="00ED54DF"/>
    <w:rsid w:val="00ED56D8"/>
    <w:rsid w:val="00ED58D0"/>
    <w:rsid w:val="00ED5B9B"/>
    <w:rsid w:val="00ED6035"/>
    <w:rsid w:val="00ED688A"/>
    <w:rsid w:val="00ED68A1"/>
    <w:rsid w:val="00ED68B9"/>
    <w:rsid w:val="00ED6C6B"/>
    <w:rsid w:val="00ED6DAB"/>
    <w:rsid w:val="00ED6DE6"/>
    <w:rsid w:val="00ED6EBA"/>
    <w:rsid w:val="00ED7066"/>
    <w:rsid w:val="00ED7286"/>
    <w:rsid w:val="00ED7698"/>
    <w:rsid w:val="00ED78B4"/>
    <w:rsid w:val="00ED7BF4"/>
    <w:rsid w:val="00ED7C1B"/>
    <w:rsid w:val="00ED7CF4"/>
    <w:rsid w:val="00ED7FDF"/>
    <w:rsid w:val="00EE0005"/>
    <w:rsid w:val="00EE034D"/>
    <w:rsid w:val="00EE03F6"/>
    <w:rsid w:val="00EE04C1"/>
    <w:rsid w:val="00EE05BA"/>
    <w:rsid w:val="00EE0814"/>
    <w:rsid w:val="00EE083C"/>
    <w:rsid w:val="00EE09A1"/>
    <w:rsid w:val="00EE0A65"/>
    <w:rsid w:val="00EE0C88"/>
    <w:rsid w:val="00EE10A0"/>
    <w:rsid w:val="00EE10B1"/>
    <w:rsid w:val="00EE14B1"/>
    <w:rsid w:val="00EE1644"/>
    <w:rsid w:val="00EE17BF"/>
    <w:rsid w:val="00EE18B2"/>
    <w:rsid w:val="00EE18F1"/>
    <w:rsid w:val="00EE2134"/>
    <w:rsid w:val="00EE2176"/>
    <w:rsid w:val="00EE2214"/>
    <w:rsid w:val="00EE271A"/>
    <w:rsid w:val="00EE2A4F"/>
    <w:rsid w:val="00EE2C95"/>
    <w:rsid w:val="00EE2D9A"/>
    <w:rsid w:val="00EE2DBB"/>
    <w:rsid w:val="00EE2F30"/>
    <w:rsid w:val="00EE2F52"/>
    <w:rsid w:val="00EE2F5B"/>
    <w:rsid w:val="00EE32BD"/>
    <w:rsid w:val="00EE345E"/>
    <w:rsid w:val="00EE3CBF"/>
    <w:rsid w:val="00EE3D95"/>
    <w:rsid w:val="00EE3DA5"/>
    <w:rsid w:val="00EE42E5"/>
    <w:rsid w:val="00EE437E"/>
    <w:rsid w:val="00EE4441"/>
    <w:rsid w:val="00EE46A5"/>
    <w:rsid w:val="00EE4B2C"/>
    <w:rsid w:val="00EE4C8B"/>
    <w:rsid w:val="00EE535A"/>
    <w:rsid w:val="00EE5401"/>
    <w:rsid w:val="00EE54F2"/>
    <w:rsid w:val="00EE56B6"/>
    <w:rsid w:val="00EE5892"/>
    <w:rsid w:val="00EE5AE1"/>
    <w:rsid w:val="00EE5CA9"/>
    <w:rsid w:val="00EE613B"/>
    <w:rsid w:val="00EE6400"/>
    <w:rsid w:val="00EE6D09"/>
    <w:rsid w:val="00EE6F5E"/>
    <w:rsid w:val="00EE7014"/>
    <w:rsid w:val="00EE704C"/>
    <w:rsid w:val="00EE708D"/>
    <w:rsid w:val="00EE757D"/>
    <w:rsid w:val="00EE7ACF"/>
    <w:rsid w:val="00EE7C6F"/>
    <w:rsid w:val="00EE7CA9"/>
    <w:rsid w:val="00EE7D72"/>
    <w:rsid w:val="00EF00B2"/>
    <w:rsid w:val="00EF0118"/>
    <w:rsid w:val="00EF04FA"/>
    <w:rsid w:val="00EF0547"/>
    <w:rsid w:val="00EF05AD"/>
    <w:rsid w:val="00EF08EB"/>
    <w:rsid w:val="00EF0CB5"/>
    <w:rsid w:val="00EF0D6E"/>
    <w:rsid w:val="00EF0F78"/>
    <w:rsid w:val="00EF1425"/>
    <w:rsid w:val="00EF1793"/>
    <w:rsid w:val="00EF1986"/>
    <w:rsid w:val="00EF1BCD"/>
    <w:rsid w:val="00EF1CB1"/>
    <w:rsid w:val="00EF1D54"/>
    <w:rsid w:val="00EF1EF1"/>
    <w:rsid w:val="00EF1FD1"/>
    <w:rsid w:val="00EF21D9"/>
    <w:rsid w:val="00EF23AB"/>
    <w:rsid w:val="00EF2611"/>
    <w:rsid w:val="00EF2B36"/>
    <w:rsid w:val="00EF2BE7"/>
    <w:rsid w:val="00EF2F2A"/>
    <w:rsid w:val="00EF3143"/>
    <w:rsid w:val="00EF31C9"/>
    <w:rsid w:val="00EF3374"/>
    <w:rsid w:val="00EF37F0"/>
    <w:rsid w:val="00EF388A"/>
    <w:rsid w:val="00EF3892"/>
    <w:rsid w:val="00EF39AA"/>
    <w:rsid w:val="00EF3B05"/>
    <w:rsid w:val="00EF4063"/>
    <w:rsid w:val="00EF418F"/>
    <w:rsid w:val="00EF46DF"/>
    <w:rsid w:val="00EF4755"/>
    <w:rsid w:val="00EF4D67"/>
    <w:rsid w:val="00EF4E38"/>
    <w:rsid w:val="00EF4E99"/>
    <w:rsid w:val="00EF4F6D"/>
    <w:rsid w:val="00EF4FC1"/>
    <w:rsid w:val="00EF53AF"/>
    <w:rsid w:val="00EF567B"/>
    <w:rsid w:val="00EF576E"/>
    <w:rsid w:val="00EF57A4"/>
    <w:rsid w:val="00EF5CB7"/>
    <w:rsid w:val="00EF5E31"/>
    <w:rsid w:val="00EF6333"/>
    <w:rsid w:val="00EF6718"/>
    <w:rsid w:val="00EF68BB"/>
    <w:rsid w:val="00EF6A25"/>
    <w:rsid w:val="00EF6C57"/>
    <w:rsid w:val="00EF6FFD"/>
    <w:rsid w:val="00EF70BA"/>
    <w:rsid w:val="00EF7135"/>
    <w:rsid w:val="00EF725F"/>
    <w:rsid w:val="00EF781F"/>
    <w:rsid w:val="00EF7C90"/>
    <w:rsid w:val="00EF7D2F"/>
    <w:rsid w:val="00F008A3"/>
    <w:rsid w:val="00F0097D"/>
    <w:rsid w:val="00F00A3F"/>
    <w:rsid w:val="00F00C3C"/>
    <w:rsid w:val="00F010C7"/>
    <w:rsid w:val="00F01336"/>
    <w:rsid w:val="00F01367"/>
    <w:rsid w:val="00F01439"/>
    <w:rsid w:val="00F01612"/>
    <w:rsid w:val="00F0183B"/>
    <w:rsid w:val="00F01B72"/>
    <w:rsid w:val="00F01DAA"/>
    <w:rsid w:val="00F020EF"/>
    <w:rsid w:val="00F022C9"/>
    <w:rsid w:val="00F0255F"/>
    <w:rsid w:val="00F027DB"/>
    <w:rsid w:val="00F02A8B"/>
    <w:rsid w:val="00F02AC4"/>
    <w:rsid w:val="00F02B1A"/>
    <w:rsid w:val="00F02C9E"/>
    <w:rsid w:val="00F0314E"/>
    <w:rsid w:val="00F04030"/>
    <w:rsid w:val="00F040BC"/>
    <w:rsid w:val="00F0449C"/>
    <w:rsid w:val="00F045DA"/>
    <w:rsid w:val="00F04719"/>
    <w:rsid w:val="00F05035"/>
    <w:rsid w:val="00F05436"/>
    <w:rsid w:val="00F056B2"/>
    <w:rsid w:val="00F05935"/>
    <w:rsid w:val="00F0596C"/>
    <w:rsid w:val="00F05AD1"/>
    <w:rsid w:val="00F05C31"/>
    <w:rsid w:val="00F05FE4"/>
    <w:rsid w:val="00F0635B"/>
    <w:rsid w:val="00F068C8"/>
    <w:rsid w:val="00F06D43"/>
    <w:rsid w:val="00F06EB8"/>
    <w:rsid w:val="00F0707A"/>
    <w:rsid w:val="00F074F3"/>
    <w:rsid w:val="00F07671"/>
    <w:rsid w:val="00F07719"/>
    <w:rsid w:val="00F07766"/>
    <w:rsid w:val="00F0776D"/>
    <w:rsid w:val="00F078AE"/>
    <w:rsid w:val="00F07C6D"/>
    <w:rsid w:val="00F07FFB"/>
    <w:rsid w:val="00F10187"/>
    <w:rsid w:val="00F1022B"/>
    <w:rsid w:val="00F10292"/>
    <w:rsid w:val="00F103E5"/>
    <w:rsid w:val="00F107A0"/>
    <w:rsid w:val="00F108BA"/>
    <w:rsid w:val="00F10EDF"/>
    <w:rsid w:val="00F10F5A"/>
    <w:rsid w:val="00F11504"/>
    <w:rsid w:val="00F11596"/>
    <w:rsid w:val="00F115C1"/>
    <w:rsid w:val="00F115F3"/>
    <w:rsid w:val="00F11902"/>
    <w:rsid w:val="00F11B65"/>
    <w:rsid w:val="00F11CC4"/>
    <w:rsid w:val="00F11D0E"/>
    <w:rsid w:val="00F11DF9"/>
    <w:rsid w:val="00F12389"/>
    <w:rsid w:val="00F126D7"/>
    <w:rsid w:val="00F12DFB"/>
    <w:rsid w:val="00F12ED1"/>
    <w:rsid w:val="00F133DC"/>
    <w:rsid w:val="00F13803"/>
    <w:rsid w:val="00F13AA6"/>
    <w:rsid w:val="00F13BC0"/>
    <w:rsid w:val="00F13D32"/>
    <w:rsid w:val="00F13E4A"/>
    <w:rsid w:val="00F13F91"/>
    <w:rsid w:val="00F146F1"/>
    <w:rsid w:val="00F14A50"/>
    <w:rsid w:val="00F14A7A"/>
    <w:rsid w:val="00F14BF5"/>
    <w:rsid w:val="00F15017"/>
    <w:rsid w:val="00F15103"/>
    <w:rsid w:val="00F15459"/>
    <w:rsid w:val="00F156C0"/>
    <w:rsid w:val="00F159A0"/>
    <w:rsid w:val="00F15BA5"/>
    <w:rsid w:val="00F15BEE"/>
    <w:rsid w:val="00F15C57"/>
    <w:rsid w:val="00F15E96"/>
    <w:rsid w:val="00F15FE8"/>
    <w:rsid w:val="00F161CB"/>
    <w:rsid w:val="00F168B4"/>
    <w:rsid w:val="00F16B23"/>
    <w:rsid w:val="00F16BA3"/>
    <w:rsid w:val="00F16BC9"/>
    <w:rsid w:val="00F17300"/>
    <w:rsid w:val="00F178B8"/>
    <w:rsid w:val="00F17AB6"/>
    <w:rsid w:val="00F20270"/>
    <w:rsid w:val="00F20676"/>
    <w:rsid w:val="00F20972"/>
    <w:rsid w:val="00F20D9D"/>
    <w:rsid w:val="00F20F37"/>
    <w:rsid w:val="00F21433"/>
    <w:rsid w:val="00F21516"/>
    <w:rsid w:val="00F2154E"/>
    <w:rsid w:val="00F21888"/>
    <w:rsid w:val="00F21A21"/>
    <w:rsid w:val="00F21CE9"/>
    <w:rsid w:val="00F21DC1"/>
    <w:rsid w:val="00F21DDD"/>
    <w:rsid w:val="00F22752"/>
    <w:rsid w:val="00F22985"/>
    <w:rsid w:val="00F22A73"/>
    <w:rsid w:val="00F22ADC"/>
    <w:rsid w:val="00F22E89"/>
    <w:rsid w:val="00F239C7"/>
    <w:rsid w:val="00F23AD4"/>
    <w:rsid w:val="00F23C63"/>
    <w:rsid w:val="00F23C6B"/>
    <w:rsid w:val="00F23E8E"/>
    <w:rsid w:val="00F2421B"/>
    <w:rsid w:val="00F245FE"/>
    <w:rsid w:val="00F24679"/>
    <w:rsid w:val="00F24728"/>
    <w:rsid w:val="00F24DF2"/>
    <w:rsid w:val="00F24FB1"/>
    <w:rsid w:val="00F2537E"/>
    <w:rsid w:val="00F254E7"/>
    <w:rsid w:val="00F25767"/>
    <w:rsid w:val="00F25848"/>
    <w:rsid w:val="00F25BDF"/>
    <w:rsid w:val="00F25EA8"/>
    <w:rsid w:val="00F2605D"/>
    <w:rsid w:val="00F2644C"/>
    <w:rsid w:val="00F2680B"/>
    <w:rsid w:val="00F26A5C"/>
    <w:rsid w:val="00F26D9D"/>
    <w:rsid w:val="00F26E36"/>
    <w:rsid w:val="00F27062"/>
    <w:rsid w:val="00F2710A"/>
    <w:rsid w:val="00F2727F"/>
    <w:rsid w:val="00F279AF"/>
    <w:rsid w:val="00F27AA7"/>
    <w:rsid w:val="00F27B87"/>
    <w:rsid w:val="00F30200"/>
    <w:rsid w:val="00F3029E"/>
    <w:rsid w:val="00F303A7"/>
    <w:rsid w:val="00F30829"/>
    <w:rsid w:val="00F30B58"/>
    <w:rsid w:val="00F30BDB"/>
    <w:rsid w:val="00F30CCB"/>
    <w:rsid w:val="00F31125"/>
    <w:rsid w:val="00F312AC"/>
    <w:rsid w:val="00F31662"/>
    <w:rsid w:val="00F31665"/>
    <w:rsid w:val="00F3196C"/>
    <w:rsid w:val="00F31AF8"/>
    <w:rsid w:val="00F31B09"/>
    <w:rsid w:val="00F31B14"/>
    <w:rsid w:val="00F31B52"/>
    <w:rsid w:val="00F31B85"/>
    <w:rsid w:val="00F31EEF"/>
    <w:rsid w:val="00F31FA3"/>
    <w:rsid w:val="00F320AC"/>
    <w:rsid w:val="00F32107"/>
    <w:rsid w:val="00F3242F"/>
    <w:rsid w:val="00F32D88"/>
    <w:rsid w:val="00F32DA5"/>
    <w:rsid w:val="00F32E53"/>
    <w:rsid w:val="00F32EDC"/>
    <w:rsid w:val="00F33062"/>
    <w:rsid w:val="00F33130"/>
    <w:rsid w:val="00F3314C"/>
    <w:rsid w:val="00F334C8"/>
    <w:rsid w:val="00F335FA"/>
    <w:rsid w:val="00F336E3"/>
    <w:rsid w:val="00F3372C"/>
    <w:rsid w:val="00F337EB"/>
    <w:rsid w:val="00F3383E"/>
    <w:rsid w:val="00F33AC3"/>
    <w:rsid w:val="00F33B38"/>
    <w:rsid w:val="00F33F30"/>
    <w:rsid w:val="00F3413C"/>
    <w:rsid w:val="00F34187"/>
    <w:rsid w:val="00F34208"/>
    <w:rsid w:val="00F343E3"/>
    <w:rsid w:val="00F343F5"/>
    <w:rsid w:val="00F3453B"/>
    <w:rsid w:val="00F34600"/>
    <w:rsid w:val="00F34648"/>
    <w:rsid w:val="00F347E9"/>
    <w:rsid w:val="00F34935"/>
    <w:rsid w:val="00F34A08"/>
    <w:rsid w:val="00F351B7"/>
    <w:rsid w:val="00F35521"/>
    <w:rsid w:val="00F356C5"/>
    <w:rsid w:val="00F35908"/>
    <w:rsid w:val="00F35C14"/>
    <w:rsid w:val="00F35C56"/>
    <w:rsid w:val="00F35FC9"/>
    <w:rsid w:val="00F35FDA"/>
    <w:rsid w:val="00F36407"/>
    <w:rsid w:val="00F36994"/>
    <w:rsid w:val="00F369FA"/>
    <w:rsid w:val="00F36D61"/>
    <w:rsid w:val="00F36D66"/>
    <w:rsid w:val="00F3710A"/>
    <w:rsid w:val="00F371DA"/>
    <w:rsid w:val="00F3766C"/>
    <w:rsid w:val="00F3783B"/>
    <w:rsid w:val="00F3787F"/>
    <w:rsid w:val="00F37A17"/>
    <w:rsid w:val="00F37C74"/>
    <w:rsid w:val="00F37F3D"/>
    <w:rsid w:val="00F401E7"/>
    <w:rsid w:val="00F4021F"/>
    <w:rsid w:val="00F402BC"/>
    <w:rsid w:val="00F403ED"/>
    <w:rsid w:val="00F40532"/>
    <w:rsid w:val="00F40711"/>
    <w:rsid w:val="00F40724"/>
    <w:rsid w:val="00F40C0F"/>
    <w:rsid w:val="00F40E71"/>
    <w:rsid w:val="00F40FFE"/>
    <w:rsid w:val="00F41088"/>
    <w:rsid w:val="00F41631"/>
    <w:rsid w:val="00F417B8"/>
    <w:rsid w:val="00F417D8"/>
    <w:rsid w:val="00F41926"/>
    <w:rsid w:val="00F41A7C"/>
    <w:rsid w:val="00F41F4F"/>
    <w:rsid w:val="00F420F5"/>
    <w:rsid w:val="00F4216D"/>
    <w:rsid w:val="00F4226E"/>
    <w:rsid w:val="00F424EA"/>
    <w:rsid w:val="00F428A0"/>
    <w:rsid w:val="00F42A6A"/>
    <w:rsid w:val="00F42B0C"/>
    <w:rsid w:val="00F42E32"/>
    <w:rsid w:val="00F42EAE"/>
    <w:rsid w:val="00F4321C"/>
    <w:rsid w:val="00F43255"/>
    <w:rsid w:val="00F4329F"/>
    <w:rsid w:val="00F4357C"/>
    <w:rsid w:val="00F439C0"/>
    <w:rsid w:val="00F43CE9"/>
    <w:rsid w:val="00F44400"/>
    <w:rsid w:val="00F44749"/>
    <w:rsid w:val="00F44AB5"/>
    <w:rsid w:val="00F44E13"/>
    <w:rsid w:val="00F44EAD"/>
    <w:rsid w:val="00F45078"/>
    <w:rsid w:val="00F452C1"/>
    <w:rsid w:val="00F45EFB"/>
    <w:rsid w:val="00F460AC"/>
    <w:rsid w:val="00F461E8"/>
    <w:rsid w:val="00F462B4"/>
    <w:rsid w:val="00F46360"/>
    <w:rsid w:val="00F465A7"/>
    <w:rsid w:val="00F4679D"/>
    <w:rsid w:val="00F46A72"/>
    <w:rsid w:val="00F46B5F"/>
    <w:rsid w:val="00F46D04"/>
    <w:rsid w:val="00F46D7E"/>
    <w:rsid w:val="00F46DE4"/>
    <w:rsid w:val="00F46F2C"/>
    <w:rsid w:val="00F47510"/>
    <w:rsid w:val="00F476E2"/>
    <w:rsid w:val="00F47714"/>
    <w:rsid w:val="00F47A80"/>
    <w:rsid w:val="00F47B34"/>
    <w:rsid w:val="00F47B6B"/>
    <w:rsid w:val="00F50139"/>
    <w:rsid w:val="00F50311"/>
    <w:rsid w:val="00F507DC"/>
    <w:rsid w:val="00F508D6"/>
    <w:rsid w:val="00F5091A"/>
    <w:rsid w:val="00F50951"/>
    <w:rsid w:val="00F50B7C"/>
    <w:rsid w:val="00F50C5F"/>
    <w:rsid w:val="00F50C9F"/>
    <w:rsid w:val="00F50D8E"/>
    <w:rsid w:val="00F50F65"/>
    <w:rsid w:val="00F51064"/>
    <w:rsid w:val="00F51270"/>
    <w:rsid w:val="00F512ED"/>
    <w:rsid w:val="00F5149D"/>
    <w:rsid w:val="00F51533"/>
    <w:rsid w:val="00F51833"/>
    <w:rsid w:val="00F51A6F"/>
    <w:rsid w:val="00F51B89"/>
    <w:rsid w:val="00F52166"/>
    <w:rsid w:val="00F522DB"/>
    <w:rsid w:val="00F5233B"/>
    <w:rsid w:val="00F52441"/>
    <w:rsid w:val="00F5277E"/>
    <w:rsid w:val="00F52814"/>
    <w:rsid w:val="00F52E79"/>
    <w:rsid w:val="00F52FB8"/>
    <w:rsid w:val="00F53077"/>
    <w:rsid w:val="00F53152"/>
    <w:rsid w:val="00F5335B"/>
    <w:rsid w:val="00F534C4"/>
    <w:rsid w:val="00F53B82"/>
    <w:rsid w:val="00F54470"/>
    <w:rsid w:val="00F544C2"/>
    <w:rsid w:val="00F545A7"/>
    <w:rsid w:val="00F549D1"/>
    <w:rsid w:val="00F54A75"/>
    <w:rsid w:val="00F54B7F"/>
    <w:rsid w:val="00F54C9B"/>
    <w:rsid w:val="00F54CF4"/>
    <w:rsid w:val="00F54E74"/>
    <w:rsid w:val="00F54F96"/>
    <w:rsid w:val="00F550E6"/>
    <w:rsid w:val="00F552AB"/>
    <w:rsid w:val="00F554AC"/>
    <w:rsid w:val="00F556EC"/>
    <w:rsid w:val="00F5579E"/>
    <w:rsid w:val="00F55B4A"/>
    <w:rsid w:val="00F55BF2"/>
    <w:rsid w:val="00F55C77"/>
    <w:rsid w:val="00F55D26"/>
    <w:rsid w:val="00F55D50"/>
    <w:rsid w:val="00F55FB6"/>
    <w:rsid w:val="00F56644"/>
    <w:rsid w:val="00F56A92"/>
    <w:rsid w:val="00F56C89"/>
    <w:rsid w:val="00F56CB9"/>
    <w:rsid w:val="00F56F99"/>
    <w:rsid w:val="00F5712F"/>
    <w:rsid w:val="00F5722E"/>
    <w:rsid w:val="00F578D6"/>
    <w:rsid w:val="00F57A6D"/>
    <w:rsid w:val="00F57B36"/>
    <w:rsid w:val="00F57CEF"/>
    <w:rsid w:val="00F57EA3"/>
    <w:rsid w:val="00F602AF"/>
    <w:rsid w:val="00F605EB"/>
    <w:rsid w:val="00F60615"/>
    <w:rsid w:val="00F60765"/>
    <w:rsid w:val="00F608E6"/>
    <w:rsid w:val="00F6093A"/>
    <w:rsid w:val="00F60A02"/>
    <w:rsid w:val="00F60A7D"/>
    <w:rsid w:val="00F60BF6"/>
    <w:rsid w:val="00F60C21"/>
    <w:rsid w:val="00F60DBF"/>
    <w:rsid w:val="00F60EBB"/>
    <w:rsid w:val="00F60F8E"/>
    <w:rsid w:val="00F610C5"/>
    <w:rsid w:val="00F611A0"/>
    <w:rsid w:val="00F61298"/>
    <w:rsid w:val="00F61328"/>
    <w:rsid w:val="00F613A0"/>
    <w:rsid w:val="00F6146C"/>
    <w:rsid w:val="00F615D0"/>
    <w:rsid w:val="00F615ED"/>
    <w:rsid w:val="00F61724"/>
    <w:rsid w:val="00F61FBE"/>
    <w:rsid w:val="00F622F1"/>
    <w:rsid w:val="00F627D3"/>
    <w:rsid w:val="00F62B93"/>
    <w:rsid w:val="00F62D19"/>
    <w:rsid w:val="00F63217"/>
    <w:rsid w:val="00F632B0"/>
    <w:rsid w:val="00F634A0"/>
    <w:rsid w:val="00F634FA"/>
    <w:rsid w:val="00F635ED"/>
    <w:rsid w:val="00F6376E"/>
    <w:rsid w:val="00F6382D"/>
    <w:rsid w:val="00F63A8A"/>
    <w:rsid w:val="00F6432A"/>
    <w:rsid w:val="00F6453C"/>
    <w:rsid w:val="00F645F7"/>
    <w:rsid w:val="00F647C6"/>
    <w:rsid w:val="00F649E5"/>
    <w:rsid w:val="00F65204"/>
    <w:rsid w:val="00F65589"/>
    <w:rsid w:val="00F6583F"/>
    <w:rsid w:val="00F658EC"/>
    <w:rsid w:val="00F6593F"/>
    <w:rsid w:val="00F65A57"/>
    <w:rsid w:val="00F65C02"/>
    <w:rsid w:val="00F65EBB"/>
    <w:rsid w:val="00F65F5C"/>
    <w:rsid w:val="00F66143"/>
    <w:rsid w:val="00F663B6"/>
    <w:rsid w:val="00F6654B"/>
    <w:rsid w:val="00F667FF"/>
    <w:rsid w:val="00F66C0C"/>
    <w:rsid w:val="00F66C63"/>
    <w:rsid w:val="00F66D75"/>
    <w:rsid w:val="00F670C0"/>
    <w:rsid w:val="00F67609"/>
    <w:rsid w:val="00F676DF"/>
    <w:rsid w:val="00F676F1"/>
    <w:rsid w:val="00F6775C"/>
    <w:rsid w:val="00F678F1"/>
    <w:rsid w:val="00F67A57"/>
    <w:rsid w:val="00F67ACD"/>
    <w:rsid w:val="00F67D94"/>
    <w:rsid w:val="00F70085"/>
    <w:rsid w:val="00F70305"/>
    <w:rsid w:val="00F7033F"/>
    <w:rsid w:val="00F7056A"/>
    <w:rsid w:val="00F707F3"/>
    <w:rsid w:val="00F708B2"/>
    <w:rsid w:val="00F70A63"/>
    <w:rsid w:val="00F70E96"/>
    <w:rsid w:val="00F70F08"/>
    <w:rsid w:val="00F7176D"/>
    <w:rsid w:val="00F71823"/>
    <w:rsid w:val="00F71840"/>
    <w:rsid w:val="00F71BE4"/>
    <w:rsid w:val="00F71E26"/>
    <w:rsid w:val="00F71F3D"/>
    <w:rsid w:val="00F72350"/>
    <w:rsid w:val="00F724F1"/>
    <w:rsid w:val="00F7256C"/>
    <w:rsid w:val="00F726CD"/>
    <w:rsid w:val="00F72CAF"/>
    <w:rsid w:val="00F72CB2"/>
    <w:rsid w:val="00F72F9C"/>
    <w:rsid w:val="00F732D1"/>
    <w:rsid w:val="00F733EE"/>
    <w:rsid w:val="00F73711"/>
    <w:rsid w:val="00F73ACE"/>
    <w:rsid w:val="00F73EB5"/>
    <w:rsid w:val="00F73EC1"/>
    <w:rsid w:val="00F7402C"/>
    <w:rsid w:val="00F74106"/>
    <w:rsid w:val="00F74229"/>
    <w:rsid w:val="00F74277"/>
    <w:rsid w:val="00F742D4"/>
    <w:rsid w:val="00F74345"/>
    <w:rsid w:val="00F744AE"/>
    <w:rsid w:val="00F744E7"/>
    <w:rsid w:val="00F746C2"/>
    <w:rsid w:val="00F74FB2"/>
    <w:rsid w:val="00F75193"/>
    <w:rsid w:val="00F75A8B"/>
    <w:rsid w:val="00F75B11"/>
    <w:rsid w:val="00F75D9F"/>
    <w:rsid w:val="00F7605C"/>
    <w:rsid w:val="00F76357"/>
    <w:rsid w:val="00F76851"/>
    <w:rsid w:val="00F76B31"/>
    <w:rsid w:val="00F76F49"/>
    <w:rsid w:val="00F7754A"/>
    <w:rsid w:val="00F775F5"/>
    <w:rsid w:val="00F77748"/>
    <w:rsid w:val="00F778EA"/>
    <w:rsid w:val="00F77C98"/>
    <w:rsid w:val="00F77D8A"/>
    <w:rsid w:val="00F77E11"/>
    <w:rsid w:val="00F77EAD"/>
    <w:rsid w:val="00F80009"/>
    <w:rsid w:val="00F8018C"/>
    <w:rsid w:val="00F8083B"/>
    <w:rsid w:val="00F8097F"/>
    <w:rsid w:val="00F80A0A"/>
    <w:rsid w:val="00F80DBB"/>
    <w:rsid w:val="00F8111B"/>
    <w:rsid w:val="00F8115E"/>
    <w:rsid w:val="00F81539"/>
    <w:rsid w:val="00F81815"/>
    <w:rsid w:val="00F818CA"/>
    <w:rsid w:val="00F81982"/>
    <w:rsid w:val="00F8198E"/>
    <w:rsid w:val="00F81E3B"/>
    <w:rsid w:val="00F81E43"/>
    <w:rsid w:val="00F82039"/>
    <w:rsid w:val="00F822CF"/>
    <w:rsid w:val="00F82579"/>
    <w:rsid w:val="00F825D9"/>
    <w:rsid w:val="00F82853"/>
    <w:rsid w:val="00F82946"/>
    <w:rsid w:val="00F82963"/>
    <w:rsid w:val="00F82A4F"/>
    <w:rsid w:val="00F82B19"/>
    <w:rsid w:val="00F82B50"/>
    <w:rsid w:val="00F82B67"/>
    <w:rsid w:val="00F82F89"/>
    <w:rsid w:val="00F8310C"/>
    <w:rsid w:val="00F833C0"/>
    <w:rsid w:val="00F834BF"/>
    <w:rsid w:val="00F83510"/>
    <w:rsid w:val="00F83522"/>
    <w:rsid w:val="00F8393E"/>
    <w:rsid w:val="00F83B1F"/>
    <w:rsid w:val="00F83E05"/>
    <w:rsid w:val="00F83E28"/>
    <w:rsid w:val="00F843D8"/>
    <w:rsid w:val="00F844EA"/>
    <w:rsid w:val="00F845C3"/>
    <w:rsid w:val="00F84915"/>
    <w:rsid w:val="00F84C48"/>
    <w:rsid w:val="00F84CB6"/>
    <w:rsid w:val="00F85128"/>
    <w:rsid w:val="00F85174"/>
    <w:rsid w:val="00F851EE"/>
    <w:rsid w:val="00F85369"/>
    <w:rsid w:val="00F85407"/>
    <w:rsid w:val="00F85763"/>
    <w:rsid w:val="00F8578B"/>
    <w:rsid w:val="00F859F3"/>
    <w:rsid w:val="00F85A5D"/>
    <w:rsid w:val="00F863C4"/>
    <w:rsid w:val="00F8691B"/>
    <w:rsid w:val="00F86A93"/>
    <w:rsid w:val="00F86C88"/>
    <w:rsid w:val="00F86EF4"/>
    <w:rsid w:val="00F86F37"/>
    <w:rsid w:val="00F87277"/>
    <w:rsid w:val="00F876C5"/>
    <w:rsid w:val="00F87A1C"/>
    <w:rsid w:val="00F87D50"/>
    <w:rsid w:val="00F87F52"/>
    <w:rsid w:val="00F87FB2"/>
    <w:rsid w:val="00F9080F"/>
    <w:rsid w:val="00F90857"/>
    <w:rsid w:val="00F90972"/>
    <w:rsid w:val="00F90ABA"/>
    <w:rsid w:val="00F90B99"/>
    <w:rsid w:val="00F90F64"/>
    <w:rsid w:val="00F91489"/>
    <w:rsid w:val="00F915D4"/>
    <w:rsid w:val="00F91758"/>
    <w:rsid w:val="00F91A3C"/>
    <w:rsid w:val="00F91AA6"/>
    <w:rsid w:val="00F91C59"/>
    <w:rsid w:val="00F91DC0"/>
    <w:rsid w:val="00F92001"/>
    <w:rsid w:val="00F920ED"/>
    <w:rsid w:val="00F9212D"/>
    <w:rsid w:val="00F92164"/>
    <w:rsid w:val="00F92381"/>
    <w:rsid w:val="00F929C4"/>
    <w:rsid w:val="00F92B1B"/>
    <w:rsid w:val="00F92C7F"/>
    <w:rsid w:val="00F92EF1"/>
    <w:rsid w:val="00F930E5"/>
    <w:rsid w:val="00F9317F"/>
    <w:rsid w:val="00F93276"/>
    <w:rsid w:val="00F93640"/>
    <w:rsid w:val="00F93C8A"/>
    <w:rsid w:val="00F93E80"/>
    <w:rsid w:val="00F9419C"/>
    <w:rsid w:val="00F941C8"/>
    <w:rsid w:val="00F941EB"/>
    <w:rsid w:val="00F94930"/>
    <w:rsid w:val="00F94F91"/>
    <w:rsid w:val="00F95168"/>
    <w:rsid w:val="00F954C1"/>
    <w:rsid w:val="00F95548"/>
    <w:rsid w:val="00F95617"/>
    <w:rsid w:val="00F95990"/>
    <w:rsid w:val="00F95ACD"/>
    <w:rsid w:val="00F95D5C"/>
    <w:rsid w:val="00F95E24"/>
    <w:rsid w:val="00F95F37"/>
    <w:rsid w:val="00F9639F"/>
    <w:rsid w:val="00F9654E"/>
    <w:rsid w:val="00F965DA"/>
    <w:rsid w:val="00F96640"/>
    <w:rsid w:val="00F96672"/>
    <w:rsid w:val="00F96C8F"/>
    <w:rsid w:val="00F97035"/>
    <w:rsid w:val="00F97044"/>
    <w:rsid w:val="00F9721E"/>
    <w:rsid w:val="00F9783B"/>
    <w:rsid w:val="00F97C1F"/>
    <w:rsid w:val="00F97CED"/>
    <w:rsid w:val="00F97E69"/>
    <w:rsid w:val="00FA004C"/>
    <w:rsid w:val="00FA0293"/>
    <w:rsid w:val="00FA06D1"/>
    <w:rsid w:val="00FA0886"/>
    <w:rsid w:val="00FA0BBE"/>
    <w:rsid w:val="00FA0EB0"/>
    <w:rsid w:val="00FA131E"/>
    <w:rsid w:val="00FA13EC"/>
    <w:rsid w:val="00FA1DD2"/>
    <w:rsid w:val="00FA1EAB"/>
    <w:rsid w:val="00FA217F"/>
    <w:rsid w:val="00FA2422"/>
    <w:rsid w:val="00FA283A"/>
    <w:rsid w:val="00FA28F4"/>
    <w:rsid w:val="00FA2D1D"/>
    <w:rsid w:val="00FA3334"/>
    <w:rsid w:val="00FA3732"/>
    <w:rsid w:val="00FA3DED"/>
    <w:rsid w:val="00FA3E9E"/>
    <w:rsid w:val="00FA3F43"/>
    <w:rsid w:val="00FA3FCE"/>
    <w:rsid w:val="00FA406A"/>
    <w:rsid w:val="00FA40D8"/>
    <w:rsid w:val="00FA4245"/>
    <w:rsid w:val="00FA440A"/>
    <w:rsid w:val="00FA4933"/>
    <w:rsid w:val="00FA5133"/>
    <w:rsid w:val="00FA54AE"/>
    <w:rsid w:val="00FA55AF"/>
    <w:rsid w:val="00FA5810"/>
    <w:rsid w:val="00FA5A8E"/>
    <w:rsid w:val="00FA5AFD"/>
    <w:rsid w:val="00FA5D4B"/>
    <w:rsid w:val="00FA5DFA"/>
    <w:rsid w:val="00FA6113"/>
    <w:rsid w:val="00FA6137"/>
    <w:rsid w:val="00FA625B"/>
    <w:rsid w:val="00FA66A7"/>
    <w:rsid w:val="00FA66DD"/>
    <w:rsid w:val="00FA67F8"/>
    <w:rsid w:val="00FA6B01"/>
    <w:rsid w:val="00FA6B1A"/>
    <w:rsid w:val="00FA6F02"/>
    <w:rsid w:val="00FA71DF"/>
    <w:rsid w:val="00FA78F9"/>
    <w:rsid w:val="00FA7C8C"/>
    <w:rsid w:val="00FA7C97"/>
    <w:rsid w:val="00FA7D1C"/>
    <w:rsid w:val="00FA7D7C"/>
    <w:rsid w:val="00FA7EC9"/>
    <w:rsid w:val="00FA7FA1"/>
    <w:rsid w:val="00FB0770"/>
    <w:rsid w:val="00FB07AF"/>
    <w:rsid w:val="00FB0966"/>
    <w:rsid w:val="00FB09D5"/>
    <w:rsid w:val="00FB0C19"/>
    <w:rsid w:val="00FB0C20"/>
    <w:rsid w:val="00FB0C96"/>
    <w:rsid w:val="00FB0DA6"/>
    <w:rsid w:val="00FB0DC9"/>
    <w:rsid w:val="00FB106A"/>
    <w:rsid w:val="00FB13AB"/>
    <w:rsid w:val="00FB145F"/>
    <w:rsid w:val="00FB184A"/>
    <w:rsid w:val="00FB1918"/>
    <w:rsid w:val="00FB1AD9"/>
    <w:rsid w:val="00FB2047"/>
    <w:rsid w:val="00FB213C"/>
    <w:rsid w:val="00FB239E"/>
    <w:rsid w:val="00FB23E7"/>
    <w:rsid w:val="00FB2600"/>
    <w:rsid w:val="00FB26D6"/>
    <w:rsid w:val="00FB2841"/>
    <w:rsid w:val="00FB2A59"/>
    <w:rsid w:val="00FB2CBF"/>
    <w:rsid w:val="00FB32A5"/>
    <w:rsid w:val="00FB32AE"/>
    <w:rsid w:val="00FB3445"/>
    <w:rsid w:val="00FB390F"/>
    <w:rsid w:val="00FB3C30"/>
    <w:rsid w:val="00FB3D11"/>
    <w:rsid w:val="00FB3E91"/>
    <w:rsid w:val="00FB4135"/>
    <w:rsid w:val="00FB4256"/>
    <w:rsid w:val="00FB43F8"/>
    <w:rsid w:val="00FB475D"/>
    <w:rsid w:val="00FB47A0"/>
    <w:rsid w:val="00FB4900"/>
    <w:rsid w:val="00FB4989"/>
    <w:rsid w:val="00FB4B8A"/>
    <w:rsid w:val="00FB4BCA"/>
    <w:rsid w:val="00FB4BDF"/>
    <w:rsid w:val="00FB4F84"/>
    <w:rsid w:val="00FB503A"/>
    <w:rsid w:val="00FB516C"/>
    <w:rsid w:val="00FB5307"/>
    <w:rsid w:val="00FB5495"/>
    <w:rsid w:val="00FB598C"/>
    <w:rsid w:val="00FB5DDD"/>
    <w:rsid w:val="00FB600E"/>
    <w:rsid w:val="00FB6025"/>
    <w:rsid w:val="00FB60BB"/>
    <w:rsid w:val="00FB61AD"/>
    <w:rsid w:val="00FB62F5"/>
    <w:rsid w:val="00FB6592"/>
    <w:rsid w:val="00FB6679"/>
    <w:rsid w:val="00FB6869"/>
    <w:rsid w:val="00FB6A09"/>
    <w:rsid w:val="00FB6A28"/>
    <w:rsid w:val="00FB6A83"/>
    <w:rsid w:val="00FB6F8C"/>
    <w:rsid w:val="00FB6FDE"/>
    <w:rsid w:val="00FB70C0"/>
    <w:rsid w:val="00FB7165"/>
    <w:rsid w:val="00FB7660"/>
    <w:rsid w:val="00FB768B"/>
    <w:rsid w:val="00FB7E55"/>
    <w:rsid w:val="00FC01A4"/>
    <w:rsid w:val="00FC03D3"/>
    <w:rsid w:val="00FC0429"/>
    <w:rsid w:val="00FC043F"/>
    <w:rsid w:val="00FC0750"/>
    <w:rsid w:val="00FC0D92"/>
    <w:rsid w:val="00FC1389"/>
    <w:rsid w:val="00FC1500"/>
    <w:rsid w:val="00FC18BB"/>
    <w:rsid w:val="00FC19A0"/>
    <w:rsid w:val="00FC1B22"/>
    <w:rsid w:val="00FC1F35"/>
    <w:rsid w:val="00FC1FC0"/>
    <w:rsid w:val="00FC200D"/>
    <w:rsid w:val="00FC24C4"/>
    <w:rsid w:val="00FC2508"/>
    <w:rsid w:val="00FC2682"/>
    <w:rsid w:val="00FC2723"/>
    <w:rsid w:val="00FC2C0B"/>
    <w:rsid w:val="00FC2C7C"/>
    <w:rsid w:val="00FC2DA2"/>
    <w:rsid w:val="00FC3841"/>
    <w:rsid w:val="00FC38DA"/>
    <w:rsid w:val="00FC39C9"/>
    <w:rsid w:val="00FC3E84"/>
    <w:rsid w:val="00FC3E99"/>
    <w:rsid w:val="00FC3F82"/>
    <w:rsid w:val="00FC420B"/>
    <w:rsid w:val="00FC4993"/>
    <w:rsid w:val="00FC4CEF"/>
    <w:rsid w:val="00FC4F40"/>
    <w:rsid w:val="00FC502F"/>
    <w:rsid w:val="00FC5789"/>
    <w:rsid w:val="00FC5D4C"/>
    <w:rsid w:val="00FC5F93"/>
    <w:rsid w:val="00FC6171"/>
    <w:rsid w:val="00FC649B"/>
    <w:rsid w:val="00FC710D"/>
    <w:rsid w:val="00FC77E8"/>
    <w:rsid w:val="00FC7CB2"/>
    <w:rsid w:val="00FC7F74"/>
    <w:rsid w:val="00FD0236"/>
    <w:rsid w:val="00FD0262"/>
    <w:rsid w:val="00FD079E"/>
    <w:rsid w:val="00FD0DC0"/>
    <w:rsid w:val="00FD125C"/>
    <w:rsid w:val="00FD1630"/>
    <w:rsid w:val="00FD18F4"/>
    <w:rsid w:val="00FD1B67"/>
    <w:rsid w:val="00FD1D34"/>
    <w:rsid w:val="00FD1D3D"/>
    <w:rsid w:val="00FD1FB5"/>
    <w:rsid w:val="00FD236E"/>
    <w:rsid w:val="00FD262E"/>
    <w:rsid w:val="00FD2B15"/>
    <w:rsid w:val="00FD2B3A"/>
    <w:rsid w:val="00FD2D37"/>
    <w:rsid w:val="00FD3103"/>
    <w:rsid w:val="00FD33C9"/>
    <w:rsid w:val="00FD38AC"/>
    <w:rsid w:val="00FD3A3E"/>
    <w:rsid w:val="00FD3BA0"/>
    <w:rsid w:val="00FD3C00"/>
    <w:rsid w:val="00FD4233"/>
    <w:rsid w:val="00FD42F1"/>
    <w:rsid w:val="00FD459B"/>
    <w:rsid w:val="00FD4855"/>
    <w:rsid w:val="00FD48B3"/>
    <w:rsid w:val="00FD4F0B"/>
    <w:rsid w:val="00FD5430"/>
    <w:rsid w:val="00FD54DB"/>
    <w:rsid w:val="00FD5500"/>
    <w:rsid w:val="00FD5D1D"/>
    <w:rsid w:val="00FD5D9B"/>
    <w:rsid w:val="00FD5DBB"/>
    <w:rsid w:val="00FD6014"/>
    <w:rsid w:val="00FD6190"/>
    <w:rsid w:val="00FD619F"/>
    <w:rsid w:val="00FD6426"/>
    <w:rsid w:val="00FD6446"/>
    <w:rsid w:val="00FD698B"/>
    <w:rsid w:val="00FD69E9"/>
    <w:rsid w:val="00FD6E23"/>
    <w:rsid w:val="00FD740B"/>
    <w:rsid w:val="00FD78BE"/>
    <w:rsid w:val="00FD7AA3"/>
    <w:rsid w:val="00FD7B01"/>
    <w:rsid w:val="00FD7E89"/>
    <w:rsid w:val="00FD7EBE"/>
    <w:rsid w:val="00FE0026"/>
    <w:rsid w:val="00FE0402"/>
    <w:rsid w:val="00FE0556"/>
    <w:rsid w:val="00FE0719"/>
    <w:rsid w:val="00FE07A8"/>
    <w:rsid w:val="00FE07FF"/>
    <w:rsid w:val="00FE0A2B"/>
    <w:rsid w:val="00FE0E49"/>
    <w:rsid w:val="00FE0E81"/>
    <w:rsid w:val="00FE0F0D"/>
    <w:rsid w:val="00FE0FBA"/>
    <w:rsid w:val="00FE1627"/>
    <w:rsid w:val="00FE177C"/>
    <w:rsid w:val="00FE1860"/>
    <w:rsid w:val="00FE24C9"/>
    <w:rsid w:val="00FE25AA"/>
    <w:rsid w:val="00FE2BBD"/>
    <w:rsid w:val="00FE2E03"/>
    <w:rsid w:val="00FE2EB9"/>
    <w:rsid w:val="00FE3103"/>
    <w:rsid w:val="00FE33DB"/>
    <w:rsid w:val="00FE36ED"/>
    <w:rsid w:val="00FE3754"/>
    <w:rsid w:val="00FE3C5D"/>
    <w:rsid w:val="00FE3D3F"/>
    <w:rsid w:val="00FE3E96"/>
    <w:rsid w:val="00FE3F48"/>
    <w:rsid w:val="00FE41F6"/>
    <w:rsid w:val="00FE4202"/>
    <w:rsid w:val="00FE4270"/>
    <w:rsid w:val="00FE4626"/>
    <w:rsid w:val="00FE484A"/>
    <w:rsid w:val="00FE4B8A"/>
    <w:rsid w:val="00FE4F9C"/>
    <w:rsid w:val="00FE524F"/>
    <w:rsid w:val="00FE5314"/>
    <w:rsid w:val="00FE5904"/>
    <w:rsid w:val="00FE5B9F"/>
    <w:rsid w:val="00FE5C24"/>
    <w:rsid w:val="00FE5D2C"/>
    <w:rsid w:val="00FE5D71"/>
    <w:rsid w:val="00FE5D9D"/>
    <w:rsid w:val="00FE685E"/>
    <w:rsid w:val="00FE6976"/>
    <w:rsid w:val="00FE6DF4"/>
    <w:rsid w:val="00FE6E3A"/>
    <w:rsid w:val="00FE6E4B"/>
    <w:rsid w:val="00FE71A7"/>
    <w:rsid w:val="00FE71ED"/>
    <w:rsid w:val="00FE7497"/>
    <w:rsid w:val="00FE7820"/>
    <w:rsid w:val="00FE7C8B"/>
    <w:rsid w:val="00FE7FE7"/>
    <w:rsid w:val="00FF004B"/>
    <w:rsid w:val="00FF0503"/>
    <w:rsid w:val="00FF0573"/>
    <w:rsid w:val="00FF0603"/>
    <w:rsid w:val="00FF07F6"/>
    <w:rsid w:val="00FF08E2"/>
    <w:rsid w:val="00FF1206"/>
    <w:rsid w:val="00FF1319"/>
    <w:rsid w:val="00FF14E2"/>
    <w:rsid w:val="00FF1623"/>
    <w:rsid w:val="00FF1637"/>
    <w:rsid w:val="00FF1DA5"/>
    <w:rsid w:val="00FF1DB8"/>
    <w:rsid w:val="00FF1DE1"/>
    <w:rsid w:val="00FF2287"/>
    <w:rsid w:val="00FF2351"/>
    <w:rsid w:val="00FF2423"/>
    <w:rsid w:val="00FF24E8"/>
    <w:rsid w:val="00FF252C"/>
    <w:rsid w:val="00FF280A"/>
    <w:rsid w:val="00FF29CB"/>
    <w:rsid w:val="00FF2A59"/>
    <w:rsid w:val="00FF2D11"/>
    <w:rsid w:val="00FF2DB6"/>
    <w:rsid w:val="00FF2E71"/>
    <w:rsid w:val="00FF2ECB"/>
    <w:rsid w:val="00FF34B7"/>
    <w:rsid w:val="00FF35AF"/>
    <w:rsid w:val="00FF39B1"/>
    <w:rsid w:val="00FF3A9B"/>
    <w:rsid w:val="00FF3E03"/>
    <w:rsid w:val="00FF459B"/>
    <w:rsid w:val="00FF47F4"/>
    <w:rsid w:val="00FF4AC8"/>
    <w:rsid w:val="00FF4BC2"/>
    <w:rsid w:val="00FF4E12"/>
    <w:rsid w:val="00FF5154"/>
    <w:rsid w:val="00FF516D"/>
    <w:rsid w:val="00FF527B"/>
    <w:rsid w:val="00FF52FE"/>
    <w:rsid w:val="00FF53FA"/>
    <w:rsid w:val="00FF5427"/>
    <w:rsid w:val="00FF61E2"/>
    <w:rsid w:val="00FF6633"/>
    <w:rsid w:val="00FF6C66"/>
    <w:rsid w:val="00FF6DD0"/>
    <w:rsid w:val="00FF6F0B"/>
    <w:rsid w:val="00FF6F0C"/>
    <w:rsid w:val="00FF6F3E"/>
    <w:rsid w:val="00FF7004"/>
    <w:rsid w:val="00FF70B5"/>
    <w:rsid w:val="00FF7EB3"/>
    <w:rsid w:val="01290F7E"/>
    <w:rsid w:val="015D1E09"/>
    <w:rsid w:val="02062D4E"/>
    <w:rsid w:val="02697903"/>
    <w:rsid w:val="02F96569"/>
    <w:rsid w:val="03EA7B21"/>
    <w:rsid w:val="05F83EAE"/>
    <w:rsid w:val="063E7D85"/>
    <w:rsid w:val="07293586"/>
    <w:rsid w:val="07295285"/>
    <w:rsid w:val="07636392"/>
    <w:rsid w:val="07770C56"/>
    <w:rsid w:val="092217DD"/>
    <w:rsid w:val="093A7294"/>
    <w:rsid w:val="0A263993"/>
    <w:rsid w:val="0A2D3AC2"/>
    <w:rsid w:val="0AA755DF"/>
    <w:rsid w:val="0AEE5C8D"/>
    <w:rsid w:val="0B120D44"/>
    <w:rsid w:val="0BD27BF6"/>
    <w:rsid w:val="0C3B3C7D"/>
    <w:rsid w:val="0CAB2EAE"/>
    <w:rsid w:val="0D621C7D"/>
    <w:rsid w:val="0E73034D"/>
    <w:rsid w:val="0F13775A"/>
    <w:rsid w:val="0F5F45FE"/>
    <w:rsid w:val="0F9A112B"/>
    <w:rsid w:val="106D2F64"/>
    <w:rsid w:val="10B63710"/>
    <w:rsid w:val="10F10820"/>
    <w:rsid w:val="111C2F7A"/>
    <w:rsid w:val="11665CA1"/>
    <w:rsid w:val="13802033"/>
    <w:rsid w:val="13951726"/>
    <w:rsid w:val="14396509"/>
    <w:rsid w:val="14DD2C3C"/>
    <w:rsid w:val="16087E1D"/>
    <w:rsid w:val="17701D14"/>
    <w:rsid w:val="17735226"/>
    <w:rsid w:val="177B1BA8"/>
    <w:rsid w:val="189F624C"/>
    <w:rsid w:val="1A1C66C0"/>
    <w:rsid w:val="1A42393B"/>
    <w:rsid w:val="1AAD45DE"/>
    <w:rsid w:val="1B046F80"/>
    <w:rsid w:val="1B3267B5"/>
    <w:rsid w:val="1B40161D"/>
    <w:rsid w:val="1B441859"/>
    <w:rsid w:val="1B6606B1"/>
    <w:rsid w:val="1C5E7925"/>
    <w:rsid w:val="1CFD070F"/>
    <w:rsid w:val="1D5F6196"/>
    <w:rsid w:val="1D6132A5"/>
    <w:rsid w:val="1D8E56D5"/>
    <w:rsid w:val="1E7A43DA"/>
    <w:rsid w:val="1FE7539E"/>
    <w:rsid w:val="20671BE0"/>
    <w:rsid w:val="20963CB8"/>
    <w:rsid w:val="20A81A1B"/>
    <w:rsid w:val="20B07FB6"/>
    <w:rsid w:val="20B646FB"/>
    <w:rsid w:val="213B74B1"/>
    <w:rsid w:val="215A2310"/>
    <w:rsid w:val="21DE318A"/>
    <w:rsid w:val="21EF5B80"/>
    <w:rsid w:val="22576990"/>
    <w:rsid w:val="22F47480"/>
    <w:rsid w:val="23DE1C48"/>
    <w:rsid w:val="240210CD"/>
    <w:rsid w:val="24BF09F7"/>
    <w:rsid w:val="252D53FE"/>
    <w:rsid w:val="2581614A"/>
    <w:rsid w:val="25EC2D81"/>
    <w:rsid w:val="277057A2"/>
    <w:rsid w:val="29206EB8"/>
    <w:rsid w:val="29595666"/>
    <w:rsid w:val="29874881"/>
    <w:rsid w:val="29E325E0"/>
    <w:rsid w:val="2A452503"/>
    <w:rsid w:val="2BA936A8"/>
    <w:rsid w:val="2C315A5A"/>
    <w:rsid w:val="2C4B1C25"/>
    <w:rsid w:val="2D9E56F5"/>
    <w:rsid w:val="2E667F96"/>
    <w:rsid w:val="2E8226AB"/>
    <w:rsid w:val="2FD065E6"/>
    <w:rsid w:val="2FD96870"/>
    <w:rsid w:val="30580BC9"/>
    <w:rsid w:val="311E2ED7"/>
    <w:rsid w:val="315619EE"/>
    <w:rsid w:val="315C449C"/>
    <w:rsid w:val="31B82709"/>
    <w:rsid w:val="31D05482"/>
    <w:rsid w:val="32400B34"/>
    <w:rsid w:val="329E6876"/>
    <w:rsid w:val="333015F2"/>
    <w:rsid w:val="334B6320"/>
    <w:rsid w:val="33D934D4"/>
    <w:rsid w:val="33FE2F6A"/>
    <w:rsid w:val="340E07E5"/>
    <w:rsid w:val="34235BF7"/>
    <w:rsid w:val="358C5FA8"/>
    <w:rsid w:val="35C15DF1"/>
    <w:rsid w:val="36074A7F"/>
    <w:rsid w:val="36923549"/>
    <w:rsid w:val="36B75FBF"/>
    <w:rsid w:val="36BD0C45"/>
    <w:rsid w:val="37E00298"/>
    <w:rsid w:val="38B302F9"/>
    <w:rsid w:val="38F12CD3"/>
    <w:rsid w:val="38F94775"/>
    <w:rsid w:val="392971ED"/>
    <w:rsid w:val="39325651"/>
    <w:rsid w:val="39986357"/>
    <w:rsid w:val="3A872856"/>
    <w:rsid w:val="3B3763D1"/>
    <w:rsid w:val="3C2F6E1E"/>
    <w:rsid w:val="3C4F64BA"/>
    <w:rsid w:val="3CDA245A"/>
    <w:rsid w:val="3D1E06B7"/>
    <w:rsid w:val="3EDA0523"/>
    <w:rsid w:val="407A6407"/>
    <w:rsid w:val="4200449D"/>
    <w:rsid w:val="423A3BCC"/>
    <w:rsid w:val="424E57D2"/>
    <w:rsid w:val="42B26C49"/>
    <w:rsid w:val="433A6FE6"/>
    <w:rsid w:val="43480868"/>
    <w:rsid w:val="4350713C"/>
    <w:rsid w:val="436653E0"/>
    <w:rsid w:val="43C4431A"/>
    <w:rsid w:val="44B951CC"/>
    <w:rsid w:val="44CD14E0"/>
    <w:rsid w:val="44F20B0B"/>
    <w:rsid w:val="452E5F4C"/>
    <w:rsid w:val="45612018"/>
    <w:rsid w:val="458946E9"/>
    <w:rsid w:val="45A47C0E"/>
    <w:rsid w:val="46577FD6"/>
    <w:rsid w:val="46D955A7"/>
    <w:rsid w:val="47133957"/>
    <w:rsid w:val="47A07E0C"/>
    <w:rsid w:val="4870272E"/>
    <w:rsid w:val="49DC7715"/>
    <w:rsid w:val="4A023139"/>
    <w:rsid w:val="4A7B576F"/>
    <w:rsid w:val="4ABE79E2"/>
    <w:rsid w:val="4AD86434"/>
    <w:rsid w:val="4AF561A9"/>
    <w:rsid w:val="4C4A0649"/>
    <w:rsid w:val="4C7E5ECA"/>
    <w:rsid w:val="4C876AA5"/>
    <w:rsid w:val="4D0E00FB"/>
    <w:rsid w:val="4D176606"/>
    <w:rsid w:val="4DEC4FB0"/>
    <w:rsid w:val="4E075D8A"/>
    <w:rsid w:val="4EC00FAD"/>
    <w:rsid w:val="4F9843DC"/>
    <w:rsid w:val="4FC62A8C"/>
    <w:rsid w:val="4FE20F0D"/>
    <w:rsid w:val="4FE51552"/>
    <w:rsid w:val="50504C4B"/>
    <w:rsid w:val="509C6E7C"/>
    <w:rsid w:val="5162104E"/>
    <w:rsid w:val="53A039CC"/>
    <w:rsid w:val="53A1505A"/>
    <w:rsid w:val="54063E08"/>
    <w:rsid w:val="543437E8"/>
    <w:rsid w:val="54F73313"/>
    <w:rsid w:val="54F80955"/>
    <w:rsid w:val="555170A7"/>
    <w:rsid w:val="55720E72"/>
    <w:rsid w:val="5587536D"/>
    <w:rsid w:val="559B174B"/>
    <w:rsid w:val="55CE0CF4"/>
    <w:rsid w:val="56B22A9C"/>
    <w:rsid w:val="57B72A76"/>
    <w:rsid w:val="57C3426C"/>
    <w:rsid w:val="57CE1F93"/>
    <w:rsid w:val="588743D1"/>
    <w:rsid w:val="5887701A"/>
    <w:rsid w:val="59C0439F"/>
    <w:rsid w:val="5ABE2233"/>
    <w:rsid w:val="5BDF5D95"/>
    <w:rsid w:val="5BFE7528"/>
    <w:rsid w:val="5C762A76"/>
    <w:rsid w:val="5E2467F1"/>
    <w:rsid w:val="5F1A2B43"/>
    <w:rsid w:val="5FB837BB"/>
    <w:rsid w:val="60CC405A"/>
    <w:rsid w:val="61E215D8"/>
    <w:rsid w:val="621B3775"/>
    <w:rsid w:val="62364782"/>
    <w:rsid w:val="6394356A"/>
    <w:rsid w:val="63C61B2C"/>
    <w:rsid w:val="63D40BE9"/>
    <w:rsid w:val="64102431"/>
    <w:rsid w:val="64A5243A"/>
    <w:rsid w:val="64F531DE"/>
    <w:rsid w:val="65373578"/>
    <w:rsid w:val="671F124A"/>
    <w:rsid w:val="677A33C6"/>
    <w:rsid w:val="681F6961"/>
    <w:rsid w:val="68610A2F"/>
    <w:rsid w:val="68805514"/>
    <w:rsid w:val="69316E2F"/>
    <w:rsid w:val="694E2071"/>
    <w:rsid w:val="69766163"/>
    <w:rsid w:val="697A3B33"/>
    <w:rsid w:val="69D44760"/>
    <w:rsid w:val="6A520EC7"/>
    <w:rsid w:val="6AF87E20"/>
    <w:rsid w:val="6B322639"/>
    <w:rsid w:val="6C636C38"/>
    <w:rsid w:val="6DB34098"/>
    <w:rsid w:val="6DB545B6"/>
    <w:rsid w:val="6DE02FB4"/>
    <w:rsid w:val="6E514CED"/>
    <w:rsid w:val="6EB563D5"/>
    <w:rsid w:val="6ED92677"/>
    <w:rsid w:val="6F225983"/>
    <w:rsid w:val="6FFC5590"/>
    <w:rsid w:val="706D1DD0"/>
    <w:rsid w:val="70856B87"/>
    <w:rsid w:val="70D527EE"/>
    <w:rsid w:val="71242765"/>
    <w:rsid w:val="715B5300"/>
    <w:rsid w:val="71D27F8A"/>
    <w:rsid w:val="72553024"/>
    <w:rsid w:val="73122968"/>
    <w:rsid w:val="731F5D5E"/>
    <w:rsid w:val="73C51AD5"/>
    <w:rsid w:val="741E793C"/>
    <w:rsid w:val="745E3944"/>
    <w:rsid w:val="7635099D"/>
    <w:rsid w:val="77762421"/>
    <w:rsid w:val="77B56B1F"/>
    <w:rsid w:val="780F09F4"/>
    <w:rsid w:val="78A90480"/>
    <w:rsid w:val="7A364017"/>
    <w:rsid w:val="7A8265E1"/>
    <w:rsid w:val="7B686D42"/>
    <w:rsid w:val="7B841746"/>
    <w:rsid w:val="7C6C5AC7"/>
    <w:rsid w:val="7CC6544B"/>
    <w:rsid w:val="7D0239FF"/>
    <w:rsid w:val="7D5E40CD"/>
    <w:rsid w:val="7DCD56F2"/>
    <w:rsid w:val="7F001CE7"/>
    <w:rsid w:val="7FE47E5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iPriority="0" w:name="heading 2" w:locked="1"/>
    <w:lsdException w:qFormat="1" w:uiPriority="0" w:semiHidden="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ocked="1"/>
    <w:lsdException w:uiPriority="0" w:name="index 2" w:locked="1"/>
    <w:lsdException w:uiPriority="0" w:name="index 3" w:locked="1"/>
    <w:lsdException w:uiPriority="0" w:name="index 4" w:locked="1"/>
    <w:lsdException w:uiPriority="0" w:name="index 5" w:locked="1"/>
    <w:lsdException w:uiPriority="0" w:name="index 6" w:locked="1"/>
    <w:lsdException w:uiPriority="0" w:name="index 7" w:locked="1"/>
    <w:lsdException w:uiPriority="0" w:name="index 8" w:locked="1"/>
    <w:lsdException w:uiPriority="0" w:name="index 9" w:locked="1"/>
    <w:lsdException w:uiPriority="0" w:name="toc 1" w:locked="1"/>
    <w:lsdException w:qFormat="1" w:unhideWhenUsed="0" w:uiPriority="0" w:semiHidden="0" w:name="toc 2" w:locked="1"/>
    <w:lsdException w:uiPriority="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iPriority="99" w:semiHidden="0" w:name="Normal Indent" w:locked="1"/>
    <w:lsdException w:uiPriority="0" w:name="footnote text" w:locked="1"/>
    <w:lsdException w:qFormat="1" w:unhideWhenUsed="0" w:uiPriority="0" w:semiHidden="0" w:name="annotation text"/>
    <w:lsdException w:unhideWhenUsed="0" w:uiPriority="0" w:semiHidden="0" w:name="header"/>
    <w:lsdException w:qFormat="1" w:unhideWhenUsed="0" w:uiPriority="99" w:semiHidden="0" w:name="footer"/>
    <w:lsdException w:uiPriority="0" w:name="index heading" w:locked="1"/>
    <w:lsdException w:qFormat="1" w:uiPriority="0" w:semiHidden="0" w:name="caption" w:locked="1"/>
    <w:lsdException w:uiPriority="0" w:name="table of figures" w:locked="1"/>
    <w:lsdException w:uiPriority="0" w:name="envelope address" w:locked="1"/>
    <w:lsdException w:uiPriority="0" w:name="envelope return" w:locked="1"/>
    <w:lsdException w:uiPriority="0" w:name="footnote reference" w:locked="1"/>
    <w:lsdException w:qFormat="1" w:unhideWhenUsed="0" w:uiPriority="0" w:name="annotation reference"/>
    <w:lsdException w:uiPriority="0" w:name="line number" w:locked="1"/>
    <w:lsdException w:qFormat="1" w:unhideWhenUsed="0" w:uiPriority="0" w:semiHidden="0" w:name="page number" w:locked="1"/>
    <w:lsdException w:uiPriority="0" w:name="endnote reference" w:locked="1"/>
    <w:lsdException w:uiPriority="0" w:name="endnote text" w:locked="1"/>
    <w:lsdException w:uiPriority="0" w:name="table of authorities" w:locked="1"/>
    <w:lsdException w:uiPriority="0" w:name="macro" w:locked="1"/>
    <w:lsdException w:uiPriority="0" w:name="toa heading" w:locked="1"/>
    <w:lsdException w:qFormat="1" w:uiPriority="0" w:name="List" w:locked="1"/>
    <w:lsdException w:uiPriority="0" w:name="List Bullet" w:locked="1"/>
    <w:lsdException w:unhideWhenUsed="0" w:uiPriority="0" w:semiHidden="0" w:name="List Number" w:locked="1"/>
    <w:lsdException w:uiPriority="0" w:name="List 2" w:locked="1"/>
    <w:lsdException w:uiPriority="0" w:name="List 3" w:locked="1"/>
    <w:lsdException w:unhideWhenUsed="0" w:uiPriority="0" w:semiHidden="0" w:name="List 4" w:locked="1"/>
    <w:lsdException w:unhideWhenUsed="0" w:uiPriority="0" w:semiHidden="0" w:name="List 5" w:locked="1"/>
    <w:lsdException w:uiPriority="0" w:name="List Bullet 2" w:locked="1"/>
    <w:lsdException w:uiPriority="0" w:name="List Bullet 3" w:locked="1"/>
    <w:lsdException w:uiPriority="0" w:name="List Bullet 4" w:locked="1"/>
    <w:lsdException w:uiPriority="0" w:name="List Bullet 5" w:locked="1"/>
    <w:lsdException w:uiPriority="0" w:name="List Number 2" w:locked="1"/>
    <w:lsdException w:uiPriority="0" w:name="List Number 3" w:locked="1"/>
    <w:lsdException w:uiPriority="0" w:name="List Number 4" w:locked="1"/>
    <w:lsdException w:uiPriority="0" w:name="List Number 5" w:locked="1"/>
    <w:lsdException w:qFormat="1" w:unhideWhenUsed="0" w:uiPriority="0" w:semiHidden="0" w:name="Title" w:locked="1"/>
    <w:lsdException w:uiPriority="0" w:name="Closing" w:locked="1"/>
    <w:lsdException w:uiPriority="0" w:name="Signature" w:locked="1"/>
    <w:lsdException w:uiPriority="1" w:name="Default Paragraph Font"/>
    <w:lsdException w:qFormat="1" w:unhideWhenUsed="0" w:uiPriority="0" w:semiHidden="0" w:name="Body Text"/>
    <w:lsdException w:qFormat="1" w:unhideWhenUsed="0" w:uiPriority="0" w:semiHidden="0" w:name="Body Text Indent"/>
    <w:lsdException w:uiPriority="0" w:name="List Continue" w:locked="1"/>
    <w:lsdException w:uiPriority="0" w:name="List Continue 2" w:locked="1"/>
    <w:lsdException w:uiPriority="0" w:name="List Continue 3" w:locked="1"/>
    <w:lsdException w:uiPriority="0" w:name="List Continue 4" w:locked="1"/>
    <w:lsdException w:uiPriority="0" w:name="List Continue 5" w:locked="1"/>
    <w:lsdException w:uiPriority="0" w:name="Message Header" w:locked="1"/>
    <w:lsdException w:qFormat="1" w:unhideWhenUsed="0" w:uiPriority="0" w:semiHidden="0" w:name="Subtitle" w:locked="1"/>
    <w:lsdException w:unhideWhenUsed="0" w:uiPriority="0" w:semiHidden="0" w:name="Salutation" w:locked="1"/>
    <w:lsdException w:qFormat="1" w:unhideWhenUsed="0" w:uiPriority="0" w:semiHidden="0" w:name="Date"/>
    <w:lsdException w:uiPriority="0" w:semiHidden="0" w:name="Body Text First Indent" w:locked="1"/>
    <w:lsdException w:qFormat="1" w:uiPriority="99" w:semiHidden="0" w:name="Body Text First Indent 2" w:locked="1"/>
    <w:lsdException w:qFormat="1" w:uiPriority="0" w:semiHidden="0" w:name="Note Heading" w:locked="1"/>
    <w:lsdException w:qFormat="1" w:uiPriority="0" w:semiHidden="0" w:name="Body Text 2" w:locked="1"/>
    <w:lsdException w:uiPriority="0" w:name="Body Text 3" w:locked="1"/>
    <w:lsdException w:uiPriority="0" w:name="Body Text Indent 2" w:locked="1"/>
    <w:lsdException w:uiPriority="0" w:name="Body Text Indent 3" w:locked="1"/>
    <w:lsdException w:qFormat="1" w:uiPriority="0" w:semiHidden="0" w:name="Block Text" w:locked="1"/>
    <w:lsdException w:qFormat="1" w:uiPriority="99" w:semiHidden="0" w:name="Hyperlink" w:locked="1"/>
    <w:lsdException w:uiPriority="99" w:name="FollowedHyperlink" w:locked="1"/>
    <w:lsdException w:qFormat="1" w:unhideWhenUsed="0" w:uiPriority="0" w:semiHidden="0" w:name="Strong" w:locked="1"/>
    <w:lsdException w:qFormat="1" w:unhideWhenUsed="0" w:uiPriority="0" w:semiHidden="0" w:name="Emphasis" w:locked="1"/>
    <w:lsdException w:qFormat="1" w:unhideWhenUsed="0" w:uiPriority="0" w:semiHidden="0" w:name="Document Map" w:locked="1"/>
    <w:lsdException w:qFormat="1" w:uiPriority="0" w:semiHidden="0" w:name="Plain Text" w:locked="1"/>
    <w:lsdException w:uiPriority="0" w:name="E-mail Signature" w:locked="1"/>
    <w:lsdException w:qFormat="1" w:unhideWhenUsed="0" w:uiPriority="0" w:semiHidden="0" w:name="Normal (Web)"/>
    <w:lsdException w:uiPriority="0" w:name="HTML Acronym" w:locked="1"/>
    <w:lsdException w:uiPriority="0" w:name="HTML Address" w:locked="1"/>
    <w:lsdException w:uiPriority="0" w:name="HTML Cite" w:locked="1"/>
    <w:lsdException w:uiPriority="0" w:name="HTML Code" w:locked="1"/>
    <w:lsdException w:uiPriority="0" w:name="HTML Definition" w:locked="1"/>
    <w:lsdException w:uiPriority="0" w:name="HTML Keyboard" w:locked="1"/>
    <w:lsdException w:uiPriority="0" w:name="HTML Preformatted" w:locked="1"/>
    <w:lsdException w:uiPriority="0" w:name="HTML Sample" w:locked="1"/>
    <w:lsdException w:uiPriority="0" w:name="HTML Typewriter" w:locked="1"/>
    <w:lsdException w:uiPriority="0" w:name="HTML Variable" w:locked="1"/>
    <w:lsdException w:qFormat="1" w:uiPriority="99" w:name="Normal Table"/>
    <w:lsdException w:unhideWhenUsed="0" w:uiPriority="0" w:name="annotation subject"/>
    <w:lsdException w:uiPriority="0" w:name="Table Simple 1" w:locked="1"/>
    <w:lsdException w:uiPriority="0" w:name="Table Simple 2" w:locked="1"/>
    <w:lsdException w:uiPriority="0" w:name="Table Simple 3" w:locked="1"/>
    <w:lsdException w:uiPriority="0" w:name="Table Classic 1" w:locked="1"/>
    <w:lsdException w:uiPriority="0" w:name="Table Classic 2" w:locked="1"/>
    <w:lsdException w:uiPriority="0" w:name="Table Classic 3" w:locked="1"/>
    <w:lsdException w:uiPriority="0" w:name="Table Classic 4" w:locked="1"/>
    <w:lsdException w:uiPriority="0" w:name="Table Colorful 1" w:locked="1"/>
    <w:lsdException w:uiPriority="0" w:name="Table Colorful 2" w:locked="1"/>
    <w:lsdException w:uiPriority="0" w:name="Table Colorful 3" w:locked="1"/>
    <w:lsdException w:uiPriority="0" w:name="Table Columns 1" w:locked="1"/>
    <w:lsdException w:uiPriority="0" w:name="Table Columns 2" w:locked="1"/>
    <w:lsdException w:uiPriority="0" w:name="Table Columns 3" w:locked="1"/>
    <w:lsdException w:uiPriority="0" w:name="Table Columns 4" w:locked="1"/>
    <w:lsdException w:uiPriority="0" w:name="Table Columns 5" w:locked="1"/>
    <w:lsdException w:uiPriority="0" w:name="Table Grid 1" w:locked="1"/>
    <w:lsdException w:uiPriority="0" w:name="Table Grid 2" w:locked="1"/>
    <w:lsdException w:uiPriority="0" w:name="Table Grid 3" w:locked="1"/>
    <w:lsdException w:uiPriority="0" w:name="Table Grid 4" w:locked="1"/>
    <w:lsdException w:uiPriority="0" w:name="Table Grid 5" w:locked="1"/>
    <w:lsdException w:uiPriority="0" w:name="Table Grid 6" w:locked="1"/>
    <w:lsdException w:uiPriority="0" w:name="Table Grid 7" w:locked="1"/>
    <w:lsdException w:uiPriority="0" w:name="Table Grid 8" w:locked="1"/>
    <w:lsdException w:uiPriority="0" w:name="Table List 1" w:locked="1"/>
    <w:lsdException w:uiPriority="0" w:name="Table List 2" w:locked="1"/>
    <w:lsdException w:uiPriority="0" w:name="Table List 3" w:locked="1"/>
    <w:lsdException w:uiPriority="0" w:name="Table List 4" w:locked="1"/>
    <w:lsdException w:uiPriority="0" w:name="Table List 5" w:locked="1"/>
    <w:lsdException w:uiPriority="0" w:name="Table List 6" w:locked="1"/>
    <w:lsdException w:uiPriority="0" w:name="Table List 7" w:locked="1"/>
    <w:lsdException w:uiPriority="0" w:name="Table List 8" w:locked="1"/>
    <w:lsdException w:uiPriority="0" w:name="Table 3D effects 1" w:locked="1"/>
    <w:lsdException w:uiPriority="0" w:name="Table 3D effects 2" w:locked="1"/>
    <w:lsdException w:uiPriority="0" w:name="Table 3D effects 3" w:locked="1"/>
    <w:lsdException w:uiPriority="0" w:name="Table Contemporary" w:locked="1"/>
    <w:lsdException w:uiPriority="0" w:name="Table Elegant" w:locked="1"/>
    <w:lsdException w:uiPriority="0" w:name="Table Professional" w:locked="1"/>
    <w:lsdException w:uiPriority="0" w:name="Table Subtle 1" w:locked="1"/>
    <w:lsdException w:uiPriority="0" w:name="Table Subtle 2" w:locked="1"/>
    <w:lsdException w:uiPriority="0" w:name="Table Web 1" w:locked="1"/>
    <w:lsdException w:uiPriority="0" w:name="Table Web 2" w:locked="1"/>
    <w:lsdException w:uiPriority="0" w:name="Table Web 3" w:locked="1"/>
    <w:lsdException w:unhideWhenUsed="0" w:uiPriority="0" w:name="Balloon Text"/>
    <w:lsdException w:qFormat="1" w:unhideWhenUsed="0" w:uiPriority="0" w:semiHidden="0" w:name="Table Grid"/>
    <w:lsdException w:uiPriority="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5"/>
    <w:qFormat/>
    <w:locked/>
    <w:uiPriority w:val="9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3">
    <w:name w:val="heading 2"/>
    <w:basedOn w:val="1"/>
    <w:next w:val="1"/>
    <w:link w:val="36"/>
    <w:semiHidden/>
    <w:unhideWhenUsed/>
    <w:qFormat/>
    <w:locked/>
    <w:uiPriority w:val="0"/>
    <w:pPr>
      <w:keepNext/>
      <w:keepLines/>
      <w:spacing w:before="120" w:after="120" w:line="520" w:lineRule="exact"/>
      <w:outlineLvl w:val="1"/>
    </w:pPr>
    <w:rPr>
      <w:b/>
      <w:sz w:val="30"/>
      <w:szCs w:val="28"/>
    </w:rPr>
  </w:style>
  <w:style w:type="paragraph" w:styleId="4">
    <w:name w:val="heading 3"/>
    <w:basedOn w:val="1"/>
    <w:next w:val="1"/>
    <w:link w:val="37"/>
    <w:unhideWhenUsed/>
    <w:qFormat/>
    <w:locked/>
    <w:uiPriority w:val="0"/>
    <w:pPr>
      <w:keepNext/>
      <w:keepLines/>
      <w:spacing w:before="120" w:after="120" w:line="520" w:lineRule="exact"/>
      <w:outlineLvl w:val="2"/>
    </w:pPr>
    <w:rPr>
      <w:b/>
      <w:sz w:val="28"/>
      <w:szCs w:val="28"/>
    </w:rPr>
  </w:style>
  <w:style w:type="paragraph" w:styleId="5">
    <w:name w:val="heading 4"/>
    <w:basedOn w:val="1"/>
    <w:next w:val="1"/>
    <w:link w:val="38"/>
    <w:semiHidden/>
    <w:unhideWhenUsed/>
    <w:qFormat/>
    <w:locked/>
    <w:uiPriority w:val="0"/>
    <w:pPr>
      <w:spacing w:line="520" w:lineRule="exact"/>
      <w:outlineLvl w:val="3"/>
    </w:pPr>
    <w:rPr>
      <w:sz w:val="24"/>
      <w:szCs w:val="28"/>
    </w:rPr>
  </w:style>
  <w:style w:type="paragraph" w:styleId="6">
    <w:name w:val="heading 5"/>
    <w:basedOn w:val="1"/>
    <w:next w:val="1"/>
    <w:link w:val="39"/>
    <w:semiHidden/>
    <w:unhideWhenUsed/>
    <w:qFormat/>
    <w:locked/>
    <w:uiPriority w:val="0"/>
    <w:pPr>
      <w:keepNext/>
      <w:keepLines/>
      <w:spacing w:before="280" w:after="290" w:line="372" w:lineRule="auto"/>
      <w:ind w:firstLine="723" w:firstLineChars="200"/>
      <w:outlineLvl w:val="4"/>
    </w:pPr>
    <w:rPr>
      <w:b/>
      <w:sz w:val="28"/>
      <w:szCs w:val="28"/>
    </w:rPr>
  </w:style>
  <w:style w:type="paragraph" w:styleId="7">
    <w:name w:val="heading 6"/>
    <w:basedOn w:val="1"/>
    <w:next w:val="1"/>
    <w:link w:val="40"/>
    <w:semiHidden/>
    <w:unhideWhenUsed/>
    <w:qFormat/>
    <w:locked/>
    <w:uiPriority w:val="0"/>
    <w:pPr>
      <w:keepNext/>
      <w:keepLines/>
      <w:spacing w:before="240" w:after="64" w:line="320" w:lineRule="atLeast"/>
      <w:ind w:firstLine="723" w:firstLineChars="200"/>
      <w:outlineLvl w:val="5"/>
    </w:pPr>
    <w:rPr>
      <w:rFonts w:ascii="Calibri Light" w:hAnsi="Calibri Light"/>
      <w:b/>
      <w:bCs/>
      <w:sz w:val="24"/>
    </w:rPr>
  </w:style>
  <w:style w:type="paragraph" w:styleId="8">
    <w:name w:val="heading 7"/>
    <w:basedOn w:val="1"/>
    <w:next w:val="1"/>
    <w:link w:val="41"/>
    <w:semiHidden/>
    <w:unhideWhenUsed/>
    <w:qFormat/>
    <w:locked/>
    <w:uiPriority w:val="0"/>
    <w:pPr>
      <w:keepNext/>
      <w:keepLines/>
      <w:spacing w:before="240" w:after="64" w:line="320" w:lineRule="atLeast"/>
      <w:ind w:firstLine="723" w:firstLineChars="200"/>
      <w:outlineLvl w:val="6"/>
    </w:pPr>
    <w:rPr>
      <w:b/>
      <w:bCs/>
      <w:sz w:val="24"/>
    </w:rPr>
  </w:style>
  <w:style w:type="paragraph" w:styleId="9">
    <w:name w:val="heading 9"/>
    <w:basedOn w:val="1"/>
    <w:next w:val="1"/>
    <w:link w:val="42"/>
    <w:semiHidden/>
    <w:unhideWhenUsed/>
    <w:qFormat/>
    <w:locked/>
    <w:uiPriority w:val="0"/>
    <w:pPr>
      <w:keepNext/>
      <w:keepLines/>
      <w:spacing w:before="240" w:after="64" w:line="320" w:lineRule="atLeast"/>
      <w:ind w:firstLine="723" w:firstLineChars="200"/>
      <w:outlineLvl w:val="8"/>
    </w:pPr>
    <w:rPr>
      <w:rFonts w:ascii="Calibri Light" w:hAnsi="Calibri Light"/>
      <w:szCs w:val="21"/>
    </w:rPr>
  </w:style>
  <w:style w:type="character" w:default="1" w:styleId="31">
    <w:name w:val="Default Paragraph Font"/>
    <w:semiHidden/>
    <w:unhideWhenUsed/>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10">
    <w:name w:val="Note Heading"/>
    <w:basedOn w:val="1"/>
    <w:next w:val="1"/>
    <w:link w:val="96"/>
    <w:unhideWhenUsed/>
    <w:qFormat/>
    <w:locked/>
    <w:uiPriority w:val="0"/>
    <w:pPr>
      <w:jc w:val="center"/>
    </w:pPr>
    <w:rPr>
      <w:szCs w:val="20"/>
    </w:rPr>
  </w:style>
  <w:style w:type="paragraph" w:styleId="11">
    <w:name w:val="Normal Indent"/>
    <w:basedOn w:val="1"/>
    <w:link w:val="64"/>
    <w:unhideWhenUsed/>
    <w:qFormat/>
    <w:locked/>
    <w:uiPriority w:val="99"/>
    <w:pPr>
      <w:ind w:firstLine="420" w:firstLineChars="200"/>
    </w:pPr>
    <w:rPr>
      <w:bCs/>
    </w:rPr>
  </w:style>
  <w:style w:type="paragraph" w:styleId="12">
    <w:name w:val="caption"/>
    <w:basedOn w:val="1"/>
    <w:next w:val="1"/>
    <w:link w:val="89"/>
    <w:unhideWhenUsed/>
    <w:qFormat/>
    <w:locked/>
    <w:uiPriority w:val="0"/>
    <w:pPr>
      <w:keepNext/>
      <w:spacing w:line="360" w:lineRule="auto"/>
      <w:contextualSpacing/>
      <w:jc w:val="center"/>
    </w:pPr>
    <w:rPr>
      <w:b/>
      <w:bCs/>
      <w:color w:val="000000"/>
      <w:kern w:val="0"/>
      <w:sz w:val="24"/>
      <w:szCs w:val="20"/>
    </w:rPr>
  </w:style>
  <w:style w:type="paragraph" w:styleId="13">
    <w:name w:val="Document Map"/>
    <w:basedOn w:val="1"/>
    <w:link w:val="80"/>
    <w:qFormat/>
    <w:locked/>
    <w:uiPriority w:val="0"/>
    <w:rPr>
      <w:rFonts w:ascii="宋体"/>
      <w:sz w:val="18"/>
      <w:szCs w:val="18"/>
    </w:rPr>
  </w:style>
  <w:style w:type="paragraph" w:styleId="14">
    <w:name w:val="annotation text"/>
    <w:basedOn w:val="1"/>
    <w:link w:val="43"/>
    <w:qFormat/>
    <w:uiPriority w:val="0"/>
    <w:pPr>
      <w:jc w:val="left"/>
    </w:pPr>
    <w:rPr>
      <w:kern w:val="0"/>
      <w:sz w:val="24"/>
      <w:szCs w:val="20"/>
    </w:rPr>
  </w:style>
  <w:style w:type="paragraph" w:styleId="15">
    <w:name w:val="Body Text"/>
    <w:basedOn w:val="1"/>
    <w:link w:val="44"/>
    <w:qFormat/>
    <w:uiPriority w:val="0"/>
    <w:pPr>
      <w:widowControl/>
      <w:snapToGrid w:val="0"/>
      <w:spacing w:before="60" w:after="160" w:line="259" w:lineRule="auto"/>
      <w:ind w:right="113"/>
    </w:pPr>
    <w:rPr>
      <w:kern w:val="0"/>
      <w:sz w:val="18"/>
      <w:szCs w:val="20"/>
    </w:rPr>
  </w:style>
  <w:style w:type="paragraph" w:styleId="16">
    <w:name w:val="Body Text Indent"/>
    <w:basedOn w:val="1"/>
    <w:link w:val="45"/>
    <w:qFormat/>
    <w:uiPriority w:val="0"/>
    <w:pPr>
      <w:spacing w:after="120"/>
      <w:ind w:left="420" w:leftChars="200"/>
    </w:pPr>
    <w:rPr>
      <w:kern w:val="0"/>
      <w:sz w:val="24"/>
      <w:szCs w:val="20"/>
    </w:rPr>
  </w:style>
  <w:style w:type="paragraph" w:styleId="17">
    <w:name w:val="Block Text"/>
    <w:basedOn w:val="1"/>
    <w:next w:val="1"/>
    <w:unhideWhenUsed/>
    <w:qFormat/>
    <w:locked/>
    <w:uiPriority w:val="0"/>
    <w:pPr>
      <w:ind w:left="113" w:right="113" w:firstLine="555"/>
      <w:jc w:val="left"/>
    </w:pPr>
    <w:rPr>
      <w:sz w:val="28"/>
    </w:rPr>
  </w:style>
  <w:style w:type="paragraph" w:styleId="18">
    <w:name w:val="Plain Text"/>
    <w:basedOn w:val="1"/>
    <w:link w:val="99"/>
    <w:unhideWhenUsed/>
    <w:qFormat/>
    <w:locked/>
    <w:uiPriority w:val="0"/>
    <w:rPr>
      <w:rFonts w:ascii="宋体" w:hAnsi="Courier New"/>
      <w:b/>
      <w:bCs/>
      <w:sz w:val="24"/>
      <w:szCs w:val="21"/>
    </w:rPr>
  </w:style>
  <w:style w:type="paragraph" w:styleId="19">
    <w:name w:val="Date"/>
    <w:basedOn w:val="1"/>
    <w:next w:val="1"/>
    <w:link w:val="46"/>
    <w:qFormat/>
    <w:uiPriority w:val="0"/>
    <w:pPr>
      <w:ind w:left="100" w:leftChars="2500"/>
    </w:pPr>
    <w:rPr>
      <w:kern w:val="0"/>
      <w:sz w:val="24"/>
      <w:szCs w:val="20"/>
    </w:rPr>
  </w:style>
  <w:style w:type="paragraph" w:styleId="20">
    <w:name w:val="Balloon Text"/>
    <w:basedOn w:val="1"/>
    <w:link w:val="47"/>
    <w:semiHidden/>
    <w:uiPriority w:val="0"/>
    <w:rPr>
      <w:kern w:val="0"/>
      <w:sz w:val="18"/>
      <w:szCs w:val="20"/>
    </w:rPr>
  </w:style>
  <w:style w:type="paragraph" w:styleId="21">
    <w:name w:val="footer"/>
    <w:basedOn w:val="1"/>
    <w:link w:val="48"/>
    <w:qFormat/>
    <w:uiPriority w:val="99"/>
    <w:pPr>
      <w:tabs>
        <w:tab w:val="center" w:pos="4153"/>
        <w:tab w:val="right" w:pos="8306"/>
      </w:tabs>
      <w:snapToGrid w:val="0"/>
      <w:jc w:val="left"/>
    </w:pPr>
    <w:rPr>
      <w:kern w:val="0"/>
      <w:sz w:val="18"/>
      <w:szCs w:val="20"/>
    </w:rPr>
  </w:style>
  <w:style w:type="paragraph" w:styleId="22">
    <w:name w:val="header"/>
    <w:basedOn w:val="1"/>
    <w:link w:val="49"/>
    <w:uiPriority w:val="0"/>
    <w:pPr>
      <w:pBdr>
        <w:bottom w:val="single" w:color="auto" w:sz="6" w:space="1"/>
      </w:pBdr>
      <w:tabs>
        <w:tab w:val="center" w:pos="4153"/>
        <w:tab w:val="right" w:pos="8306"/>
      </w:tabs>
      <w:snapToGrid w:val="0"/>
      <w:jc w:val="center"/>
    </w:pPr>
    <w:rPr>
      <w:kern w:val="0"/>
      <w:sz w:val="18"/>
      <w:szCs w:val="20"/>
    </w:rPr>
  </w:style>
  <w:style w:type="paragraph" w:styleId="23">
    <w:name w:val="toc 2"/>
    <w:basedOn w:val="1"/>
    <w:next w:val="1"/>
    <w:qFormat/>
    <w:locked/>
    <w:uiPriority w:val="0"/>
    <w:pPr>
      <w:ind w:left="210"/>
      <w:jc w:val="left"/>
    </w:pPr>
    <w:rPr>
      <w:bCs/>
      <w:smallCaps/>
      <w:sz w:val="20"/>
    </w:rPr>
  </w:style>
  <w:style w:type="paragraph" w:styleId="24">
    <w:name w:val="Body Text 2"/>
    <w:basedOn w:val="1"/>
    <w:link w:val="98"/>
    <w:unhideWhenUsed/>
    <w:qFormat/>
    <w:locked/>
    <w:uiPriority w:val="0"/>
    <w:pPr>
      <w:spacing w:after="120" w:line="480" w:lineRule="auto"/>
      <w:ind w:firstLine="723" w:firstLineChars="200"/>
    </w:pPr>
    <w:rPr>
      <w:sz w:val="24"/>
      <w:szCs w:val="28"/>
    </w:rPr>
  </w:style>
  <w:style w:type="paragraph" w:styleId="25">
    <w:name w:val="Normal (Web)"/>
    <w:basedOn w:val="1"/>
    <w:link w:val="50"/>
    <w:qFormat/>
    <w:uiPriority w:val="0"/>
    <w:pPr>
      <w:widowControl/>
      <w:spacing w:before="100" w:beforeAutospacing="1" w:after="100" w:afterAutospacing="1"/>
      <w:jc w:val="left"/>
    </w:pPr>
    <w:rPr>
      <w:rFonts w:ascii="宋体" w:hAnsi="宋体"/>
      <w:kern w:val="0"/>
      <w:sz w:val="24"/>
      <w:szCs w:val="20"/>
    </w:rPr>
  </w:style>
  <w:style w:type="paragraph" w:styleId="26">
    <w:name w:val="annotation subject"/>
    <w:basedOn w:val="14"/>
    <w:next w:val="14"/>
    <w:link w:val="51"/>
    <w:semiHidden/>
    <w:uiPriority w:val="0"/>
    <w:rPr>
      <w:b/>
      <w:kern w:val="2"/>
    </w:rPr>
  </w:style>
  <w:style w:type="paragraph" w:styleId="27">
    <w:name w:val="Body Text First Indent"/>
    <w:basedOn w:val="15"/>
    <w:link w:val="93"/>
    <w:unhideWhenUsed/>
    <w:locked/>
    <w:uiPriority w:val="0"/>
    <w:pPr>
      <w:widowControl w:val="0"/>
      <w:snapToGrid/>
      <w:spacing w:before="0" w:after="120" w:line="520" w:lineRule="exact"/>
      <w:ind w:right="0" w:firstLine="420" w:firstLineChars="100"/>
    </w:pPr>
    <w:rPr>
      <w:kern w:val="2"/>
      <w:sz w:val="21"/>
      <w:szCs w:val="24"/>
    </w:rPr>
  </w:style>
  <w:style w:type="paragraph" w:styleId="28">
    <w:name w:val="Body Text First Indent 2"/>
    <w:basedOn w:val="16"/>
    <w:link w:val="90"/>
    <w:unhideWhenUsed/>
    <w:qFormat/>
    <w:locked/>
    <w:uiPriority w:val="99"/>
    <w:pPr>
      <w:ind w:firstLine="420" w:firstLineChars="200"/>
    </w:pPr>
    <w:rPr>
      <w:kern w:val="2"/>
      <w:sz w:val="21"/>
      <w:szCs w:val="24"/>
    </w:rPr>
  </w:style>
  <w:style w:type="table" w:styleId="30">
    <w:name w:val="Table Grid"/>
    <w:basedOn w:val="2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2">
    <w:name w:val="page number"/>
    <w:qFormat/>
    <w:locked/>
    <w:uiPriority w:val="0"/>
  </w:style>
  <w:style w:type="character" w:styleId="33">
    <w:name w:val="Hyperlink"/>
    <w:basedOn w:val="31"/>
    <w:unhideWhenUsed/>
    <w:qFormat/>
    <w:locked/>
    <w:uiPriority w:val="99"/>
    <w:rPr>
      <w:color w:val="0000FF"/>
      <w:u w:val="single"/>
    </w:rPr>
  </w:style>
  <w:style w:type="character" w:styleId="34">
    <w:name w:val="annotation reference"/>
    <w:semiHidden/>
    <w:qFormat/>
    <w:uiPriority w:val="0"/>
    <w:rPr>
      <w:sz w:val="21"/>
    </w:rPr>
  </w:style>
  <w:style w:type="character" w:customStyle="1" w:styleId="35">
    <w:name w:val="标题 1 Char"/>
    <w:link w:val="2"/>
    <w:qFormat/>
    <w:uiPriority w:val="99"/>
    <w:rPr>
      <w:rFonts w:eastAsia="黑体"/>
      <w:b/>
      <w:bCs/>
      <w:color w:val="000000"/>
      <w:kern w:val="44"/>
      <w:sz w:val="30"/>
      <w:szCs w:val="30"/>
    </w:rPr>
  </w:style>
  <w:style w:type="character" w:customStyle="1" w:styleId="36">
    <w:name w:val="标题 2 Char"/>
    <w:link w:val="3"/>
    <w:semiHidden/>
    <w:qFormat/>
    <w:uiPriority w:val="0"/>
    <w:rPr>
      <w:b/>
      <w:kern w:val="2"/>
      <w:sz w:val="30"/>
      <w:szCs w:val="28"/>
    </w:rPr>
  </w:style>
  <w:style w:type="character" w:customStyle="1" w:styleId="37">
    <w:name w:val="标题 3 Char"/>
    <w:link w:val="4"/>
    <w:qFormat/>
    <w:uiPriority w:val="0"/>
    <w:rPr>
      <w:b/>
      <w:kern w:val="2"/>
      <w:sz w:val="28"/>
      <w:szCs w:val="28"/>
    </w:rPr>
  </w:style>
  <w:style w:type="character" w:customStyle="1" w:styleId="38">
    <w:name w:val="标题 4 Char"/>
    <w:link w:val="5"/>
    <w:semiHidden/>
    <w:qFormat/>
    <w:uiPriority w:val="0"/>
    <w:rPr>
      <w:kern w:val="2"/>
      <w:sz w:val="24"/>
      <w:szCs w:val="28"/>
    </w:rPr>
  </w:style>
  <w:style w:type="character" w:customStyle="1" w:styleId="39">
    <w:name w:val="标题 5 Char"/>
    <w:link w:val="6"/>
    <w:semiHidden/>
    <w:qFormat/>
    <w:uiPriority w:val="0"/>
    <w:rPr>
      <w:b/>
      <w:kern w:val="2"/>
      <w:sz w:val="28"/>
      <w:szCs w:val="28"/>
    </w:rPr>
  </w:style>
  <w:style w:type="character" w:customStyle="1" w:styleId="40">
    <w:name w:val="标题 6 Char"/>
    <w:link w:val="7"/>
    <w:semiHidden/>
    <w:qFormat/>
    <w:uiPriority w:val="0"/>
    <w:rPr>
      <w:rFonts w:ascii="Calibri Light" w:hAnsi="Calibri Light"/>
      <w:b/>
      <w:bCs/>
      <w:kern w:val="2"/>
      <w:sz w:val="24"/>
      <w:szCs w:val="24"/>
    </w:rPr>
  </w:style>
  <w:style w:type="character" w:customStyle="1" w:styleId="41">
    <w:name w:val="标题 7 Char"/>
    <w:link w:val="8"/>
    <w:semiHidden/>
    <w:qFormat/>
    <w:uiPriority w:val="0"/>
    <w:rPr>
      <w:b/>
      <w:bCs/>
      <w:kern w:val="2"/>
      <w:sz w:val="24"/>
      <w:szCs w:val="24"/>
    </w:rPr>
  </w:style>
  <w:style w:type="character" w:customStyle="1" w:styleId="42">
    <w:name w:val="标题 9 Char"/>
    <w:link w:val="9"/>
    <w:semiHidden/>
    <w:qFormat/>
    <w:uiPriority w:val="0"/>
    <w:rPr>
      <w:rFonts w:ascii="Calibri Light" w:hAnsi="Calibri Light"/>
      <w:kern w:val="2"/>
      <w:sz w:val="21"/>
      <w:szCs w:val="21"/>
    </w:rPr>
  </w:style>
  <w:style w:type="character" w:customStyle="1" w:styleId="43">
    <w:name w:val="批注文字 Char"/>
    <w:link w:val="14"/>
    <w:qFormat/>
    <w:locked/>
    <w:uiPriority w:val="0"/>
    <w:rPr>
      <w:rFonts w:ascii="Times New Roman" w:hAnsi="Times New Roman" w:eastAsia="宋体"/>
      <w:sz w:val="24"/>
    </w:rPr>
  </w:style>
  <w:style w:type="character" w:customStyle="1" w:styleId="44">
    <w:name w:val="正文文本 Char"/>
    <w:link w:val="15"/>
    <w:locked/>
    <w:uiPriority w:val="0"/>
    <w:rPr>
      <w:sz w:val="18"/>
    </w:rPr>
  </w:style>
  <w:style w:type="character" w:customStyle="1" w:styleId="45">
    <w:name w:val="正文文本缩进 Char"/>
    <w:link w:val="16"/>
    <w:locked/>
    <w:uiPriority w:val="0"/>
    <w:rPr>
      <w:rFonts w:ascii="Times New Roman" w:hAnsi="Times New Roman" w:eastAsia="宋体"/>
      <w:sz w:val="24"/>
    </w:rPr>
  </w:style>
  <w:style w:type="character" w:customStyle="1" w:styleId="46">
    <w:name w:val="日期 Char"/>
    <w:link w:val="19"/>
    <w:locked/>
    <w:uiPriority w:val="0"/>
    <w:rPr>
      <w:rFonts w:ascii="Times New Roman" w:hAnsi="Times New Roman" w:eastAsia="宋体"/>
      <w:sz w:val="24"/>
    </w:rPr>
  </w:style>
  <w:style w:type="character" w:customStyle="1" w:styleId="47">
    <w:name w:val="批注框文本 Char"/>
    <w:link w:val="20"/>
    <w:semiHidden/>
    <w:locked/>
    <w:uiPriority w:val="0"/>
    <w:rPr>
      <w:rFonts w:ascii="Times New Roman" w:hAnsi="Times New Roman" w:eastAsia="宋体"/>
      <w:sz w:val="18"/>
    </w:rPr>
  </w:style>
  <w:style w:type="character" w:customStyle="1" w:styleId="48">
    <w:name w:val="页脚 Char"/>
    <w:link w:val="21"/>
    <w:qFormat/>
    <w:locked/>
    <w:uiPriority w:val="99"/>
    <w:rPr>
      <w:sz w:val="18"/>
    </w:rPr>
  </w:style>
  <w:style w:type="character" w:customStyle="1" w:styleId="49">
    <w:name w:val="页眉 Char"/>
    <w:link w:val="22"/>
    <w:locked/>
    <w:uiPriority w:val="0"/>
    <w:rPr>
      <w:sz w:val="18"/>
    </w:rPr>
  </w:style>
  <w:style w:type="character" w:customStyle="1" w:styleId="50">
    <w:name w:val="普通(网站) Char"/>
    <w:link w:val="25"/>
    <w:qFormat/>
    <w:locked/>
    <w:uiPriority w:val="0"/>
    <w:rPr>
      <w:rFonts w:ascii="宋体" w:hAnsi="宋体" w:eastAsia="宋体"/>
      <w:sz w:val="24"/>
    </w:rPr>
  </w:style>
  <w:style w:type="character" w:customStyle="1" w:styleId="51">
    <w:name w:val="批注主题 Char"/>
    <w:link w:val="26"/>
    <w:semiHidden/>
    <w:locked/>
    <w:uiPriority w:val="0"/>
    <w:rPr>
      <w:rFonts w:ascii="Times New Roman" w:hAnsi="Times New Roman" w:eastAsia="宋体"/>
      <w:b/>
      <w:kern w:val="2"/>
      <w:sz w:val="24"/>
    </w:rPr>
  </w:style>
  <w:style w:type="character" w:customStyle="1" w:styleId="52">
    <w:name w:val="页脚 字符"/>
    <w:qFormat/>
    <w:uiPriority w:val="99"/>
  </w:style>
  <w:style w:type="character" w:customStyle="1" w:styleId="53">
    <w:name w:val="正文文本 字符1"/>
    <w:semiHidden/>
    <w:qFormat/>
    <w:uiPriority w:val="0"/>
    <w:rPr>
      <w:rFonts w:ascii="Times New Roman" w:hAnsi="Times New Roman" w:eastAsia="宋体"/>
      <w:sz w:val="24"/>
    </w:rPr>
  </w:style>
  <w:style w:type="character" w:customStyle="1" w:styleId="54">
    <w:name w:val="表格 Char"/>
    <w:link w:val="55"/>
    <w:qFormat/>
    <w:locked/>
    <w:uiPriority w:val="0"/>
    <w:rPr>
      <w:rFonts w:ascii="宋体"/>
      <w:sz w:val="21"/>
    </w:rPr>
  </w:style>
  <w:style w:type="paragraph" w:customStyle="1" w:styleId="55">
    <w:name w:val="表格"/>
    <w:basedOn w:val="1"/>
    <w:next w:val="1"/>
    <w:link w:val="54"/>
    <w:qFormat/>
    <w:uiPriority w:val="0"/>
    <w:pPr>
      <w:adjustRightInd w:val="0"/>
      <w:snapToGrid w:val="0"/>
      <w:spacing w:beforeLines="10" w:afterLines="10" w:line="259" w:lineRule="auto"/>
      <w:jc w:val="center"/>
    </w:pPr>
    <w:rPr>
      <w:rFonts w:ascii="宋体"/>
      <w:kern w:val="0"/>
      <w:szCs w:val="20"/>
    </w:rPr>
  </w:style>
  <w:style w:type="character" w:customStyle="1" w:styleId="56">
    <w:name w:val="日期 字符"/>
    <w:semiHidden/>
    <w:qFormat/>
    <w:uiPriority w:val="0"/>
    <w:rPr>
      <w:rFonts w:ascii="Times New Roman" w:hAnsi="Times New Roman" w:eastAsia="宋体"/>
      <w:sz w:val="24"/>
    </w:rPr>
  </w:style>
  <w:style w:type="character" w:customStyle="1" w:styleId="57">
    <w:name w:val="批注文字 字符1"/>
    <w:semiHidden/>
    <w:qFormat/>
    <w:uiPriority w:val="0"/>
    <w:rPr>
      <w:rFonts w:ascii="Times New Roman" w:hAnsi="Times New Roman" w:eastAsia="宋体"/>
      <w:sz w:val="24"/>
    </w:rPr>
  </w:style>
  <w:style w:type="paragraph" w:customStyle="1" w:styleId="58">
    <w:name w:val="正文_10"/>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9">
    <w:name w:val="普通(网站)2"/>
    <w:basedOn w:val="1"/>
    <w:qFormat/>
    <w:uiPriority w:val="0"/>
    <w:pPr>
      <w:widowControl/>
      <w:spacing w:before="100" w:beforeAutospacing="1" w:after="100" w:afterAutospacing="1"/>
      <w:jc w:val="left"/>
    </w:pPr>
    <w:rPr>
      <w:rFonts w:ascii="宋体" w:hAnsi="宋体"/>
      <w:sz w:val="24"/>
      <w:szCs w:val="20"/>
    </w:rPr>
  </w:style>
  <w:style w:type="paragraph" w:customStyle="1" w:styleId="60">
    <w:name w:val="表头"/>
    <w:basedOn w:val="1"/>
    <w:next w:val="1"/>
    <w:link w:val="61"/>
    <w:qFormat/>
    <w:uiPriority w:val="0"/>
    <w:pPr>
      <w:adjustRightInd w:val="0"/>
      <w:jc w:val="center"/>
    </w:pPr>
    <w:rPr>
      <w:rFonts w:eastAsia="黑体"/>
      <w:b/>
    </w:rPr>
  </w:style>
  <w:style w:type="character" w:customStyle="1" w:styleId="61">
    <w:name w:val="表头 Char"/>
    <w:link w:val="60"/>
    <w:qFormat/>
    <w:locked/>
    <w:uiPriority w:val="0"/>
    <w:rPr>
      <w:rFonts w:eastAsia="黑体"/>
      <w:b/>
      <w:kern w:val="2"/>
      <w:sz w:val="21"/>
      <w:szCs w:val="24"/>
    </w:rPr>
  </w:style>
  <w:style w:type="paragraph" w:customStyle="1" w:styleId="62">
    <w:name w:val="表格内容"/>
    <w:basedOn w:val="1"/>
    <w:next w:val="1"/>
    <w:link w:val="63"/>
    <w:qFormat/>
    <w:uiPriority w:val="0"/>
    <w:pPr>
      <w:jc w:val="center"/>
    </w:pPr>
  </w:style>
  <w:style w:type="character" w:customStyle="1" w:styleId="63">
    <w:name w:val="表格内容 Char"/>
    <w:link w:val="62"/>
    <w:qFormat/>
    <w:locked/>
    <w:uiPriority w:val="0"/>
    <w:rPr>
      <w:kern w:val="2"/>
      <w:sz w:val="21"/>
      <w:szCs w:val="24"/>
    </w:rPr>
  </w:style>
  <w:style w:type="character" w:customStyle="1" w:styleId="64">
    <w:name w:val="正文缩进 Char"/>
    <w:link w:val="11"/>
    <w:qFormat/>
    <w:locked/>
    <w:uiPriority w:val="0"/>
    <w:rPr>
      <w:bCs/>
      <w:kern w:val="2"/>
      <w:sz w:val="21"/>
      <w:szCs w:val="24"/>
    </w:rPr>
  </w:style>
  <w:style w:type="paragraph" w:customStyle="1" w:styleId="6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66">
    <w:name w:val="正文文本缩进1"/>
    <w:basedOn w:val="1"/>
    <w:qFormat/>
    <w:uiPriority w:val="0"/>
    <w:pPr>
      <w:ind w:firstLine="560" w:firstLineChars="200"/>
    </w:pPr>
    <w:rPr>
      <w:sz w:val="28"/>
    </w:rPr>
  </w:style>
  <w:style w:type="character" w:customStyle="1" w:styleId="67">
    <w:name w:val="报告正文 Char"/>
    <w:link w:val="68"/>
    <w:qFormat/>
    <w:locked/>
    <w:uiPriority w:val="0"/>
    <w:rPr>
      <w:rFonts w:ascii="宋体" w:hAnsi="宋体"/>
      <w:kern w:val="2"/>
      <w:sz w:val="28"/>
    </w:rPr>
  </w:style>
  <w:style w:type="paragraph" w:customStyle="1" w:styleId="68">
    <w:name w:val="报告正文"/>
    <w:basedOn w:val="1"/>
    <w:link w:val="67"/>
    <w:qFormat/>
    <w:uiPriority w:val="0"/>
    <w:pPr>
      <w:snapToGrid w:val="0"/>
      <w:spacing w:line="360" w:lineRule="auto"/>
      <w:ind w:firstLine="200" w:firstLineChars="200"/>
    </w:pPr>
    <w:rPr>
      <w:rFonts w:ascii="宋体" w:hAnsi="宋体"/>
      <w:sz w:val="28"/>
      <w:szCs w:val="20"/>
    </w:rPr>
  </w:style>
  <w:style w:type="character" w:customStyle="1" w:styleId="69">
    <w:name w:val="正文东铝 Char"/>
    <w:link w:val="70"/>
    <w:qFormat/>
    <w:locked/>
    <w:uiPriority w:val="0"/>
    <w:rPr>
      <w:color w:val="000000"/>
      <w:kern w:val="2"/>
      <w:sz w:val="24"/>
      <w:szCs w:val="22"/>
    </w:rPr>
  </w:style>
  <w:style w:type="paragraph" w:customStyle="1" w:styleId="70">
    <w:name w:val="正文东铝"/>
    <w:basedOn w:val="1"/>
    <w:link w:val="69"/>
    <w:qFormat/>
    <w:uiPriority w:val="0"/>
    <w:pPr>
      <w:spacing w:line="520" w:lineRule="exact"/>
      <w:ind w:firstLine="200" w:firstLineChars="200"/>
      <w:jc w:val="left"/>
    </w:pPr>
    <w:rPr>
      <w:color w:val="000000"/>
      <w:sz w:val="24"/>
      <w:szCs w:val="22"/>
    </w:rPr>
  </w:style>
  <w:style w:type="character" w:customStyle="1" w:styleId="71">
    <w:name w:val="表格字体 Char"/>
    <w:link w:val="72"/>
    <w:qFormat/>
    <w:locked/>
    <w:uiPriority w:val="0"/>
    <w:rPr>
      <w:rFonts w:ascii="宋体" w:hAnsi="宋体"/>
      <w:color w:val="000000"/>
      <w:kern w:val="2"/>
      <w:sz w:val="18"/>
      <w:szCs w:val="24"/>
    </w:rPr>
  </w:style>
  <w:style w:type="paragraph" w:customStyle="1" w:styleId="72">
    <w:name w:val="表格字体"/>
    <w:basedOn w:val="1"/>
    <w:link w:val="71"/>
    <w:qFormat/>
    <w:uiPriority w:val="0"/>
    <w:pPr>
      <w:adjustRightInd w:val="0"/>
      <w:spacing w:line="300" w:lineRule="exact"/>
      <w:jc w:val="center"/>
    </w:pPr>
    <w:rPr>
      <w:rFonts w:ascii="宋体" w:hAnsi="宋体"/>
      <w:color w:val="000000"/>
      <w:sz w:val="18"/>
    </w:rPr>
  </w:style>
  <w:style w:type="paragraph" w:customStyle="1" w:styleId="73">
    <w:name w:val="样式 首行缩进:  0.99 厘米 行距: 固定值 21.5 磅"/>
    <w:basedOn w:val="1"/>
    <w:semiHidden/>
    <w:qFormat/>
    <w:uiPriority w:val="0"/>
    <w:pPr>
      <w:spacing w:line="480" w:lineRule="exact"/>
      <w:ind w:firstLine="561" w:firstLineChars="200"/>
    </w:pPr>
    <w:rPr>
      <w:bCs/>
      <w:sz w:val="24"/>
    </w:rPr>
  </w:style>
  <w:style w:type="character" w:customStyle="1" w:styleId="74">
    <w:name w:val="表内字 Char"/>
    <w:link w:val="75"/>
    <w:qFormat/>
    <w:locked/>
    <w:uiPriority w:val="0"/>
    <w:rPr>
      <w:szCs w:val="24"/>
    </w:rPr>
  </w:style>
  <w:style w:type="paragraph" w:customStyle="1" w:styleId="75">
    <w:name w:val="表内字"/>
    <w:basedOn w:val="1"/>
    <w:link w:val="74"/>
    <w:qFormat/>
    <w:uiPriority w:val="0"/>
    <w:pPr>
      <w:spacing w:line="360" w:lineRule="exact"/>
      <w:jc w:val="center"/>
    </w:pPr>
    <w:rPr>
      <w:kern w:val="0"/>
      <w:sz w:val="20"/>
    </w:rPr>
  </w:style>
  <w:style w:type="paragraph" w:customStyle="1" w:styleId="76">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77">
    <w:name w:val="0表头1"/>
    <w:basedOn w:val="1"/>
    <w:qFormat/>
    <w:uiPriority w:val="0"/>
    <w:pPr>
      <w:adjustRightInd w:val="0"/>
      <w:snapToGrid w:val="0"/>
      <w:spacing w:line="360" w:lineRule="auto"/>
      <w:jc w:val="center"/>
    </w:pPr>
    <w:rPr>
      <w:b/>
      <w:bCs/>
      <w:szCs w:val="21"/>
    </w:rPr>
  </w:style>
  <w:style w:type="paragraph" w:customStyle="1" w:styleId="78">
    <w:name w:val="正文11"/>
    <w:basedOn w:val="1"/>
    <w:next w:val="1"/>
    <w:qFormat/>
    <w:uiPriority w:val="0"/>
    <w:pPr>
      <w:adjustRightInd w:val="0"/>
      <w:snapToGrid w:val="0"/>
      <w:spacing w:line="300" w:lineRule="auto"/>
      <w:ind w:firstLine="560" w:firstLineChars="200"/>
      <w:jc w:val="left"/>
    </w:pPr>
    <w:rPr>
      <w:rFonts w:ascii="宋体" w:hAnsi="宋体" w:cs="宋体"/>
      <w:sz w:val="28"/>
      <w:szCs w:val="20"/>
    </w:rPr>
  </w:style>
  <w:style w:type="paragraph" w:customStyle="1" w:styleId="79">
    <w:name w:val="正文12"/>
    <w:qFormat/>
    <w:uiPriority w:val="0"/>
    <w:pPr>
      <w:jc w:val="both"/>
    </w:pPr>
    <w:rPr>
      <w:rFonts w:ascii="Calibri" w:hAnsi="Calibri" w:eastAsia="宋体" w:cs="Times New Roman"/>
      <w:kern w:val="2"/>
      <w:sz w:val="21"/>
      <w:szCs w:val="21"/>
      <w:lang w:val="en-US" w:eastAsia="zh-CN" w:bidi="ar-SA"/>
    </w:rPr>
  </w:style>
  <w:style w:type="character" w:customStyle="1" w:styleId="80">
    <w:name w:val="文档结构图 Char"/>
    <w:link w:val="13"/>
    <w:uiPriority w:val="0"/>
    <w:rPr>
      <w:rFonts w:ascii="宋体"/>
      <w:kern w:val="2"/>
      <w:sz w:val="18"/>
      <w:szCs w:val="18"/>
    </w:rPr>
  </w:style>
  <w:style w:type="character" w:customStyle="1" w:styleId="81">
    <w:name w:val="正文不缩进加粗 Char"/>
    <w:link w:val="82"/>
    <w:qFormat/>
    <w:locked/>
    <w:uiPriority w:val="0"/>
    <w:rPr>
      <w:b/>
      <w:color w:val="000000"/>
      <w:sz w:val="24"/>
      <w:szCs w:val="24"/>
    </w:rPr>
  </w:style>
  <w:style w:type="paragraph" w:customStyle="1" w:styleId="82">
    <w:name w:val="正文不缩进加粗"/>
    <w:basedOn w:val="1"/>
    <w:next w:val="1"/>
    <w:link w:val="81"/>
    <w:qFormat/>
    <w:uiPriority w:val="0"/>
    <w:pPr>
      <w:spacing w:line="360" w:lineRule="auto"/>
    </w:pPr>
    <w:rPr>
      <w:b/>
      <w:color w:val="000000"/>
      <w:kern w:val="0"/>
      <w:sz w:val="24"/>
    </w:rPr>
  </w:style>
  <w:style w:type="character" w:customStyle="1" w:styleId="83">
    <w:name w:val="表格正文 Char"/>
    <w:link w:val="84"/>
    <w:locked/>
    <w:uiPriority w:val="0"/>
    <w:rPr>
      <w:kern w:val="2"/>
      <w:sz w:val="21"/>
      <w:szCs w:val="24"/>
    </w:rPr>
  </w:style>
  <w:style w:type="paragraph" w:customStyle="1" w:styleId="84">
    <w:name w:val="表格正文"/>
    <w:basedOn w:val="1"/>
    <w:link w:val="83"/>
    <w:qFormat/>
    <w:uiPriority w:val="0"/>
    <w:pPr>
      <w:jc w:val="center"/>
    </w:pPr>
  </w:style>
  <w:style w:type="paragraph" w:customStyle="1" w:styleId="85">
    <w:name w:val="表格正文行距18"/>
    <w:basedOn w:val="1"/>
    <w:qFormat/>
    <w:uiPriority w:val="0"/>
    <w:pPr>
      <w:snapToGrid w:val="0"/>
      <w:spacing w:line="360" w:lineRule="exact"/>
      <w:jc w:val="center"/>
    </w:pPr>
    <w:rPr>
      <w:szCs w:val="21"/>
    </w:rPr>
  </w:style>
  <w:style w:type="character" w:customStyle="1" w:styleId="86">
    <w:name w:val="正文样式首行缩进2字符 Char"/>
    <w:link w:val="87"/>
    <w:locked/>
    <w:uiPriority w:val="0"/>
    <w:rPr>
      <w:kern w:val="2"/>
      <w:sz w:val="24"/>
      <w:szCs w:val="24"/>
    </w:rPr>
  </w:style>
  <w:style w:type="paragraph" w:customStyle="1" w:styleId="87">
    <w:name w:val="正文样式首行缩进2字符"/>
    <w:basedOn w:val="1"/>
    <w:link w:val="86"/>
    <w:qFormat/>
    <w:uiPriority w:val="0"/>
    <w:pPr>
      <w:adjustRightInd w:val="0"/>
      <w:snapToGrid w:val="0"/>
      <w:spacing w:line="360" w:lineRule="auto"/>
      <w:ind w:firstLine="200" w:firstLineChars="200"/>
    </w:pPr>
    <w:rPr>
      <w:sz w:val="24"/>
    </w:rPr>
  </w:style>
  <w:style w:type="paragraph" w:customStyle="1" w:styleId="88">
    <w:name w:val="我的表格文字"/>
    <w:basedOn w:val="1"/>
    <w:qFormat/>
    <w:uiPriority w:val="0"/>
    <w:pPr>
      <w:jc w:val="center"/>
    </w:pPr>
    <w:rPr>
      <w:rFonts w:hAnsi="宋体" w:eastAsia="Times New Roman" w:cs="宋体"/>
      <w:color w:val="000000"/>
      <w:sz w:val="24"/>
      <w:szCs w:val="21"/>
    </w:rPr>
  </w:style>
  <w:style w:type="character" w:customStyle="1" w:styleId="89">
    <w:name w:val="题注 Char"/>
    <w:link w:val="12"/>
    <w:qFormat/>
    <w:locked/>
    <w:uiPriority w:val="0"/>
    <w:rPr>
      <w:b/>
      <w:bCs/>
      <w:color w:val="000000"/>
      <w:sz w:val="24"/>
    </w:rPr>
  </w:style>
  <w:style w:type="character" w:customStyle="1" w:styleId="90">
    <w:name w:val="正文首行缩进 2 Char1"/>
    <w:link w:val="28"/>
    <w:locked/>
    <w:uiPriority w:val="99"/>
    <w:rPr>
      <w:rFonts w:ascii="Times New Roman" w:hAnsi="Times New Roman" w:eastAsia="宋体"/>
      <w:kern w:val="2"/>
      <w:sz w:val="21"/>
      <w:szCs w:val="24"/>
    </w:rPr>
  </w:style>
  <w:style w:type="character" w:customStyle="1" w:styleId="91">
    <w:name w:val="正文首行缩进 2 Char"/>
    <w:uiPriority w:val="0"/>
    <w:rPr>
      <w:rFonts w:ascii="Times New Roman" w:hAnsi="Times New Roman" w:eastAsia="宋体"/>
      <w:kern w:val="2"/>
      <w:sz w:val="21"/>
      <w:szCs w:val="24"/>
    </w:rPr>
  </w:style>
  <w:style w:type="paragraph" w:styleId="92">
    <w:name w:val="List Paragraph"/>
    <w:basedOn w:val="1"/>
    <w:qFormat/>
    <w:uiPriority w:val="99"/>
    <w:pPr>
      <w:ind w:firstLine="420" w:firstLineChars="200"/>
    </w:pPr>
    <w:rPr>
      <w:sz w:val="28"/>
      <w:szCs w:val="20"/>
    </w:rPr>
  </w:style>
  <w:style w:type="character" w:customStyle="1" w:styleId="93">
    <w:name w:val="正文首行缩进 Char1"/>
    <w:basedOn w:val="94"/>
    <w:link w:val="27"/>
    <w:qFormat/>
    <w:locked/>
    <w:uiPriority w:val="0"/>
    <w:rPr>
      <w:rFonts w:ascii="Calibri" w:hAnsi="Calibri" w:eastAsia="宋体" w:cs="Times New Roman"/>
      <w:kern w:val="2"/>
      <w:sz w:val="24"/>
      <w:szCs w:val="28"/>
    </w:rPr>
  </w:style>
  <w:style w:type="character" w:customStyle="1" w:styleId="94">
    <w:name w:val="正文文本 Char1"/>
    <w:semiHidden/>
    <w:locked/>
    <w:uiPriority w:val="0"/>
    <w:rPr>
      <w:rFonts w:ascii="Calibri" w:hAnsi="Calibri" w:eastAsia="宋体" w:cs="Times New Roman"/>
      <w:kern w:val="2"/>
      <w:sz w:val="24"/>
      <w:szCs w:val="28"/>
    </w:rPr>
  </w:style>
  <w:style w:type="character" w:customStyle="1" w:styleId="95">
    <w:name w:val="正文首行缩进 Char"/>
    <w:uiPriority w:val="0"/>
    <w:rPr>
      <w:kern w:val="2"/>
      <w:sz w:val="21"/>
      <w:szCs w:val="24"/>
    </w:rPr>
  </w:style>
  <w:style w:type="character" w:customStyle="1" w:styleId="96">
    <w:name w:val="注释标题 Char1"/>
    <w:link w:val="10"/>
    <w:qFormat/>
    <w:locked/>
    <w:uiPriority w:val="0"/>
    <w:rPr>
      <w:kern w:val="2"/>
      <w:sz w:val="21"/>
    </w:rPr>
  </w:style>
  <w:style w:type="character" w:customStyle="1" w:styleId="97">
    <w:name w:val="注释标题 Char"/>
    <w:qFormat/>
    <w:uiPriority w:val="0"/>
    <w:rPr>
      <w:kern w:val="2"/>
      <w:sz w:val="21"/>
      <w:szCs w:val="24"/>
    </w:rPr>
  </w:style>
  <w:style w:type="character" w:customStyle="1" w:styleId="98">
    <w:name w:val="正文文本 2 Char"/>
    <w:link w:val="24"/>
    <w:qFormat/>
    <w:uiPriority w:val="0"/>
    <w:rPr>
      <w:kern w:val="2"/>
      <w:sz w:val="24"/>
      <w:szCs w:val="28"/>
    </w:rPr>
  </w:style>
  <w:style w:type="character" w:customStyle="1" w:styleId="99">
    <w:name w:val="纯文本 Char1"/>
    <w:link w:val="18"/>
    <w:qFormat/>
    <w:locked/>
    <w:uiPriority w:val="0"/>
    <w:rPr>
      <w:rFonts w:ascii="宋体" w:hAnsi="Courier New" w:cs="Courier New"/>
      <w:b/>
      <w:bCs/>
      <w:kern w:val="2"/>
      <w:sz w:val="24"/>
      <w:szCs w:val="21"/>
    </w:rPr>
  </w:style>
  <w:style w:type="character" w:customStyle="1" w:styleId="100">
    <w:name w:val="纯文本 Char"/>
    <w:qFormat/>
    <w:uiPriority w:val="0"/>
    <w:rPr>
      <w:rFonts w:ascii="宋体" w:hAnsi="Courier New" w:cs="Courier New"/>
      <w:kern w:val="2"/>
      <w:sz w:val="21"/>
      <w:szCs w:val="21"/>
    </w:rPr>
  </w:style>
  <w:style w:type="character" w:customStyle="1" w:styleId="101">
    <w:name w:val="四级标题0 Char"/>
    <w:link w:val="102"/>
    <w:qFormat/>
    <w:locked/>
    <w:uiPriority w:val="0"/>
    <w:rPr>
      <w:b/>
      <w:sz w:val="24"/>
      <w:szCs w:val="24"/>
    </w:rPr>
  </w:style>
  <w:style w:type="paragraph" w:customStyle="1" w:styleId="102">
    <w:name w:val="四级标题0"/>
    <w:basedOn w:val="5"/>
    <w:link w:val="101"/>
    <w:qFormat/>
    <w:uiPriority w:val="0"/>
    <w:pPr>
      <w:tabs>
        <w:tab w:val="left" w:pos="0"/>
      </w:tabs>
      <w:adjustRightInd w:val="0"/>
      <w:snapToGrid w:val="0"/>
      <w:spacing w:line="360" w:lineRule="auto"/>
      <w:ind w:firstLine="200" w:firstLineChars="200"/>
    </w:pPr>
    <w:rPr>
      <w:b/>
      <w:kern w:val="0"/>
      <w:szCs w:val="24"/>
    </w:rPr>
  </w:style>
  <w:style w:type="character" w:customStyle="1" w:styleId="103">
    <w:name w:val="我的正文 Char"/>
    <w:link w:val="104"/>
    <w:qFormat/>
    <w:locked/>
    <w:uiPriority w:val="0"/>
    <w:rPr>
      <w:color w:val="000000"/>
      <w:sz w:val="24"/>
    </w:rPr>
  </w:style>
  <w:style w:type="paragraph" w:customStyle="1" w:styleId="104">
    <w:name w:val="我的正文"/>
    <w:basedOn w:val="1"/>
    <w:link w:val="103"/>
    <w:qFormat/>
    <w:uiPriority w:val="0"/>
    <w:pPr>
      <w:widowControl/>
      <w:spacing w:line="360" w:lineRule="auto"/>
      <w:ind w:firstLine="200" w:firstLineChars="200"/>
      <w:jc w:val="left"/>
    </w:pPr>
    <w:rPr>
      <w:color w:val="000000"/>
      <w:kern w:val="0"/>
      <w:sz w:val="24"/>
      <w:szCs w:val="20"/>
    </w:rPr>
  </w:style>
  <w:style w:type="character" w:customStyle="1" w:styleId="105">
    <w:name w:val="yyp Char Char"/>
    <w:link w:val="106"/>
    <w:qFormat/>
    <w:locked/>
    <w:uiPriority w:val="0"/>
    <w:rPr>
      <w:sz w:val="24"/>
      <w:szCs w:val="24"/>
    </w:rPr>
  </w:style>
  <w:style w:type="paragraph" w:customStyle="1" w:styleId="106">
    <w:name w:val="yyp"/>
    <w:basedOn w:val="1"/>
    <w:link w:val="105"/>
    <w:qFormat/>
    <w:uiPriority w:val="0"/>
    <w:pPr>
      <w:spacing w:after="120" w:line="360" w:lineRule="auto"/>
      <w:ind w:firstLine="480" w:firstLineChars="200"/>
    </w:pPr>
    <w:rPr>
      <w:kern w:val="0"/>
      <w:sz w:val="24"/>
    </w:rPr>
  </w:style>
  <w:style w:type="character" w:customStyle="1" w:styleId="107">
    <w:name w:val="01正文 Char"/>
    <w:link w:val="108"/>
    <w:qFormat/>
    <w:locked/>
    <w:uiPriority w:val="0"/>
    <w:rPr>
      <w:sz w:val="24"/>
      <w:szCs w:val="24"/>
    </w:rPr>
  </w:style>
  <w:style w:type="paragraph" w:customStyle="1" w:styleId="108">
    <w:name w:val="01正文"/>
    <w:basedOn w:val="1"/>
    <w:link w:val="107"/>
    <w:qFormat/>
    <w:uiPriority w:val="0"/>
    <w:pPr>
      <w:adjustRightInd w:val="0"/>
      <w:snapToGrid w:val="0"/>
      <w:spacing w:line="360" w:lineRule="auto"/>
      <w:ind w:firstLine="200" w:firstLineChars="200"/>
    </w:pPr>
    <w:rPr>
      <w:kern w:val="0"/>
      <w:sz w:val="24"/>
    </w:rPr>
  </w:style>
  <w:style w:type="character" w:customStyle="1" w:styleId="109">
    <w:name w:val="a-图件 Char"/>
    <w:link w:val="110"/>
    <w:qFormat/>
    <w:locked/>
    <w:uiPriority w:val="0"/>
    <w:rPr>
      <w:b/>
      <w:color w:val="000000"/>
      <w:sz w:val="24"/>
      <w:szCs w:val="21"/>
      <w:lang w:val="en-US" w:eastAsia="zh-CN" w:bidi="ar-SA"/>
    </w:rPr>
  </w:style>
  <w:style w:type="paragraph" w:customStyle="1" w:styleId="110">
    <w:name w:val="a-图件"/>
    <w:link w:val="109"/>
    <w:qFormat/>
    <w:uiPriority w:val="0"/>
    <w:pPr>
      <w:adjustRightInd w:val="0"/>
      <w:snapToGrid w:val="0"/>
      <w:spacing w:line="360" w:lineRule="auto"/>
      <w:jc w:val="center"/>
    </w:pPr>
    <w:rPr>
      <w:rFonts w:ascii="Times New Roman" w:hAnsi="Times New Roman" w:eastAsia="宋体" w:cs="Times New Roman"/>
      <w:b/>
      <w:color w:val="000000"/>
      <w:sz w:val="24"/>
      <w:szCs w:val="21"/>
      <w:lang w:val="en-US" w:eastAsia="zh-CN" w:bidi="ar-SA"/>
    </w:rPr>
  </w:style>
  <w:style w:type="character" w:customStyle="1" w:styleId="111">
    <w:name w:val="我的表格 Char"/>
    <w:link w:val="112"/>
    <w:qFormat/>
    <w:locked/>
    <w:uiPriority w:val="0"/>
    <w:rPr>
      <w:szCs w:val="21"/>
      <w:lang w:val="en-US" w:eastAsia="zh-CN" w:bidi="ar-SA"/>
    </w:rPr>
  </w:style>
  <w:style w:type="paragraph" w:customStyle="1" w:styleId="112">
    <w:name w:val="我的表格"/>
    <w:link w:val="111"/>
    <w:qFormat/>
    <w:uiPriority w:val="0"/>
    <w:pPr>
      <w:autoSpaceDE w:val="0"/>
      <w:autoSpaceDN w:val="0"/>
      <w:adjustRightInd w:val="0"/>
      <w:snapToGrid w:val="0"/>
      <w:jc w:val="center"/>
    </w:pPr>
    <w:rPr>
      <w:rFonts w:ascii="Times New Roman" w:hAnsi="Times New Roman" w:eastAsia="宋体" w:cs="Times New Roman"/>
      <w:szCs w:val="21"/>
      <w:lang w:val="en-US" w:eastAsia="zh-CN" w:bidi="ar-SA"/>
    </w:rPr>
  </w:style>
  <w:style w:type="character" w:customStyle="1" w:styleId="113">
    <w:name w:val="a-表内 Char"/>
    <w:link w:val="114"/>
    <w:qFormat/>
    <w:locked/>
    <w:uiPriority w:val="0"/>
    <w:rPr>
      <w:color w:val="000000"/>
      <w:szCs w:val="21"/>
      <w:lang w:val="en-US" w:eastAsia="zh-CN" w:bidi="ar-SA"/>
    </w:rPr>
  </w:style>
  <w:style w:type="paragraph" w:customStyle="1" w:styleId="114">
    <w:name w:val="a-表内"/>
    <w:link w:val="113"/>
    <w:qFormat/>
    <w:uiPriority w:val="0"/>
    <w:pPr>
      <w:adjustRightInd w:val="0"/>
      <w:snapToGrid w:val="0"/>
      <w:spacing w:line="0" w:lineRule="atLeast"/>
      <w:jc w:val="center"/>
    </w:pPr>
    <w:rPr>
      <w:rFonts w:ascii="Times New Roman" w:hAnsi="Times New Roman" w:eastAsia="宋体" w:cs="Times New Roman"/>
      <w:color w:val="000000"/>
      <w:szCs w:val="21"/>
      <w:lang w:val="en-US" w:eastAsia="zh-CN" w:bidi="ar-SA"/>
    </w:rPr>
  </w:style>
  <w:style w:type="character" w:customStyle="1" w:styleId="115">
    <w:name w:val="【图片】 Char Char"/>
    <w:link w:val="116"/>
    <w:qFormat/>
    <w:locked/>
    <w:uiPriority w:val="0"/>
    <w:rPr>
      <w:rFonts w:ascii="宋体" w:hAnsi="宋体" w:eastAsia="Times New Roman"/>
      <w:sz w:val="24"/>
      <w:lang w:val="en-US" w:eastAsia="zh-CN" w:bidi="ar-SA"/>
    </w:rPr>
  </w:style>
  <w:style w:type="paragraph" w:customStyle="1" w:styleId="116">
    <w:name w:val="【图片】"/>
    <w:next w:val="27"/>
    <w:link w:val="115"/>
    <w:qFormat/>
    <w:uiPriority w:val="0"/>
    <w:pPr>
      <w:jc w:val="center"/>
    </w:pPr>
    <w:rPr>
      <w:rFonts w:ascii="宋体" w:hAnsi="宋体" w:eastAsia="Times New Roman" w:cs="Times New Roman"/>
      <w:sz w:val="24"/>
      <w:lang w:val="en-US" w:eastAsia="zh-CN" w:bidi="ar-SA"/>
    </w:rPr>
  </w:style>
  <w:style w:type="paragraph" w:customStyle="1" w:styleId="117">
    <w:name w:val="Table Paragraph"/>
    <w:basedOn w:val="1"/>
    <w:qFormat/>
    <w:uiPriority w:val="1"/>
    <w:pPr>
      <w:autoSpaceDE w:val="0"/>
      <w:autoSpaceDN w:val="0"/>
      <w:jc w:val="left"/>
    </w:pPr>
    <w:rPr>
      <w:rFonts w:ascii="宋体" w:hAnsi="宋体" w:cs="宋体"/>
      <w:kern w:val="0"/>
      <w:sz w:val="22"/>
      <w:szCs w:val="22"/>
    </w:rPr>
  </w:style>
  <w:style w:type="paragraph" w:customStyle="1" w:styleId="118">
    <w:name w:val="1111正文"/>
    <w:basedOn w:val="1"/>
    <w:qFormat/>
    <w:uiPriority w:val="0"/>
    <w:pPr>
      <w:spacing w:line="520" w:lineRule="exact"/>
      <w:ind w:firstLine="480" w:firstLineChars="200"/>
    </w:pPr>
    <w:rPr>
      <w:rFonts w:ascii="宋体" w:hAnsi="宋体"/>
      <w:sz w:val="24"/>
      <w:szCs w:val="21"/>
    </w:rPr>
  </w:style>
  <w:style w:type="paragraph" w:customStyle="1" w:styleId="119">
    <w:name w:val="纯文本1"/>
    <w:basedOn w:val="1"/>
    <w:qFormat/>
    <w:uiPriority w:val="0"/>
    <w:pPr>
      <w:adjustRightInd w:val="0"/>
      <w:jc w:val="left"/>
    </w:pPr>
    <w:rPr>
      <w:rFonts w:ascii="宋体" w:hAnsi="Courier New"/>
      <w:sz w:val="24"/>
      <w:szCs w:val="20"/>
    </w:rPr>
  </w:style>
  <w:style w:type="paragraph" w:customStyle="1" w:styleId="120">
    <w:name w:val="我的表头"/>
    <w:basedOn w:val="1"/>
    <w:qFormat/>
    <w:uiPriority w:val="0"/>
    <w:pPr>
      <w:tabs>
        <w:tab w:val="left" w:pos="360"/>
      </w:tabs>
      <w:spacing w:line="500" w:lineRule="exact"/>
      <w:jc w:val="center"/>
    </w:pPr>
    <w:rPr>
      <w:b/>
      <w:sz w:val="24"/>
      <w:szCs w:val="21"/>
    </w:rPr>
  </w:style>
  <w:style w:type="character" w:customStyle="1" w:styleId="121">
    <w:name w:val="正文表格 字符"/>
    <w:link w:val="122"/>
    <w:qFormat/>
    <w:locked/>
    <w:uiPriority w:val="0"/>
    <w:rPr>
      <w:rFonts w:ascii="等线" w:hAnsi="等线" w:eastAsia="等线"/>
      <w:kern w:val="2"/>
      <w:sz w:val="21"/>
      <w:szCs w:val="21"/>
    </w:rPr>
  </w:style>
  <w:style w:type="paragraph" w:customStyle="1" w:styleId="122">
    <w:name w:val="正文表格"/>
    <w:basedOn w:val="1"/>
    <w:link w:val="121"/>
    <w:qFormat/>
    <w:uiPriority w:val="0"/>
    <w:pPr>
      <w:contextualSpacing/>
      <w:jc w:val="center"/>
    </w:pPr>
    <w:rPr>
      <w:rFonts w:ascii="等线" w:hAnsi="等线" w:eastAsia="等线"/>
      <w:szCs w:val="21"/>
    </w:rPr>
  </w:style>
  <w:style w:type="paragraph" w:customStyle="1" w:styleId="123">
    <w:name w:val="TableStyle12"/>
    <w:basedOn w:val="1"/>
    <w:qFormat/>
    <w:uiPriority w:val="0"/>
    <w:pPr>
      <w:jc w:val="center"/>
    </w:pPr>
    <w:rPr>
      <w:bCs/>
      <w:kern w:val="0"/>
      <w:sz w:val="24"/>
      <w:szCs w:val="22"/>
    </w:rPr>
  </w:style>
  <w:style w:type="paragraph" w:customStyle="1" w:styleId="124">
    <w:name w:val="正文文本缩进2"/>
    <w:basedOn w:val="1"/>
    <w:qFormat/>
    <w:uiPriority w:val="0"/>
    <w:pPr>
      <w:ind w:firstLine="560" w:firstLineChars="200"/>
    </w:pPr>
    <w:rPr>
      <w:sz w:val="28"/>
    </w:rPr>
  </w:style>
  <w:style w:type="paragraph" w:customStyle="1" w:styleId="125">
    <w:name w:val="正文3"/>
    <w:qFormat/>
    <w:uiPriority w:val="0"/>
    <w:pPr>
      <w:jc w:val="both"/>
    </w:pPr>
    <w:rPr>
      <w:rFonts w:ascii="Times New Roman" w:hAnsi="Times New Roman" w:eastAsia="宋体" w:cs="Times New Roman"/>
      <w:kern w:val="2"/>
      <w:sz w:val="21"/>
      <w:szCs w:val="21"/>
      <w:lang w:val="en-US" w:eastAsia="zh-CN" w:bidi="ar-SA"/>
    </w:rPr>
  </w:style>
  <w:style w:type="character" w:customStyle="1" w:styleId="126">
    <w:name w:val="0报告正文 Char"/>
    <w:link w:val="127"/>
    <w:qFormat/>
    <w:locked/>
    <w:uiPriority w:val="0"/>
    <w:rPr>
      <w:kern w:val="24"/>
      <w:sz w:val="24"/>
      <w:szCs w:val="24"/>
    </w:rPr>
  </w:style>
  <w:style w:type="paragraph" w:customStyle="1" w:styleId="127">
    <w:name w:val="0报告正文"/>
    <w:basedOn w:val="1"/>
    <w:link w:val="126"/>
    <w:qFormat/>
    <w:uiPriority w:val="0"/>
    <w:pPr>
      <w:widowControl/>
      <w:adjustRightInd w:val="0"/>
      <w:snapToGrid w:val="0"/>
      <w:spacing w:line="360" w:lineRule="auto"/>
      <w:ind w:firstLine="200" w:firstLineChars="200"/>
    </w:pPr>
    <w:rPr>
      <w:kern w:val="24"/>
      <w:sz w:val="24"/>
    </w:rPr>
  </w:style>
  <w:style w:type="character" w:customStyle="1" w:styleId="128">
    <w:name w:val="0标题2 Char"/>
    <w:link w:val="129"/>
    <w:qFormat/>
    <w:locked/>
    <w:uiPriority w:val="0"/>
    <w:rPr>
      <w:b/>
      <w:sz w:val="32"/>
      <w:szCs w:val="24"/>
      <w:lang w:eastAsia="en-US" w:bidi="en-US"/>
    </w:rPr>
  </w:style>
  <w:style w:type="paragraph" w:customStyle="1" w:styleId="129">
    <w:name w:val="0标题2"/>
    <w:basedOn w:val="1"/>
    <w:next w:val="127"/>
    <w:link w:val="128"/>
    <w:qFormat/>
    <w:uiPriority w:val="0"/>
    <w:pPr>
      <w:widowControl/>
      <w:spacing w:before="120" w:after="60" w:line="360" w:lineRule="auto"/>
      <w:outlineLvl w:val="0"/>
    </w:pPr>
    <w:rPr>
      <w:b/>
      <w:kern w:val="0"/>
      <w:sz w:val="32"/>
      <w:lang w:eastAsia="en-US" w:bidi="en-US"/>
    </w:rPr>
  </w:style>
  <w:style w:type="paragraph" w:customStyle="1" w:styleId="130">
    <w:name w:val="0 GBJ正文"/>
    <w:basedOn w:val="1"/>
    <w:qFormat/>
    <w:uiPriority w:val="0"/>
    <w:pPr>
      <w:spacing w:line="460" w:lineRule="exact"/>
      <w:ind w:firstLine="480" w:firstLineChars="200"/>
    </w:pPr>
    <w:rPr>
      <w:sz w:val="24"/>
    </w:rPr>
  </w:style>
  <w:style w:type="paragraph" w:customStyle="1" w:styleId="131">
    <w:name w:val="表格文字"/>
    <w:basedOn w:val="1"/>
    <w:qFormat/>
    <w:uiPriority w:val="0"/>
    <w:pPr>
      <w:widowControl/>
      <w:adjustRightInd w:val="0"/>
      <w:snapToGrid w:val="0"/>
      <w:spacing w:beforeLines="10" w:afterLines="10" w:line="256" w:lineRule="auto"/>
      <w:ind w:right="113"/>
      <w:jc w:val="center"/>
    </w:pPr>
    <w:rPr>
      <w:rFonts w:ascii="Calibri" w:hAnsi="Calibri"/>
      <w:kern w:val="0"/>
      <w:sz w:val="18"/>
      <w:szCs w:val="22"/>
    </w:rPr>
  </w:style>
  <w:style w:type="paragraph" w:customStyle="1" w:styleId="132">
    <w:name w:val="图、表内容"/>
    <w:basedOn w:val="1"/>
    <w:qFormat/>
    <w:uiPriority w:val="0"/>
    <w:pPr>
      <w:adjustRightInd w:val="0"/>
      <w:snapToGrid w:val="0"/>
      <w:jc w:val="center"/>
    </w:pPr>
    <w:rPr>
      <w:rFonts w:cs="宋体"/>
      <w:spacing w:val="-2"/>
      <w:kern w:val="0"/>
      <w:szCs w:val="20"/>
    </w:rPr>
  </w:style>
  <w:style w:type="paragraph" w:customStyle="1" w:styleId="133">
    <w:name w:val="表内"/>
    <w:basedOn w:val="1"/>
    <w:qFormat/>
    <w:uiPriority w:val="99"/>
    <w:pPr>
      <w:jc w:val="center"/>
    </w:pPr>
  </w:style>
  <w:style w:type="paragraph" w:customStyle="1" w:styleId="134">
    <w:name w:val="表中"/>
    <w:basedOn w:val="1"/>
    <w:qFormat/>
    <w:uiPriority w:val="0"/>
    <w:pPr>
      <w:spacing w:line="360" w:lineRule="exact"/>
      <w:jc w:val="center"/>
    </w:pPr>
    <w:rPr>
      <w:szCs w:val="20"/>
    </w:rPr>
  </w:style>
  <w:style w:type="table" w:customStyle="1" w:styleId="135">
    <w:name w:val="Table Normal"/>
    <w:basedOn w:val="29"/>
    <w:autoRedefine/>
    <w:semiHidden/>
    <w:unhideWhenUsed/>
    <w:qFormat/>
    <w:uiPriority w:val="2"/>
    <w:pPr>
      <w:widowControl w:val="0"/>
      <w:autoSpaceDE w:val="0"/>
      <w:autoSpaceDN w:val="0"/>
    </w:pPr>
    <w:rPr>
      <w:rFonts w:asciiTheme="minorHAnsi" w:hAnsiTheme="minorHAnsi" w:eastAsiaTheme="minorEastAsia" w:cstheme="minorBidi"/>
      <w:sz w:val="22"/>
      <w:lang w:eastAsia="en-US"/>
    </w:rPr>
    <w:tblPr>
      <w:tblCellMar>
        <w:top w:w="0" w:type="dxa"/>
        <w:left w:w="0" w:type="dxa"/>
        <w:bottom w:w="0" w:type="dxa"/>
        <w:right w:w="0" w:type="dxa"/>
      </w:tblCellMar>
    </w:tblPr>
  </w:style>
  <w:style w:type="paragraph" w:customStyle="1" w:styleId="136">
    <w:name w:val="Table Text"/>
    <w:basedOn w:val="1"/>
    <w:semiHidden/>
    <w:qFormat/>
    <w:uiPriority w:val="0"/>
    <w:rPr>
      <w:rFonts w:ascii="宋体" w:hAnsi="宋体" w:cs="宋体"/>
      <w:sz w:val="24"/>
      <w:lang w:eastAsia="en-US"/>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3.bin"/><Relationship Id="rId8" Type="http://schemas.openxmlformats.org/officeDocument/2006/relationships/image" Target="media/image2.emf"/><Relationship Id="rId7" Type="http://schemas.openxmlformats.org/officeDocument/2006/relationships/oleObject" Target="embeddings/oleObject2.bin"/><Relationship Id="rId6" Type="http://schemas.openxmlformats.org/officeDocument/2006/relationships/image" Target="media/image1.emf"/><Relationship Id="rId5" Type="http://schemas.openxmlformats.org/officeDocument/2006/relationships/oleObject" Target="embeddings/oleObject1.bin"/><Relationship Id="rId4" Type="http://schemas.openxmlformats.org/officeDocument/2006/relationships/theme" Target="theme/theme1.xml"/><Relationship Id="rId3" Type="http://schemas.openxmlformats.org/officeDocument/2006/relationships/footer" Target="foot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wmf"/><Relationship Id="rId13" Type="http://schemas.openxmlformats.org/officeDocument/2006/relationships/oleObject" Target="embeddings/oleObject5.bin"/><Relationship Id="rId12" Type="http://schemas.openxmlformats.org/officeDocument/2006/relationships/image" Target="media/image4.wmf"/><Relationship Id="rId11" Type="http://schemas.openxmlformats.org/officeDocument/2006/relationships/oleObject" Target="embeddings/oleObject4.bin"/><Relationship Id="rId10" Type="http://schemas.openxmlformats.org/officeDocument/2006/relationships/image" Target="media/image3.emf"/><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soa\wdzx97.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Info spid="_x0000_s1287"/>
    <customShpInfo spid="_x0000_s1296"/>
    <customShpInfo spid="_x0000_s1295"/>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FA3DA84-833F-4ECA-933A-628E78FE9FDE}">
  <ds:schemaRefs/>
</ds:datastoreItem>
</file>

<file path=docProps/app.xml><?xml version="1.0" encoding="utf-8"?>
<Properties xmlns="http://schemas.openxmlformats.org/officeDocument/2006/extended-properties" xmlns:vt="http://schemas.openxmlformats.org/officeDocument/2006/docPropsVTypes">
  <Template>wdzx97</Template>
  <Company>微软中国</Company>
  <Pages>11</Pages>
  <Words>15368</Words>
  <Characters>16775</Characters>
  <Lines>2367</Lines>
  <Paragraphs>2318</Paragraphs>
  <TotalTime>55</TotalTime>
  <ScaleCrop>false</ScaleCrop>
  <LinksUpToDate>false</LinksUpToDate>
  <CharactersWithSpaces>16836</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2025-04-16T09:04:00Z</dcterms:created>
  <dc:creator>lima</dc:creator>
  <cp:lastModifiedBy>Administrator</cp:lastModifiedBy>
  <cp:lastPrinted>2024-08-21T03:09:00Z</cp:lastPrinted>
  <dcterms:modified xsi:type="dcterms:W3CDTF">2025-06-06T02:21:02Z</dcterms:modified>
  <dc:title>附件2</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BBB78693E2204AA799081FE3F9DE60B0_13</vt:lpwstr>
  </property>
</Properties>
</file>