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AB767C">
      <w:pPr>
        <w:pStyle w:val="25"/>
        <w:jc w:val="center"/>
        <w:outlineLvl w:val="0"/>
        <w:rPr>
          <w:rFonts w:ascii="黑体" w:hAnsi="黑体" w:eastAsia="黑体"/>
          <w:snapToGrid w:val="0"/>
          <w:sz w:val="30"/>
          <w:szCs w:val="30"/>
        </w:rPr>
      </w:pPr>
      <w:r>
        <w:rPr>
          <w:rFonts w:hint="eastAsia" w:ascii="黑体" w:hAnsi="黑体" w:eastAsia="黑体"/>
          <w:snapToGrid w:val="0"/>
          <w:sz w:val="30"/>
          <w:szCs w:val="30"/>
        </w:rPr>
        <w:t>一、</w:t>
      </w:r>
      <w:bookmarkStart w:id="8" w:name="_GoBack"/>
      <w:r>
        <w:rPr>
          <w:rFonts w:hint="eastAsia" w:ascii="黑体" w:hAnsi="黑体" w:eastAsia="黑体"/>
          <w:snapToGrid w:val="0"/>
          <w:sz w:val="30"/>
          <w:szCs w:val="30"/>
        </w:rPr>
        <w:t>建设项目基本情况</w:t>
      </w:r>
    </w:p>
    <w:bookmarkEnd w:id="8"/>
    <w:tbl>
      <w:tblPr>
        <w:tblStyle w:val="29"/>
        <w:tblW w:w="940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57" w:type="dxa"/>
          <w:bottom w:w="0" w:type="dxa"/>
          <w:right w:w="57" w:type="dxa"/>
        </w:tblCellMar>
      </w:tblPr>
      <w:tblGrid>
        <w:gridCol w:w="1132"/>
        <w:gridCol w:w="2961"/>
        <w:gridCol w:w="2142"/>
        <w:gridCol w:w="3169"/>
      </w:tblGrid>
      <w:tr w14:paraId="172917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97" w:hRule="atLeast"/>
          <w:jc w:val="center"/>
        </w:trPr>
        <w:tc>
          <w:tcPr>
            <w:tcW w:w="1132" w:type="dxa"/>
            <w:tcMar>
              <w:top w:w="16" w:type="dxa"/>
              <w:left w:w="16" w:type="dxa"/>
              <w:right w:w="16" w:type="dxa"/>
            </w:tcMar>
            <w:vAlign w:val="center"/>
          </w:tcPr>
          <w:p w14:paraId="10D827F2">
            <w:pPr>
              <w:adjustRightInd w:val="0"/>
              <w:snapToGrid w:val="0"/>
              <w:jc w:val="center"/>
              <w:rPr>
                <w:sz w:val="24"/>
              </w:rPr>
            </w:pPr>
            <w:r>
              <w:rPr>
                <w:sz w:val="24"/>
              </w:rPr>
              <w:t>建设项目名称</w:t>
            </w:r>
          </w:p>
        </w:tc>
        <w:tc>
          <w:tcPr>
            <w:tcW w:w="8272" w:type="dxa"/>
            <w:gridSpan w:val="3"/>
            <w:vAlign w:val="center"/>
          </w:tcPr>
          <w:p w14:paraId="5D606538">
            <w:pPr>
              <w:jc w:val="center"/>
              <w:rPr>
                <w:bCs/>
                <w:sz w:val="24"/>
              </w:rPr>
            </w:pPr>
            <w:r>
              <w:rPr>
                <w:rFonts w:hint="eastAsia"/>
                <w:bCs/>
                <w:sz w:val="24"/>
              </w:rPr>
              <w:t>河南毛旺尼龙纤维科技有限公司年产5000吨牙刷丝建设项目</w:t>
            </w:r>
          </w:p>
        </w:tc>
      </w:tr>
      <w:tr w14:paraId="38B45F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97" w:hRule="atLeast"/>
          <w:jc w:val="center"/>
        </w:trPr>
        <w:tc>
          <w:tcPr>
            <w:tcW w:w="1132" w:type="dxa"/>
            <w:tcMar>
              <w:top w:w="16" w:type="dxa"/>
              <w:left w:w="16" w:type="dxa"/>
              <w:right w:w="16" w:type="dxa"/>
            </w:tcMar>
            <w:vAlign w:val="center"/>
          </w:tcPr>
          <w:p w14:paraId="0ECE4A6D">
            <w:pPr>
              <w:adjustRightInd w:val="0"/>
              <w:snapToGrid w:val="0"/>
              <w:jc w:val="center"/>
              <w:rPr>
                <w:sz w:val="24"/>
              </w:rPr>
            </w:pPr>
            <w:r>
              <w:rPr>
                <w:sz w:val="24"/>
              </w:rPr>
              <w:t>项目代码</w:t>
            </w:r>
          </w:p>
        </w:tc>
        <w:tc>
          <w:tcPr>
            <w:tcW w:w="8272" w:type="dxa"/>
            <w:gridSpan w:val="3"/>
            <w:vAlign w:val="center"/>
          </w:tcPr>
          <w:p w14:paraId="3B9B8EB1">
            <w:pPr>
              <w:jc w:val="center"/>
              <w:rPr>
                <w:sz w:val="24"/>
              </w:rPr>
            </w:pPr>
            <w:r>
              <w:rPr>
                <w:sz w:val="24"/>
              </w:rPr>
              <w:t>2409-411421-04-01-835208</w:t>
            </w:r>
          </w:p>
        </w:tc>
      </w:tr>
      <w:tr w14:paraId="3ED737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97" w:hRule="atLeast"/>
          <w:jc w:val="center"/>
        </w:trPr>
        <w:tc>
          <w:tcPr>
            <w:tcW w:w="1132" w:type="dxa"/>
            <w:tcMar>
              <w:top w:w="16" w:type="dxa"/>
              <w:left w:w="16" w:type="dxa"/>
              <w:right w:w="16" w:type="dxa"/>
            </w:tcMar>
            <w:vAlign w:val="center"/>
          </w:tcPr>
          <w:p w14:paraId="6D641D36">
            <w:pPr>
              <w:adjustRightInd w:val="0"/>
              <w:snapToGrid w:val="0"/>
              <w:jc w:val="center"/>
              <w:rPr>
                <w:sz w:val="24"/>
              </w:rPr>
            </w:pPr>
            <w:r>
              <w:rPr>
                <w:sz w:val="24"/>
              </w:rPr>
              <w:t>建设单位</w:t>
            </w:r>
          </w:p>
          <w:p w14:paraId="1AA28E04">
            <w:pPr>
              <w:adjustRightInd w:val="0"/>
              <w:snapToGrid w:val="0"/>
              <w:jc w:val="center"/>
              <w:rPr>
                <w:sz w:val="24"/>
              </w:rPr>
            </w:pPr>
            <w:r>
              <w:rPr>
                <w:sz w:val="24"/>
              </w:rPr>
              <w:t>联系人</w:t>
            </w:r>
          </w:p>
        </w:tc>
        <w:tc>
          <w:tcPr>
            <w:tcW w:w="2961" w:type="dxa"/>
            <w:vAlign w:val="center"/>
          </w:tcPr>
          <w:p w14:paraId="28128101">
            <w:pPr>
              <w:adjustRightInd w:val="0"/>
              <w:snapToGrid w:val="0"/>
              <w:jc w:val="center"/>
              <w:rPr>
                <w:sz w:val="24"/>
              </w:rPr>
            </w:pPr>
            <w:r>
              <w:rPr>
                <w:rFonts w:hint="eastAsia"/>
                <w:sz w:val="24"/>
              </w:rPr>
              <w:t>张永战</w:t>
            </w:r>
          </w:p>
        </w:tc>
        <w:tc>
          <w:tcPr>
            <w:tcW w:w="2142" w:type="dxa"/>
            <w:vAlign w:val="center"/>
          </w:tcPr>
          <w:p w14:paraId="2E1330F2">
            <w:pPr>
              <w:adjustRightInd w:val="0"/>
              <w:snapToGrid w:val="0"/>
              <w:jc w:val="center"/>
              <w:rPr>
                <w:sz w:val="24"/>
              </w:rPr>
            </w:pPr>
            <w:r>
              <w:rPr>
                <w:sz w:val="24"/>
              </w:rPr>
              <w:t>联系方式</w:t>
            </w:r>
          </w:p>
        </w:tc>
        <w:tc>
          <w:tcPr>
            <w:tcW w:w="3169" w:type="dxa"/>
            <w:vAlign w:val="center"/>
          </w:tcPr>
          <w:p w14:paraId="4C04B6C0">
            <w:pPr>
              <w:adjustRightInd w:val="0"/>
              <w:snapToGrid w:val="0"/>
              <w:jc w:val="center"/>
              <w:rPr>
                <w:sz w:val="24"/>
              </w:rPr>
            </w:pPr>
            <w:r>
              <w:rPr>
                <w:rFonts w:hint="eastAsia"/>
                <w:sz w:val="24"/>
              </w:rPr>
              <w:t>13773500777</w:t>
            </w:r>
          </w:p>
        </w:tc>
      </w:tr>
      <w:tr w14:paraId="7B9553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97" w:hRule="atLeast"/>
          <w:jc w:val="center"/>
        </w:trPr>
        <w:tc>
          <w:tcPr>
            <w:tcW w:w="1132" w:type="dxa"/>
            <w:tcMar>
              <w:top w:w="16" w:type="dxa"/>
              <w:left w:w="16" w:type="dxa"/>
              <w:right w:w="16" w:type="dxa"/>
            </w:tcMar>
            <w:vAlign w:val="center"/>
          </w:tcPr>
          <w:p w14:paraId="70DE1756">
            <w:pPr>
              <w:adjustRightInd w:val="0"/>
              <w:snapToGrid w:val="0"/>
              <w:jc w:val="center"/>
              <w:rPr>
                <w:sz w:val="24"/>
              </w:rPr>
            </w:pPr>
            <w:r>
              <w:rPr>
                <w:sz w:val="24"/>
              </w:rPr>
              <w:t>建设地点</w:t>
            </w:r>
          </w:p>
        </w:tc>
        <w:tc>
          <w:tcPr>
            <w:tcW w:w="8272" w:type="dxa"/>
            <w:gridSpan w:val="3"/>
            <w:vAlign w:val="center"/>
          </w:tcPr>
          <w:p w14:paraId="17CC4EEC">
            <w:pPr>
              <w:jc w:val="center"/>
              <w:rPr>
                <w:sz w:val="24"/>
              </w:rPr>
            </w:pPr>
            <w:r>
              <w:rPr>
                <w:rFonts w:hint="eastAsia"/>
                <w:sz w:val="24"/>
              </w:rPr>
              <w:t>河南省商丘市民权县北关镇周翟庄村北民荷路东侧18号</w:t>
            </w:r>
          </w:p>
        </w:tc>
      </w:tr>
      <w:tr w14:paraId="6E293E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97" w:hRule="atLeast"/>
          <w:jc w:val="center"/>
        </w:trPr>
        <w:tc>
          <w:tcPr>
            <w:tcW w:w="1132" w:type="dxa"/>
            <w:tcMar>
              <w:top w:w="16" w:type="dxa"/>
              <w:left w:w="16" w:type="dxa"/>
              <w:right w:w="16" w:type="dxa"/>
            </w:tcMar>
            <w:vAlign w:val="center"/>
          </w:tcPr>
          <w:p w14:paraId="5DFC9524">
            <w:pPr>
              <w:adjustRightInd w:val="0"/>
              <w:snapToGrid w:val="0"/>
              <w:jc w:val="center"/>
              <w:rPr>
                <w:sz w:val="24"/>
              </w:rPr>
            </w:pPr>
            <w:r>
              <w:rPr>
                <w:sz w:val="24"/>
              </w:rPr>
              <w:t>地理坐标</w:t>
            </w:r>
          </w:p>
        </w:tc>
        <w:tc>
          <w:tcPr>
            <w:tcW w:w="8272" w:type="dxa"/>
            <w:gridSpan w:val="3"/>
            <w:vAlign w:val="center"/>
          </w:tcPr>
          <w:p w14:paraId="563B1CDB">
            <w:pPr>
              <w:jc w:val="center"/>
              <w:rPr>
                <w:rFonts w:ascii="宋体" w:hAnsi="宋体" w:cs="宋体"/>
                <w:sz w:val="24"/>
              </w:rPr>
            </w:pPr>
            <w:r>
              <w:rPr>
                <w:rFonts w:hint="eastAsia" w:ascii="宋体" w:hAnsi="宋体" w:cs="宋体"/>
                <w:sz w:val="24"/>
              </w:rPr>
              <w:t>（</w:t>
            </w:r>
            <w:r>
              <w:rPr>
                <w:rFonts w:hint="eastAsia" w:ascii="宋体" w:hAnsi="宋体" w:cs="宋体"/>
                <w:sz w:val="24"/>
                <w:u w:val="single"/>
              </w:rPr>
              <w:t xml:space="preserve"> </w:t>
            </w:r>
            <w:r>
              <w:rPr>
                <w:sz w:val="24"/>
                <w:u w:val="single"/>
              </w:rPr>
              <w:t>11</w:t>
            </w:r>
            <w:r>
              <w:rPr>
                <w:rFonts w:hint="eastAsia"/>
                <w:sz w:val="24"/>
                <w:u w:val="single"/>
              </w:rPr>
              <w:t xml:space="preserve">5 </w:t>
            </w:r>
            <w:r>
              <w:rPr>
                <w:rFonts w:hint="eastAsia" w:ascii="宋体" w:hAnsi="宋体" w:cs="宋体"/>
                <w:sz w:val="24"/>
              </w:rPr>
              <w:t>度</w:t>
            </w:r>
            <w:r>
              <w:rPr>
                <w:rFonts w:hint="eastAsia" w:ascii="宋体" w:hAnsi="宋体" w:cs="宋体"/>
                <w:sz w:val="24"/>
                <w:u w:val="single"/>
              </w:rPr>
              <w:t xml:space="preserve"> </w:t>
            </w:r>
            <w:r>
              <w:rPr>
                <w:rFonts w:hint="eastAsia"/>
                <w:sz w:val="24"/>
                <w:u w:val="single"/>
              </w:rPr>
              <w:t xml:space="preserve">17 </w:t>
            </w:r>
            <w:r>
              <w:rPr>
                <w:rFonts w:hint="eastAsia" w:ascii="宋体" w:hAnsi="宋体" w:cs="宋体"/>
                <w:sz w:val="24"/>
              </w:rPr>
              <w:t>分</w:t>
            </w:r>
            <w:r>
              <w:rPr>
                <w:rFonts w:hint="eastAsia" w:ascii="宋体" w:hAnsi="宋体" w:cs="宋体"/>
                <w:sz w:val="24"/>
                <w:u w:val="single"/>
              </w:rPr>
              <w:t xml:space="preserve"> </w:t>
            </w:r>
            <w:r>
              <w:rPr>
                <w:sz w:val="24"/>
                <w:u w:val="single"/>
              </w:rPr>
              <w:t>1</w:t>
            </w:r>
            <w:r>
              <w:rPr>
                <w:rFonts w:hint="eastAsia"/>
                <w:sz w:val="24"/>
                <w:u w:val="single"/>
              </w:rPr>
              <w:t>2.</w:t>
            </w:r>
            <w:r>
              <w:rPr>
                <w:sz w:val="24"/>
                <w:u w:val="single"/>
              </w:rPr>
              <w:t>19</w:t>
            </w:r>
            <w:r>
              <w:rPr>
                <w:rFonts w:hint="eastAsia"/>
                <w:sz w:val="24"/>
                <w:u w:val="single"/>
              </w:rPr>
              <w:t xml:space="preserve">8 </w:t>
            </w:r>
            <w:r>
              <w:rPr>
                <w:rFonts w:hint="eastAsia" w:ascii="宋体" w:hAnsi="宋体" w:cs="宋体"/>
                <w:sz w:val="24"/>
              </w:rPr>
              <w:t>秒，</w:t>
            </w:r>
            <w:r>
              <w:rPr>
                <w:rFonts w:hint="eastAsia" w:ascii="宋体" w:hAnsi="宋体" w:cs="宋体"/>
                <w:sz w:val="24"/>
                <w:u w:val="single"/>
              </w:rPr>
              <w:t xml:space="preserve"> </w:t>
            </w:r>
            <w:r>
              <w:rPr>
                <w:sz w:val="24"/>
                <w:u w:val="single"/>
              </w:rPr>
              <w:t>34</w:t>
            </w:r>
            <w:r>
              <w:rPr>
                <w:rFonts w:hint="eastAsia"/>
                <w:sz w:val="24"/>
                <w:u w:val="single"/>
              </w:rPr>
              <w:t xml:space="preserve"> </w:t>
            </w:r>
            <w:r>
              <w:rPr>
                <w:rFonts w:hint="eastAsia" w:ascii="宋体" w:hAnsi="宋体" w:cs="宋体"/>
                <w:sz w:val="24"/>
              </w:rPr>
              <w:t>度</w:t>
            </w:r>
            <w:r>
              <w:rPr>
                <w:rFonts w:hint="eastAsia" w:ascii="宋体" w:hAnsi="宋体" w:cs="宋体"/>
                <w:sz w:val="24"/>
                <w:u w:val="single"/>
              </w:rPr>
              <w:t xml:space="preserve"> </w:t>
            </w:r>
            <w:r>
              <w:rPr>
                <w:rFonts w:hint="eastAsia"/>
                <w:sz w:val="24"/>
                <w:u w:val="single"/>
              </w:rPr>
              <w:t xml:space="preserve">46 </w:t>
            </w:r>
            <w:r>
              <w:rPr>
                <w:rFonts w:hint="eastAsia" w:ascii="宋体" w:hAnsi="宋体" w:cs="宋体"/>
                <w:sz w:val="24"/>
              </w:rPr>
              <w:t>分</w:t>
            </w:r>
            <w:r>
              <w:rPr>
                <w:rFonts w:hint="eastAsia" w:ascii="宋体" w:hAnsi="宋体" w:cs="宋体"/>
                <w:sz w:val="24"/>
                <w:u w:val="single"/>
              </w:rPr>
              <w:t xml:space="preserve"> </w:t>
            </w:r>
            <w:r>
              <w:rPr>
                <w:rFonts w:hint="eastAsia"/>
                <w:sz w:val="24"/>
                <w:u w:val="single"/>
              </w:rPr>
              <w:t>3</w:t>
            </w:r>
            <w:r>
              <w:rPr>
                <w:sz w:val="24"/>
                <w:u w:val="single"/>
              </w:rPr>
              <w:t>6</w:t>
            </w:r>
            <w:r>
              <w:rPr>
                <w:rFonts w:hint="eastAsia"/>
                <w:sz w:val="24"/>
                <w:u w:val="single"/>
              </w:rPr>
              <w:t>.0</w:t>
            </w:r>
            <w:r>
              <w:rPr>
                <w:sz w:val="24"/>
                <w:u w:val="single"/>
              </w:rPr>
              <w:t>02</w:t>
            </w:r>
            <w:r>
              <w:rPr>
                <w:rFonts w:hint="eastAsia"/>
                <w:sz w:val="24"/>
                <w:u w:val="single"/>
              </w:rPr>
              <w:t xml:space="preserve"> </w:t>
            </w:r>
            <w:r>
              <w:rPr>
                <w:rFonts w:hint="eastAsia" w:ascii="宋体" w:hAnsi="宋体" w:cs="宋体"/>
                <w:sz w:val="24"/>
              </w:rPr>
              <w:t>秒）</w:t>
            </w:r>
          </w:p>
        </w:tc>
      </w:tr>
      <w:tr w14:paraId="58AC52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561" w:hRule="atLeast"/>
          <w:jc w:val="center"/>
        </w:trPr>
        <w:tc>
          <w:tcPr>
            <w:tcW w:w="1132" w:type="dxa"/>
            <w:tcMar>
              <w:top w:w="16" w:type="dxa"/>
              <w:left w:w="16" w:type="dxa"/>
              <w:right w:w="16" w:type="dxa"/>
            </w:tcMar>
            <w:vAlign w:val="center"/>
          </w:tcPr>
          <w:p w14:paraId="608971FC">
            <w:pPr>
              <w:adjustRightInd w:val="0"/>
              <w:snapToGrid w:val="0"/>
              <w:jc w:val="center"/>
              <w:rPr>
                <w:sz w:val="24"/>
              </w:rPr>
            </w:pPr>
            <w:r>
              <w:rPr>
                <w:sz w:val="24"/>
              </w:rPr>
              <w:t>国民经济行业类别</w:t>
            </w:r>
          </w:p>
        </w:tc>
        <w:tc>
          <w:tcPr>
            <w:tcW w:w="2961" w:type="dxa"/>
            <w:vAlign w:val="center"/>
          </w:tcPr>
          <w:p w14:paraId="49A6C9D3">
            <w:pPr>
              <w:autoSpaceDE w:val="0"/>
              <w:autoSpaceDN w:val="0"/>
              <w:adjustRightInd w:val="0"/>
              <w:jc w:val="center"/>
              <w:rPr>
                <w:rFonts w:ascii="宋体" w:cs="宋体"/>
                <w:kern w:val="0"/>
                <w:sz w:val="24"/>
              </w:rPr>
            </w:pPr>
            <w:r>
              <w:rPr>
                <w:kern w:val="0"/>
                <w:sz w:val="24"/>
              </w:rPr>
              <w:t xml:space="preserve">C2929 </w:t>
            </w:r>
            <w:r>
              <w:rPr>
                <w:rFonts w:hint="eastAsia" w:ascii="宋体" w:cs="宋体"/>
                <w:kern w:val="0"/>
                <w:sz w:val="24"/>
              </w:rPr>
              <w:t>塑料零件</w:t>
            </w:r>
            <w:r>
              <w:rPr>
                <w:rFonts w:ascii="宋体" w:cs="宋体"/>
                <w:kern w:val="0"/>
                <w:sz w:val="24"/>
              </w:rPr>
              <w:t>及其他塑料制品制造</w:t>
            </w:r>
          </w:p>
        </w:tc>
        <w:tc>
          <w:tcPr>
            <w:tcW w:w="2142" w:type="dxa"/>
            <w:vAlign w:val="center"/>
          </w:tcPr>
          <w:p w14:paraId="7B0798A2">
            <w:pPr>
              <w:adjustRightInd w:val="0"/>
              <w:snapToGrid w:val="0"/>
              <w:jc w:val="center"/>
              <w:rPr>
                <w:sz w:val="24"/>
              </w:rPr>
            </w:pPr>
            <w:bookmarkStart w:id="0" w:name="_Hlk49843745"/>
            <w:r>
              <w:rPr>
                <w:sz w:val="24"/>
              </w:rPr>
              <w:t>建设项目</w:t>
            </w:r>
          </w:p>
          <w:p w14:paraId="0A2B02A2">
            <w:pPr>
              <w:adjustRightInd w:val="0"/>
              <w:snapToGrid w:val="0"/>
              <w:jc w:val="center"/>
              <w:rPr>
                <w:sz w:val="24"/>
              </w:rPr>
            </w:pPr>
            <w:r>
              <w:rPr>
                <w:sz w:val="24"/>
              </w:rPr>
              <w:t>行业类别</w:t>
            </w:r>
            <w:bookmarkEnd w:id="0"/>
          </w:p>
        </w:tc>
        <w:tc>
          <w:tcPr>
            <w:tcW w:w="3169" w:type="dxa"/>
            <w:vAlign w:val="center"/>
          </w:tcPr>
          <w:p w14:paraId="71374196">
            <w:pPr>
              <w:autoSpaceDE w:val="0"/>
              <w:autoSpaceDN w:val="0"/>
              <w:adjustRightInd w:val="0"/>
              <w:jc w:val="center"/>
              <w:rPr>
                <w:sz w:val="24"/>
              </w:rPr>
            </w:pPr>
            <w:r>
              <w:rPr>
                <w:rFonts w:hint="eastAsia"/>
                <w:sz w:val="24"/>
              </w:rPr>
              <w:t>二十六、</w:t>
            </w:r>
            <w:r>
              <w:rPr>
                <w:sz w:val="24"/>
              </w:rPr>
              <w:t>橡胶和塑料制品业—53</w:t>
            </w:r>
            <w:r>
              <w:rPr>
                <w:rFonts w:hint="eastAsia"/>
                <w:sz w:val="24"/>
              </w:rPr>
              <w:t>塑料</w:t>
            </w:r>
            <w:r>
              <w:rPr>
                <w:sz w:val="24"/>
              </w:rPr>
              <w:t>制品业</w:t>
            </w:r>
          </w:p>
        </w:tc>
      </w:tr>
      <w:tr w14:paraId="3E2B7B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219" w:hRule="atLeast"/>
          <w:jc w:val="center"/>
        </w:trPr>
        <w:tc>
          <w:tcPr>
            <w:tcW w:w="1132" w:type="dxa"/>
            <w:tcMar>
              <w:top w:w="16" w:type="dxa"/>
              <w:left w:w="16" w:type="dxa"/>
              <w:right w:w="16" w:type="dxa"/>
            </w:tcMar>
            <w:vAlign w:val="center"/>
          </w:tcPr>
          <w:p w14:paraId="34A59EDC">
            <w:pPr>
              <w:adjustRightInd w:val="0"/>
              <w:snapToGrid w:val="0"/>
              <w:jc w:val="center"/>
              <w:rPr>
                <w:sz w:val="24"/>
              </w:rPr>
            </w:pPr>
            <w:r>
              <w:rPr>
                <w:sz w:val="24"/>
              </w:rPr>
              <w:t>建设性质</w:t>
            </w:r>
          </w:p>
        </w:tc>
        <w:tc>
          <w:tcPr>
            <w:tcW w:w="2961" w:type="dxa"/>
            <w:vAlign w:val="center"/>
          </w:tcPr>
          <w:p w14:paraId="6C72A857">
            <w:pPr>
              <w:ind w:left="105" w:leftChars="50"/>
              <w:jc w:val="left"/>
              <w:rPr>
                <w:sz w:val="24"/>
              </w:rPr>
            </w:pPr>
            <w:r>
              <w:rPr>
                <w:sz w:val="24"/>
              </w:rPr>
              <w:sym w:font="Wingdings 2" w:char="0052"/>
            </w:r>
            <w:r>
              <w:rPr>
                <w:sz w:val="24"/>
              </w:rPr>
              <w:t>新建（迁建）</w:t>
            </w:r>
          </w:p>
          <w:p w14:paraId="4D57AE6F">
            <w:pPr>
              <w:ind w:left="105" w:leftChars="50"/>
              <w:jc w:val="left"/>
              <w:rPr>
                <w:sz w:val="24"/>
              </w:rPr>
            </w:pPr>
            <w:r>
              <w:rPr>
                <w:rFonts w:hint="eastAsia" w:ascii="宋体" w:hAnsi="宋体" w:cs="宋体"/>
                <w:sz w:val="24"/>
              </w:rPr>
              <w:t xml:space="preserve">□ </w:t>
            </w:r>
            <w:r>
              <w:rPr>
                <w:sz w:val="24"/>
              </w:rPr>
              <w:t>改建</w:t>
            </w:r>
          </w:p>
          <w:p w14:paraId="0DE03C86">
            <w:pPr>
              <w:ind w:left="105" w:leftChars="50"/>
              <w:jc w:val="left"/>
              <w:rPr>
                <w:sz w:val="24"/>
              </w:rPr>
            </w:pPr>
            <w:r>
              <w:rPr>
                <w:rFonts w:hint="eastAsia" w:ascii="宋体" w:hAnsi="宋体" w:cs="宋体"/>
                <w:sz w:val="24"/>
              </w:rPr>
              <w:t xml:space="preserve">□ </w:t>
            </w:r>
            <w:r>
              <w:rPr>
                <w:sz w:val="24"/>
              </w:rPr>
              <w:t>扩建</w:t>
            </w:r>
          </w:p>
          <w:p w14:paraId="046C8C21">
            <w:pPr>
              <w:ind w:left="105" w:leftChars="50"/>
              <w:jc w:val="left"/>
              <w:rPr>
                <w:sz w:val="24"/>
              </w:rPr>
            </w:pPr>
            <w:r>
              <w:rPr>
                <w:rFonts w:hint="eastAsia" w:ascii="宋体" w:hAnsi="宋体" w:cs="宋体"/>
                <w:sz w:val="24"/>
              </w:rPr>
              <w:t xml:space="preserve">□ </w:t>
            </w:r>
            <w:r>
              <w:rPr>
                <w:sz w:val="24"/>
              </w:rPr>
              <w:t>技术改造</w:t>
            </w:r>
          </w:p>
        </w:tc>
        <w:tc>
          <w:tcPr>
            <w:tcW w:w="2142" w:type="dxa"/>
            <w:vAlign w:val="center"/>
          </w:tcPr>
          <w:p w14:paraId="7D998C7A">
            <w:pPr>
              <w:adjustRightInd w:val="0"/>
              <w:snapToGrid w:val="0"/>
              <w:jc w:val="center"/>
              <w:rPr>
                <w:sz w:val="24"/>
              </w:rPr>
            </w:pPr>
            <w:r>
              <w:rPr>
                <w:sz w:val="24"/>
              </w:rPr>
              <w:t>建设项目</w:t>
            </w:r>
          </w:p>
          <w:p w14:paraId="0972A010">
            <w:pPr>
              <w:adjustRightInd w:val="0"/>
              <w:snapToGrid w:val="0"/>
              <w:jc w:val="center"/>
              <w:rPr>
                <w:sz w:val="24"/>
              </w:rPr>
            </w:pPr>
            <w:r>
              <w:rPr>
                <w:sz w:val="24"/>
              </w:rPr>
              <w:t>申报情形</w:t>
            </w:r>
          </w:p>
        </w:tc>
        <w:tc>
          <w:tcPr>
            <w:tcW w:w="3169" w:type="dxa"/>
            <w:vAlign w:val="center"/>
          </w:tcPr>
          <w:p w14:paraId="434AFAE7">
            <w:pPr>
              <w:ind w:left="105" w:leftChars="50"/>
              <w:jc w:val="left"/>
              <w:rPr>
                <w:sz w:val="24"/>
              </w:rPr>
            </w:pPr>
            <w:r>
              <w:rPr>
                <w:sz w:val="24"/>
              </w:rPr>
              <w:sym w:font="Wingdings 2" w:char="0052"/>
            </w:r>
            <w:r>
              <w:rPr>
                <w:sz w:val="24"/>
              </w:rPr>
              <w:t>首次申报项目</w:t>
            </w:r>
          </w:p>
          <w:p w14:paraId="501E5D54">
            <w:pPr>
              <w:ind w:left="105" w:leftChars="50"/>
              <w:jc w:val="left"/>
              <w:rPr>
                <w:sz w:val="24"/>
              </w:rPr>
            </w:pPr>
            <w:r>
              <w:rPr>
                <w:rFonts w:hint="eastAsia" w:ascii="宋体" w:hAnsi="宋体" w:cs="宋体"/>
                <w:sz w:val="24"/>
              </w:rPr>
              <w:t>□</w:t>
            </w:r>
            <w:r>
              <w:rPr>
                <w:sz w:val="24"/>
              </w:rPr>
              <w:t>不予批准后再次申报项目</w:t>
            </w:r>
          </w:p>
          <w:p w14:paraId="02D7667E">
            <w:pPr>
              <w:ind w:left="105" w:leftChars="50"/>
              <w:jc w:val="left"/>
              <w:rPr>
                <w:sz w:val="24"/>
              </w:rPr>
            </w:pPr>
            <w:r>
              <w:rPr>
                <w:rFonts w:hint="eastAsia" w:ascii="宋体" w:hAnsi="宋体" w:cs="宋体"/>
                <w:sz w:val="24"/>
              </w:rPr>
              <w:t>□</w:t>
            </w:r>
            <w:r>
              <w:rPr>
                <w:sz w:val="24"/>
              </w:rPr>
              <w:t>超五年重新审核项目</w:t>
            </w:r>
          </w:p>
          <w:p w14:paraId="17A1AB0D">
            <w:pPr>
              <w:ind w:left="105" w:leftChars="50"/>
              <w:jc w:val="left"/>
              <w:rPr>
                <w:sz w:val="24"/>
              </w:rPr>
            </w:pPr>
            <w:r>
              <w:rPr>
                <w:rFonts w:hint="eastAsia" w:ascii="宋体" w:hAnsi="宋体" w:cs="宋体"/>
                <w:sz w:val="24"/>
              </w:rPr>
              <w:t>□</w:t>
            </w:r>
            <w:r>
              <w:rPr>
                <w:sz w:val="24"/>
              </w:rPr>
              <w:t>重大变动重新报批项目</w:t>
            </w:r>
          </w:p>
        </w:tc>
      </w:tr>
      <w:tr w14:paraId="3D6629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705" w:hRule="atLeast"/>
          <w:jc w:val="center"/>
        </w:trPr>
        <w:tc>
          <w:tcPr>
            <w:tcW w:w="1132" w:type="dxa"/>
            <w:tcMar>
              <w:top w:w="16" w:type="dxa"/>
              <w:left w:w="16" w:type="dxa"/>
              <w:right w:w="16" w:type="dxa"/>
            </w:tcMar>
            <w:vAlign w:val="center"/>
          </w:tcPr>
          <w:p w14:paraId="1E8D1841">
            <w:pPr>
              <w:adjustRightInd w:val="0"/>
              <w:snapToGrid w:val="0"/>
              <w:jc w:val="center"/>
              <w:rPr>
                <w:sz w:val="24"/>
              </w:rPr>
            </w:pPr>
            <w:r>
              <w:rPr>
                <w:sz w:val="24"/>
              </w:rPr>
              <w:t>项目备案部门</w:t>
            </w:r>
          </w:p>
        </w:tc>
        <w:tc>
          <w:tcPr>
            <w:tcW w:w="2961" w:type="dxa"/>
            <w:vAlign w:val="center"/>
          </w:tcPr>
          <w:p w14:paraId="6A45FC0B">
            <w:pPr>
              <w:adjustRightInd w:val="0"/>
              <w:snapToGrid w:val="0"/>
              <w:jc w:val="center"/>
              <w:rPr>
                <w:sz w:val="24"/>
              </w:rPr>
            </w:pPr>
            <w:r>
              <w:rPr>
                <w:rFonts w:hint="eastAsia"/>
                <w:sz w:val="24"/>
              </w:rPr>
              <w:t>民权县发展和改革委员会</w:t>
            </w:r>
          </w:p>
        </w:tc>
        <w:tc>
          <w:tcPr>
            <w:tcW w:w="2142" w:type="dxa"/>
            <w:vAlign w:val="center"/>
          </w:tcPr>
          <w:p w14:paraId="43E92908">
            <w:pPr>
              <w:adjustRightInd w:val="0"/>
              <w:snapToGrid w:val="0"/>
              <w:jc w:val="center"/>
              <w:rPr>
                <w:sz w:val="24"/>
              </w:rPr>
            </w:pPr>
            <w:r>
              <w:rPr>
                <w:sz w:val="24"/>
              </w:rPr>
              <w:t>项目备案文号</w:t>
            </w:r>
          </w:p>
        </w:tc>
        <w:tc>
          <w:tcPr>
            <w:tcW w:w="3169" w:type="dxa"/>
            <w:vAlign w:val="center"/>
          </w:tcPr>
          <w:p w14:paraId="6FE95E4F">
            <w:pPr>
              <w:adjustRightInd w:val="0"/>
              <w:snapToGrid w:val="0"/>
              <w:jc w:val="center"/>
              <w:rPr>
                <w:sz w:val="24"/>
              </w:rPr>
            </w:pPr>
            <w:r>
              <w:rPr>
                <w:sz w:val="24"/>
              </w:rPr>
              <w:t>2409-411421-04-01-835208</w:t>
            </w:r>
          </w:p>
        </w:tc>
      </w:tr>
      <w:tr w14:paraId="5BB0C3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97" w:hRule="atLeast"/>
          <w:jc w:val="center"/>
        </w:trPr>
        <w:tc>
          <w:tcPr>
            <w:tcW w:w="1132" w:type="dxa"/>
            <w:tcMar>
              <w:top w:w="16" w:type="dxa"/>
              <w:left w:w="16" w:type="dxa"/>
              <w:right w:w="16" w:type="dxa"/>
            </w:tcMar>
            <w:vAlign w:val="center"/>
          </w:tcPr>
          <w:p w14:paraId="204F8D92">
            <w:pPr>
              <w:adjustRightInd w:val="0"/>
              <w:snapToGrid w:val="0"/>
              <w:jc w:val="center"/>
              <w:rPr>
                <w:sz w:val="24"/>
              </w:rPr>
            </w:pPr>
            <w:r>
              <w:rPr>
                <w:sz w:val="24"/>
              </w:rPr>
              <w:t>总投资（万元）</w:t>
            </w:r>
          </w:p>
        </w:tc>
        <w:tc>
          <w:tcPr>
            <w:tcW w:w="2961" w:type="dxa"/>
            <w:vAlign w:val="center"/>
          </w:tcPr>
          <w:p w14:paraId="750EB864">
            <w:pPr>
              <w:adjustRightInd w:val="0"/>
              <w:snapToGrid w:val="0"/>
              <w:jc w:val="center"/>
              <w:rPr>
                <w:sz w:val="24"/>
              </w:rPr>
            </w:pPr>
            <w:r>
              <w:rPr>
                <w:sz w:val="24"/>
              </w:rPr>
              <w:t>500</w:t>
            </w:r>
            <w:r>
              <w:rPr>
                <w:rFonts w:hint="eastAsia"/>
                <w:sz w:val="24"/>
              </w:rPr>
              <w:t>0</w:t>
            </w:r>
          </w:p>
        </w:tc>
        <w:tc>
          <w:tcPr>
            <w:tcW w:w="2142" w:type="dxa"/>
            <w:tcMar>
              <w:top w:w="16" w:type="dxa"/>
              <w:left w:w="16" w:type="dxa"/>
              <w:right w:w="16" w:type="dxa"/>
            </w:tcMar>
            <w:vAlign w:val="center"/>
          </w:tcPr>
          <w:p w14:paraId="22752685">
            <w:pPr>
              <w:adjustRightInd w:val="0"/>
              <w:snapToGrid w:val="0"/>
              <w:jc w:val="center"/>
              <w:rPr>
                <w:sz w:val="24"/>
              </w:rPr>
            </w:pPr>
            <w:r>
              <w:rPr>
                <w:sz w:val="24"/>
              </w:rPr>
              <w:t>环保投资（万元）</w:t>
            </w:r>
          </w:p>
        </w:tc>
        <w:tc>
          <w:tcPr>
            <w:tcW w:w="3169" w:type="dxa"/>
            <w:vAlign w:val="center"/>
          </w:tcPr>
          <w:p w14:paraId="115E7FF7">
            <w:pPr>
              <w:adjustRightInd w:val="0"/>
              <w:snapToGrid w:val="0"/>
              <w:jc w:val="center"/>
              <w:rPr>
                <w:sz w:val="24"/>
              </w:rPr>
            </w:pPr>
            <w:r>
              <w:rPr>
                <w:sz w:val="24"/>
              </w:rPr>
              <w:t>46</w:t>
            </w:r>
          </w:p>
        </w:tc>
      </w:tr>
      <w:tr w14:paraId="243A85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97" w:hRule="atLeast"/>
          <w:jc w:val="center"/>
        </w:trPr>
        <w:tc>
          <w:tcPr>
            <w:tcW w:w="1132" w:type="dxa"/>
            <w:tcMar>
              <w:top w:w="16" w:type="dxa"/>
              <w:left w:w="16" w:type="dxa"/>
              <w:right w:w="16" w:type="dxa"/>
            </w:tcMar>
            <w:vAlign w:val="center"/>
          </w:tcPr>
          <w:p w14:paraId="3D80A853">
            <w:pPr>
              <w:adjustRightInd w:val="0"/>
              <w:snapToGrid w:val="0"/>
              <w:jc w:val="center"/>
              <w:rPr>
                <w:sz w:val="24"/>
              </w:rPr>
            </w:pPr>
            <w:r>
              <w:rPr>
                <w:sz w:val="24"/>
              </w:rPr>
              <w:t>环保投资占比（%）</w:t>
            </w:r>
          </w:p>
        </w:tc>
        <w:tc>
          <w:tcPr>
            <w:tcW w:w="2961" w:type="dxa"/>
            <w:vAlign w:val="center"/>
          </w:tcPr>
          <w:p w14:paraId="3CA0F426">
            <w:pPr>
              <w:adjustRightInd w:val="0"/>
              <w:snapToGrid w:val="0"/>
              <w:jc w:val="center"/>
              <w:rPr>
                <w:sz w:val="24"/>
              </w:rPr>
            </w:pPr>
            <w:r>
              <w:rPr>
                <w:sz w:val="24"/>
              </w:rPr>
              <w:t>0.92</w:t>
            </w:r>
          </w:p>
        </w:tc>
        <w:tc>
          <w:tcPr>
            <w:tcW w:w="2142" w:type="dxa"/>
            <w:tcMar>
              <w:top w:w="16" w:type="dxa"/>
              <w:left w:w="16" w:type="dxa"/>
              <w:right w:w="16" w:type="dxa"/>
            </w:tcMar>
            <w:vAlign w:val="center"/>
          </w:tcPr>
          <w:p w14:paraId="3C859359">
            <w:pPr>
              <w:adjustRightInd w:val="0"/>
              <w:snapToGrid w:val="0"/>
              <w:jc w:val="center"/>
              <w:rPr>
                <w:sz w:val="24"/>
              </w:rPr>
            </w:pPr>
            <w:r>
              <w:rPr>
                <w:sz w:val="24"/>
              </w:rPr>
              <w:t>施工工期</w:t>
            </w:r>
          </w:p>
        </w:tc>
        <w:tc>
          <w:tcPr>
            <w:tcW w:w="3169" w:type="dxa"/>
            <w:vAlign w:val="center"/>
          </w:tcPr>
          <w:p w14:paraId="5A40574E">
            <w:pPr>
              <w:adjustRightInd w:val="0"/>
              <w:snapToGrid w:val="0"/>
              <w:jc w:val="center"/>
              <w:rPr>
                <w:sz w:val="24"/>
              </w:rPr>
            </w:pPr>
            <w:r>
              <w:rPr>
                <w:sz w:val="24"/>
              </w:rPr>
              <w:t>5</w:t>
            </w:r>
            <w:r>
              <w:rPr>
                <w:rFonts w:hint="eastAsia"/>
                <w:sz w:val="24"/>
              </w:rPr>
              <w:t>个</w:t>
            </w:r>
            <w:r>
              <w:rPr>
                <w:sz w:val="24"/>
              </w:rPr>
              <w:t>月</w:t>
            </w:r>
          </w:p>
        </w:tc>
      </w:tr>
      <w:tr w14:paraId="5A433B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97" w:hRule="atLeast"/>
          <w:jc w:val="center"/>
        </w:trPr>
        <w:tc>
          <w:tcPr>
            <w:tcW w:w="1132" w:type="dxa"/>
            <w:tcMar>
              <w:top w:w="16" w:type="dxa"/>
              <w:left w:w="16" w:type="dxa"/>
              <w:right w:w="16" w:type="dxa"/>
            </w:tcMar>
            <w:vAlign w:val="center"/>
          </w:tcPr>
          <w:p w14:paraId="02BE1953">
            <w:pPr>
              <w:adjustRightInd w:val="0"/>
              <w:snapToGrid w:val="0"/>
              <w:jc w:val="center"/>
              <w:rPr>
                <w:sz w:val="24"/>
              </w:rPr>
            </w:pPr>
            <w:r>
              <w:rPr>
                <w:sz w:val="24"/>
              </w:rPr>
              <w:t>是否开工建设</w:t>
            </w:r>
          </w:p>
        </w:tc>
        <w:tc>
          <w:tcPr>
            <w:tcW w:w="2961" w:type="dxa"/>
            <w:vAlign w:val="center"/>
          </w:tcPr>
          <w:p w14:paraId="2D874EDC">
            <w:pPr>
              <w:adjustRightInd w:val="0"/>
              <w:snapToGrid w:val="0"/>
              <w:ind w:firstLine="120" w:firstLineChars="50"/>
              <w:jc w:val="left"/>
              <w:rPr>
                <w:sz w:val="24"/>
              </w:rPr>
            </w:pPr>
            <w:r>
              <w:rPr>
                <w:sz w:val="24"/>
              </w:rPr>
              <w:sym w:font="Wingdings 2" w:char="0052"/>
            </w:r>
            <w:r>
              <w:rPr>
                <w:sz w:val="24"/>
              </w:rPr>
              <w:t>否</w:t>
            </w:r>
          </w:p>
          <w:p w14:paraId="3DB3A907">
            <w:pPr>
              <w:adjustRightInd w:val="0"/>
              <w:snapToGrid w:val="0"/>
              <w:ind w:firstLine="108"/>
              <w:jc w:val="left"/>
              <w:rPr>
                <w:szCs w:val="21"/>
                <w:u w:val="single"/>
              </w:rPr>
            </w:pPr>
            <w:r>
              <w:rPr>
                <w:rFonts w:hint="eastAsia"/>
                <w:sz w:val="24"/>
              </w:rPr>
              <w:t xml:space="preserve">□ </w:t>
            </w:r>
            <w:r>
              <w:rPr>
                <w:sz w:val="24"/>
              </w:rPr>
              <w:t>是：</w:t>
            </w:r>
            <w:r>
              <w:rPr>
                <w:rFonts w:hint="eastAsia"/>
                <w:sz w:val="24"/>
                <w:u w:val="single"/>
              </w:rPr>
              <w:t xml:space="preserve">           </w:t>
            </w:r>
          </w:p>
        </w:tc>
        <w:tc>
          <w:tcPr>
            <w:tcW w:w="2142" w:type="dxa"/>
            <w:tcMar>
              <w:top w:w="16" w:type="dxa"/>
              <w:left w:w="16" w:type="dxa"/>
              <w:right w:w="16" w:type="dxa"/>
            </w:tcMar>
            <w:vAlign w:val="center"/>
          </w:tcPr>
          <w:p w14:paraId="6F1C1B80">
            <w:pPr>
              <w:adjustRightInd w:val="0"/>
              <w:snapToGrid w:val="0"/>
              <w:jc w:val="center"/>
              <w:rPr>
                <w:spacing w:val="-6"/>
                <w:sz w:val="24"/>
              </w:rPr>
            </w:pPr>
            <w:r>
              <w:rPr>
                <w:spacing w:val="-6"/>
                <w:sz w:val="24"/>
              </w:rPr>
              <w:t>用地面积（m</w:t>
            </w:r>
            <w:r>
              <w:rPr>
                <w:spacing w:val="-6"/>
                <w:sz w:val="24"/>
                <w:vertAlign w:val="superscript"/>
              </w:rPr>
              <w:t>2</w:t>
            </w:r>
            <w:r>
              <w:rPr>
                <w:spacing w:val="-6"/>
                <w:sz w:val="24"/>
              </w:rPr>
              <w:t>）</w:t>
            </w:r>
          </w:p>
        </w:tc>
        <w:tc>
          <w:tcPr>
            <w:tcW w:w="3169" w:type="dxa"/>
            <w:vAlign w:val="center"/>
          </w:tcPr>
          <w:p w14:paraId="3CB79FB6">
            <w:pPr>
              <w:adjustRightInd w:val="0"/>
              <w:snapToGrid w:val="0"/>
              <w:jc w:val="center"/>
              <w:rPr>
                <w:sz w:val="24"/>
              </w:rPr>
            </w:pPr>
            <w:r>
              <w:rPr>
                <w:sz w:val="24"/>
              </w:rPr>
              <w:t>45</w:t>
            </w:r>
            <w:r>
              <w:rPr>
                <w:rFonts w:hint="eastAsia"/>
                <w:sz w:val="24"/>
              </w:rPr>
              <w:t>00</w:t>
            </w:r>
          </w:p>
        </w:tc>
      </w:tr>
      <w:tr w14:paraId="266A70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039" w:hRule="atLeast"/>
          <w:jc w:val="center"/>
        </w:trPr>
        <w:tc>
          <w:tcPr>
            <w:tcW w:w="1132" w:type="dxa"/>
            <w:tcMar>
              <w:top w:w="16" w:type="dxa"/>
              <w:left w:w="16" w:type="dxa"/>
              <w:right w:w="16" w:type="dxa"/>
            </w:tcMar>
            <w:vAlign w:val="center"/>
          </w:tcPr>
          <w:p w14:paraId="1CEF3298">
            <w:pPr>
              <w:adjustRightInd w:val="0"/>
              <w:snapToGrid w:val="0"/>
              <w:jc w:val="center"/>
              <w:rPr>
                <w:sz w:val="24"/>
              </w:rPr>
            </w:pPr>
            <w:r>
              <w:rPr>
                <w:sz w:val="24"/>
              </w:rPr>
              <w:t>专项评价设置情况</w:t>
            </w:r>
          </w:p>
        </w:tc>
        <w:tc>
          <w:tcPr>
            <w:tcW w:w="8272" w:type="dxa"/>
            <w:gridSpan w:val="3"/>
            <w:vAlign w:val="center"/>
          </w:tcPr>
          <w:p w14:paraId="66A5E328">
            <w:pPr>
              <w:pStyle w:val="11"/>
              <w:spacing w:before="120" w:beforeLines="50" w:line="360" w:lineRule="auto"/>
              <w:ind w:firstLine="0" w:firstLineChars="0"/>
              <w:jc w:val="center"/>
              <w:rPr>
                <w:rFonts w:hAnsi="宋体"/>
                <w:sz w:val="24"/>
              </w:rPr>
            </w:pPr>
            <w:r>
              <w:rPr>
                <w:rFonts w:hint="eastAsia"/>
                <w:bCs w:val="0"/>
                <w:sz w:val="24"/>
              </w:rPr>
              <w:t>无</w:t>
            </w:r>
          </w:p>
        </w:tc>
      </w:tr>
      <w:tr w14:paraId="49379D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828" w:hRule="atLeast"/>
          <w:jc w:val="center"/>
        </w:trPr>
        <w:tc>
          <w:tcPr>
            <w:tcW w:w="1132" w:type="dxa"/>
            <w:tcMar>
              <w:top w:w="16" w:type="dxa"/>
              <w:left w:w="16" w:type="dxa"/>
              <w:right w:w="16" w:type="dxa"/>
            </w:tcMar>
            <w:vAlign w:val="center"/>
          </w:tcPr>
          <w:p w14:paraId="1DE71036">
            <w:pPr>
              <w:adjustRightInd w:val="0"/>
              <w:snapToGrid w:val="0"/>
              <w:jc w:val="center"/>
              <w:rPr>
                <w:sz w:val="24"/>
              </w:rPr>
            </w:pPr>
            <w:r>
              <w:rPr>
                <w:sz w:val="24"/>
              </w:rPr>
              <w:t>规划情况</w:t>
            </w:r>
          </w:p>
        </w:tc>
        <w:tc>
          <w:tcPr>
            <w:tcW w:w="8272" w:type="dxa"/>
            <w:gridSpan w:val="3"/>
            <w:vAlign w:val="center"/>
          </w:tcPr>
          <w:p w14:paraId="6C5219F5">
            <w:pPr>
              <w:adjustRightInd w:val="0"/>
              <w:snapToGrid w:val="0"/>
              <w:jc w:val="center"/>
              <w:rPr>
                <w:sz w:val="24"/>
              </w:rPr>
            </w:pPr>
            <w:r>
              <w:rPr>
                <w:rFonts w:hint="eastAsia" w:ascii="宋体" w:cs="宋体"/>
                <w:kern w:val="0"/>
                <w:sz w:val="24"/>
              </w:rPr>
              <w:t>无</w:t>
            </w:r>
          </w:p>
        </w:tc>
      </w:tr>
      <w:tr w14:paraId="75123E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994" w:hRule="atLeast"/>
          <w:jc w:val="center"/>
        </w:trPr>
        <w:tc>
          <w:tcPr>
            <w:tcW w:w="1132" w:type="dxa"/>
            <w:tcMar>
              <w:top w:w="16" w:type="dxa"/>
              <w:left w:w="16" w:type="dxa"/>
              <w:right w:w="16" w:type="dxa"/>
            </w:tcMar>
            <w:vAlign w:val="center"/>
          </w:tcPr>
          <w:p w14:paraId="530B328A">
            <w:pPr>
              <w:adjustRightInd w:val="0"/>
              <w:snapToGrid w:val="0"/>
              <w:jc w:val="center"/>
              <w:rPr>
                <w:sz w:val="24"/>
              </w:rPr>
            </w:pPr>
            <w:r>
              <w:rPr>
                <w:sz w:val="24"/>
              </w:rPr>
              <w:t>规划环境影响评价情况</w:t>
            </w:r>
          </w:p>
        </w:tc>
        <w:tc>
          <w:tcPr>
            <w:tcW w:w="8272" w:type="dxa"/>
            <w:gridSpan w:val="3"/>
            <w:vAlign w:val="center"/>
          </w:tcPr>
          <w:p w14:paraId="0384B94A">
            <w:pPr>
              <w:adjustRightInd w:val="0"/>
              <w:snapToGrid w:val="0"/>
              <w:jc w:val="center"/>
              <w:rPr>
                <w:rFonts w:ascii="宋体" w:cs="宋体"/>
                <w:kern w:val="0"/>
                <w:sz w:val="24"/>
              </w:rPr>
            </w:pPr>
            <w:r>
              <w:rPr>
                <w:rFonts w:hint="eastAsia" w:ascii="宋体" w:cs="宋体"/>
                <w:kern w:val="0"/>
                <w:sz w:val="24"/>
              </w:rPr>
              <w:t>无</w:t>
            </w:r>
          </w:p>
        </w:tc>
      </w:tr>
      <w:tr w14:paraId="0B9F77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825" w:hRule="atLeast"/>
          <w:jc w:val="center"/>
        </w:trPr>
        <w:tc>
          <w:tcPr>
            <w:tcW w:w="1132" w:type="dxa"/>
            <w:tcMar>
              <w:top w:w="16" w:type="dxa"/>
              <w:left w:w="16" w:type="dxa"/>
              <w:right w:w="16" w:type="dxa"/>
            </w:tcMar>
            <w:vAlign w:val="center"/>
          </w:tcPr>
          <w:p w14:paraId="59153208">
            <w:pPr>
              <w:adjustRightInd w:val="0"/>
              <w:snapToGrid w:val="0"/>
              <w:jc w:val="center"/>
              <w:rPr>
                <w:sz w:val="24"/>
              </w:rPr>
            </w:pPr>
            <w:r>
              <w:rPr>
                <w:sz w:val="24"/>
              </w:rPr>
              <w:t>规划及规划环境影响评价符合性分析</w:t>
            </w:r>
          </w:p>
        </w:tc>
        <w:tc>
          <w:tcPr>
            <w:tcW w:w="8272" w:type="dxa"/>
            <w:gridSpan w:val="3"/>
            <w:vAlign w:val="center"/>
          </w:tcPr>
          <w:p w14:paraId="66496733">
            <w:pPr>
              <w:autoSpaceDE w:val="0"/>
              <w:autoSpaceDN w:val="0"/>
              <w:adjustRightInd w:val="0"/>
              <w:jc w:val="center"/>
              <w:rPr>
                <w:rFonts w:ascii="宋体" w:cs="宋体"/>
                <w:kern w:val="0"/>
                <w:sz w:val="24"/>
              </w:rPr>
            </w:pPr>
            <w:r>
              <w:rPr>
                <w:rFonts w:hint="eastAsia" w:ascii="宋体" w:cs="宋体"/>
                <w:kern w:val="0"/>
                <w:sz w:val="24"/>
              </w:rPr>
              <w:t>无</w:t>
            </w:r>
          </w:p>
        </w:tc>
      </w:tr>
      <w:tr w14:paraId="7A7234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497" w:hRule="atLeast"/>
          <w:jc w:val="center"/>
        </w:trPr>
        <w:tc>
          <w:tcPr>
            <w:tcW w:w="1132" w:type="dxa"/>
            <w:tcMar>
              <w:top w:w="16" w:type="dxa"/>
              <w:left w:w="16" w:type="dxa"/>
              <w:right w:w="16" w:type="dxa"/>
            </w:tcMar>
            <w:vAlign w:val="center"/>
          </w:tcPr>
          <w:p w14:paraId="524CB906">
            <w:pPr>
              <w:adjustRightInd w:val="0"/>
              <w:snapToGrid w:val="0"/>
              <w:jc w:val="center"/>
              <w:rPr>
                <w:sz w:val="24"/>
              </w:rPr>
            </w:pPr>
            <w:r>
              <w:rPr>
                <w:kern w:val="0"/>
                <w:sz w:val="24"/>
              </w:rPr>
              <w:t>其他符合性分析</w:t>
            </w:r>
          </w:p>
        </w:tc>
        <w:tc>
          <w:tcPr>
            <w:tcW w:w="8272" w:type="dxa"/>
            <w:gridSpan w:val="3"/>
            <w:vAlign w:val="center"/>
          </w:tcPr>
          <w:p w14:paraId="438C994D">
            <w:pPr>
              <w:pStyle w:val="11"/>
              <w:spacing w:line="360" w:lineRule="auto"/>
              <w:ind w:firstLine="482"/>
              <w:rPr>
                <w:b/>
                <w:sz w:val="24"/>
              </w:rPr>
            </w:pPr>
            <w:r>
              <w:rPr>
                <w:rFonts w:hint="eastAsia"/>
                <w:b/>
                <w:sz w:val="24"/>
              </w:rPr>
              <w:t>1、</w:t>
            </w:r>
            <w:r>
              <w:rPr>
                <w:b/>
                <w:bCs w:val="0"/>
                <w:sz w:val="24"/>
              </w:rPr>
              <w:t>产业政策相符性分析及环评文件类型判定</w:t>
            </w:r>
          </w:p>
          <w:p w14:paraId="3CD2040C">
            <w:pPr>
              <w:spacing w:line="360" w:lineRule="auto"/>
              <w:ind w:firstLine="480" w:firstLineChars="200"/>
              <w:rPr>
                <w:sz w:val="24"/>
              </w:rPr>
            </w:pPr>
            <w:r>
              <w:rPr>
                <w:rFonts w:hint="eastAsia"/>
                <w:sz w:val="24"/>
              </w:rPr>
              <w:t>本项目主要生产牙刷丝</w:t>
            </w:r>
            <w:r>
              <w:rPr>
                <w:sz w:val="24"/>
              </w:rPr>
              <w:t>，</w:t>
            </w:r>
            <w:r>
              <w:rPr>
                <w:rFonts w:hint="eastAsia"/>
                <w:sz w:val="24"/>
              </w:rPr>
              <w:t>主要</w:t>
            </w:r>
            <w:r>
              <w:rPr>
                <w:sz w:val="24"/>
              </w:rPr>
              <w:t>工艺为高分子原料经热熔、挤出</w:t>
            </w:r>
            <w:r>
              <w:rPr>
                <w:rFonts w:hint="eastAsia"/>
                <w:sz w:val="24"/>
              </w:rPr>
              <w:t>，再</w:t>
            </w:r>
            <w:r>
              <w:rPr>
                <w:sz w:val="24"/>
              </w:rPr>
              <w:t>经牵引机拉丝</w:t>
            </w:r>
            <w:r>
              <w:rPr>
                <w:rFonts w:hint="eastAsia"/>
                <w:sz w:val="24"/>
              </w:rPr>
              <w:t>、</w:t>
            </w:r>
            <w:r>
              <w:rPr>
                <w:sz w:val="24"/>
              </w:rPr>
              <w:t>冷却，最后经后续</w:t>
            </w:r>
            <w:r>
              <w:rPr>
                <w:rFonts w:hint="eastAsia"/>
                <w:sz w:val="24"/>
              </w:rPr>
              <w:t>包</w:t>
            </w:r>
            <w:r>
              <w:rPr>
                <w:sz w:val="24"/>
              </w:rPr>
              <w:t>丝、</w:t>
            </w:r>
            <w:r>
              <w:rPr>
                <w:rFonts w:hint="eastAsia"/>
                <w:sz w:val="24"/>
              </w:rPr>
              <w:t>分切</w:t>
            </w:r>
            <w:r>
              <w:rPr>
                <w:sz w:val="24"/>
              </w:rPr>
              <w:t>、</w:t>
            </w:r>
            <w:r>
              <w:rPr>
                <w:rFonts w:hint="eastAsia"/>
                <w:sz w:val="24"/>
              </w:rPr>
              <w:t>磨尖、</w:t>
            </w:r>
            <w:r>
              <w:rPr>
                <w:sz w:val="24"/>
              </w:rPr>
              <w:t>清洗、晾晒等处理后得到成品</w:t>
            </w:r>
            <w:r>
              <w:rPr>
                <w:rFonts w:hint="eastAsia"/>
                <w:sz w:val="24"/>
              </w:rPr>
              <w:t>，根据</w:t>
            </w:r>
            <w:r>
              <w:rPr>
                <w:sz w:val="24"/>
              </w:rPr>
              <w:t>《产业结构调整指导目录（20</w:t>
            </w:r>
            <w:r>
              <w:rPr>
                <w:rFonts w:hint="eastAsia"/>
                <w:sz w:val="24"/>
              </w:rPr>
              <w:t>24</w:t>
            </w:r>
            <w:r>
              <w:rPr>
                <w:sz w:val="24"/>
              </w:rPr>
              <w:t>年本）》</w:t>
            </w:r>
            <w:r>
              <w:rPr>
                <w:rFonts w:hint="eastAsia"/>
                <w:sz w:val="24"/>
              </w:rPr>
              <w:t>，本项目不属于淘汰类和限制类，属于允许项目，项目建设符合国家产业政策。</w:t>
            </w:r>
          </w:p>
          <w:p w14:paraId="358E2CB1">
            <w:pPr>
              <w:widowControl/>
              <w:spacing w:line="360" w:lineRule="auto"/>
              <w:ind w:firstLine="480" w:firstLineChars="200"/>
              <w:rPr>
                <w:sz w:val="24"/>
              </w:rPr>
            </w:pPr>
            <w:r>
              <w:rPr>
                <w:sz w:val="24"/>
              </w:rPr>
              <w:t>根据《建设项目环境影响评价分类管理名录》（2021年版），本项目</w:t>
            </w:r>
            <w:r>
              <w:rPr>
                <w:rFonts w:hint="eastAsia"/>
                <w:sz w:val="24"/>
              </w:rPr>
              <w:t>产品</w:t>
            </w:r>
            <w:r>
              <w:rPr>
                <w:sz w:val="24"/>
              </w:rPr>
              <w:t>属于“</w:t>
            </w:r>
            <w:r>
              <w:rPr>
                <w:rFonts w:hint="eastAsia"/>
                <w:sz w:val="24"/>
              </w:rPr>
              <w:t>2</w:t>
            </w:r>
            <w:r>
              <w:rPr>
                <w:sz w:val="24"/>
              </w:rPr>
              <w:t>6-53</w:t>
            </w:r>
            <w:r>
              <w:rPr>
                <w:rFonts w:hint="eastAsia"/>
                <w:sz w:val="24"/>
              </w:rPr>
              <w:t>塑料</w:t>
            </w:r>
            <w:r>
              <w:rPr>
                <w:sz w:val="24"/>
              </w:rPr>
              <w:t>制品业</w:t>
            </w:r>
            <w:r>
              <w:rPr>
                <w:rFonts w:hint="eastAsia"/>
                <w:sz w:val="24"/>
              </w:rPr>
              <w:t>292”中的“其他</w:t>
            </w:r>
            <w:r>
              <w:rPr>
                <w:sz w:val="24"/>
              </w:rPr>
              <w:t>（</w:t>
            </w:r>
            <w:r>
              <w:rPr>
                <w:rFonts w:hint="eastAsia"/>
                <w:sz w:val="24"/>
              </w:rPr>
              <w:t>年</w:t>
            </w:r>
            <w:r>
              <w:rPr>
                <w:sz w:val="24"/>
              </w:rPr>
              <w:t>用非溶剂型低</w:t>
            </w:r>
            <w:r>
              <w:rPr>
                <w:rFonts w:hint="eastAsia"/>
                <w:sz w:val="24"/>
              </w:rPr>
              <w:t>VOC</w:t>
            </w:r>
            <w:r>
              <w:rPr>
                <w:sz w:val="24"/>
              </w:rPr>
              <w:t>s含量涂料</w:t>
            </w:r>
            <w:r>
              <w:rPr>
                <w:rFonts w:hint="eastAsia"/>
                <w:sz w:val="24"/>
              </w:rPr>
              <w:t>10吨</w:t>
            </w:r>
            <w:r>
              <w:rPr>
                <w:sz w:val="24"/>
              </w:rPr>
              <w:t>以下的除外）</w:t>
            </w:r>
            <w:r>
              <w:rPr>
                <w:rFonts w:hint="eastAsia"/>
                <w:sz w:val="24"/>
              </w:rPr>
              <w:t>”</w:t>
            </w:r>
            <w:r>
              <w:rPr>
                <w:sz w:val="24"/>
              </w:rPr>
              <w:t>，应编制环境影响报告表。</w:t>
            </w:r>
            <w:r>
              <w:rPr>
                <w:rFonts w:hint="eastAsia"/>
                <w:sz w:val="24"/>
              </w:rPr>
              <w:t>因此本项目需要编制环境</w:t>
            </w:r>
            <w:r>
              <w:rPr>
                <w:sz w:val="24"/>
              </w:rPr>
              <w:t>影响报告表</w:t>
            </w:r>
            <w:r>
              <w:rPr>
                <w:rFonts w:hint="eastAsia"/>
                <w:sz w:val="24"/>
              </w:rPr>
              <w:t>。</w:t>
            </w:r>
          </w:p>
          <w:p w14:paraId="64F56F84">
            <w:pPr>
              <w:adjustRightInd w:val="0"/>
              <w:snapToGrid w:val="0"/>
              <w:spacing w:line="360" w:lineRule="auto"/>
              <w:ind w:firstLine="482" w:firstLineChars="200"/>
              <w:rPr>
                <w:b/>
                <w:sz w:val="24"/>
              </w:rPr>
            </w:pPr>
            <w:r>
              <w:rPr>
                <w:b/>
                <w:sz w:val="24"/>
              </w:rPr>
              <w:t>2</w:t>
            </w:r>
            <w:r>
              <w:rPr>
                <w:rFonts w:hint="eastAsia"/>
                <w:b/>
                <w:sz w:val="24"/>
              </w:rPr>
              <w:t>、项目建设与“三线一单”相符性分析</w:t>
            </w:r>
          </w:p>
          <w:p w14:paraId="0A5E99E1">
            <w:pPr>
              <w:spacing w:line="360" w:lineRule="auto"/>
              <w:ind w:firstLine="480" w:firstLineChars="200"/>
              <w:rPr>
                <w:b/>
                <w:color w:val="C00000"/>
                <w:sz w:val="24"/>
                <w:u w:val="single"/>
              </w:rPr>
            </w:pPr>
            <w:r>
              <w:rPr>
                <w:rFonts w:hint="eastAsia" w:hAnsi="宋体"/>
                <w:sz w:val="24"/>
              </w:rPr>
              <w:t>（</w:t>
            </w:r>
            <w:r>
              <w:rPr>
                <w:sz w:val="24"/>
              </w:rPr>
              <w:t>1</w:t>
            </w:r>
            <w:r>
              <w:rPr>
                <w:rFonts w:hint="eastAsia" w:hAnsi="宋体"/>
                <w:sz w:val="24"/>
              </w:rPr>
              <w:t>）</w:t>
            </w:r>
            <w:r>
              <w:rPr>
                <w:rFonts w:hint="eastAsia"/>
                <w:sz w:val="24"/>
              </w:rPr>
              <w:t>生态保护红线</w:t>
            </w:r>
          </w:p>
          <w:p w14:paraId="30263B3D">
            <w:pPr>
              <w:adjustRightInd w:val="0"/>
              <w:snapToGrid w:val="0"/>
              <w:spacing w:line="360" w:lineRule="auto"/>
              <w:ind w:firstLine="480" w:firstLineChars="200"/>
              <w:rPr>
                <w:rFonts w:hAnsi="宋体"/>
                <w:kern w:val="0"/>
                <w:sz w:val="24"/>
              </w:rPr>
            </w:pPr>
            <w:r>
              <w:rPr>
                <w:rFonts w:hint="eastAsia" w:hAnsi="宋体"/>
                <w:kern w:val="0"/>
                <w:sz w:val="24"/>
              </w:rPr>
              <w:t>项目位于河南省商丘市民权县北关镇周翟庄村北民荷路东侧18号，根据</w:t>
            </w:r>
            <w:r>
              <w:rPr>
                <w:rFonts w:hAnsi="宋体"/>
                <w:sz w:val="24"/>
              </w:rPr>
              <w:t>河南省“三线一单”</w:t>
            </w:r>
            <w:r>
              <w:rPr>
                <w:rFonts w:hint="eastAsia" w:hAnsi="宋体"/>
                <w:sz w:val="24"/>
              </w:rPr>
              <w:t>综合信息</w:t>
            </w:r>
            <w:r>
              <w:rPr>
                <w:rFonts w:hAnsi="宋体"/>
                <w:sz w:val="24"/>
              </w:rPr>
              <w:t>应用平台</w:t>
            </w:r>
            <w:r>
              <w:rPr>
                <w:rFonts w:hint="eastAsia" w:hAnsi="宋体"/>
                <w:sz w:val="24"/>
              </w:rPr>
              <w:t>研判</w:t>
            </w:r>
            <w:r>
              <w:rPr>
                <w:rFonts w:hAnsi="宋体"/>
                <w:sz w:val="24"/>
              </w:rPr>
              <w:t>分析</w:t>
            </w:r>
            <w:r>
              <w:rPr>
                <w:rFonts w:hint="eastAsia" w:hAnsi="宋体"/>
                <w:sz w:val="24"/>
              </w:rPr>
              <w:t>结果</w:t>
            </w:r>
            <w:r>
              <w:rPr>
                <w:rFonts w:hint="eastAsia" w:hAnsi="宋体"/>
                <w:kern w:val="0"/>
                <w:sz w:val="24"/>
              </w:rPr>
              <w:t>（见附图七），本项目不在商丘市生态保护红线范围内，位于一般管控单元，符合管控要求。</w:t>
            </w:r>
          </w:p>
          <w:p w14:paraId="125EEFA2">
            <w:pPr>
              <w:spacing w:line="360" w:lineRule="auto"/>
              <w:ind w:firstLine="480" w:firstLineChars="200"/>
              <w:rPr>
                <w:sz w:val="24"/>
              </w:rPr>
            </w:pPr>
            <w:r>
              <w:rPr>
                <w:rFonts w:hint="eastAsia" w:hAnsi="宋体"/>
                <w:sz w:val="24"/>
              </w:rPr>
              <w:t>（</w:t>
            </w:r>
            <w:r>
              <w:rPr>
                <w:sz w:val="24"/>
              </w:rPr>
              <w:t>2</w:t>
            </w:r>
            <w:r>
              <w:rPr>
                <w:rFonts w:hint="eastAsia" w:hAnsi="宋体"/>
                <w:sz w:val="24"/>
              </w:rPr>
              <w:t>）环境质量底线</w:t>
            </w:r>
          </w:p>
          <w:p w14:paraId="3F0DFE76">
            <w:pPr>
              <w:adjustRightInd w:val="0"/>
              <w:snapToGrid w:val="0"/>
              <w:spacing w:line="360" w:lineRule="auto"/>
              <w:ind w:firstLine="480" w:firstLineChars="200"/>
              <w:rPr>
                <w:kern w:val="0"/>
                <w:sz w:val="24"/>
              </w:rPr>
            </w:pPr>
            <w:r>
              <w:rPr>
                <w:kern w:val="0"/>
                <w:sz w:val="24"/>
              </w:rPr>
              <w:t>根据环境空气质量模型技术支持服务系统统计的商丘市</w:t>
            </w:r>
            <w:r>
              <w:rPr>
                <w:rFonts w:eastAsia="TimesNewRomanPSMT"/>
                <w:kern w:val="0"/>
                <w:sz w:val="24"/>
              </w:rPr>
              <w:t>202</w:t>
            </w:r>
            <w:r>
              <w:rPr>
                <w:rFonts w:hint="eastAsia" w:eastAsia="TimesNewRomanPSMT"/>
                <w:kern w:val="0"/>
                <w:sz w:val="24"/>
              </w:rPr>
              <w:t>3</w:t>
            </w:r>
            <w:r>
              <w:rPr>
                <w:kern w:val="0"/>
                <w:sz w:val="24"/>
              </w:rPr>
              <w:t>年环境空气质量数据可知，项目所在区域</w:t>
            </w:r>
            <w:r>
              <w:rPr>
                <w:rFonts w:eastAsia="TimesNewRomanPSMT"/>
                <w:kern w:val="0"/>
                <w:sz w:val="24"/>
              </w:rPr>
              <w:t>SO</w:t>
            </w:r>
            <w:r>
              <w:rPr>
                <w:rFonts w:eastAsia="TimesNewRomanPSMT"/>
                <w:kern w:val="0"/>
                <w:sz w:val="24"/>
                <w:vertAlign w:val="subscript"/>
              </w:rPr>
              <w:t>2</w:t>
            </w:r>
            <w:r>
              <w:rPr>
                <w:kern w:val="0"/>
                <w:sz w:val="24"/>
              </w:rPr>
              <w:t>、</w:t>
            </w:r>
            <w:r>
              <w:rPr>
                <w:rFonts w:eastAsia="TimesNewRomanPSMT"/>
                <w:kern w:val="0"/>
                <w:sz w:val="24"/>
              </w:rPr>
              <w:t>NO</w:t>
            </w:r>
            <w:r>
              <w:rPr>
                <w:rFonts w:eastAsia="TimesNewRomanPSMT"/>
                <w:kern w:val="0"/>
                <w:sz w:val="24"/>
                <w:vertAlign w:val="subscript"/>
              </w:rPr>
              <w:t>2</w:t>
            </w:r>
            <w:r>
              <w:rPr>
                <w:kern w:val="0"/>
                <w:sz w:val="24"/>
              </w:rPr>
              <w:t>、</w:t>
            </w:r>
            <w:r>
              <w:rPr>
                <w:rFonts w:eastAsia="TimesNewRomanPSMT"/>
                <w:kern w:val="0"/>
                <w:sz w:val="24"/>
              </w:rPr>
              <w:t>CO</w:t>
            </w:r>
            <w:r>
              <w:rPr>
                <w:kern w:val="0"/>
                <w:sz w:val="24"/>
              </w:rPr>
              <w:t>均满足《环境空气质量标准》（</w:t>
            </w:r>
            <w:r>
              <w:rPr>
                <w:rFonts w:eastAsia="TimesNewRomanPSMT"/>
                <w:kern w:val="0"/>
                <w:sz w:val="24"/>
              </w:rPr>
              <w:t>GB3095-2012</w:t>
            </w:r>
            <w:r>
              <w:rPr>
                <w:kern w:val="0"/>
                <w:sz w:val="24"/>
              </w:rPr>
              <w:t>）二级标准，</w:t>
            </w:r>
            <w:r>
              <w:rPr>
                <w:rFonts w:eastAsia="TimesNewRomanPSMT"/>
                <w:kern w:val="0"/>
                <w:sz w:val="24"/>
              </w:rPr>
              <w:t>PM</w:t>
            </w:r>
            <w:r>
              <w:rPr>
                <w:rFonts w:eastAsia="TimesNewRomanPSMT"/>
                <w:kern w:val="0"/>
                <w:sz w:val="24"/>
                <w:vertAlign w:val="subscript"/>
              </w:rPr>
              <w:t>2.5</w:t>
            </w:r>
            <w:r>
              <w:rPr>
                <w:kern w:val="0"/>
                <w:sz w:val="24"/>
              </w:rPr>
              <w:t>、</w:t>
            </w:r>
            <w:r>
              <w:rPr>
                <w:rFonts w:eastAsia="TimesNewRomanPSMT"/>
                <w:kern w:val="0"/>
                <w:sz w:val="24"/>
              </w:rPr>
              <w:t>PM</w:t>
            </w:r>
            <w:r>
              <w:rPr>
                <w:rFonts w:eastAsia="TimesNewRomanPSMT"/>
                <w:kern w:val="0"/>
                <w:sz w:val="24"/>
                <w:vertAlign w:val="subscript"/>
              </w:rPr>
              <w:t>10</w:t>
            </w:r>
            <w:r>
              <w:rPr>
                <w:kern w:val="0"/>
                <w:sz w:val="24"/>
              </w:rPr>
              <w:t>、</w:t>
            </w:r>
            <w:r>
              <w:rPr>
                <w:rFonts w:eastAsia="TimesNewRomanPSMT"/>
                <w:kern w:val="0"/>
                <w:sz w:val="24"/>
              </w:rPr>
              <w:t>O</w:t>
            </w:r>
            <w:r>
              <w:rPr>
                <w:rFonts w:eastAsia="TimesNewRomanPSMT"/>
                <w:kern w:val="0"/>
                <w:sz w:val="24"/>
                <w:vertAlign w:val="subscript"/>
              </w:rPr>
              <w:t>3</w:t>
            </w:r>
            <w:r>
              <w:rPr>
                <w:kern w:val="0"/>
                <w:sz w:val="24"/>
              </w:rPr>
              <w:t>均不满足《环境空气质量标准》（</w:t>
            </w:r>
            <w:r>
              <w:rPr>
                <w:rFonts w:eastAsia="TimesNewRomanPSMT"/>
                <w:kern w:val="0"/>
                <w:sz w:val="24"/>
              </w:rPr>
              <w:t>GB3095-2012</w:t>
            </w:r>
            <w:r>
              <w:rPr>
                <w:kern w:val="0"/>
                <w:sz w:val="24"/>
              </w:rPr>
              <w:t>）二级标准，故项目所在区域环境空气质量为不达标区。目前民权县正在实施</w:t>
            </w:r>
            <w:r>
              <w:rPr>
                <w:rFonts w:hint="eastAsia"/>
                <w:kern w:val="0"/>
                <w:sz w:val="24"/>
              </w:rPr>
              <w:t>《河南省</w:t>
            </w:r>
            <w:r>
              <w:rPr>
                <w:rFonts w:eastAsia="TimesNewRomanPSMT"/>
                <w:kern w:val="0"/>
                <w:sz w:val="24"/>
              </w:rPr>
              <w:t>2025</w:t>
            </w:r>
            <w:r>
              <w:rPr>
                <w:kern w:val="0"/>
                <w:sz w:val="24"/>
              </w:rPr>
              <w:t>年蓝天保卫战实施方案》</w:t>
            </w:r>
            <w:r>
              <w:rPr>
                <w:rFonts w:hint="eastAsia"/>
                <w:kern w:val="0"/>
                <w:sz w:val="24"/>
              </w:rPr>
              <w:t>、</w:t>
            </w:r>
            <w:r>
              <w:rPr>
                <w:kern w:val="0"/>
                <w:sz w:val="24"/>
              </w:rPr>
              <w:t>《河南省深入打好秋冬季重污染天气消除、夏季臭氧防治和柴油货车污染治理攻坚战行动方案》、《</w:t>
            </w:r>
            <w:bookmarkStart w:id="1" w:name="OLE_LINK5"/>
            <w:bookmarkStart w:id="2" w:name="OLE_LINK6"/>
            <w:r>
              <w:rPr>
                <w:kern w:val="0"/>
                <w:sz w:val="24"/>
              </w:rPr>
              <w:t>商丘市</w:t>
            </w:r>
            <w:r>
              <w:rPr>
                <w:rFonts w:eastAsia="TimesNewRomanPSMT"/>
                <w:kern w:val="0"/>
                <w:sz w:val="24"/>
              </w:rPr>
              <w:t>202</w:t>
            </w:r>
            <w:r>
              <w:rPr>
                <w:rFonts w:hint="eastAsia" w:eastAsia="TimesNewRomanPSMT"/>
                <w:kern w:val="0"/>
                <w:sz w:val="24"/>
              </w:rPr>
              <w:t>4</w:t>
            </w:r>
            <w:r>
              <w:rPr>
                <w:kern w:val="0"/>
                <w:sz w:val="24"/>
              </w:rPr>
              <w:t>年蓝天保卫战实施方案</w:t>
            </w:r>
            <w:bookmarkEnd w:id="1"/>
            <w:bookmarkEnd w:id="2"/>
            <w:r>
              <w:rPr>
                <w:kern w:val="0"/>
                <w:sz w:val="24"/>
              </w:rPr>
              <w:t>》等文件，通过实施一系列措施，可有效改善当地区域环境空气质量。</w:t>
            </w:r>
          </w:p>
          <w:p w14:paraId="6B0675C3">
            <w:pPr>
              <w:spacing w:line="360" w:lineRule="auto"/>
              <w:ind w:firstLine="480" w:firstLineChars="200"/>
              <w:rPr>
                <w:rFonts w:hAnsi="宋体"/>
                <w:sz w:val="24"/>
              </w:rPr>
            </w:pPr>
            <w:r>
              <w:rPr>
                <w:rFonts w:hint="eastAsia" w:hAnsi="宋体"/>
                <w:sz w:val="24"/>
              </w:rPr>
              <w:t>附近地表水体</w:t>
            </w:r>
            <w:r>
              <w:rPr>
                <w:rFonts w:hint="eastAsia"/>
                <w:sz w:val="24"/>
              </w:rPr>
              <w:t>pH值、</w:t>
            </w:r>
            <w:r>
              <w:rPr>
                <w:sz w:val="24"/>
              </w:rPr>
              <w:t>COD</w:t>
            </w:r>
            <w:r>
              <w:rPr>
                <w:rFonts w:hint="eastAsia" w:hAnsi="宋体"/>
                <w:sz w:val="24"/>
              </w:rPr>
              <w:t>、氨氮、总磷</w:t>
            </w:r>
            <w:r>
              <w:rPr>
                <w:rFonts w:hint="eastAsia"/>
                <w:sz w:val="24"/>
              </w:rPr>
              <w:t>均可满足《地表水环境质量标准》（GB3838-2002）</w:t>
            </w:r>
            <w:r>
              <w:rPr>
                <w:sz w:val="24"/>
              </w:rPr>
              <w:t>Ⅳ</w:t>
            </w:r>
            <w:r>
              <w:rPr>
                <w:rFonts w:hint="eastAsia"/>
                <w:sz w:val="24"/>
              </w:rPr>
              <w:t>类水质要求，</w:t>
            </w:r>
            <w:r>
              <w:rPr>
                <w:rFonts w:hint="eastAsia" w:hAnsi="宋体"/>
                <w:sz w:val="24"/>
              </w:rPr>
              <w:t>本项目废水经罐车</w:t>
            </w:r>
            <w:r>
              <w:rPr>
                <w:sz w:val="24"/>
              </w:rPr>
              <w:t>运至北关镇污水处理厂处理后达标排放</w:t>
            </w:r>
            <w:r>
              <w:rPr>
                <w:rFonts w:hint="eastAsia" w:hAnsi="宋体"/>
                <w:sz w:val="24"/>
              </w:rPr>
              <w:t>，不会对地表水产生影响。</w:t>
            </w:r>
          </w:p>
          <w:p w14:paraId="475899C0">
            <w:pPr>
              <w:pStyle w:val="11"/>
              <w:spacing w:line="360" w:lineRule="auto"/>
              <w:ind w:firstLine="480"/>
              <w:rPr>
                <w:sz w:val="24"/>
              </w:rPr>
            </w:pPr>
            <w:r>
              <w:rPr>
                <w:rFonts w:hint="eastAsia"/>
                <w:sz w:val="24"/>
              </w:rPr>
              <w:t>项目废气经采取相应防治措施处理后能够达标排放；项目生产废水</w:t>
            </w:r>
            <w:r>
              <w:rPr>
                <w:sz w:val="24"/>
              </w:rPr>
              <w:t>经三级沉淀池沉淀后循环使用</w:t>
            </w:r>
            <w:r>
              <w:rPr>
                <w:rFonts w:hint="eastAsia"/>
                <w:sz w:val="24"/>
              </w:rPr>
              <w:t>，每</w:t>
            </w:r>
            <w:r>
              <w:rPr>
                <w:sz w:val="24"/>
              </w:rPr>
              <w:t>三天</w:t>
            </w:r>
            <w:r>
              <w:rPr>
                <w:rFonts w:hint="eastAsia"/>
                <w:sz w:val="24"/>
              </w:rPr>
              <w:t>与生活污水</w:t>
            </w:r>
            <w:r>
              <w:rPr>
                <w:sz w:val="24"/>
              </w:rPr>
              <w:t>一起经罐车运至北关镇污水处理厂处理后达标排放</w:t>
            </w:r>
            <w:r>
              <w:rPr>
                <w:rFonts w:hint="eastAsia"/>
                <w:sz w:val="24"/>
              </w:rPr>
              <w:t>；噪声经预测后能够满足《工业企业厂界环境噪声排放标准》</w:t>
            </w:r>
            <w:r>
              <w:rPr>
                <w:sz w:val="24"/>
              </w:rPr>
              <w:t>(GB12348-2008)2</w:t>
            </w:r>
            <w:r>
              <w:rPr>
                <w:rFonts w:hint="eastAsia"/>
                <w:sz w:val="24"/>
              </w:rPr>
              <w:t>类标准要求；项目营运期固体废物均能够妥善处理处置。</w:t>
            </w:r>
          </w:p>
          <w:p w14:paraId="3E1BE22C">
            <w:pPr>
              <w:pStyle w:val="11"/>
              <w:spacing w:line="360" w:lineRule="auto"/>
              <w:ind w:firstLine="480"/>
              <w:rPr>
                <w:sz w:val="24"/>
              </w:rPr>
            </w:pPr>
            <w:r>
              <w:rPr>
                <w:rFonts w:hint="eastAsia"/>
                <w:sz w:val="24"/>
              </w:rPr>
              <w:t>综上，项目建设对区域环境质量影响较小，满足环境质量底线要求。</w:t>
            </w:r>
          </w:p>
          <w:p w14:paraId="3B0DDF6E">
            <w:pPr>
              <w:spacing w:line="360" w:lineRule="auto"/>
              <w:ind w:firstLine="480" w:firstLineChars="200"/>
              <w:rPr>
                <w:sz w:val="24"/>
              </w:rPr>
            </w:pPr>
            <w:r>
              <w:rPr>
                <w:rFonts w:hint="eastAsia" w:hAnsi="宋体"/>
                <w:sz w:val="24"/>
              </w:rPr>
              <w:t>（</w:t>
            </w:r>
            <w:r>
              <w:rPr>
                <w:sz w:val="24"/>
              </w:rPr>
              <w:t>3</w:t>
            </w:r>
            <w:r>
              <w:rPr>
                <w:rFonts w:hint="eastAsia" w:hAnsi="宋体"/>
                <w:sz w:val="24"/>
              </w:rPr>
              <w:t>）资源利用上线</w:t>
            </w:r>
          </w:p>
          <w:p w14:paraId="0FC7B731">
            <w:pPr>
              <w:spacing w:line="360" w:lineRule="auto"/>
              <w:ind w:firstLine="480" w:firstLineChars="200"/>
              <w:rPr>
                <w:sz w:val="24"/>
              </w:rPr>
            </w:pPr>
            <w:r>
              <w:rPr>
                <w:rFonts w:hint="eastAsia" w:hAnsi="宋体"/>
                <w:sz w:val="24"/>
              </w:rPr>
              <w:t>本项目利用能源资源主要为水和电；项目建成运行后通过内部管理、设备选择、原辅材料的选用和管理、废物回收利用、污染治理等多方面措施，可使产生的污染物得到有效的处置。项目对资源的使用较少，利用率较高，不触及资源利用上线。</w:t>
            </w:r>
          </w:p>
          <w:p w14:paraId="22110342">
            <w:pPr>
              <w:spacing w:line="360" w:lineRule="auto"/>
              <w:ind w:firstLine="480" w:firstLineChars="200"/>
              <w:rPr>
                <w:sz w:val="24"/>
              </w:rPr>
            </w:pPr>
            <w:r>
              <w:rPr>
                <w:rFonts w:hint="eastAsia" w:hAnsi="宋体"/>
                <w:sz w:val="24"/>
              </w:rPr>
              <w:t>（</w:t>
            </w:r>
            <w:r>
              <w:rPr>
                <w:sz w:val="24"/>
              </w:rPr>
              <w:t>4</w:t>
            </w:r>
            <w:r>
              <w:rPr>
                <w:rFonts w:hint="eastAsia" w:hAnsi="宋体"/>
                <w:sz w:val="24"/>
              </w:rPr>
              <w:t>）环境准入清单</w:t>
            </w:r>
          </w:p>
          <w:p w14:paraId="5AB71ADF">
            <w:pPr>
              <w:spacing w:line="360" w:lineRule="auto"/>
              <w:ind w:firstLine="480" w:firstLineChars="200"/>
              <w:rPr>
                <w:rFonts w:hAnsi="宋体"/>
                <w:sz w:val="24"/>
              </w:rPr>
            </w:pPr>
            <w:r>
              <w:rPr>
                <w:bCs/>
                <w:sz w:val="24"/>
              </w:rPr>
              <w:t>根据</w:t>
            </w:r>
            <w:r>
              <w:rPr>
                <w:rFonts w:hint="eastAsia"/>
                <w:bCs/>
                <w:sz w:val="24"/>
              </w:rPr>
              <w:t>《</w:t>
            </w:r>
            <w:r>
              <w:rPr>
                <w:bCs/>
                <w:sz w:val="24"/>
              </w:rPr>
              <w:t>关于公布河南省“三线一单”生态环境分区管控更新成果（2023年版）的通知</w:t>
            </w:r>
            <w:r>
              <w:rPr>
                <w:rFonts w:hint="eastAsia"/>
                <w:bCs/>
                <w:sz w:val="24"/>
              </w:rPr>
              <w:t>》</w:t>
            </w:r>
            <w:r>
              <w:rPr>
                <w:rFonts w:hAnsi="宋体"/>
                <w:sz w:val="24"/>
              </w:rPr>
              <w:t>及河南省“三线一单”</w:t>
            </w:r>
            <w:r>
              <w:rPr>
                <w:rFonts w:hint="eastAsia" w:hAnsi="宋体"/>
                <w:sz w:val="24"/>
              </w:rPr>
              <w:t>综合信息</w:t>
            </w:r>
            <w:r>
              <w:rPr>
                <w:rFonts w:hAnsi="宋体"/>
                <w:sz w:val="24"/>
              </w:rPr>
              <w:t>应用平台</w:t>
            </w:r>
            <w:r>
              <w:rPr>
                <w:rFonts w:hint="eastAsia" w:hAnsi="宋体"/>
                <w:sz w:val="24"/>
              </w:rPr>
              <w:t>研判</w:t>
            </w:r>
            <w:r>
              <w:rPr>
                <w:rFonts w:hAnsi="宋体"/>
                <w:sz w:val="24"/>
              </w:rPr>
              <w:t>分析</w:t>
            </w:r>
            <w:r>
              <w:rPr>
                <w:rFonts w:hint="eastAsia" w:hAnsi="宋体"/>
                <w:sz w:val="24"/>
              </w:rPr>
              <w:t>结果</w:t>
            </w:r>
            <w:r>
              <w:rPr>
                <w:rFonts w:hAnsi="宋体"/>
                <w:sz w:val="24"/>
              </w:rPr>
              <w:t>确定</w:t>
            </w:r>
            <w:r>
              <w:rPr>
                <w:rFonts w:hint="eastAsia" w:hAnsi="宋体"/>
                <w:sz w:val="24"/>
              </w:rPr>
              <w:t>，</w:t>
            </w:r>
            <w:r>
              <w:rPr>
                <w:rFonts w:hAnsi="宋体"/>
                <w:sz w:val="24"/>
              </w:rPr>
              <w:t>本项目位于</w:t>
            </w:r>
            <w:r>
              <w:rPr>
                <w:rFonts w:hint="eastAsia" w:hAnsi="宋体"/>
                <w:sz w:val="24"/>
              </w:rPr>
              <w:t>一般管控单元，编号为</w:t>
            </w:r>
            <w:r>
              <w:rPr>
                <w:rFonts w:hAnsi="宋体"/>
                <w:sz w:val="24"/>
              </w:rPr>
              <w:t>ZH41142130001</w:t>
            </w:r>
            <w:r>
              <w:rPr>
                <w:rFonts w:hint="eastAsia" w:hAnsi="宋体"/>
                <w:sz w:val="24"/>
              </w:rPr>
              <w:t>，</w:t>
            </w:r>
            <w:r>
              <w:rPr>
                <w:rFonts w:hAnsi="宋体"/>
                <w:sz w:val="24"/>
              </w:rPr>
              <w:t>该项目无空间冲突。</w:t>
            </w:r>
            <w:r>
              <w:rPr>
                <w:sz w:val="24"/>
              </w:rPr>
              <w:t>本项目</w:t>
            </w:r>
            <w:r>
              <w:rPr>
                <w:rFonts w:hint="eastAsia"/>
                <w:sz w:val="24"/>
              </w:rPr>
              <w:t>与</w:t>
            </w:r>
            <w:r>
              <w:rPr>
                <w:sz w:val="24"/>
              </w:rPr>
              <w:t>所在区域环境管控单元生态环境准入清单对比分析见下表。</w:t>
            </w:r>
          </w:p>
          <w:p w14:paraId="0B1D35D1">
            <w:pPr>
              <w:pStyle w:val="78"/>
              <w:spacing w:line="240" w:lineRule="auto"/>
              <w:rPr>
                <w:sz w:val="24"/>
                <w:szCs w:val="24"/>
              </w:rPr>
            </w:pPr>
            <w:r>
              <w:rPr>
                <w:rFonts w:hint="eastAsia"/>
                <w:sz w:val="24"/>
                <w:szCs w:val="24"/>
              </w:rPr>
              <w:t>表1   项目所在区域环境管控单元生态环境准入清单</w:t>
            </w:r>
          </w:p>
          <w:tbl>
            <w:tblPr>
              <w:tblStyle w:val="29"/>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80"/>
              <w:gridCol w:w="744"/>
              <w:gridCol w:w="446"/>
              <w:gridCol w:w="594"/>
              <w:gridCol w:w="489"/>
              <w:gridCol w:w="3119"/>
              <w:gridCol w:w="1891"/>
              <w:gridCol w:w="380"/>
            </w:tblGrid>
            <w:tr w14:paraId="7DC0E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134" w:hRule="atLeast"/>
                <w:jc w:val="center"/>
              </w:trPr>
              <w:tc>
                <w:tcPr>
                  <w:tcW w:w="295" w:type="pct"/>
                  <w:tcBorders>
                    <w:top w:val="single" w:color="auto" w:sz="4" w:space="0"/>
                    <w:left w:val="single" w:color="auto" w:sz="4" w:space="0"/>
                    <w:bottom w:val="single" w:color="auto" w:sz="4" w:space="0"/>
                    <w:right w:val="single" w:color="auto" w:sz="4" w:space="0"/>
                  </w:tcBorders>
                  <w:vAlign w:val="center"/>
                </w:tcPr>
                <w:p w14:paraId="4CD72033">
                  <w:pPr>
                    <w:jc w:val="center"/>
                    <w:rPr>
                      <w:bCs/>
                      <w:szCs w:val="21"/>
                    </w:rPr>
                  </w:pPr>
                  <w:r>
                    <w:rPr>
                      <w:rFonts w:hint="eastAsia"/>
                      <w:bCs/>
                      <w:szCs w:val="21"/>
                    </w:rPr>
                    <w:t>环境管控单元编码</w:t>
                  </w:r>
                </w:p>
              </w:tc>
              <w:tc>
                <w:tcPr>
                  <w:tcW w:w="457" w:type="pct"/>
                  <w:tcBorders>
                    <w:top w:val="single" w:color="auto" w:sz="4" w:space="0"/>
                    <w:left w:val="single" w:color="auto" w:sz="4" w:space="0"/>
                    <w:bottom w:val="single" w:color="auto" w:sz="4" w:space="0"/>
                    <w:right w:val="single" w:color="auto" w:sz="4" w:space="0"/>
                  </w:tcBorders>
                  <w:vAlign w:val="center"/>
                </w:tcPr>
                <w:p w14:paraId="294462B6">
                  <w:pPr>
                    <w:jc w:val="center"/>
                    <w:rPr>
                      <w:bCs/>
                      <w:szCs w:val="21"/>
                    </w:rPr>
                  </w:pPr>
                  <w:r>
                    <w:rPr>
                      <w:rFonts w:hint="eastAsia"/>
                      <w:bCs/>
                      <w:szCs w:val="21"/>
                    </w:rPr>
                    <w:t>环境管控单元名称</w:t>
                  </w:r>
                </w:p>
              </w:tc>
              <w:tc>
                <w:tcPr>
                  <w:tcW w:w="274" w:type="pct"/>
                  <w:tcBorders>
                    <w:top w:val="single" w:color="auto" w:sz="4" w:space="0"/>
                    <w:left w:val="single" w:color="auto" w:sz="4" w:space="0"/>
                    <w:bottom w:val="single" w:color="auto" w:sz="4" w:space="0"/>
                    <w:right w:val="single" w:color="auto" w:sz="4" w:space="0"/>
                  </w:tcBorders>
                  <w:textDirection w:val="tbRlV"/>
                  <w:vAlign w:val="center"/>
                </w:tcPr>
                <w:p w14:paraId="4BA04148">
                  <w:pPr>
                    <w:ind w:left="113" w:right="113"/>
                    <w:jc w:val="center"/>
                    <w:rPr>
                      <w:bCs/>
                      <w:szCs w:val="21"/>
                    </w:rPr>
                  </w:pPr>
                  <w:r>
                    <w:rPr>
                      <w:rFonts w:hint="eastAsia"/>
                      <w:bCs/>
                      <w:szCs w:val="21"/>
                    </w:rPr>
                    <w:t>行政区划</w:t>
                  </w:r>
                </w:p>
              </w:tc>
              <w:tc>
                <w:tcPr>
                  <w:tcW w:w="365" w:type="pct"/>
                  <w:tcBorders>
                    <w:top w:val="single" w:color="auto" w:sz="4" w:space="0"/>
                    <w:left w:val="single" w:color="auto" w:sz="4" w:space="0"/>
                    <w:bottom w:val="single" w:color="auto" w:sz="4" w:space="0"/>
                    <w:right w:val="single" w:color="auto" w:sz="4" w:space="0"/>
                  </w:tcBorders>
                  <w:vAlign w:val="center"/>
                </w:tcPr>
                <w:p w14:paraId="73250045">
                  <w:pPr>
                    <w:jc w:val="center"/>
                    <w:rPr>
                      <w:bCs/>
                      <w:szCs w:val="21"/>
                    </w:rPr>
                  </w:pPr>
                  <w:r>
                    <w:rPr>
                      <w:rFonts w:hint="eastAsia"/>
                      <w:bCs/>
                      <w:szCs w:val="21"/>
                    </w:rPr>
                    <w:t>管控单元分类</w:t>
                  </w:r>
                </w:p>
              </w:tc>
              <w:tc>
                <w:tcPr>
                  <w:tcW w:w="2215" w:type="pct"/>
                  <w:gridSpan w:val="2"/>
                  <w:tcBorders>
                    <w:top w:val="single" w:color="auto" w:sz="4" w:space="0"/>
                    <w:left w:val="single" w:color="auto" w:sz="4" w:space="0"/>
                    <w:bottom w:val="single" w:color="auto" w:sz="4" w:space="0"/>
                    <w:right w:val="single" w:color="auto" w:sz="4" w:space="0"/>
                  </w:tcBorders>
                  <w:vAlign w:val="center"/>
                </w:tcPr>
                <w:p w14:paraId="54528AE2">
                  <w:pPr>
                    <w:jc w:val="center"/>
                    <w:rPr>
                      <w:bCs/>
                      <w:szCs w:val="21"/>
                    </w:rPr>
                  </w:pPr>
                  <w:r>
                    <w:rPr>
                      <w:rFonts w:hint="eastAsia"/>
                      <w:bCs/>
                      <w:szCs w:val="21"/>
                    </w:rPr>
                    <w:t>管控要求</w:t>
                  </w:r>
                </w:p>
              </w:tc>
              <w:tc>
                <w:tcPr>
                  <w:tcW w:w="1161" w:type="pct"/>
                  <w:tcBorders>
                    <w:top w:val="single" w:color="auto" w:sz="4" w:space="0"/>
                    <w:left w:val="single" w:color="auto" w:sz="4" w:space="0"/>
                    <w:bottom w:val="single" w:color="auto" w:sz="4" w:space="0"/>
                    <w:right w:val="single" w:color="auto" w:sz="4" w:space="0"/>
                  </w:tcBorders>
                  <w:vAlign w:val="center"/>
                </w:tcPr>
                <w:p w14:paraId="0E3101D0">
                  <w:pPr>
                    <w:jc w:val="center"/>
                    <w:rPr>
                      <w:bCs/>
                      <w:szCs w:val="21"/>
                    </w:rPr>
                  </w:pPr>
                  <w:r>
                    <w:rPr>
                      <w:rFonts w:hint="eastAsia"/>
                      <w:bCs/>
                      <w:szCs w:val="21"/>
                    </w:rPr>
                    <w:t>本项目情况</w:t>
                  </w:r>
                </w:p>
              </w:tc>
              <w:tc>
                <w:tcPr>
                  <w:tcW w:w="233" w:type="pct"/>
                  <w:tcBorders>
                    <w:top w:val="single" w:color="auto" w:sz="4" w:space="0"/>
                    <w:left w:val="single" w:color="auto" w:sz="4" w:space="0"/>
                    <w:bottom w:val="single" w:color="auto" w:sz="4" w:space="0"/>
                    <w:right w:val="single" w:color="auto" w:sz="4" w:space="0"/>
                  </w:tcBorders>
                  <w:vAlign w:val="center"/>
                </w:tcPr>
                <w:p w14:paraId="5CE09FBD">
                  <w:pPr>
                    <w:jc w:val="center"/>
                    <w:rPr>
                      <w:bCs/>
                      <w:szCs w:val="21"/>
                    </w:rPr>
                  </w:pPr>
                  <w:r>
                    <w:rPr>
                      <w:rFonts w:hint="eastAsia"/>
                      <w:bCs/>
                      <w:szCs w:val="21"/>
                    </w:rPr>
                    <w:t>相符性</w:t>
                  </w:r>
                </w:p>
              </w:tc>
            </w:tr>
            <w:tr w14:paraId="7B1B5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95" w:type="pct"/>
                  <w:vMerge w:val="restart"/>
                  <w:tcBorders>
                    <w:top w:val="single" w:color="auto" w:sz="4" w:space="0"/>
                    <w:left w:val="single" w:color="auto" w:sz="4" w:space="0"/>
                    <w:right w:val="single" w:color="auto" w:sz="4" w:space="0"/>
                  </w:tcBorders>
                  <w:vAlign w:val="center"/>
                </w:tcPr>
                <w:p w14:paraId="5F20E71C">
                  <w:pPr>
                    <w:wordWrap w:val="0"/>
                    <w:jc w:val="center"/>
                    <w:rPr>
                      <w:bCs/>
                      <w:szCs w:val="21"/>
                    </w:rPr>
                  </w:pPr>
                  <w:r>
                    <w:rPr>
                      <w:color w:val="000000"/>
                    </w:rPr>
                    <w:t>ZH41142130001</w:t>
                  </w:r>
                </w:p>
              </w:tc>
              <w:tc>
                <w:tcPr>
                  <w:tcW w:w="457" w:type="pct"/>
                  <w:vMerge w:val="restart"/>
                  <w:tcBorders>
                    <w:top w:val="single" w:color="auto" w:sz="4" w:space="0"/>
                    <w:left w:val="single" w:color="auto" w:sz="4" w:space="0"/>
                    <w:right w:val="single" w:color="auto" w:sz="4" w:space="0"/>
                  </w:tcBorders>
                  <w:vAlign w:val="center"/>
                </w:tcPr>
                <w:p w14:paraId="361F923F">
                  <w:pPr>
                    <w:wordWrap w:val="0"/>
                    <w:jc w:val="center"/>
                    <w:rPr>
                      <w:bCs/>
                      <w:szCs w:val="21"/>
                    </w:rPr>
                  </w:pPr>
                  <w:r>
                    <w:rPr>
                      <w:rFonts w:hint="eastAsia"/>
                      <w:color w:val="000000"/>
                    </w:rPr>
                    <w:t>民权县</w:t>
                  </w:r>
                  <w:r>
                    <w:rPr>
                      <w:color w:val="000000"/>
                    </w:rPr>
                    <w:t>一般管控单元</w:t>
                  </w:r>
                </w:p>
              </w:tc>
              <w:tc>
                <w:tcPr>
                  <w:tcW w:w="274" w:type="pct"/>
                  <w:vMerge w:val="restart"/>
                  <w:tcBorders>
                    <w:top w:val="single" w:color="auto" w:sz="4" w:space="0"/>
                    <w:left w:val="single" w:color="auto" w:sz="4" w:space="0"/>
                    <w:right w:val="single" w:color="auto" w:sz="4" w:space="0"/>
                  </w:tcBorders>
                  <w:vAlign w:val="center"/>
                </w:tcPr>
                <w:p w14:paraId="37034C4B">
                  <w:pPr>
                    <w:adjustRightInd w:val="0"/>
                    <w:snapToGrid w:val="0"/>
                    <w:jc w:val="center"/>
                    <w:rPr>
                      <w:bCs/>
                      <w:szCs w:val="21"/>
                    </w:rPr>
                  </w:pPr>
                  <w:r>
                    <w:rPr>
                      <w:rFonts w:hint="eastAsia"/>
                      <w:bCs/>
                      <w:szCs w:val="21"/>
                    </w:rPr>
                    <w:t>民权县</w:t>
                  </w:r>
                </w:p>
              </w:tc>
              <w:tc>
                <w:tcPr>
                  <w:tcW w:w="365" w:type="pct"/>
                  <w:vMerge w:val="restart"/>
                  <w:tcBorders>
                    <w:top w:val="single" w:color="auto" w:sz="4" w:space="0"/>
                    <w:left w:val="single" w:color="auto" w:sz="4" w:space="0"/>
                    <w:right w:val="single" w:color="auto" w:sz="4" w:space="0"/>
                  </w:tcBorders>
                  <w:vAlign w:val="center"/>
                </w:tcPr>
                <w:p w14:paraId="3D346E66">
                  <w:pPr>
                    <w:jc w:val="center"/>
                    <w:rPr>
                      <w:bCs/>
                      <w:szCs w:val="21"/>
                    </w:rPr>
                  </w:pPr>
                  <w:r>
                    <w:rPr>
                      <w:bCs/>
                      <w:szCs w:val="21"/>
                    </w:rPr>
                    <w:t>一般管控单元</w:t>
                  </w:r>
                </w:p>
              </w:tc>
              <w:tc>
                <w:tcPr>
                  <w:tcW w:w="300" w:type="pct"/>
                  <w:tcBorders>
                    <w:top w:val="single" w:color="auto" w:sz="4" w:space="0"/>
                    <w:left w:val="single" w:color="auto" w:sz="4" w:space="0"/>
                    <w:bottom w:val="single" w:color="auto" w:sz="4" w:space="0"/>
                    <w:right w:val="single" w:color="auto" w:sz="4" w:space="0"/>
                  </w:tcBorders>
                  <w:vAlign w:val="center"/>
                </w:tcPr>
                <w:p w14:paraId="22A32CF5">
                  <w:pPr>
                    <w:jc w:val="center"/>
                    <w:rPr>
                      <w:bCs/>
                      <w:szCs w:val="21"/>
                    </w:rPr>
                  </w:pPr>
                  <w:r>
                    <w:rPr>
                      <w:rFonts w:hint="eastAsia"/>
                      <w:bCs/>
                      <w:szCs w:val="21"/>
                    </w:rPr>
                    <w:t>空间布局约束</w:t>
                  </w:r>
                </w:p>
              </w:tc>
              <w:tc>
                <w:tcPr>
                  <w:tcW w:w="1915" w:type="pct"/>
                  <w:tcBorders>
                    <w:top w:val="single" w:color="auto" w:sz="4" w:space="0"/>
                    <w:left w:val="single" w:color="auto" w:sz="4" w:space="0"/>
                    <w:bottom w:val="single" w:color="auto" w:sz="4" w:space="0"/>
                    <w:right w:val="single" w:color="auto" w:sz="4" w:space="0"/>
                  </w:tcBorders>
                  <w:vAlign w:val="center"/>
                </w:tcPr>
                <w:p w14:paraId="3F4E8702">
                  <w:pPr>
                    <w:jc w:val="left"/>
                    <w:rPr>
                      <w:bCs/>
                      <w:spacing w:val="-4"/>
                      <w:szCs w:val="21"/>
                    </w:rPr>
                  </w:pPr>
                  <w:r>
                    <w:rPr>
                      <w:rFonts w:hint="eastAsia"/>
                      <w:bCs/>
                      <w:spacing w:val="-4"/>
                      <w:szCs w:val="21"/>
                    </w:rPr>
                    <w:t>1、严格控制在优先保护类耕地集中区域新建有色金属冶炼、石油化工、化工、焦化等行业企业以及可能造成耕地土壤污染的建设项目。新建、扩建的重有色金属冶炼、电镀、制革企业应选择布设在依法合规设立并经规划环评的产业园区。</w:t>
                  </w:r>
                </w:p>
                <w:p w14:paraId="040134CF">
                  <w:pPr>
                    <w:jc w:val="left"/>
                    <w:rPr>
                      <w:bCs/>
                      <w:spacing w:val="-4"/>
                      <w:szCs w:val="21"/>
                    </w:rPr>
                  </w:pPr>
                  <w:r>
                    <w:rPr>
                      <w:rFonts w:hint="eastAsia"/>
                      <w:bCs/>
                      <w:spacing w:val="-4"/>
                      <w:szCs w:val="21"/>
                    </w:rPr>
                    <w:t>2、加强对农业空间转为生态空间的监督管理，未经国务院批准，禁止将永久基本农田转为城镇空间。鼓励城镇空间和符合国家生态退耕条件的农业空间转为生态空间。</w:t>
                  </w:r>
                </w:p>
                <w:p w14:paraId="61BE5DF6">
                  <w:pPr>
                    <w:jc w:val="left"/>
                    <w:rPr>
                      <w:bCs/>
                      <w:spacing w:val="-4"/>
                      <w:szCs w:val="21"/>
                    </w:rPr>
                  </w:pPr>
                  <w:r>
                    <w:rPr>
                      <w:rFonts w:hint="eastAsia"/>
                      <w:bCs/>
                      <w:spacing w:val="-4"/>
                      <w:szCs w:val="21"/>
                    </w:rPr>
                    <w:t>3、鼓励依托国能民权热电发展蒸汽使用量大、污染轻的工业企业。</w:t>
                  </w:r>
                </w:p>
                <w:p w14:paraId="530E5A23">
                  <w:pPr>
                    <w:jc w:val="left"/>
                    <w:rPr>
                      <w:bCs/>
                      <w:spacing w:val="-4"/>
                      <w:szCs w:val="21"/>
                    </w:rPr>
                  </w:pPr>
                  <w:r>
                    <w:rPr>
                      <w:rFonts w:hint="eastAsia"/>
                      <w:bCs/>
                      <w:spacing w:val="-4"/>
                      <w:szCs w:val="21"/>
                    </w:rPr>
                    <w:t>4、做好民权葡萄酒生产加工，鼓励建设集酿酒葡萄种植、葡萄酒酿造、休闲旅游和文化推广于一体的葡萄酒庄，大力发展葡萄酒庄园经济。</w:t>
                  </w:r>
                </w:p>
              </w:tc>
              <w:tc>
                <w:tcPr>
                  <w:tcW w:w="1161" w:type="pct"/>
                  <w:tcBorders>
                    <w:top w:val="single" w:color="auto" w:sz="4" w:space="0"/>
                    <w:left w:val="single" w:color="auto" w:sz="4" w:space="0"/>
                    <w:bottom w:val="single" w:color="auto" w:sz="4" w:space="0"/>
                    <w:right w:val="single" w:color="auto" w:sz="4" w:space="0"/>
                  </w:tcBorders>
                  <w:vAlign w:val="center"/>
                </w:tcPr>
                <w:p w14:paraId="783D1566">
                  <w:pPr>
                    <w:wordWrap w:val="0"/>
                    <w:jc w:val="center"/>
                    <w:rPr>
                      <w:bCs/>
                      <w:szCs w:val="21"/>
                    </w:rPr>
                  </w:pPr>
                  <w:r>
                    <w:rPr>
                      <w:rFonts w:hint="eastAsia"/>
                      <w:bCs/>
                      <w:szCs w:val="21"/>
                    </w:rPr>
                    <w:t>本项目</w:t>
                  </w:r>
                  <w:r>
                    <w:rPr>
                      <w:rFonts w:hint="eastAsia"/>
                      <w:szCs w:val="21"/>
                    </w:rPr>
                    <w:t>为塑料制品项目，</w:t>
                  </w:r>
                  <w:r>
                    <w:rPr>
                      <w:rFonts w:hint="eastAsia"/>
                      <w:bCs/>
                      <w:szCs w:val="21"/>
                    </w:rPr>
                    <w:t>不属于高耗水、高污染项目；不属于新、扩建</w:t>
                  </w:r>
                  <w:r>
                    <w:rPr>
                      <w:rFonts w:hint="eastAsia"/>
                      <w:bCs/>
                      <w:spacing w:val="-4"/>
                      <w:szCs w:val="21"/>
                    </w:rPr>
                    <w:t>有色金属冶炼、</w:t>
                  </w:r>
                  <w:r>
                    <w:rPr>
                      <w:rFonts w:hint="eastAsia"/>
                      <w:bCs/>
                      <w:szCs w:val="21"/>
                    </w:rPr>
                    <w:t>化工、建筑陶瓷等行业的高排放、高污染项目；项目</w:t>
                  </w:r>
                  <w:r>
                    <w:rPr>
                      <w:rFonts w:hint="eastAsia"/>
                      <w:szCs w:val="21"/>
                    </w:rPr>
                    <w:t>用地性质为建设用地，不占用基本农田，符合空间布局约束管控要求</w:t>
                  </w:r>
                </w:p>
              </w:tc>
              <w:tc>
                <w:tcPr>
                  <w:tcW w:w="233" w:type="pct"/>
                  <w:tcBorders>
                    <w:top w:val="single" w:color="auto" w:sz="4" w:space="0"/>
                    <w:left w:val="single" w:color="auto" w:sz="4" w:space="0"/>
                    <w:bottom w:val="single" w:color="auto" w:sz="4" w:space="0"/>
                    <w:right w:val="single" w:color="auto" w:sz="4" w:space="0"/>
                  </w:tcBorders>
                  <w:vAlign w:val="center"/>
                </w:tcPr>
                <w:p w14:paraId="196A8446">
                  <w:pPr>
                    <w:jc w:val="center"/>
                    <w:rPr>
                      <w:bCs/>
                      <w:szCs w:val="21"/>
                    </w:rPr>
                  </w:pPr>
                  <w:r>
                    <w:rPr>
                      <w:rFonts w:hint="eastAsia"/>
                      <w:bCs/>
                      <w:szCs w:val="21"/>
                    </w:rPr>
                    <w:t>相符</w:t>
                  </w:r>
                </w:p>
              </w:tc>
            </w:tr>
            <w:tr w14:paraId="78D31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95" w:type="pct"/>
                  <w:vMerge w:val="continue"/>
                  <w:tcBorders>
                    <w:left w:val="single" w:color="auto" w:sz="4" w:space="0"/>
                    <w:right w:val="single" w:color="auto" w:sz="4" w:space="0"/>
                  </w:tcBorders>
                  <w:vAlign w:val="center"/>
                </w:tcPr>
                <w:p w14:paraId="29FA90AC">
                  <w:pPr>
                    <w:widowControl/>
                    <w:jc w:val="left"/>
                    <w:rPr>
                      <w:bCs/>
                      <w:szCs w:val="21"/>
                    </w:rPr>
                  </w:pPr>
                </w:p>
              </w:tc>
              <w:tc>
                <w:tcPr>
                  <w:tcW w:w="457" w:type="pct"/>
                  <w:vMerge w:val="continue"/>
                  <w:tcBorders>
                    <w:left w:val="single" w:color="auto" w:sz="4" w:space="0"/>
                    <w:right w:val="single" w:color="auto" w:sz="4" w:space="0"/>
                  </w:tcBorders>
                  <w:vAlign w:val="center"/>
                </w:tcPr>
                <w:p w14:paraId="276CD48D">
                  <w:pPr>
                    <w:widowControl/>
                    <w:jc w:val="left"/>
                    <w:rPr>
                      <w:bCs/>
                      <w:szCs w:val="21"/>
                    </w:rPr>
                  </w:pPr>
                </w:p>
              </w:tc>
              <w:tc>
                <w:tcPr>
                  <w:tcW w:w="274" w:type="pct"/>
                  <w:vMerge w:val="continue"/>
                  <w:tcBorders>
                    <w:left w:val="single" w:color="auto" w:sz="4" w:space="0"/>
                    <w:right w:val="single" w:color="auto" w:sz="4" w:space="0"/>
                  </w:tcBorders>
                  <w:vAlign w:val="center"/>
                </w:tcPr>
                <w:p w14:paraId="62B4DDFC">
                  <w:pPr>
                    <w:widowControl/>
                    <w:jc w:val="left"/>
                    <w:rPr>
                      <w:bCs/>
                      <w:szCs w:val="21"/>
                    </w:rPr>
                  </w:pPr>
                </w:p>
              </w:tc>
              <w:tc>
                <w:tcPr>
                  <w:tcW w:w="365" w:type="pct"/>
                  <w:vMerge w:val="continue"/>
                  <w:tcBorders>
                    <w:left w:val="single" w:color="auto" w:sz="4" w:space="0"/>
                    <w:right w:val="single" w:color="auto" w:sz="4" w:space="0"/>
                  </w:tcBorders>
                  <w:vAlign w:val="center"/>
                </w:tcPr>
                <w:p w14:paraId="02C67A68">
                  <w:pPr>
                    <w:widowControl/>
                    <w:jc w:val="left"/>
                    <w:rPr>
                      <w:b/>
                      <w:bCs/>
                      <w:color w:val="C00000"/>
                      <w:szCs w:val="21"/>
                      <w:u w:val="single"/>
                    </w:rPr>
                  </w:pPr>
                </w:p>
              </w:tc>
              <w:tc>
                <w:tcPr>
                  <w:tcW w:w="300" w:type="pct"/>
                  <w:tcBorders>
                    <w:top w:val="single" w:color="auto" w:sz="4" w:space="0"/>
                    <w:left w:val="single" w:color="auto" w:sz="4" w:space="0"/>
                    <w:bottom w:val="single" w:color="auto" w:sz="4" w:space="0"/>
                    <w:right w:val="single" w:color="auto" w:sz="4" w:space="0"/>
                  </w:tcBorders>
                  <w:vAlign w:val="center"/>
                </w:tcPr>
                <w:p w14:paraId="16C4D4E2">
                  <w:pPr>
                    <w:jc w:val="center"/>
                    <w:rPr>
                      <w:bCs/>
                      <w:szCs w:val="21"/>
                    </w:rPr>
                  </w:pPr>
                  <w:r>
                    <w:rPr>
                      <w:rFonts w:hint="eastAsia"/>
                      <w:bCs/>
                      <w:szCs w:val="21"/>
                    </w:rPr>
                    <w:t>污染物排放管控</w:t>
                  </w:r>
                </w:p>
              </w:tc>
              <w:tc>
                <w:tcPr>
                  <w:tcW w:w="1915" w:type="pct"/>
                  <w:tcBorders>
                    <w:top w:val="single" w:color="auto" w:sz="4" w:space="0"/>
                    <w:left w:val="single" w:color="auto" w:sz="4" w:space="0"/>
                    <w:bottom w:val="single" w:color="auto" w:sz="4" w:space="0"/>
                    <w:right w:val="single" w:color="auto" w:sz="4" w:space="0"/>
                  </w:tcBorders>
                  <w:vAlign w:val="center"/>
                </w:tcPr>
                <w:p w14:paraId="5D8394AF">
                  <w:pPr>
                    <w:jc w:val="left"/>
                    <w:rPr>
                      <w:bCs/>
                      <w:spacing w:val="-4"/>
                      <w:szCs w:val="21"/>
                    </w:rPr>
                  </w:pPr>
                  <w:r>
                    <w:rPr>
                      <w:rFonts w:hint="eastAsia"/>
                      <w:bCs/>
                      <w:spacing w:val="-4"/>
                      <w:szCs w:val="21"/>
                    </w:rPr>
                    <w:t>1、禁止向耕地及农田沟渠中排放有毒有害工业、生活废水和未经处理的养殖小区畜禽粪便；禁止占用耕地倾倒、堆放城乡生活垃圾、建筑垃圾、医疗垃圾、工业废料及废渣等废弃物。</w:t>
                  </w:r>
                </w:p>
                <w:p w14:paraId="7A3541F2">
                  <w:pPr>
                    <w:jc w:val="left"/>
                    <w:rPr>
                      <w:bCs/>
                      <w:spacing w:val="-4"/>
                      <w:szCs w:val="21"/>
                    </w:rPr>
                  </w:pPr>
                  <w:r>
                    <w:rPr>
                      <w:rFonts w:hint="eastAsia"/>
                      <w:bCs/>
                      <w:spacing w:val="-4"/>
                      <w:szCs w:val="21"/>
                    </w:rPr>
                    <w:t>2、加强畜禽养殖污染防治，畜禽规模养殖场（小区）要配套建设与养殖规模相适宜的粪便污水防渗防溢流贮存设施，以及粪便污水收集、利用和无害化处理设施；积极引导散养密集区实行畜禽粪便污水分户收集、集中处理利用。</w:t>
                  </w:r>
                </w:p>
                <w:p w14:paraId="5A53A077">
                  <w:pPr>
                    <w:jc w:val="left"/>
                    <w:rPr>
                      <w:bCs/>
                      <w:spacing w:val="-4"/>
                      <w:szCs w:val="21"/>
                    </w:rPr>
                  </w:pPr>
                  <w:r>
                    <w:rPr>
                      <w:rFonts w:hint="eastAsia"/>
                      <w:bCs/>
                      <w:spacing w:val="-4"/>
                      <w:szCs w:val="21"/>
                    </w:rPr>
                    <w:t>3、持续开展农村环境综合整治，加快推进农村生活污水处理设施建设，不断提高已建成农村污水处理设施稳定正常运行率。</w:t>
                  </w:r>
                </w:p>
              </w:tc>
              <w:tc>
                <w:tcPr>
                  <w:tcW w:w="1161" w:type="pct"/>
                  <w:tcBorders>
                    <w:top w:val="single" w:color="auto" w:sz="4" w:space="0"/>
                    <w:left w:val="single" w:color="auto" w:sz="4" w:space="0"/>
                    <w:bottom w:val="single" w:color="auto" w:sz="4" w:space="0"/>
                    <w:right w:val="single" w:color="auto" w:sz="4" w:space="0"/>
                  </w:tcBorders>
                  <w:vAlign w:val="center"/>
                </w:tcPr>
                <w:p w14:paraId="1ABF3243">
                  <w:pPr>
                    <w:jc w:val="center"/>
                    <w:rPr>
                      <w:szCs w:val="21"/>
                    </w:rPr>
                  </w:pPr>
                  <w:r>
                    <w:rPr>
                      <w:rFonts w:hint="eastAsia"/>
                      <w:szCs w:val="21"/>
                    </w:rPr>
                    <w:t>本项目废气主要为</w:t>
                  </w:r>
                  <w:r>
                    <w:rPr>
                      <w:szCs w:val="21"/>
                    </w:rPr>
                    <w:t>拉丝废气，</w:t>
                  </w:r>
                  <w:r>
                    <w:rPr>
                      <w:rFonts w:hint="eastAsia"/>
                      <w:szCs w:val="21"/>
                    </w:rPr>
                    <w:t>经二级活性炭吸附处理</w:t>
                  </w:r>
                  <w:r>
                    <w:rPr>
                      <w:szCs w:val="21"/>
                    </w:rPr>
                    <w:t>后</w:t>
                  </w:r>
                  <w:r>
                    <w:rPr>
                      <w:rFonts w:hint="eastAsia"/>
                      <w:szCs w:val="21"/>
                    </w:rPr>
                    <w:t>达标排放；项目生产废水</w:t>
                  </w:r>
                  <w:r>
                    <w:rPr>
                      <w:szCs w:val="21"/>
                    </w:rPr>
                    <w:t>经三级沉淀池沉淀后循环使用</w:t>
                  </w:r>
                  <w:r>
                    <w:rPr>
                      <w:rFonts w:hint="eastAsia"/>
                      <w:szCs w:val="21"/>
                    </w:rPr>
                    <w:t>，每</w:t>
                  </w:r>
                  <w:r>
                    <w:rPr>
                      <w:szCs w:val="21"/>
                    </w:rPr>
                    <w:t>三天</w:t>
                  </w:r>
                  <w:r>
                    <w:rPr>
                      <w:rFonts w:hint="eastAsia"/>
                      <w:szCs w:val="21"/>
                    </w:rPr>
                    <w:t>与生活污水</w:t>
                  </w:r>
                  <w:r>
                    <w:rPr>
                      <w:szCs w:val="21"/>
                    </w:rPr>
                    <w:t>一起经罐车运至北关镇污水处理厂处理后达标排放</w:t>
                  </w:r>
                  <w:r>
                    <w:rPr>
                      <w:rFonts w:hint="eastAsia"/>
                      <w:szCs w:val="21"/>
                    </w:rPr>
                    <w:t>；固体废物妥善处置，不产生二次污染；噪声经减震、消声、厂房隔声等措施后可以满足相关要求，因此本项目符合污染物排放管控要求</w:t>
                  </w:r>
                </w:p>
              </w:tc>
              <w:tc>
                <w:tcPr>
                  <w:tcW w:w="233" w:type="pct"/>
                  <w:tcBorders>
                    <w:top w:val="single" w:color="auto" w:sz="4" w:space="0"/>
                    <w:left w:val="single" w:color="auto" w:sz="4" w:space="0"/>
                    <w:bottom w:val="single" w:color="auto" w:sz="4" w:space="0"/>
                    <w:right w:val="single" w:color="auto" w:sz="4" w:space="0"/>
                  </w:tcBorders>
                  <w:vAlign w:val="center"/>
                </w:tcPr>
                <w:p w14:paraId="611CFEDE">
                  <w:pPr>
                    <w:jc w:val="center"/>
                    <w:rPr>
                      <w:bCs/>
                      <w:szCs w:val="21"/>
                    </w:rPr>
                  </w:pPr>
                  <w:r>
                    <w:rPr>
                      <w:rFonts w:hint="eastAsia"/>
                      <w:bCs/>
                      <w:szCs w:val="21"/>
                    </w:rPr>
                    <w:t>相符</w:t>
                  </w:r>
                </w:p>
              </w:tc>
            </w:tr>
          </w:tbl>
          <w:p w14:paraId="47DB69C9">
            <w:pPr>
              <w:spacing w:line="360" w:lineRule="auto"/>
              <w:ind w:firstLine="480" w:firstLineChars="200"/>
              <w:rPr>
                <w:sz w:val="24"/>
              </w:rPr>
            </w:pPr>
            <w:r>
              <w:rPr>
                <w:rFonts w:hint="eastAsia"/>
                <w:sz w:val="24"/>
                <w:lang w:val="zh-CN"/>
              </w:rPr>
              <w:t>由上表分析可知，本项目</w:t>
            </w:r>
            <w:r>
              <w:rPr>
                <w:rFonts w:hint="eastAsia"/>
                <w:sz w:val="24"/>
              </w:rPr>
              <w:t>为塑料制品项目，占地为建设用地，污染物经治理后可以长期稳定达标排放，满足</w:t>
            </w:r>
            <w:r>
              <w:rPr>
                <w:rFonts w:hint="eastAsia"/>
                <w:sz w:val="24"/>
                <w:lang w:val="zh-CN"/>
              </w:rPr>
              <w:t>民权县一般管控区空间布局约束和污染物排放管控要求</w:t>
            </w:r>
            <w:r>
              <w:rPr>
                <w:rFonts w:hint="eastAsia"/>
                <w:sz w:val="24"/>
              </w:rPr>
              <w:t>。</w:t>
            </w:r>
          </w:p>
          <w:p w14:paraId="529C54B9">
            <w:pPr>
              <w:spacing w:line="360" w:lineRule="auto"/>
              <w:ind w:firstLine="480" w:firstLineChars="200"/>
              <w:rPr>
                <w:sz w:val="24"/>
                <w:lang w:val="zh-CN"/>
              </w:rPr>
            </w:pPr>
            <w:r>
              <w:rPr>
                <w:rFonts w:hint="eastAsia"/>
                <w:sz w:val="24"/>
                <w:lang w:val="zh-CN"/>
              </w:rPr>
              <w:t>综上所述，</w:t>
            </w:r>
            <w:r>
              <w:rPr>
                <w:rFonts w:hint="eastAsia"/>
                <w:sz w:val="24"/>
              </w:rPr>
              <w:t>本工程符合</w:t>
            </w:r>
            <w:r>
              <w:rPr>
                <w:rFonts w:asciiTheme="minorEastAsia" w:hAnsiTheme="minorEastAsia" w:eastAsiaTheme="minorEastAsia"/>
                <w:sz w:val="24"/>
              </w:rPr>
              <w:t>“</w:t>
            </w:r>
            <w:r>
              <w:rPr>
                <w:rFonts w:hint="eastAsia" w:asciiTheme="minorEastAsia" w:hAnsiTheme="minorEastAsia" w:eastAsiaTheme="minorEastAsia"/>
                <w:sz w:val="24"/>
              </w:rPr>
              <w:t>三线一单</w:t>
            </w:r>
            <w:r>
              <w:rPr>
                <w:rFonts w:asciiTheme="minorEastAsia" w:hAnsiTheme="minorEastAsia" w:eastAsiaTheme="minorEastAsia"/>
                <w:sz w:val="24"/>
              </w:rPr>
              <w:t>”</w:t>
            </w:r>
            <w:r>
              <w:rPr>
                <w:rFonts w:hint="eastAsia"/>
                <w:sz w:val="24"/>
              </w:rPr>
              <w:t>相关要求。</w:t>
            </w:r>
          </w:p>
          <w:p w14:paraId="75BFA375">
            <w:pPr>
              <w:pStyle w:val="17"/>
              <w:spacing w:line="360" w:lineRule="auto"/>
              <w:ind w:left="0" w:right="0" w:firstLine="482"/>
              <w:rPr>
                <w:rFonts w:eastAsiaTheme="majorEastAsia"/>
                <w:b/>
                <w:bCs/>
                <w:kern w:val="0"/>
                <w:sz w:val="24"/>
                <w:highlight w:val="green"/>
              </w:rPr>
            </w:pPr>
            <w:r>
              <w:rPr>
                <w:rFonts w:eastAsiaTheme="majorEastAsia"/>
                <w:b/>
                <w:bCs/>
                <w:kern w:val="0"/>
                <w:sz w:val="24"/>
              </w:rPr>
              <w:t>3</w:t>
            </w:r>
            <w:r>
              <w:rPr>
                <w:rFonts w:hAnsiTheme="majorEastAsia" w:eastAsiaTheme="majorEastAsia"/>
                <w:b/>
                <w:bCs/>
                <w:kern w:val="0"/>
                <w:sz w:val="24"/>
              </w:rPr>
              <w:t>、饮用水源保护区规划相符性分析</w:t>
            </w:r>
          </w:p>
          <w:p w14:paraId="5C741FC6">
            <w:pPr>
              <w:spacing w:line="360" w:lineRule="auto"/>
              <w:ind w:firstLine="482" w:firstLineChars="200"/>
              <w:rPr>
                <w:b/>
                <w:sz w:val="24"/>
              </w:rPr>
            </w:pPr>
            <w:r>
              <w:rPr>
                <w:b/>
                <w:bCs/>
                <w:color w:val="000000"/>
                <w:sz w:val="24"/>
              </w:rPr>
              <w:t>3.1</w:t>
            </w:r>
            <w:r>
              <w:rPr>
                <w:rFonts w:hint="eastAsia"/>
                <w:b/>
                <w:sz w:val="24"/>
              </w:rPr>
              <w:t>河南省县级集中式饮用水水源保护区划</w:t>
            </w:r>
          </w:p>
          <w:p w14:paraId="39022AFF">
            <w:pPr>
              <w:pStyle w:val="25"/>
              <w:spacing w:before="0" w:beforeAutospacing="0" w:after="0" w:afterAutospacing="0" w:line="360" w:lineRule="auto"/>
              <w:ind w:firstLine="480" w:firstLineChars="200"/>
            </w:pPr>
            <w:r>
              <w:rPr>
                <w:rFonts w:hint="eastAsia"/>
                <w:bCs/>
              </w:rPr>
              <w:t>根据河南省人民政府办</w:t>
            </w:r>
            <w:r>
              <w:rPr>
                <w:rFonts w:ascii="Times New Roman"/>
                <w:bCs/>
              </w:rPr>
              <w:t>公厅于</w:t>
            </w:r>
            <w:r>
              <w:rPr>
                <w:rFonts w:ascii="Times New Roman" w:hAnsi="Times New Roman"/>
                <w:bCs/>
              </w:rPr>
              <w:t>2014</w:t>
            </w:r>
            <w:r>
              <w:rPr>
                <w:rFonts w:ascii="Times New Roman"/>
                <w:bCs/>
              </w:rPr>
              <w:t>年</w:t>
            </w:r>
            <w:r>
              <w:rPr>
                <w:rFonts w:ascii="Times New Roman" w:hAnsi="Times New Roman"/>
                <w:bCs/>
              </w:rPr>
              <w:t>1</w:t>
            </w:r>
            <w:r>
              <w:rPr>
                <w:rFonts w:ascii="Times New Roman"/>
                <w:bCs/>
              </w:rPr>
              <w:t>月</w:t>
            </w:r>
            <w:r>
              <w:rPr>
                <w:rFonts w:ascii="Times New Roman" w:hAnsi="Times New Roman"/>
                <w:bCs/>
              </w:rPr>
              <w:t>7</w:t>
            </w:r>
            <w:r>
              <w:rPr>
                <w:rFonts w:ascii="Times New Roman"/>
                <w:bCs/>
              </w:rPr>
              <w:t>日发布</w:t>
            </w:r>
            <w:r>
              <w:rPr>
                <w:rFonts w:hint="eastAsia"/>
                <w:bCs/>
              </w:rPr>
              <w:t>的《河南省人民政府办公厅关于印发河南省县级集中式饮用水水源保护区划的通知》（豫政办</w:t>
            </w:r>
            <w:r>
              <w:rPr>
                <w:bCs/>
              </w:rPr>
              <w:t>[2013]107</w:t>
            </w:r>
            <w:r>
              <w:rPr>
                <w:rFonts w:hint="eastAsia"/>
                <w:bCs/>
              </w:rPr>
              <w:t>号），</w:t>
            </w:r>
            <w:r>
              <w:rPr>
                <w:rFonts w:ascii="Times New Roman" w:hAnsi="Times New Roman"/>
                <w:color w:val="000000"/>
              </w:rPr>
              <w:t>涉及的民权县饮用水水源</w:t>
            </w:r>
            <w:r>
              <w:t>保护区如下：</w:t>
            </w:r>
          </w:p>
          <w:p w14:paraId="4473CB25">
            <w:pPr>
              <w:spacing w:line="360" w:lineRule="auto"/>
              <w:ind w:firstLine="480" w:firstLineChars="200"/>
              <w:rPr>
                <w:bCs/>
                <w:sz w:val="24"/>
              </w:rPr>
            </w:pPr>
            <w:r>
              <w:rPr>
                <w:rFonts w:hint="eastAsia"/>
                <w:bCs/>
                <w:sz w:val="24"/>
              </w:rPr>
              <w:t>（1）民权县一水厂地下水井群</w:t>
            </w:r>
            <w:r>
              <w:rPr>
                <w:bCs/>
                <w:sz w:val="24"/>
              </w:rPr>
              <w:t>(</w:t>
            </w:r>
            <w:r>
              <w:rPr>
                <w:rFonts w:hint="eastAsia"/>
                <w:bCs/>
                <w:sz w:val="24"/>
              </w:rPr>
              <w:t>共</w:t>
            </w:r>
            <w:r>
              <w:rPr>
                <w:bCs/>
                <w:sz w:val="24"/>
              </w:rPr>
              <w:t>6</w:t>
            </w:r>
            <w:r>
              <w:rPr>
                <w:rFonts w:hint="eastAsia"/>
                <w:bCs/>
                <w:sz w:val="24"/>
              </w:rPr>
              <w:t>眼井</w:t>
            </w:r>
            <w:r>
              <w:rPr>
                <w:bCs/>
                <w:sz w:val="24"/>
              </w:rPr>
              <w:t>)</w:t>
            </w:r>
          </w:p>
          <w:p w14:paraId="7816E018">
            <w:pPr>
              <w:spacing w:line="360" w:lineRule="auto"/>
              <w:ind w:firstLine="480" w:firstLineChars="200"/>
              <w:rPr>
                <w:bCs/>
                <w:sz w:val="24"/>
              </w:rPr>
            </w:pPr>
            <w:r>
              <w:rPr>
                <w:rFonts w:hint="eastAsia"/>
                <w:bCs/>
                <w:sz w:val="24"/>
              </w:rPr>
              <w:t>一级保护区范围</w:t>
            </w:r>
            <w:r>
              <w:rPr>
                <w:bCs/>
                <w:sz w:val="24"/>
              </w:rPr>
              <w:t>:</w:t>
            </w:r>
            <w:r>
              <w:rPr>
                <w:rFonts w:hint="eastAsia"/>
                <w:bCs/>
                <w:sz w:val="24"/>
              </w:rPr>
              <w:t>水厂厂区及外围东</w:t>
            </w:r>
            <w:r>
              <w:rPr>
                <w:bCs/>
                <w:sz w:val="24"/>
              </w:rPr>
              <w:t>30</w:t>
            </w:r>
            <w:r>
              <w:rPr>
                <w:rFonts w:hint="eastAsia"/>
                <w:bCs/>
                <w:sz w:val="24"/>
              </w:rPr>
              <w:t>米、南</w:t>
            </w:r>
            <w:r>
              <w:rPr>
                <w:bCs/>
                <w:sz w:val="24"/>
              </w:rPr>
              <w:t>30</w:t>
            </w:r>
            <w:r>
              <w:rPr>
                <w:rFonts w:hint="eastAsia"/>
                <w:bCs/>
                <w:sz w:val="24"/>
              </w:rPr>
              <w:t>米、北</w:t>
            </w:r>
            <w:r>
              <w:rPr>
                <w:bCs/>
                <w:sz w:val="24"/>
              </w:rPr>
              <w:t>30</w:t>
            </w:r>
            <w:r>
              <w:rPr>
                <w:rFonts w:hint="eastAsia"/>
                <w:bCs/>
                <w:sz w:val="24"/>
              </w:rPr>
              <w:t>米、西</w:t>
            </w:r>
            <w:r>
              <w:rPr>
                <w:bCs/>
                <w:sz w:val="24"/>
              </w:rPr>
              <w:t>50</w:t>
            </w:r>
            <w:r>
              <w:rPr>
                <w:rFonts w:hint="eastAsia"/>
                <w:bCs/>
                <w:sz w:val="24"/>
              </w:rPr>
              <w:t>米的区域</w:t>
            </w:r>
            <w:r>
              <w:rPr>
                <w:bCs/>
                <w:sz w:val="24"/>
              </w:rPr>
              <w:t>(1</w:t>
            </w:r>
            <w:r>
              <w:rPr>
                <w:rFonts w:hint="eastAsia"/>
                <w:bCs/>
                <w:sz w:val="24"/>
              </w:rPr>
              <w:t>～</w:t>
            </w:r>
            <w:r>
              <w:rPr>
                <w:bCs/>
                <w:sz w:val="24"/>
              </w:rPr>
              <w:t>3</w:t>
            </w:r>
            <w:r>
              <w:rPr>
                <w:rFonts w:hint="eastAsia"/>
                <w:bCs/>
                <w:sz w:val="24"/>
              </w:rPr>
              <w:t>号取水井</w:t>
            </w:r>
            <w:r>
              <w:rPr>
                <w:bCs/>
                <w:sz w:val="24"/>
              </w:rPr>
              <w:t>)</w:t>
            </w:r>
            <w:r>
              <w:rPr>
                <w:rFonts w:hint="eastAsia"/>
                <w:bCs/>
                <w:sz w:val="24"/>
              </w:rPr>
              <w:t>；</w:t>
            </w:r>
            <w:r>
              <w:rPr>
                <w:bCs/>
                <w:sz w:val="24"/>
              </w:rPr>
              <w:t>4</w:t>
            </w:r>
            <w:r>
              <w:rPr>
                <w:rFonts w:hint="eastAsia"/>
                <w:bCs/>
                <w:sz w:val="24"/>
              </w:rPr>
              <w:t>～</w:t>
            </w:r>
            <w:r>
              <w:rPr>
                <w:bCs/>
                <w:sz w:val="24"/>
              </w:rPr>
              <w:t>6</w:t>
            </w:r>
            <w:r>
              <w:rPr>
                <w:rFonts w:hint="eastAsia"/>
                <w:bCs/>
                <w:sz w:val="24"/>
              </w:rPr>
              <w:t>号取水井外围</w:t>
            </w:r>
            <w:r>
              <w:rPr>
                <w:bCs/>
                <w:sz w:val="24"/>
              </w:rPr>
              <w:t>30</w:t>
            </w:r>
            <w:r>
              <w:rPr>
                <w:rFonts w:hint="eastAsia"/>
                <w:bCs/>
                <w:sz w:val="24"/>
              </w:rPr>
              <w:t>米的区域。</w:t>
            </w:r>
          </w:p>
          <w:p w14:paraId="2A62F7F3">
            <w:pPr>
              <w:spacing w:line="360" w:lineRule="auto"/>
              <w:ind w:firstLine="480" w:firstLineChars="200"/>
              <w:rPr>
                <w:bCs/>
                <w:sz w:val="24"/>
              </w:rPr>
            </w:pPr>
            <w:r>
              <w:rPr>
                <w:rFonts w:hint="eastAsia"/>
                <w:bCs/>
                <w:sz w:val="24"/>
              </w:rPr>
              <w:t>（2）民权县二水厂地下水井群</w:t>
            </w:r>
            <w:r>
              <w:rPr>
                <w:bCs/>
                <w:sz w:val="24"/>
              </w:rPr>
              <w:t>(</w:t>
            </w:r>
            <w:r>
              <w:rPr>
                <w:rFonts w:hint="eastAsia"/>
                <w:bCs/>
                <w:sz w:val="24"/>
              </w:rPr>
              <w:t>共</w:t>
            </w:r>
            <w:r>
              <w:rPr>
                <w:bCs/>
                <w:sz w:val="24"/>
              </w:rPr>
              <w:t>5</w:t>
            </w:r>
            <w:r>
              <w:rPr>
                <w:rFonts w:hint="eastAsia"/>
                <w:bCs/>
                <w:sz w:val="24"/>
              </w:rPr>
              <w:t>眼井</w:t>
            </w:r>
            <w:r>
              <w:rPr>
                <w:bCs/>
                <w:sz w:val="24"/>
              </w:rPr>
              <w:t>)</w:t>
            </w:r>
          </w:p>
          <w:p w14:paraId="216E6036">
            <w:pPr>
              <w:spacing w:line="360" w:lineRule="auto"/>
              <w:ind w:firstLine="480" w:firstLineChars="200"/>
              <w:rPr>
                <w:bCs/>
                <w:sz w:val="24"/>
              </w:rPr>
            </w:pPr>
            <w:r>
              <w:rPr>
                <w:rFonts w:hint="eastAsia"/>
                <w:bCs/>
                <w:sz w:val="24"/>
              </w:rPr>
              <w:t>一级保护区范围</w:t>
            </w:r>
            <w:r>
              <w:rPr>
                <w:bCs/>
                <w:sz w:val="24"/>
              </w:rPr>
              <w:t>:</w:t>
            </w:r>
            <w:r>
              <w:rPr>
                <w:rFonts w:hint="eastAsia"/>
                <w:bCs/>
                <w:sz w:val="24"/>
              </w:rPr>
              <w:t>水厂厂区及外围</w:t>
            </w:r>
            <w:r>
              <w:rPr>
                <w:bCs/>
                <w:sz w:val="24"/>
              </w:rPr>
              <w:t>30</w:t>
            </w:r>
            <w:r>
              <w:rPr>
                <w:rFonts w:hint="eastAsia"/>
                <w:bCs/>
                <w:sz w:val="24"/>
              </w:rPr>
              <w:t>米的区域</w:t>
            </w:r>
          </w:p>
          <w:p w14:paraId="3C7C4E11">
            <w:pPr>
              <w:spacing w:line="360" w:lineRule="auto"/>
              <w:ind w:firstLine="482" w:firstLineChars="200"/>
              <w:rPr>
                <w:bCs/>
                <w:sz w:val="24"/>
              </w:rPr>
            </w:pPr>
            <w:r>
              <w:rPr>
                <w:b/>
                <w:sz w:val="24"/>
              </w:rPr>
              <w:t>3.2</w:t>
            </w:r>
            <w:r>
              <w:rPr>
                <w:b/>
                <w:bCs/>
                <w:color w:val="000000"/>
                <w:sz w:val="24"/>
              </w:rPr>
              <w:t>河南省乡镇集中式饮用水水源保护区划</w:t>
            </w:r>
          </w:p>
          <w:p w14:paraId="1767150D">
            <w:pPr>
              <w:pStyle w:val="25"/>
              <w:spacing w:before="0" w:beforeAutospacing="0" w:after="0" w:afterAutospacing="0" w:line="360" w:lineRule="auto"/>
              <w:ind w:firstLine="480" w:firstLineChars="200"/>
              <w:rPr>
                <w:rFonts w:ascii="Times New Roman" w:hAnsi="Times New Roman"/>
                <w:color w:val="000000"/>
              </w:rPr>
            </w:pPr>
            <w:r>
              <w:rPr>
                <w:rFonts w:ascii="Times New Roman" w:hAnsi="Times New Roman"/>
                <w:color w:val="000000"/>
              </w:rPr>
              <w:t>根据河南省人民政府办公厅于2016年3月4日发布的《河南省人民政府办公厅关于印发河南省乡镇集中式饮用水水源保护区划的通知》（豫政办[2016]23号），涉及民权县北关乡的饮用水水源地为：</w:t>
            </w:r>
            <w:r>
              <w:rPr>
                <w:rFonts w:ascii="Times New Roman" w:hAnsi="Times New Roman"/>
                <w:bCs/>
              </w:rPr>
              <w:t>民权县北关镇地下水井群(共2眼井)</w:t>
            </w:r>
            <w:r>
              <w:rPr>
                <w:rFonts w:hint="eastAsia" w:ascii="Times New Roman" w:hAnsi="Times New Roman"/>
                <w:color w:val="000000"/>
              </w:rPr>
              <w:t>，</w:t>
            </w:r>
            <w:r>
              <w:rPr>
                <w:rFonts w:ascii="Times New Roman" w:hAnsi="Times New Roman"/>
                <w:bCs/>
              </w:rPr>
              <w:t>一级保护区范围:水厂厂区及外围西5米的区域(1号取水井)，2号取水井外围30米的区域。</w:t>
            </w:r>
          </w:p>
          <w:p w14:paraId="21EDA3FF">
            <w:pPr>
              <w:pStyle w:val="25"/>
              <w:spacing w:before="0" w:beforeAutospacing="0" w:after="0" w:afterAutospacing="0" w:line="360" w:lineRule="auto"/>
              <w:ind w:firstLine="482" w:firstLineChars="200"/>
              <w:rPr>
                <w:rFonts w:ascii="Times New Roman" w:hAnsi="Times New Roman"/>
                <w:b/>
                <w:bCs/>
                <w:color w:val="000000"/>
              </w:rPr>
            </w:pPr>
            <w:r>
              <w:rPr>
                <w:rFonts w:ascii="Times New Roman" w:hAnsi="Times New Roman"/>
                <w:b/>
              </w:rPr>
              <w:t>3.3</w:t>
            </w:r>
            <w:r>
              <w:rPr>
                <w:rFonts w:ascii="Times New Roman" w:hAnsi="Times New Roman"/>
                <w:b/>
                <w:bCs/>
                <w:color w:val="000000"/>
              </w:rPr>
              <w:t>本</w:t>
            </w:r>
            <w:r>
              <w:rPr>
                <w:rFonts w:hint="eastAsia" w:ascii="Times New Roman" w:hAnsi="Times New Roman"/>
                <w:b/>
                <w:bCs/>
                <w:color w:val="000000"/>
              </w:rPr>
              <w:t>项目与区域饮用水水源保护区的位置关系分析</w:t>
            </w:r>
          </w:p>
          <w:p w14:paraId="00DAD348">
            <w:pPr>
              <w:spacing w:line="360" w:lineRule="auto"/>
              <w:ind w:firstLine="480" w:firstLineChars="200"/>
              <w:rPr>
                <w:bCs/>
                <w:spacing w:val="-4"/>
                <w:sz w:val="24"/>
              </w:rPr>
            </w:pPr>
            <w:r>
              <w:rPr>
                <w:rFonts w:hint="eastAsia"/>
                <w:bCs/>
                <w:sz w:val="24"/>
              </w:rPr>
              <w:t>根据调查可知，河南省内距离项目最近的饮用水源保护区为</w:t>
            </w:r>
            <w:r>
              <w:rPr>
                <w:bCs/>
                <w:sz w:val="24"/>
              </w:rPr>
              <w:t>民权县北关镇地下水井群</w:t>
            </w:r>
            <w:r>
              <w:rPr>
                <w:rFonts w:hint="eastAsia"/>
                <w:bCs/>
                <w:sz w:val="24"/>
              </w:rPr>
              <w:t>，直线</w:t>
            </w:r>
            <w:r>
              <w:rPr>
                <w:rFonts w:hint="eastAsia"/>
                <w:sz w:val="24"/>
              </w:rPr>
              <w:t>距离约8</w:t>
            </w:r>
            <w:r>
              <w:rPr>
                <w:sz w:val="24"/>
              </w:rPr>
              <w:t>5</w:t>
            </w:r>
            <w:r>
              <w:rPr>
                <w:rFonts w:hint="eastAsia"/>
                <w:sz w:val="24"/>
              </w:rPr>
              <w:t>0</w:t>
            </w:r>
            <w:r>
              <w:rPr>
                <w:sz w:val="24"/>
              </w:rPr>
              <w:t>m</w:t>
            </w:r>
            <w:r>
              <w:rPr>
                <w:rFonts w:hint="eastAsia"/>
                <w:sz w:val="24"/>
              </w:rPr>
              <w:t>，即</w:t>
            </w:r>
            <w:r>
              <w:rPr>
                <w:rFonts w:hint="eastAsia"/>
                <w:bCs/>
                <w:sz w:val="24"/>
              </w:rPr>
              <w:t>本项目位于</w:t>
            </w:r>
            <w:r>
              <w:rPr>
                <w:bCs/>
                <w:sz w:val="24"/>
              </w:rPr>
              <w:t>民权县北关镇地下水井群</w:t>
            </w:r>
            <w:r>
              <w:rPr>
                <w:rFonts w:hint="eastAsia"/>
                <w:bCs/>
                <w:spacing w:val="-4"/>
                <w:sz w:val="24"/>
              </w:rPr>
              <w:t>保护区范围外。</w:t>
            </w:r>
          </w:p>
          <w:p w14:paraId="6AFFDA5C">
            <w:pPr>
              <w:pStyle w:val="17"/>
              <w:spacing w:line="360" w:lineRule="auto"/>
              <w:ind w:left="0" w:right="0" w:firstLine="482" w:firstLineChars="200"/>
              <w:jc w:val="both"/>
              <w:rPr>
                <w:rFonts w:hAnsi="宋体"/>
                <w:b/>
                <w:bCs/>
                <w:kern w:val="0"/>
                <w:sz w:val="24"/>
              </w:rPr>
            </w:pPr>
            <w:r>
              <w:rPr>
                <w:b/>
                <w:bCs/>
                <w:kern w:val="0"/>
                <w:sz w:val="24"/>
              </w:rPr>
              <w:t>4</w:t>
            </w:r>
            <w:r>
              <w:rPr>
                <w:rFonts w:hAnsi="宋体"/>
                <w:b/>
                <w:bCs/>
                <w:kern w:val="0"/>
                <w:sz w:val="24"/>
              </w:rPr>
              <w:t>、</w:t>
            </w:r>
            <w:r>
              <w:rPr>
                <w:rFonts w:hint="eastAsia" w:hAnsi="宋体"/>
                <w:b/>
                <w:bCs/>
                <w:kern w:val="0"/>
                <w:sz w:val="24"/>
              </w:rPr>
              <w:t>与</w:t>
            </w:r>
            <w:r>
              <w:rPr>
                <w:rFonts w:hAnsi="宋体"/>
                <w:b/>
                <w:bCs/>
                <w:sz w:val="24"/>
              </w:rPr>
              <w:t>大气污染防治</w:t>
            </w:r>
            <w:r>
              <w:rPr>
                <w:rFonts w:hint="eastAsia" w:hAnsi="宋体"/>
                <w:b/>
                <w:bCs/>
                <w:sz w:val="24"/>
              </w:rPr>
              <w:t>攻坚战</w:t>
            </w:r>
            <w:r>
              <w:rPr>
                <w:rFonts w:hAnsi="宋体"/>
                <w:b/>
                <w:bCs/>
                <w:sz w:val="24"/>
              </w:rPr>
              <w:t>实施方案相符性分析</w:t>
            </w:r>
          </w:p>
          <w:p w14:paraId="76707166">
            <w:pPr>
              <w:adjustRightInd w:val="0"/>
              <w:snapToGrid w:val="0"/>
              <w:spacing w:line="360" w:lineRule="auto"/>
              <w:ind w:firstLine="480" w:firstLineChars="200"/>
              <w:rPr>
                <w:snapToGrid w:val="0"/>
                <w:kern w:val="0"/>
                <w:sz w:val="24"/>
              </w:rPr>
            </w:pPr>
            <w:r>
              <w:rPr>
                <w:rFonts w:hint="eastAsia"/>
                <w:snapToGrid w:val="0"/>
                <w:kern w:val="0"/>
                <w:sz w:val="24"/>
              </w:rPr>
              <w:t>本项目与《河南省2025年</w:t>
            </w:r>
            <w:r>
              <w:rPr>
                <w:snapToGrid w:val="0"/>
                <w:kern w:val="0"/>
                <w:sz w:val="24"/>
              </w:rPr>
              <w:t>蓝天保卫战实施方案》、</w:t>
            </w:r>
            <w:r>
              <w:rPr>
                <w:rFonts w:hint="eastAsia"/>
                <w:snapToGrid w:val="0"/>
                <w:kern w:val="0"/>
                <w:sz w:val="24"/>
              </w:rPr>
              <w:t>《河南省2025年碧水</w:t>
            </w:r>
            <w:r>
              <w:rPr>
                <w:snapToGrid w:val="0"/>
                <w:kern w:val="0"/>
                <w:sz w:val="24"/>
              </w:rPr>
              <w:t>保卫战实施方案》</w:t>
            </w:r>
            <w:r>
              <w:rPr>
                <w:rFonts w:hint="eastAsia"/>
                <w:snapToGrid w:val="0"/>
                <w:kern w:val="0"/>
                <w:sz w:val="24"/>
              </w:rPr>
              <w:t>、</w:t>
            </w:r>
            <w:r>
              <w:rPr>
                <w:rFonts w:hint="eastAsia" w:hAnsi="宋体"/>
                <w:bCs/>
                <w:kern w:val="0"/>
                <w:sz w:val="24"/>
              </w:rPr>
              <w:t>《河南省深入打好秋冬季重污染天气消除、夏季臭氧污染防治和柴油货车污染治理攻坚战行动方案》</w:t>
            </w:r>
            <w:r>
              <w:rPr>
                <w:rFonts w:hint="eastAsia"/>
                <w:snapToGrid w:val="0"/>
                <w:kern w:val="0"/>
                <w:sz w:val="24"/>
              </w:rPr>
              <w:t>及《商丘市2024年蓝天保卫战实施方案</w:t>
            </w:r>
            <w:r>
              <w:rPr>
                <w:snapToGrid w:val="0"/>
                <w:kern w:val="0"/>
                <w:sz w:val="24"/>
              </w:rPr>
              <w:t>》</w:t>
            </w:r>
            <w:r>
              <w:rPr>
                <w:rFonts w:hint="eastAsia"/>
                <w:snapToGrid w:val="0"/>
                <w:kern w:val="0"/>
                <w:sz w:val="24"/>
              </w:rPr>
              <w:t>的相符性分析见下表。</w:t>
            </w:r>
          </w:p>
          <w:p w14:paraId="2EC4C3B7">
            <w:pPr>
              <w:snapToGrid w:val="0"/>
              <w:jc w:val="center"/>
              <w:rPr>
                <w:b/>
                <w:bCs/>
                <w:sz w:val="24"/>
              </w:rPr>
            </w:pPr>
            <w:r>
              <w:rPr>
                <w:rFonts w:hAnsi="宋体"/>
                <w:b/>
                <w:bCs/>
                <w:sz w:val="24"/>
              </w:rPr>
              <w:t>表</w:t>
            </w:r>
            <w:r>
              <w:rPr>
                <w:rFonts w:hint="eastAsia"/>
                <w:b/>
                <w:bCs/>
                <w:sz w:val="24"/>
              </w:rPr>
              <w:t xml:space="preserve">2   </w:t>
            </w:r>
            <w:r>
              <w:rPr>
                <w:rFonts w:hAnsi="宋体"/>
                <w:b/>
                <w:bCs/>
                <w:sz w:val="24"/>
              </w:rPr>
              <w:t>本项目与大气污染防治</w:t>
            </w:r>
            <w:r>
              <w:rPr>
                <w:rFonts w:hint="eastAsia" w:hAnsi="宋体"/>
                <w:b/>
                <w:bCs/>
                <w:sz w:val="24"/>
              </w:rPr>
              <w:t>攻坚战</w:t>
            </w:r>
            <w:r>
              <w:rPr>
                <w:rFonts w:hAnsi="宋体"/>
                <w:b/>
                <w:bCs/>
                <w:sz w:val="24"/>
              </w:rPr>
              <w:t>实施方案的相符性分析</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13"/>
              <w:gridCol w:w="4253"/>
              <w:gridCol w:w="2413"/>
              <w:gridCol w:w="569"/>
            </w:tblGrid>
            <w:tr w14:paraId="7F7F8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60" w:type="pct"/>
                  <w:tcBorders>
                    <w:top w:val="single" w:color="auto" w:sz="4" w:space="0"/>
                    <w:left w:val="single" w:color="auto" w:sz="4" w:space="0"/>
                    <w:bottom w:val="single" w:color="auto" w:sz="4" w:space="0"/>
                    <w:right w:val="single" w:color="auto" w:sz="4" w:space="0"/>
                  </w:tcBorders>
                  <w:vAlign w:val="center"/>
                </w:tcPr>
                <w:p w14:paraId="3513D56D">
                  <w:pPr>
                    <w:widowControl/>
                    <w:autoSpaceDE w:val="0"/>
                    <w:adjustRightInd w:val="0"/>
                    <w:snapToGrid w:val="0"/>
                    <w:ind w:left="42" w:leftChars="20"/>
                    <w:jc w:val="center"/>
                    <w:rPr>
                      <w:color w:val="000000"/>
                      <w:kern w:val="0"/>
                      <w:szCs w:val="21"/>
                    </w:rPr>
                  </w:pPr>
                  <w:r>
                    <w:rPr>
                      <w:rFonts w:hint="eastAsia"/>
                      <w:color w:val="000000"/>
                      <w:kern w:val="0"/>
                      <w:szCs w:val="21"/>
                    </w:rPr>
                    <w:t>文件名称</w:t>
                  </w:r>
                </w:p>
              </w:tc>
              <w:tc>
                <w:tcPr>
                  <w:tcW w:w="2609" w:type="pct"/>
                  <w:tcBorders>
                    <w:top w:val="single" w:color="auto" w:sz="4" w:space="0"/>
                    <w:left w:val="single" w:color="auto" w:sz="4" w:space="0"/>
                    <w:bottom w:val="single" w:color="auto" w:sz="4" w:space="0"/>
                    <w:right w:val="single" w:color="auto" w:sz="4" w:space="0"/>
                  </w:tcBorders>
                  <w:vAlign w:val="center"/>
                </w:tcPr>
                <w:p w14:paraId="68E9D402">
                  <w:pPr>
                    <w:widowControl/>
                    <w:autoSpaceDE w:val="0"/>
                    <w:adjustRightInd w:val="0"/>
                    <w:snapToGrid w:val="0"/>
                    <w:ind w:left="42" w:leftChars="20"/>
                    <w:jc w:val="center"/>
                    <w:rPr>
                      <w:color w:val="000000"/>
                      <w:szCs w:val="21"/>
                    </w:rPr>
                  </w:pPr>
                  <w:r>
                    <w:rPr>
                      <w:rFonts w:hint="eastAsia"/>
                      <w:color w:val="000000"/>
                      <w:kern w:val="0"/>
                      <w:szCs w:val="21"/>
                    </w:rPr>
                    <w:t>文件内容</w:t>
                  </w:r>
                </w:p>
              </w:tc>
              <w:tc>
                <w:tcPr>
                  <w:tcW w:w="1480" w:type="pct"/>
                  <w:tcBorders>
                    <w:top w:val="single" w:color="auto" w:sz="4" w:space="0"/>
                    <w:left w:val="single" w:color="auto" w:sz="4" w:space="0"/>
                    <w:bottom w:val="single" w:color="auto" w:sz="4" w:space="0"/>
                    <w:right w:val="single" w:color="auto" w:sz="4" w:space="0"/>
                  </w:tcBorders>
                  <w:vAlign w:val="center"/>
                </w:tcPr>
                <w:p w14:paraId="3F527EB6">
                  <w:pPr>
                    <w:widowControl/>
                    <w:autoSpaceDE w:val="0"/>
                    <w:adjustRightInd w:val="0"/>
                    <w:snapToGrid w:val="0"/>
                    <w:ind w:left="42" w:leftChars="20"/>
                    <w:jc w:val="center"/>
                    <w:rPr>
                      <w:color w:val="000000"/>
                      <w:szCs w:val="21"/>
                    </w:rPr>
                  </w:pPr>
                  <w:r>
                    <w:rPr>
                      <w:rFonts w:hint="eastAsia"/>
                      <w:color w:val="000000"/>
                      <w:kern w:val="0"/>
                      <w:szCs w:val="21"/>
                    </w:rPr>
                    <w:t>本项目情况</w:t>
                  </w:r>
                </w:p>
              </w:tc>
              <w:tc>
                <w:tcPr>
                  <w:tcW w:w="349" w:type="pct"/>
                  <w:tcBorders>
                    <w:top w:val="single" w:color="auto" w:sz="4" w:space="0"/>
                    <w:left w:val="single" w:color="auto" w:sz="4" w:space="0"/>
                    <w:bottom w:val="single" w:color="auto" w:sz="4" w:space="0"/>
                    <w:right w:val="single" w:color="auto" w:sz="4" w:space="0"/>
                  </w:tcBorders>
                  <w:vAlign w:val="center"/>
                </w:tcPr>
                <w:p w14:paraId="1610A6A6">
                  <w:pPr>
                    <w:widowControl/>
                    <w:autoSpaceDE w:val="0"/>
                    <w:adjustRightInd w:val="0"/>
                    <w:snapToGrid w:val="0"/>
                    <w:ind w:left="42" w:leftChars="20"/>
                    <w:jc w:val="center"/>
                    <w:rPr>
                      <w:color w:val="000000"/>
                      <w:szCs w:val="21"/>
                    </w:rPr>
                  </w:pPr>
                  <w:r>
                    <w:rPr>
                      <w:rFonts w:hint="eastAsia"/>
                      <w:color w:val="000000"/>
                      <w:kern w:val="0"/>
                      <w:szCs w:val="21"/>
                    </w:rPr>
                    <w:t>相符性</w:t>
                  </w:r>
                </w:p>
              </w:tc>
            </w:tr>
            <w:tr w14:paraId="533BC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60" w:type="pct"/>
                  <w:tcBorders>
                    <w:top w:val="single" w:color="auto" w:sz="4" w:space="0"/>
                    <w:left w:val="single" w:color="auto" w:sz="4" w:space="0"/>
                    <w:bottom w:val="single" w:color="auto" w:sz="4" w:space="0"/>
                    <w:right w:val="single" w:color="auto" w:sz="4" w:space="0"/>
                  </w:tcBorders>
                  <w:vAlign w:val="center"/>
                </w:tcPr>
                <w:p w14:paraId="3AD11A40">
                  <w:pPr>
                    <w:widowControl/>
                    <w:autoSpaceDE w:val="0"/>
                    <w:adjustRightInd w:val="0"/>
                    <w:snapToGrid w:val="0"/>
                    <w:ind w:left="42" w:leftChars="20"/>
                    <w:jc w:val="center"/>
                    <w:rPr>
                      <w:b/>
                      <w:color w:val="000000"/>
                      <w:kern w:val="0"/>
                      <w:szCs w:val="21"/>
                      <w:u w:val="single"/>
                    </w:rPr>
                  </w:pPr>
                  <w:r>
                    <w:rPr>
                      <w:rFonts w:hint="eastAsia"/>
                      <w:b/>
                      <w:snapToGrid w:val="0"/>
                      <w:kern w:val="0"/>
                      <w:szCs w:val="21"/>
                      <w:u w:val="single"/>
                    </w:rPr>
                    <w:t>河南省2025年</w:t>
                  </w:r>
                  <w:r>
                    <w:rPr>
                      <w:b/>
                      <w:snapToGrid w:val="0"/>
                      <w:kern w:val="0"/>
                      <w:szCs w:val="21"/>
                      <w:u w:val="single"/>
                    </w:rPr>
                    <w:t>蓝天保卫战实施方案</w:t>
                  </w:r>
                </w:p>
              </w:tc>
              <w:tc>
                <w:tcPr>
                  <w:tcW w:w="2609" w:type="pct"/>
                  <w:tcBorders>
                    <w:top w:val="single" w:color="auto" w:sz="4" w:space="0"/>
                    <w:left w:val="single" w:color="auto" w:sz="4" w:space="0"/>
                    <w:bottom w:val="single" w:color="auto" w:sz="4" w:space="0"/>
                    <w:right w:val="single" w:color="auto" w:sz="4" w:space="0"/>
                  </w:tcBorders>
                  <w:vAlign w:val="center"/>
                </w:tcPr>
                <w:p w14:paraId="4060B0E5">
                  <w:pPr>
                    <w:adjustRightInd w:val="0"/>
                    <w:snapToGrid w:val="0"/>
                    <w:jc w:val="left"/>
                    <w:rPr>
                      <w:b/>
                      <w:kern w:val="0"/>
                      <w:szCs w:val="21"/>
                      <w:u w:val="single"/>
                    </w:rPr>
                  </w:pPr>
                  <w:r>
                    <w:rPr>
                      <w:b/>
                      <w:kern w:val="0"/>
                      <w:szCs w:val="21"/>
                      <w:u w:val="single"/>
                    </w:rPr>
                    <w:t>8. 实施挥发性有机物综合治理。组织涉 VOCs 企业针对挥发性有机液体储罐、装卸、敞开液面、泄漏检测与修复（LDAR）、废气收集、废气旁路、治理设施、加油站、非正常工况、产品VOCs含量等10个关键环节开展VOCs治理突出问题排查整治，在汽车、机械制造、家具、汽修、塑料软包装、印铁制罐、包装印刷等领域推广使用低（无）VOCs 含量涂料和油墨，对完成源头替代的企业纳入“白名单”管理，在重污染天气预警期间实施自主减排。2025 年 4 月底前，开展一轮次活性炭更换和泄漏检测与修复，完成低 VOCs 原辅材料源头替代、泄漏检测与修复、VOCs 综合治理等任务 400 家以上。</w:t>
                  </w:r>
                </w:p>
              </w:tc>
              <w:tc>
                <w:tcPr>
                  <w:tcW w:w="1480" w:type="pct"/>
                  <w:tcBorders>
                    <w:top w:val="single" w:color="auto" w:sz="4" w:space="0"/>
                    <w:left w:val="single" w:color="auto" w:sz="4" w:space="0"/>
                    <w:bottom w:val="single" w:color="auto" w:sz="4" w:space="0"/>
                    <w:right w:val="single" w:color="auto" w:sz="4" w:space="0"/>
                  </w:tcBorders>
                  <w:vAlign w:val="center"/>
                </w:tcPr>
                <w:p w14:paraId="4BCA0D32">
                  <w:pPr>
                    <w:adjustRightInd w:val="0"/>
                    <w:snapToGrid w:val="0"/>
                    <w:rPr>
                      <w:b/>
                      <w:szCs w:val="21"/>
                      <w:u w:val="single"/>
                    </w:rPr>
                  </w:pPr>
                  <w:r>
                    <w:rPr>
                      <w:rFonts w:hint="eastAsia"/>
                      <w:b/>
                      <w:color w:val="000000"/>
                      <w:szCs w:val="21"/>
                      <w:u w:val="single"/>
                    </w:rPr>
                    <w:t>项目原料为固体粒料，不涉及VOC</w:t>
                  </w:r>
                  <w:r>
                    <w:rPr>
                      <w:b/>
                      <w:color w:val="000000"/>
                      <w:szCs w:val="21"/>
                      <w:u w:val="single"/>
                    </w:rPr>
                    <w:t>s，</w:t>
                  </w:r>
                  <w:r>
                    <w:rPr>
                      <w:rFonts w:hint="eastAsia"/>
                      <w:b/>
                      <w:color w:val="000000"/>
                      <w:szCs w:val="21"/>
                      <w:u w:val="single"/>
                    </w:rPr>
                    <w:t>拉丝</w:t>
                  </w:r>
                  <w:r>
                    <w:rPr>
                      <w:b/>
                      <w:color w:val="000000"/>
                      <w:szCs w:val="21"/>
                      <w:u w:val="single"/>
                    </w:rPr>
                    <w:t>过程中产生</w:t>
                  </w:r>
                  <w:r>
                    <w:rPr>
                      <w:rFonts w:hint="eastAsia"/>
                      <w:b/>
                      <w:color w:val="000000"/>
                      <w:szCs w:val="21"/>
                      <w:u w:val="single"/>
                    </w:rPr>
                    <w:t>非甲烷总烃</w:t>
                  </w:r>
                  <w:r>
                    <w:rPr>
                      <w:b/>
                      <w:color w:val="000000"/>
                      <w:szCs w:val="21"/>
                      <w:u w:val="single"/>
                    </w:rPr>
                    <w:t>，经集气罩</w:t>
                  </w:r>
                  <w:r>
                    <w:rPr>
                      <w:rFonts w:hint="eastAsia"/>
                      <w:b/>
                      <w:color w:val="000000"/>
                      <w:szCs w:val="21"/>
                      <w:u w:val="single"/>
                    </w:rPr>
                    <w:t>收集后</w:t>
                  </w:r>
                  <w:r>
                    <w:rPr>
                      <w:b/>
                      <w:color w:val="000000"/>
                      <w:szCs w:val="21"/>
                      <w:u w:val="single"/>
                    </w:rPr>
                    <w:t>采用</w:t>
                  </w:r>
                  <w:r>
                    <w:rPr>
                      <w:rFonts w:hint="eastAsia"/>
                      <w:b/>
                      <w:color w:val="000000"/>
                      <w:szCs w:val="21"/>
                      <w:u w:val="single"/>
                    </w:rPr>
                    <w:t>“二级活性炭吸附装置”处理达标排放</w:t>
                  </w:r>
                </w:p>
              </w:tc>
              <w:tc>
                <w:tcPr>
                  <w:tcW w:w="349" w:type="pct"/>
                  <w:tcBorders>
                    <w:top w:val="single" w:color="auto" w:sz="4" w:space="0"/>
                    <w:left w:val="single" w:color="auto" w:sz="4" w:space="0"/>
                    <w:bottom w:val="single" w:color="auto" w:sz="4" w:space="0"/>
                    <w:right w:val="single" w:color="auto" w:sz="4" w:space="0"/>
                  </w:tcBorders>
                  <w:vAlign w:val="center"/>
                </w:tcPr>
                <w:p w14:paraId="393C3A37">
                  <w:pPr>
                    <w:widowControl/>
                    <w:autoSpaceDE w:val="0"/>
                    <w:adjustRightInd w:val="0"/>
                    <w:snapToGrid w:val="0"/>
                    <w:ind w:left="42" w:leftChars="20"/>
                    <w:jc w:val="center"/>
                    <w:rPr>
                      <w:b/>
                      <w:color w:val="000000"/>
                      <w:kern w:val="0"/>
                      <w:szCs w:val="21"/>
                      <w:u w:val="single"/>
                    </w:rPr>
                  </w:pPr>
                  <w:r>
                    <w:rPr>
                      <w:rFonts w:hint="eastAsia"/>
                      <w:b/>
                      <w:color w:val="000000"/>
                      <w:kern w:val="0"/>
                      <w:szCs w:val="21"/>
                      <w:u w:val="single"/>
                    </w:rPr>
                    <w:t>相符</w:t>
                  </w:r>
                </w:p>
              </w:tc>
            </w:tr>
            <w:tr w14:paraId="633BF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60" w:type="pct"/>
                  <w:tcBorders>
                    <w:top w:val="single" w:color="auto" w:sz="4" w:space="0"/>
                    <w:left w:val="single" w:color="auto" w:sz="4" w:space="0"/>
                    <w:bottom w:val="single" w:color="auto" w:sz="4" w:space="0"/>
                    <w:right w:val="single" w:color="auto" w:sz="4" w:space="0"/>
                  </w:tcBorders>
                  <w:vAlign w:val="center"/>
                </w:tcPr>
                <w:p w14:paraId="6838938A">
                  <w:pPr>
                    <w:widowControl/>
                    <w:autoSpaceDE w:val="0"/>
                    <w:adjustRightInd w:val="0"/>
                    <w:snapToGrid w:val="0"/>
                    <w:ind w:left="42" w:leftChars="20"/>
                    <w:jc w:val="center"/>
                    <w:rPr>
                      <w:b/>
                      <w:snapToGrid w:val="0"/>
                      <w:kern w:val="0"/>
                      <w:szCs w:val="21"/>
                      <w:u w:val="single"/>
                    </w:rPr>
                  </w:pPr>
                  <w:r>
                    <w:rPr>
                      <w:rFonts w:hint="eastAsia"/>
                      <w:b/>
                      <w:snapToGrid w:val="0"/>
                      <w:kern w:val="0"/>
                      <w:szCs w:val="21"/>
                      <w:u w:val="single"/>
                    </w:rPr>
                    <w:t>河南省2025年碧水</w:t>
                  </w:r>
                  <w:r>
                    <w:rPr>
                      <w:b/>
                      <w:snapToGrid w:val="0"/>
                      <w:kern w:val="0"/>
                      <w:szCs w:val="21"/>
                      <w:u w:val="single"/>
                    </w:rPr>
                    <w:t>保卫战实施方案</w:t>
                  </w:r>
                </w:p>
              </w:tc>
              <w:tc>
                <w:tcPr>
                  <w:tcW w:w="2609" w:type="pct"/>
                  <w:tcBorders>
                    <w:top w:val="single" w:color="auto" w:sz="4" w:space="0"/>
                    <w:left w:val="single" w:color="auto" w:sz="4" w:space="0"/>
                    <w:bottom w:val="single" w:color="auto" w:sz="4" w:space="0"/>
                    <w:right w:val="single" w:color="auto" w:sz="4" w:space="0"/>
                  </w:tcBorders>
                  <w:vAlign w:val="center"/>
                </w:tcPr>
                <w:p w14:paraId="1FAB3D31">
                  <w:pPr>
                    <w:adjustRightInd w:val="0"/>
                    <w:snapToGrid w:val="0"/>
                    <w:jc w:val="left"/>
                    <w:rPr>
                      <w:b/>
                      <w:kern w:val="0"/>
                      <w:szCs w:val="21"/>
                      <w:u w:val="single"/>
                    </w:rPr>
                  </w:pPr>
                  <w:r>
                    <w:rPr>
                      <w:rFonts w:eastAsiaTheme="minorEastAsia"/>
                      <w:b/>
                      <w:kern w:val="0"/>
                      <w:szCs w:val="21"/>
                      <w:u w:val="single"/>
                    </w:rPr>
                    <w:t>7.持续推动企业绿色转型发展。严格项目准入，坚决遏制“两高一低”项目盲目发展；严格落实生态环境分区管控，加快推进工业企业绿色转型发展；深入推进重点水污染物排放行业清洁生产审核；培育壮大节能、节水、环保和资源综合利用产业，提高能源资源利用效率；对焦化、有色金属、化工、电镀、制革、石油开采、造纸、印染、农副食品加工等行业，全面推进清洁生产改造或清洁化改造。</w:t>
                  </w:r>
                </w:p>
              </w:tc>
              <w:tc>
                <w:tcPr>
                  <w:tcW w:w="1480" w:type="pct"/>
                  <w:tcBorders>
                    <w:top w:val="single" w:color="auto" w:sz="4" w:space="0"/>
                    <w:left w:val="single" w:color="auto" w:sz="4" w:space="0"/>
                    <w:bottom w:val="single" w:color="auto" w:sz="4" w:space="0"/>
                    <w:right w:val="single" w:color="auto" w:sz="4" w:space="0"/>
                  </w:tcBorders>
                  <w:vAlign w:val="center"/>
                </w:tcPr>
                <w:p w14:paraId="1DD24468">
                  <w:pPr>
                    <w:adjustRightInd w:val="0"/>
                    <w:snapToGrid w:val="0"/>
                    <w:jc w:val="left"/>
                    <w:rPr>
                      <w:b/>
                      <w:color w:val="000000"/>
                      <w:szCs w:val="21"/>
                      <w:u w:val="single"/>
                    </w:rPr>
                  </w:pPr>
                  <w:r>
                    <w:rPr>
                      <w:rFonts w:eastAsiaTheme="minorEastAsia"/>
                      <w:b/>
                      <w:kern w:val="0"/>
                      <w:szCs w:val="21"/>
                      <w:u w:val="single"/>
                    </w:rPr>
                    <w:t>本项目不属于“两高一低”建设项目，项目建设符合生态环境分区管控要求，项目</w:t>
                  </w:r>
                  <w:r>
                    <w:rPr>
                      <w:rFonts w:hint="eastAsia" w:eastAsiaTheme="minorEastAsia"/>
                      <w:b/>
                      <w:kern w:val="0"/>
                      <w:szCs w:val="21"/>
                      <w:u w:val="single"/>
                    </w:rPr>
                    <w:t>运营期将</w:t>
                  </w:r>
                  <w:r>
                    <w:rPr>
                      <w:rFonts w:eastAsiaTheme="minorEastAsia"/>
                      <w:b/>
                      <w:kern w:val="0"/>
                      <w:szCs w:val="21"/>
                      <w:u w:val="single"/>
                    </w:rPr>
                    <w:t>采取节能、节水措施，提高水资源利用率。</w:t>
                  </w:r>
                </w:p>
              </w:tc>
              <w:tc>
                <w:tcPr>
                  <w:tcW w:w="349" w:type="pct"/>
                  <w:tcBorders>
                    <w:top w:val="single" w:color="auto" w:sz="4" w:space="0"/>
                    <w:left w:val="single" w:color="auto" w:sz="4" w:space="0"/>
                    <w:bottom w:val="single" w:color="auto" w:sz="4" w:space="0"/>
                    <w:right w:val="single" w:color="auto" w:sz="4" w:space="0"/>
                  </w:tcBorders>
                  <w:vAlign w:val="center"/>
                </w:tcPr>
                <w:p w14:paraId="4F36CEE1">
                  <w:pPr>
                    <w:adjustRightInd w:val="0"/>
                    <w:snapToGrid w:val="0"/>
                    <w:jc w:val="center"/>
                    <w:rPr>
                      <w:b/>
                      <w:color w:val="000000"/>
                      <w:kern w:val="0"/>
                      <w:szCs w:val="21"/>
                      <w:u w:val="single"/>
                    </w:rPr>
                  </w:pPr>
                  <w:r>
                    <w:rPr>
                      <w:rFonts w:eastAsiaTheme="minorEastAsia"/>
                      <w:b/>
                      <w:kern w:val="0"/>
                      <w:szCs w:val="21"/>
                      <w:u w:val="single"/>
                    </w:rPr>
                    <w:t>相符</w:t>
                  </w:r>
                </w:p>
              </w:tc>
            </w:tr>
            <w:tr w14:paraId="52F92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60" w:type="pct"/>
                  <w:tcBorders>
                    <w:top w:val="single" w:color="auto" w:sz="4" w:space="0"/>
                    <w:left w:val="single" w:color="auto" w:sz="4" w:space="0"/>
                    <w:right w:val="single" w:color="auto" w:sz="4" w:space="0"/>
                  </w:tcBorders>
                  <w:vAlign w:val="center"/>
                </w:tcPr>
                <w:p w14:paraId="2B856F9D">
                  <w:pPr>
                    <w:adjustRightInd w:val="0"/>
                    <w:snapToGrid w:val="0"/>
                    <w:jc w:val="center"/>
                    <w:rPr>
                      <w:color w:val="000000"/>
                      <w:szCs w:val="21"/>
                    </w:rPr>
                  </w:pPr>
                  <w:r>
                    <w:rPr>
                      <w:rFonts w:hint="eastAsia"/>
                      <w:color w:val="000000"/>
                      <w:szCs w:val="21"/>
                    </w:rPr>
                    <w:t>秋冬季重污染天气消除攻坚战行动方案</w:t>
                  </w:r>
                </w:p>
              </w:tc>
              <w:tc>
                <w:tcPr>
                  <w:tcW w:w="2609" w:type="pct"/>
                  <w:tcBorders>
                    <w:top w:val="single" w:color="auto" w:sz="4" w:space="0"/>
                    <w:left w:val="single" w:color="auto" w:sz="4" w:space="0"/>
                    <w:bottom w:val="single" w:color="auto" w:sz="4" w:space="0"/>
                    <w:right w:val="single" w:color="auto" w:sz="4" w:space="0"/>
                  </w:tcBorders>
                  <w:vAlign w:val="center"/>
                </w:tcPr>
                <w:p w14:paraId="68E848F0">
                  <w:pPr>
                    <w:adjustRightInd w:val="0"/>
                    <w:snapToGrid w:val="0"/>
                    <w:jc w:val="center"/>
                    <w:rPr>
                      <w:color w:val="000000"/>
                      <w:szCs w:val="21"/>
                    </w:rPr>
                  </w:pPr>
                  <w:r>
                    <w:t>遏制“两高”项目盲目发展。严格落实国家产业规划、产业政策、</w:t>
                  </w:r>
                  <w:r>
                    <w:rPr>
                      <w:rFonts w:asciiTheme="majorEastAsia" w:hAnsiTheme="majorEastAsia" w:eastAsiaTheme="majorEastAsia"/>
                    </w:rPr>
                    <w:t>“三线一单”</w:t>
                  </w:r>
                  <w:r>
                    <w:t>、规划环评，以及产能置换、煤炭消费减量替代、区域污染物削减等要求，严把高耗能、高排放、低水平项目准入关口。全省大气污染防治重点区域禁止新增钢铁、电解铝、氧化铝、水泥熟料、平板玻璃（光伏压延玻璃除外）、煤化工、焦化、铝用炭素、含烧结工序的耐火材料和砖瓦制品等行业产能，合理控制煤制油气产能规模，严控新增炼油产能。强化项目环评及“三同时”管理，国家、省绩效分级重点行业以及涉及锅炉炉窑的其他行业，新建、扩建项目污染物排放限值、污染治理措施、无组织排放控制水平、运输方式等达到A级绩效水平，改建项目污染物排放限值、污染治理措施、无组织排放控制水平、运输方式等达到B级以上绩效水平。新建、改建、扩建项目大宗货物年货运量150万吨及以上的，原则上要接入铁路专用线或管道；具有铁路专用线的，大宗货物铁路运输比例应达到80%以上。</w:t>
                  </w:r>
                </w:p>
              </w:tc>
              <w:tc>
                <w:tcPr>
                  <w:tcW w:w="1480" w:type="pct"/>
                  <w:tcBorders>
                    <w:top w:val="single" w:color="auto" w:sz="4" w:space="0"/>
                    <w:left w:val="single" w:color="auto" w:sz="4" w:space="0"/>
                    <w:bottom w:val="single" w:color="auto" w:sz="4" w:space="0"/>
                    <w:right w:val="single" w:color="auto" w:sz="4" w:space="0"/>
                  </w:tcBorders>
                  <w:vAlign w:val="center"/>
                </w:tcPr>
                <w:p w14:paraId="575A6A18">
                  <w:pPr>
                    <w:pStyle w:val="14"/>
                    <w:adjustRightInd w:val="0"/>
                    <w:snapToGrid w:val="0"/>
                    <w:ind w:left="42" w:leftChars="20"/>
                    <w:jc w:val="center"/>
                    <w:rPr>
                      <w:color w:val="000000"/>
                      <w:kern w:val="2"/>
                      <w:sz w:val="21"/>
                      <w:szCs w:val="21"/>
                    </w:rPr>
                  </w:pPr>
                  <w:r>
                    <w:rPr>
                      <w:rFonts w:hint="eastAsia"/>
                      <w:color w:val="000000"/>
                      <w:kern w:val="2"/>
                      <w:sz w:val="21"/>
                      <w:szCs w:val="21"/>
                    </w:rPr>
                    <w:t>本项目为塑料制品项目，不属于“两高”项目，项目建设符合国家产业政策及“三线一单”要求，</w:t>
                  </w:r>
                  <w:r>
                    <w:rPr>
                      <w:color w:val="000000"/>
                      <w:kern w:val="2"/>
                      <w:sz w:val="21"/>
                      <w:szCs w:val="21"/>
                    </w:rPr>
                    <w:t>项目污染物排放限值、污染治理措施、无组织排放控制水平、运输方式等</w:t>
                  </w:r>
                  <w:r>
                    <w:rPr>
                      <w:rFonts w:hint="eastAsia"/>
                      <w:color w:val="000000"/>
                      <w:kern w:val="2"/>
                      <w:sz w:val="21"/>
                      <w:szCs w:val="21"/>
                    </w:rPr>
                    <w:t>严格执行《河南省重污染天气重点行业应急减排措施制定技术指南》（202</w:t>
                  </w:r>
                  <w:r>
                    <w:rPr>
                      <w:color w:val="000000"/>
                      <w:kern w:val="2"/>
                      <w:sz w:val="21"/>
                      <w:szCs w:val="21"/>
                    </w:rPr>
                    <w:t>4</w:t>
                  </w:r>
                  <w:r>
                    <w:rPr>
                      <w:rFonts w:hint="eastAsia"/>
                      <w:color w:val="000000"/>
                      <w:kern w:val="2"/>
                      <w:sz w:val="21"/>
                      <w:szCs w:val="21"/>
                    </w:rPr>
                    <w:t>年修订版）塑料制品行业A级绩效分级指标要求</w:t>
                  </w:r>
                </w:p>
              </w:tc>
              <w:tc>
                <w:tcPr>
                  <w:tcW w:w="349" w:type="pct"/>
                  <w:tcBorders>
                    <w:top w:val="single" w:color="auto" w:sz="4" w:space="0"/>
                    <w:left w:val="single" w:color="auto" w:sz="4" w:space="0"/>
                    <w:bottom w:val="single" w:color="auto" w:sz="4" w:space="0"/>
                    <w:right w:val="single" w:color="auto" w:sz="4" w:space="0"/>
                  </w:tcBorders>
                  <w:vAlign w:val="center"/>
                </w:tcPr>
                <w:p w14:paraId="4A132CD4">
                  <w:pPr>
                    <w:autoSpaceDE w:val="0"/>
                    <w:autoSpaceDN w:val="0"/>
                    <w:adjustRightInd w:val="0"/>
                    <w:snapToGrid w:val="0"/>
                    <w:spacing w:line="240" w:lineRule="exact"/>
                    <w:jc w:val="center"/>
                    <w:rPr>
                      <w:color w:val="000000"/>
                      <w:szCs w:val="21"/>
                    </w:rPr>
                  </w:pPr>
                  <w:r>
                    <w:rPr>
                      <w:rFonts w:hint="eastAsia"/>
                      <w:color w:val="000000"/>
                      <w:szCs w:val="21"/>
                    </w:rPr>
                    <w:t>相符</w:t>
                  </w:r>
                </w:p>
              </w:tc>
            </w:tr>
            <w:tr w14:paraId="08320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60" w:type="pct"/>
                  <w:vMerge w:val="restart"/>
                  <w:tcBorders>
                    <w:top w:val="single" w:color="auto" w:sz="4" w:space="0"/>
                    <w:left w:val="single" w:color="auto" w:sz="4" w:space="0"/>
                    <w:right w:val="single" w:color="auto" w:sz="4" w:space="0"/>
                  </w:tcBorders>
                  <w:vAlign w:val="center"/>
                </w:tcPr>
                <w:p w14:paraId="68D19AD0">
                  <w:pPr>
                    <w:adjustRightInd w:val="0"/>
                    <w:snapToGrid w:val="0"/>
                    <w:jc w:val="center"/>
                    <w:rPr>
                      <w:color w:val="000000"/>
                      <w:szCs w:val="21"/>
                    </w:rPr>
                  </w:pPr>
                  <w:r>
                    <w:t>夏季臭氧污染防治攻坚战行动方案</w:t>
                  </w:r>
                </w:p>
              </w:tc>
              <w:tc>
                <w:tcPr>
                  <w:tcW w:w="2609" w:type="pct"/>
                  <w:tcBorders>
                    <w:top w:val="single" w:color="auto" w:sz="4" w:space="0"/>
                    <w:left w:val="single" w:color="auto" w:sz="4" w:space="0"/>
                    <w:bottom w:val="single" w:color="auto" w:sz="4" w:space="0"/>
                    <w:right w:val="single" w:color="auto" w:sz="4" w:space="0"/>
                  </w:tcBorders>
                  <w:vAlign w:val="center"/>
                </w:tcPr>
                <w:p w14:paraId="51CD2952">
                  <w:pPr>
                    <w:adjustRightInd w:val="0"/>
                    <w:snapToGrid w:val="0"/>
                    <w:jc w:val="center"/>
                  </w:pPr>
                  <w:r>
                    <w:rPr>
                      <w:rFonts w:hint="eastAsia"/>
                      <w:szCs w:val="21"/>
                    </w:rPr>
                    <w:t>加快实施低VOCs含量原辅材料替代。全面排查使用涂料、油墨、胶粘剂、清洗剂等原辅材料的企业，摸清涉VOCs产品类型、原辅材料使用量，建立清单台账，每年指导企业制定低VOCs原辅材料替代计划。工程机械制造、家具制造、钢结构、包装印刷、制鞋、人造板及其他含涂装工序行业，按照“可替尽替、应代尽代”的原则，全面推进使用低VOCs原辅材料；汽车整车制造行业大力提升底漆、中涂、色漆低VOCs含量涂料；房屋建筑和市政工程全面推广使用低VOCs含量涂料和胶粘剂，除特殊功能要求外，室内地坪施工、室外构筑物防护和城市道路交通标志基本使用低VOCs含量涂料。城市建成区严格控制生产和使用溶剂型涂料、油墨、胶粘剂、清洗剂等建设项目。</w:t>
                  </w:r>
                </w:p>
              </w:tc>
              <w:tc>
                <w:tcPr>
                  <w:tcW w:w="1480" w:type="pct"/>
                  <w:tcBorders>
                    <w:top w:val="single" w:color="auto" w:sz="4" w:space="0"/>
                    <w:left w:val="single" w:color="auto" w:sz="4" w:space="0"/>
                    <w:bottom w:val="single" w:color="auto" w:sz="4" w:space="0"/>
                    <w:right w:val="single" w:color="auto" w:sz="4" w:space="0"/>
                  </w:tcBorders>
                  <w:vAlign w:val="center"/>
                </w:tcPr>
                <w:p w14:paraId="77DE65A0">
                  <w:pPr>
                    <w:pStyle w:val="14"/>
                    <w:adjustRightInd w:val="0"/>
                    <w:snapToGrid w:val="0"/>
                    <w:ind w:left="42" w:leftChars="20"/>
                    <w:jc w:val="center"/>
                    <w:rPr>
                      <w:color w:val="000000"/>
                      <w:kern w:val="2"/>
                      <w:sz w:val="21"/>
                      <w:szCs w:val="21"/>
                    </w:rPr>
                  </w:pPr>
                  <w:r>
                    <w:rPr>
                      <w:rFonts w:hint="eastAsia"/>
                      <w:color w:val="000000"/>
                      <w:kern w:val="2"/>
                      <w:sz w:val="21"/>
                      <w:szCs w:val="21"/>
                    </w:rPr>
                    <w:t>项目为塑料制品，拉丝过程</w:t>
                  </w:r>
                  <w:r>
                    <w:rPr>
                      <w:color w:val="000000"/>
                      <w:kern w:val="2"/>
                      <w:sz w:val="21"/>
                      <w:szCs w:val="21"/>
                    </w:rPr>
                    <w:t>中产生非甲烷总烃，废气经集气罩收集后采用</w:t>
                  </w:r>
                  <w:r>
                    <w:rPr>
                      <w:rFonts w:hint="eastAsia"/>
                      <w:color w:val="000000"/>
                      <w:kern w:val="2"/>
                      <w:sz w:val="21"/>
                      <w:szCs w:val="21"/>
                    </w:rPr>
                    <w:t>“二级活性炭吸附装置”处理后达标排放</w:t>
                  </w:r>
                </w:p>
              </w:tc>
              <w:tc>
                <w:tcPr>
                  <w:tcW w:w="349" w:type="pct"/>
                  <w:tcBorders>
                    <w:top w:val="single" w:color="auto" w:sz="4" w:space="0"/>
                    <w:left w:val="single" w:color="auto" w:sz="4" w:space="0"/>
                    <w:bottom w:val="single" w:color="auto" w:sz="4" w:space="0"/>
                    <w:right w:val="single" w:color="auto" w:sz="4" w:space="0"/>
                  </w:tcBorders>
                  <w:vAlign w:val="center"/>
                </w:tcPr>
                <w:p w14:paraId="7A81DD9C">
                  <w:pPr>
                    <w:autoSpaceDE w:val="0"/>
                    <w:autoSpaceDN w:val="0"/>
                    <w:adjustRightInd w:val="0"/>
                    <w:snapToGrid w:val="0"/>
                    <w:spacing w:line="240" w:lineRule="exact"/>
                    <w:jc w:val="center"/>
                    <w:rPr>
                      <w:color w:val="000000"/>
                      <w:szCs w:val="21"/>
                    </w:rPr>
                  </w:pPr>
                  <w:r>
                    <w:rPr>
                      <w:rFonts w:hint="eastAsia"/>
                      <w:color w:val="000000"/>
                      <w:szCs w:val="21"/>
                    </w:rPr>
                    <w:t>相符</w:t>
                  </w:r>
                </w:p>
              </w:tc>
            </w:tr>
            <w:tr w14:paraId="0DE70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60" w:type="pct"/>
                  <w:vMerge w:val="continue"/>
                  <w:tcBorders>
                    <w:left w:val="single" w:color="auto" w:sz="4" w:space="0"/>
                    <w:right w:val="single" w:color="auto" w:sz="4" w:space="0"/>
                  </w:tcBorders>
                  <w:vAlign w:val="center"/>
                </w:tcPr>
                <w:p w14:paraId="54E3C32C">
                  <w:pPr>
                    <w:adjustRightInd w:val="0"/>
                    <w:snapToGrid w:val="0"/>
                    <w:jc w:val="center"/>
                  </w:pPr>
                </w:p>
              </w:tc>
              <w:tc>
                <w:tcPr>
                  <w:tcW w:w="2609" w:type="pct"/>
                  <w:tcBorders>
                    <w:top w:val="single" w:color="auto" w:sz="4" w:space="0"/>
                    <w:left w:val="single" w:color="auto" w:sz="4" w:space="0"/>
                    <w:bottom w:val="single" w:color="auto" w:sz="4" w:space="0"/>
                    <w:right w:val="single" w:color="auto" w:sz="4" w:space="0"/>
                  </w:tcBorders>
                  <w:vAlign w:val="center"/>
                </w:tcPr>
                <w:p w14:paraId="26E48E98">
                  <w:pPr>
                    <w:adjustRightInd w:val="0"/>
                    <w:snapToGrid w:val="0"/>
                    <w:jc w:val="center"/>
                  </w:pPr>
                  <w:r>
                    <w:rPr>
                      <w:rFonts w:hint="eastAsia"/>
                    </w:rPr>
                    <w:t>持续深化VOCs无组织排放整治。动态更新有机废气收集设施、泄漏检测与修复（LDAR）、挥发性有机液体储罐、有机液体装卸、敞开液面清单台账，实施含VOCs物料全方位、全链条、全环节密闭管理，对达不到无组织排放治理要求的实施限期治理，提升废气收集率，在保证安全生产前提下，做到“应收尽收”。工业涂装、包装印刷等行业优先采用密闭设备、在密闭空间中操作等方式收集无组织废气，并保持负压运行。采用集气罩、侧吸风等方式收集无组织废气的，距集气罩开口面最远处的控制风速不低于0.3米/秒；鼓励使用推拉式等硬质围挡进行封闭，尽可能缩小集气罩和污染源点的距离。载有气态、液态VOCs物料的设备与管线组件密封点大于等于1000个的企业，按照技术规范和检测频次要求，开展LDAR工作，建立电子台账记录。石化、现代煤化工、制药、农药等行业加强储罐配件失效检修、装载和污水处理密闭收集效果治理、装置区废水预处理池和废水储罐废气收集；焦化行业使用红外热成像仪、火焰离子化检测仪（FID）等设备定期对酚氰废水处理池密闭设施、煤气管线及焦炉等装置进行巡检修护，防止逸散泄漏。优化VOCs储罐选型和浮盘边缘密封方式，鼓励使用高效、低泄漏的储罐呼吸阀、紧急泄压阀，并定期进行检修维护。产生含VOCs废水的企业，采取密闭管道等措施逐步替代地漏、沟、渠、井等敞开式集输方式，减少VOCs无组织排放。</w:t>
                  </w:r>
                </w:p>
              </w:tc>
              <w:tc>
                <w:tcPr>
                  <w:tcW w:w="1480" w:type="pct"/>
                  <w:tcBorders>
                    <w:top w:val="single" w:color="auto" w:sz="4" w:space="0"/>
                    <w:left w:val="single" w:color="auto" w:sz="4" w:space="0"/>
                    <w:bottom w:val="single" w:color="auto" w:sz="4" w:space="0"/>
                    <w:right w:val="single" w:color="auto" w:sz="4" w:space="0"/>
                  </w:tcBorders>
                  <w:vAlign w:val="center"/>
                </w:tcPr>
                <w:p w14:paraId="6F2A6B78">
                  <w:pPr>
                    <w:pStyle w:val="14"/>
                    <w:adjustRightInd w:val="0"/>
                    <w:snapToGrid w:val="0"/>
                    <w:rPr>
                      <w:color w:val="000000"/>
                      <w:kern w:val="2"/>
                      <w:sz w:val="21"/>
                      <w:szCs w:val="21"/>
                    </w:rPr>
                  </w:pPr>
                  <w:bookmarkStart w:id="3" w:name="OLE_LINK4"/>
                  <w:bookmarkStart w:id="4" w:name="OLE_LINK3"/>
                  <w:r>
                    <w:rPr>
                      <w:rFonts w:hint="eastAsia"/>
                      <w:color w:val="000000"/>
                      <w:kern w:val="2"/>
                      <w:sz w:val="21"/>
                      <w:szCs w:val="21"/>
                    </w:rPr>
                    <w:t>项目原料为固体粒料，不涉及VOC</w:t>
                  </w:r>
                  <w:r>
                    <w:rPr>
                      <w:color w:val="000000"/>
                      <w:kern w:val="2"/>
                      <w:sz w:val="21"/>
                      <w:szCs w:val="21"/>
                    </w:rPr>
                    <w:t>s，</w:t>
                  </w:r>
                  <w:r>
                    <w:rPr>
                      <w:rFonts w:hint="eastAsia"/>
                      <w:color w:val="000000"/>
                      <w:kern w:val="2"/>
                      <w:sz w:val="21"/>
                      <w:szCs w:val="21"/>
                    </w:rPr>
                    <w:t>拉丝</w:t>
                  </w:r>
                  <w:r>
                    <w:rPr>
                      <w:color w:val="000000"/>
                      <w:kern w:val="2"/>
                      <w:sz w:val="21"/>
                      <w:szCs w:val="21"/>
                    </w:rPr>
                    <w:t>过程中产生</w:t>
                  </w:r>
                  <w:r>
                    <w:rPr>
                      <w:rFonts w:hint="eastAsia"/>
                      <w:color w:val="000000"/>
                      <w:kern w:val="2"/>
                      <w:sz w:val="21"/>
                      <w:szCs w:val="21"/>
                    </w:rPr>
                    <w:t>非甲烷总烃</w:t>
                  </w:r>
                  <w:r>
                    <w:rPr>
                      <w:color w:val="000000"/>
                      <w:kern w:val="2"/>
                      <w:sz w:val="21"/>
                      <w:szCs w:val="21"/>
                    </w:rPr>
                    <w:t>，经集气罩</w:t>
                  </w:r>
                  <w:r>
                    <w:rPr>
                      <w:rFonts w:hint="eastAsia"/>
                      <w:color w:val="000000"/>
                      <w:kern w:val="2"/>
                      <w:sz w:val="21"/>
                      <w:szCs w:val="21"/>
                    </w:rPr>
                    <w:t>收集后</w:t>
                  </w:r>
                  <w:r>
                    <w:rPr>
                      <w:color w:val="000000"/>
                      <w:kern w:val="2"/>
                      <w:sz w:val="21"/>
                      <w:szCs w:val="21"/>
                    </w:rPr>
                    <w:t>采用</w:t>
                  </w:r>
                  <w:r>
                    <w:rPr>
                      <w:rFonts w:hint="eastAsia"/>
                      <w:color w:val="000000"/>
                      <w:kern w:val="2"/>
                      <w:sz w:val="21"/>
                      <w:szCs w:val="21"/>
                    </w:rPr>
                    <w:t>“二级活性炭吸附装置”处理达标排放，</w:t>
                  </w:r>
                  <w:r>
                    <w:rPr>
                      <w:rFonts w:hint="eastAsia"/>
                      <w:sz w:val="21"/>
                      <w:szCs w:val="21"/>
                    </w:rPr>
                    <w:t>距集气罩开口面最远处的控制风速不低于0.3米/秒</w:t>
                  </w:r>
                  <w:r>
                    <w:rPr>
                      <w:rFonts w:hint="eastAsia"/>
                      <w:color w:val="000000"/>
                      <w:kern w:val="2"/>
                      <w:sz w:val="21"/>
                      <w:szCs w:val="21"/>
                    </w:rPr>
                    <w:t>，可以在保证安全生产的前提下，做到“应收尽收”</w:t>
                  </w:r>
                  <w:bookmarkEnd w:id="3"/>
                  <w:bookmarkEnd w:id="4"/>
                </w:p>
              </w:tc>
              <w:tc>
                <w:tcPr>
                  <w:tcW w:w="349" w:type="pct"/>
                  <w:tcBorders>
                    <w:top w:val="single" w:color="auto" w:sz="4" w:space="0"/>
                    <w:left w:val="single" w:color="auto" w:sz="4" w:space="0"/>
                    <w:bottom w:val="single" w:color="auto" w:sz="4" w:space="0"/>
                    <w:right w:val="single" w:color="auto" w:sz="4" w:space="0"/>
                  </w:tcBorders>
                  <w:vAlign w:val="center"/>
                </w:tcPr>
                <w:p w14:paraId="7E4DF5FC">
                  <w:pPr>
                    <w:autoSpaceDE w:val="0"/>
                    <w:autoSpaceDN w:val="0"/>
                    <w:adjustRightInd w:val="0"/>
                    <w:snapToGrid w:val="0"/>
                    <w:spacing w:line="240" w:lineRule="exact"/>
                    <w:jc w:val="center"/>
                    <w:rPr>
                      <w:color w:val="000000"/>
                      <w:szCs w:val="21"/>
                    </w:rPr>
                  </w:pPr>
                  <w:r>
                    <w:rPr>
                      <w:rFonts w:hint="eastAsia"/>
                      <w:color w:val="000000"/>
                      <w:szCs w:val="21"/>
                    </w:rPr>
                    <w:t>相符</w:t>
                  </w:r>
                </w:p>
              </w:tc>
            </w:tr>
            <w:tr w14:paraId="206CF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60" w:type="pct"/>
                  <w:vMerge w:val="continue"/>
                  <w:tcBorders>
                    <w:left w:val="single" w:color="auto" w:sz="4" w:space="0"/>
                    <w:right w:val="single" w:color="auto" w:sz="4" w:space="0"/>
                  </w:tcBorders>
                  <w:vAlign w:val="center"/>
                </w:tcPr>
                <w:p w14:paraId="0CB9591E">
                  <w:pPr>
                    <w:adjustRightInd w:val="0"/>
                    <w:snapToGrid w:val="0"/>
                    <w:jc w:val="center"/>
                  </w:pPr>
                </w:p>
              </w:tc>
              <w:tc>
                <w:tcPr>
                  <w:tcW w:w="2609" w:type="pct"/>
                  <w:tcBorders>
                    <w:top w:val="single" w:color="auto" w:sz="4" w:space="0"/>
                    <w:left w:val="single" w:color="auto" w:sz="4" w:space="0"/>
                    <w:bottom w:val="single" w:color="auto" w:sz="4" w:space="0"/>
                    <w:right w:val="single" w:color="auto" w:sz="4" w:space="0"/>
                  </w:tcBorders>
                  <w:vAlign w:val="center"/>
                </w:tcPr>
                <w:p w14:paraId="7B12F447">
                  <w:pPr>
                    <w:adjustRightInd w:val="0"/>
                    <w:snapToGrid w:val="0"/>
                    <w:jc w:val="center"/>
                  </w:pPr>
                  <w:r>
                    <w:rPr>
                      <w:rFonts w:hint="eastAsia"/>
                    </w:rPr>
                    <w:t>大力提升VOCs治理设施去除效率。全面排查VOCs治理设施，动态更新治理设施清单台账，分析治理技术与VOCs废气排放特征、组分等匹配性。低浓度、大风量有机废气，采用沸石转轮吸附、活性炭吸附、减风增浓等浓缩技术，提高VOCs浓度后采用高温焚烧、催化燃烧等技术；高浓度废气，优先进行溶剂回收预处理，难以回收的，采用高温焚烧、催化燃烧等技术。采用催化燃烧工艺的企业使用合格的催化剂并足额添加，高温焚烧温度不低于760摄氏度，催化燃烧装置燃烧温度不低于300摄氏度，相关温度参数自动记录存储，储存时间不少于1年。采用活性炭吸附工艺的，原则上VOCs产生浓度不超过300毫克/立方米，废气中涉及颗粒物、油烟（油雾）、水分等影响吸附过程物质的，应采取相应的预处理措施，颗粒状、柱状活性炭碘值不低于800毫克/克，蜂窝状活性炭碘值不低于650毫克/克，活性炭填充量、更换频次满足环评要求，活性炭购买发票、更换记录、碘值报告等支撑材料保存3年以上；每年开展活性炭监督抽查，每年夏季对活性炭质量进行抽检，对活性炭质量不合格的企业依法追究责任。</w:t>
                  </w:r>
                </w:p>
              </w:tc>
              <w:tc>
                <w:tcPr>
                  <w:tcW w:w="1480" w:type="pct"/>
                  <w:tcBorders>
                    <w:top w:val="single" w:color="auto" w:sz="4" w:space="0"/>
                    <w:left w:val="single" w:color="auto" w:sz="4" w:space="0"/>
                    <w:bottom w:val="single" w:color="auto" w:sz="4" w:space="0"/>
                    <w:right w:val="single" w:color="auto" w:sz="4" w:space="0"/>
                  </w:tcBorders>
                  <w:vAlign w:val="center"/>
                </w:tcPr>
                <w:p w14:paraId="3465B00B">
                  <w:pPr>
                    <w:pStyle w:val="14"/>
                    <w:adjustRightInd w:val="0"/>
                    <w:snapToGrid w:val="0"/>
                    <w:ind w:left="42" w:leftChars="20"/>
                    <w:jc w:val="center"/>
                    <w:rPr>
                      <w:color w:val="000000"/>
                      <w:kern w:val="2"/>
                      <w:sz w:val="21"/>
                      <w:szCs w:val="21"/>
                    </w:rPr>
                  </w:pPr>
                  <w:r>
                    <w:rPr>
                      <w:rFonts w:hint="eastAsia"/>
                      <w:color w:val="000000"/>
                      <w:kern w:val="2"/>
                      <w:sz w:val="21"/>
                      <w:szCs w:val="21"/>
                    </w:rPr>
                    <w:t>拉丝工序产生</w:t>
                  </w:r>
                  <w:r>
                    <w:rPr>
                      <w:color w:val="000000"/>
                      <w:kern w:val="2"/>
                      <w:sz w:val="21"/>
                      <w:szCs w:val="21"/>
                    </w:rPr>
                    <w:t>的</w:t>
                  </w:r>
                  <w:r>
                    <w:rPr>
                      <w:rFonts w:hint="eastAsia"/>
                      <w:color w:val="000000"/>
                      <w:kern w:val="2"/>
                      <w:sz w:val="21"/>
                      <w:szCs w:val="21"/>
                    </w:rPr>
                    <w:t>有机废气采用“二级活性炭吸附装置”处理，有机废气去除效率可达</w:t>
                  </w:r>
                  <w:r>
                    <w:rPr>
                      <w:color w:val="000000"/>
                      <w:kern w:val="2"/>
                      <w:sz w:val="21"/>
                      <w:szCs w:val="21"/>
                    </w:rPr>
                    <w:t>90</w:t>
                  </w:r>
                  <w:r>
                    <w:rPr>
                      <w:rFonts w:hint="eastAsia"/>
                      <w:color w:val="000000"/>
                      <w:kern w:val="2"/>
                      <w:sz w:val="21"/>
                      <w:szCs w:val="21"/>
                    </w:rPr>
                    <w:t>%；项目</w:t>
                  </w:r>
                  <w:r>
                    <w:rPr>
                      <w:color w:val="000000"/>
                      <w:kern w:val="2"/>
                      <w:sz w:val="21"/>
                      <w:szCs w:val="21"/>
                    </w:rPr>
                    <w:t>采用的</w:t>
                  </w:r>
                  <w:r>
                    <w:rPr>
                      <w:rFonts w:hint="eastAsia"/>
                      <w:color w:val="000000"/>
                      <w:kern w:val="2"/>
                      <w:sz w:val="21"/>
                      <w:szCs w:val="21"/>
                    </w:rPr>
                    <w:t>颗粒状、柱状活性炭碘值不低于800毫克/克，活性炭填充量、更换频次均需满足环评要求，活性炭购买发票、更换记录、碘值报告等支撑材料需保存3年以上</w:t>
                  </w:r>
                </w:p>
              </w:tc>
              <w:tc>
                <w:tcPr>
                  <w:tcW w:w="349" w:type="pct"/>
                  <w:tcBorders>
                    <w:top w:val="single" w:color="auto" w:sz="4" w:space="0"/>
                    <w:left w:val="single" w:color="auto" w:sz="4" w:space="0"/>
                    <w:bottom w:val="single" w:color="auto" w:sz="4" w:space="0"/>
                    <w:right w:val="single" w:color="auto" w:sz="4" w:space="0"/>
                  </w:tcBorders>
                  <w:vAlign w:val="center"/>
                </w:tcPr>
                <w:p w14:paraId="4F40B229">
                  <w:pPr>
                    <w:autoSpaceDE w:val="0"/>
                    <w:autoSpaceDN w:val="0"/>
                    <w:adjustRightInd w:val="0"/>
                    <w:snapToGrid w:val="0"/>
                    <w:spacing w:line="240" w:lineRule="exact"/>
                    <w:jc w:val="center"/>
                    <w:rPr>
                      <w:color w:val="000000"/>
                      <w:szCs w:val="21"/>
                    </w:rPr>
                  </w:pPr>
                  <w:r>
                    <w:rPr>
                      <w:rFonts w:hint="eastAsia"/>
                      <w:color w:val="000000"/>
                      <w:szCs w:val="21"/>
                    </w:rPr>
                    <w:t>相符</w:t>
                  </w:r>
                </w:p>
              </w:tc>
            </w:tr>
            <w:tr w14:paraId="4DE4D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60" w:type="pct"/>
                  <w:vMerge w:val="restart"/>
                  <w:tcBorders>
                    <w:top w:val="single" w:color="auto" w:sz="4" w:space="0"/>
                    <w:left w:val="single" w:color="auto" w:sz="4" w:space="0"/>
                    <w:right w:val="single" w:color="auto" w:sz="4" w:space="0"/>
                  </w:tcBorders>
                  <w:vAlign w:val="center"/>
                </w:tcPr>
                <w:p w14:paraId="0A178CFE">
                  <w:pPr>
                    <w:adjustRightInd w:val="0"/>
                    <w:snapToGrid w:val="0"/>
                    <w:jc w:val="center"/>
                    <w:rPr>
                      <w:color w:val="000000"/>
                      <w:szCs w:val="21"/>
                    </w:rPr>
                  </w:pPr>
                  <w:r>
                    <w:rPr>
                      <w:rFonts w:hint="eastAsia"/>
                      <w:color w:val="000000"/>
                      <w:szCs w:val="21"/>
                    </w:rPr>
                    <w:t>商丘市2024年蓝天保卫战实施方案</w:t>
                  </w:r>
                </w:p>
              </w:tc>
              <w:tc>
                <w:tcPr>
                  <w:tcW w:w="2609" w:type="pct"/>
                  <w:tcBorders>
                    <w:top w:val="single" w:color="auto" w:sz="4" w:space="0"/>
                    <w:left w:val="single" w:color="auto" w:sz="4" w:space="0"/>
                    <w:bottom w:val="single" w:color="auto" w:sz="4" w:space="0"/>
                    <w:right w:val="single" w:color="auto" w:sz="4" w:space="0"/>
                  </w:tcBorders>
                  <w:vAlign w:val="center"/>
                </w:tcPr>
                <w:p w14:paraId="0EDFD774">
                  <w:pPr>
                    <w:adjustRightInd w:val="0"/>
                    <w:snapToGrid w:val="0"/>
                    <w:jc w:val="center"/>
                    <w:rPr>
                      <w:color w:val="000000"/>
                      <w:szCs w:val="21"/>
                      <w:highlight w:val="yellow"/>
                    </w:rPr>
                  </w:pPr>
                  <w:r>
                    <w:rPr>
                      <w:rFonts w:hint="eastAsia"/>
                      <w:color w:val="000000"/>
                      <w:szCs w:val="21"/>
                    </w:rPr>
                    <w:t>开展低效失效治理设施排查整治。制定工业炉窑、锅炉、涉VOCs等重点行业低效失效治理设施排查整治方案，建立整治提升企业清单，重点关注水喷淋脱硫、简易碱法脱硫、简易氨法脱硫脱硝、微生物脱硝、单一水膜（浴）除尘、湿法脱硫除尘一体化等脱硫脱硝除尘工艺，单一低温等离子、光氧化、光催化、非水溶性VOCs废气采用单一水喷淋吸收等VOCs治理工艺及上述工艺的组合（异味治理除外），处理机制不明、无法通过药剂或副产物进行污染物脱除效果评估的治理工艺，对无法稳定达标排放的，通过更换适宜高效治理工艺、清洁能源替代、原辅材料源头替代、关停淘汰等方式实施分类整治。对人工投加脱硫脱硝剂的简易设施实施自动化改造，取缔直接向烟道内喷洒脱硫脱硝剂等敷衍式治理工艺。</w:t>
                  </w:r>
                </w:p>
              </w:tc>
              <w:tc>
                <w:tcPr>
                  <w:tcW w:w="1480" w:type="pct"/>
                  <w:tcBorders>
                    <w:top w:val="single" w:color="auto" w:sz="4" w:space="0"/>
                    <w:left w:val="single" w:color="auto" w:sz="4" w:space="0"/>
                    <w:bottom w:val="single" w:color="auto" w:sz="4" w:space="0"/>
                    <w:right w:val="single" w:color="auto" w:sz="4" w:space="0"/>
                  </w:tcBorders>
                  <w:vAlign w:val="center"/>
                </w:tcPr>
                <w:p w14:paraId="07EE34DF">
                  <w:pPr>
                    <w:pStyle w:val="14"/>
                    <w:adjustRightInd w:val="0"/>
                    <w:snapToGrid w:val="0"/>
                    <w:ind w:left="42" w:leftChars="20"/>
                    <w:jc w:val="center"/>
                    <w:rPr>
                      <w:color w:val="000000"/>
                      <w:kern w:val="2"/>
                      <w:sz w:val="21"/>
                      <w:szCs w:val="21"/>
                    </w:rPr>
                  </w:pPr>
                  <w:r>
                    <w:rPr>
                      <w:color w:val="000000"/>
                      <w:kern w:val="2"/>
                      <w:sz w:val="21"/>
                      <w:szCs w:val="21"/>
                    </w:rPr>
                    <w:t>项目有机废气经</w:t>
                  </w:r>
                  <w:r>
                    <w:rPr>
                      <w:rFonts w:hint="eastAsia"/>
                      <w:color w:val="000000"/>
                      <w:kern w:val="2"/>
                      <w:sz w:val="21"/>
                      <w:szCs w:val="21"/>
                    </w:rPr>
                    <w:t>“二级活性炭吸附装置”处理，</w:t>
                  </w:r>
                  <w:r>
                    <w:rPr>
                      <w:rFonts w:hint="eastAsia" w:cs="宋体"/>
                      <w:sz w:val="21"/>
                      <w:szCs w:val="21"/>
                    </w:rPr>
                    <w:t>不使用单一低效的处理技术</w:t>
                  </w:r>
                </w:p>
              </w:tc>
              <w:tc>
                <w:tcPr>
                  <w:tcW w:w="349" w:type="pct"/>
                  <w:tcBorders>
                    <w:top w:val="single" w:color="auto" w:sz="4" w:space="0"/>
                    <w:left w:val="single" w:color="auto" w:sz="4" w:space="0"/>
                    <w:bottom w:val="single" w:color="auto" w:sz="4" w:space="0"/>
                    <w:right w:val="single" w:color="auto" w:sz="4" w:space="0"/>
                  </w:tcBorders>
                  <w:vAlign w:val="center"/>
                </w:tcPr>
                <w:p w14:paraId="7EC77580">
                  <w:pPr>
                    <w:autoSpaceDE w:val="0"/>
                    <w:autoSpaceDN w:val="0"/>
                    <w:adjustRightInd w:val="0"/>
                    <w:snapToGrid w:val="0"/>
                    <w:spacing w:line="240" w:lineRule="exact"/>
                    <w:jc w:val="center"/>
                    <w:rPr>
                      <w:color w:val="000000"/>
                      <w:szCs w:val="21"/>
                    </w:rPr>
                  </w:pPr>
                  <w:r>
                    <w:rPr>
                      <w:rFonts w:hint="eastAsia"/>
                      <w:color w:val="000000"/>
                      <w:szCs w:val="21"/>
                    </w:rPr>
                    <w:t>相符</w:t>
                  </w:r>
                </w:p>
              </w:tc>
            </w:tr>
            <w:tr w14:paraId="27ED1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60" w:type="pct"/>
                  <w:vMerge w:val="continue"/>
                  <w:tcBorders>
                    <w:left w:val="single" w:color="auto" w:sz="4" w:space="0"/>
                    <w:right w:val="single" w:color="auto" w:sz="4" w:space="0"/>
                  </w:tcBorders>
                  <w:vAlign w:val="center"/>
                </w:tcPr>
                <w:p w14:paraId="450243AE">
                  <w:pPr>
                    <w:adjustRightInd w:val="0"/>
                    <w:snapToGrid w:val="0"/>
                    <w:jc w:val="center"/>
                    <w:rPr>
                      <w:color w:val="000000"/>
                      <w:szCs w:val="21"/>
                    </w:rPr>
                  </w:pPr>
                </w:p>
              </w:tc>
              <w:tc>
                <w:tcPr>
                  <w:tcW w:w="2609" w:type="pct"/>
                  <w:tcBorders>
                    <w:top w:val="single" w:color="auto" w:sz="4" w:space="0"/>
                    <w:left w:val="single" w:color="auto" w:sz="4" w:space="0"/>
                    <w:bottom w:val="single" w:color="auto" w:sz="4" w:space="0"/>
                    <w:right w:val="single" w:color="auto" w:sz="4" w:space="0"/>
                  </w:tcBorders>
                  <w:vAlign w:val="center"/>
                </w:tcPr>
                <w:p w14:paraId="4699718A">
                  <w:pPr>
                    <w:adjustRightInd w:val="0"/>
                    <w:snapToGrid w:val="0"/>
                    <w:jc w:val="center"/>
                    <w:rPr>
                      <w:color w:val="000000"/>
                      <w:szCs w:val="21"/>
                    </w:rPr>
                  </w:pPr>
                  <w:r>
                    <w:rPr>
                      <w:rFonts w:hint="eastAsia"/>
                      <w:color w:val="000000"/>
                      <w:szCs w:val="21"/>
                    </w:rPr>
                    <w:t>实施挥发性有机物综合治理。按照“可替尽替、应代尽代”的原则，加快推进低VOCs 含量原辅材料替代；加强VOCs全流程综合治理，加大蓄热式氧化燃烧（RTO）、蓄热式催化燃烧（RCO）、催化燃烧（CO）、沸石转轮吸附浓缩等高效治理技术推广力度；对企业含VOCs有机废水储罐、装置区集水井（池）实施有机废气收集密闭化改造；对企业活性炭装填量、更换周期实施编码登记，实现从购买、更换到处置的全过程可回溯管理；对污水处理设施排放的高浓度有机废气实施单独收集处理；具备改造条件的挥发性有机液体储罐改用低泄漏的储罐呼吸阀、紧急泄压阀，汽车罐车改用自封式快速接头；加强火炬燃烧装置监管，火炬系统、煤气放散管安装温度监控、废气流量计、助燃气体流量计，相关数据接入DCS系统；按规定开展VOCs泄漏检测与修复，石化、化工行业企业集中的城市和重点工业园区建立统一的泄漏检测与修复信息管理平台。</w:t>
                  </w:r>
                </w:p>
              </w:tc>
              <w:tc>
                <w:tcPr>
                  <w:tcW w:w="1480" w:type="pct"/>
                  <w:tcBorders>
                    <w:top w:val="single" w:color="auto" w:sz="4" w:space="0"/>
                    <w:left w:val="single" w:color="auto" w:sz="4" w:space="0"/>
                    <w:bottom w:val="single" w:color="auto" w:sz="4" w:space="0"/>
                    <w:right w:val="single" w:color="auto" w:sz="4" w:space="0"/>
                  </w:tcBorders>
                  <w:vAlign w:val="center"/>
                </w:tcPr>
                <w:p w14:paraId="3D0D2C45">
                  <w:pPr>
                    <w:pStyle w:val="14"/>
                    <w:adjustRightInd w:val="0"/>
                    <w:snapToGrid w:val="0"/>
                    <w:ind w:left="42" w:leftChars="20"/>
                    <w:jc w:val="center"/>
                    <w:rPr>
                      <w:color w:val="000000"/>
                      <w:kern w:val="2"/>
                      <w:sz w:val="21"/>
                      <w:szCs w:val="21"/>
                    </w:rPr>
                  </w:pPr>
                  <w:r>
                    <w:rPr>
                      <w:rFonts w:hint="eastAsia"/>
                      <w:color w:val="000000"/>
                      <w:kern w:val="2"/>
                      <w:sz w:val="21"/>
                      <w:szCs w:val="21"/>
                    </w:rPr>
                    <w:t>项目原料为固体粒料，不涉及VOC</w:t>
                  </w:r>
                  <w:r>
                    <w:rPr>
                      <w:color w:val="000000"/>
                      <w:kern w:val="2"/>
                      <w:sz w:val="21"/>
                      <w:szCs w:val="21"/>
                    </w:rPr>
                    <w:t>s，</w:t>
                  </w:r>
                  <w:r>
                    <w:rPr>
                      <w:rFonts w:hint="eastAsia"/>
                      <w:color w:val="000000"/>
                      <w:kern w:val="2"/>
                      <w:sz w:val="21"/>
                      <w:szCs w:val="21"/>
                    </w:rPr>
                    <w:t>拉丝</w:t>
                  </w:r>
                  <w:r>
                    <w:rPr>
                      <w:color w:val="000000"/>
                      <w:kern w:val="2"/>
                      <w:sz w:val="21"/>
                      <w:szCs w:val="21"/>
                    </w:rPr>
                    <w:t>过程中产生</w:t>
                  </w:r>
                  <w:r>
                    <w:rPr>
                      <w:rFonts w:hint="eastAsia"/>
                      <w:color w:val="000000"/>
                      <w:kern w:val="2"/>
                      <w:sz w:val="21"/>
                      <w:szCs w:val="21"/>
                    </w:rPr>
                    <w:t>有机废气</w:t>
                  </w:r>
                  <w:r>
                    <w:rPr>
                      <w:color w:val="000000"/>
                      <w:kern w:val="2"/>
                      <w:sz w:val="21"/>
                      <w:szCs w:val="21"/>
                    </w:rPr>
                    <w:t>，经集气罩</w:t>
                  </w:r>
                  <w:r>
                    <w:rPr>
                      <w:rFonts w:hint="eastAsia"/>
                      <w:color w:val="000000"/>
                      <w:kern w:val="2"/>
                      <w:sz w:val="21"/>
                      <w:szCs w:val="21"/>
                    </w:rPr>
                    <w:t>收集后</w:t>
                  </w:r>
                  <w:r>
                    <w:rPr>
                      <w:color w:val="000000"/>
                      <w:kern w:val="2"/>
                      <w:sz w:val="21"/>
                      <w:szCs w:val="21"/>
                    </w:rPr>
                    <w:t>采用</w:t>
                  </w:r>
                  <w:r>
                    <w:rPr>
                      <w:rFonts w:hint="eastAsia"/>
                      <w:color w:val="000000"/>
                      <w:kern w:val="2"/>
                      <w:sz w:val="21"/>
                      <w:szCs w:val="21"/>
                    </w:rPr>
                    <w:t>“二级活性炭吸附装置”处理达标排放；</w:t>
                  </w:r>
                  <w:r>
                    <w:rPr>
                      <w:color w:val="000000"/>
                      <w:kern w:val="2"/>
                      <w:sz w:val="21"/>
                      <w:szCs w:val="21"/>
                    </w:rPr>
                    <w:t>评价要求</w:t>
                  </w:r>
                  <w:r>
                    <w:rPr>
                      <w:rFonts w:hint="eastAsia"/>
                      <w:color w:val="000000"/>
                      <w:sz w:val="21"/>
                      <w:szCs w:val="21"/>
                    </w:rPr>
                    <w:t>企业活性炭装填量、更换周期实施编码登记，实现从购买、更换到处置的全过程可回溯管理</w:t>
                  </w:r>
                </w:p>
              </w:tc>
              <w:tc>
                <w:tcPr>
                  <w:tcW w:w="349" w:type="pct"/>
                  <w:tcBorders>
                    <w:top w:val="single" w:color="auto" w:sz="4" w:space="0"/>
                    <w:left w:val="single" w:color="auto" w:sz="4" w:space="0"/>
                    <w:bottom w:val="single" w:color="auto" w:sz="4" w:space="0"/>
                    <w:right w:val="single" w:color="auto" w:sz="4" w:space="0"/>
                  </w:tcBorders>
                  <w:vAlign w:val="center"/>
                </w:tcPr>
                <w:p w14:paraId="7C34E4DB">
                  <w:pPr>
                    <w:autoSpaceDE w:val="0"/>
                    <w:autoSpaceDN w:val="0"/>
                    <w:adjustRightInd w:val="0"/>
                    <w:snapToGrid w:val="0"/>
                    <w:spacing w:line="240" w:lineRule="exact"/>
                    <w:jc w:val="center"/>
                    <w:rPr>
                      <w:color w:val="000000"/>
                      <w:szCs w:val="21"/>
                    </w:rPr>
                  </w:pPr>
                  <w:r>
                    <w:rPr>
                      <w:rFonts w:hint="eastAsia"/>
                      <w:color w:val="000000"/>
                      <w:szCs w:val="21"/>
                    </w:rPr>
                    <w:t>相符</w:t>
                  </w:r>
                </w:p>
              </w:tc>
            </w:tr>
          </w:tbl>
          <w:p w14:paraId="4AD014B5">
            <w:pPr>
              <w:adjustRightInd w:val="0"/>
              <w:snapToGrid w:val="0"/>
              <w:spacing w:line="360" w:lineRule="auto"/>
              <w:ind w:firstLine="482" w:firstLineChars="200"/>
              <w:rPr>
                <w:b/>
                <w:bCs/>
                <w:sz w:val="24"/>
                <w:u w:val="single"/>
              </w:rPr>
            </w:pPr>
            <w:r>
              <w:rPr>
                <w:rFonts w:hint="eastAsia"/>
                <w:b/>
                <w:bCs/>
                <w:sz w:val="24"/>
                <w:u w:val="single"/>
              </w:rPr>
              <w:t>综上所述，本项目建设满足</w:t>
            </w:r>
            <w:r>
              <w:rPr>
                <w:rFonts w:hint="eastAsia"/>
                <w:b/>
                <w:bCs/>
                <w:snapToGrid w:val="0"/>
                <w:kern w:val="0"/>
                <w:sz w:val="24"/>
                <w:u w:val="single"/>
              </w:rPr>
              <w:t>《河南省2025年</w:t>
            </w:r>
            <w:r>
              <w:rPr>
                <w:b/>
                <w:bCs/>
                <w:snapToGrid w:val="0"/>
                <w:kern w:val="0"/>
                <w:sz w:val="24"/>
                <w:u w:val="single"/>
              </w:rPr>
              <w:t>蓝天保卫战实施方案》、</w:t>
            </w:r>
            <w:r>
              <w:rPr>
                <w:rFonts w:hint="eastAsia"/>
                <w:b/>
                <w:bCs/>
                <w:snapToGrid w:val="0"/>
                <w:kern w:val="0"/>
                <w:sz w:val="24"/>
                <w:u w:val="single"/>
              </w:rPr>
              <w:t>《河南省2025年碧水</w:t>
            </w:r>
            <w:r>
              <w:rPr>
                <w:b/>
                <w:bCs/>
                <w:snapToGrid w:val="0"/>
                <w:kern w:val="0"/>
                <w:sz w:val="24"/>
                <w:u w:val="single"/>
              </w:rPr>
              <w:t>保卫战实施方案》</w:t>
            </w:r>
            <w:r>
              <w:rPr>
                <w:rFonts w:hint="eastAsia"/>
                <w:b/>
                <w:bCs/>
                <w:snapToGrid w:val="0"/>
                <w:kern w:val="0"/>
                <w:sz w:val="24"/>
                <w:u w:val="single"/>
                <w:lang w:eastAsia="zh-CN"/>
              </w:rPr>
              <w:t>、</w:t>
            </w:r>
            <w:r>
              <w:rPr>
                <w:rFonts w:hint="eastAsia" w:hAnsi="宋体"/>
                <w:b/>
                <w:bCs/>
                <w:kern w:val="0"/>
                <w:sz w:val="24"/>
                <w:u w:val="single"/>
              </w:rPr>
              <w:t>《河南省深入打好秋冬季重污染天气消除、夏季臭氧污染防治和柴油货车污染治理攻坚战行动方案》</w:t>
            </w:r>
            <w:r>
              <w:rPr>
                <w:rFonts w:hint="eastAsia"/>
                <w:b/>
                <w:bCs/>
                <w:snapToGrid w:val="0"/>
                <w:kern w:val="0"/>
                <w:sz w:val="24"/>
                <w:u w:val="single"/>
              </w:rPr>
              <w:t>及《商丘市2024年蓝天保卫战实施方案</w:t>
            </w:r>
            <w:r>
              <w:rPr>
                <w:b/>
                <w:bCs/>
                <w:snapToGrid w:val="0"/>
                <w:kern w:val="0"/>
                <w:sz w:val="24"/>
                <w:u w:val="single"/>
              </w:rPr>
              <w:t>》</w:t>
            </w:r>
            <w:r>
              <w:rPr>
                <w:rFonts w:hint="eastAsia"/>
                <w:b/>
                <w:bCs/>
                <w:sz w:val="24"/>
                <w:u w:val="single"/>
              </w:rPr>
              <w:t>的相关要求</w:t>
            </w:r>
            <w:r>
              <w:rPr>
                <w:rFonts w:hint="eastAsia"/>
                <w:b/>
                <w:bCs/>
                <w:sz w:val="24"/>
                <w:u w:val="single"/>
                <w:lang w:eastAsia="zh-CN"/>
              </w:rPr>
              <w:t>，本项目不涉及重金属，运营期废水水质较为简单，危废妥善暂存、处置，满足</w:t>
            </w:r>
            <w:r>
              <w:rPr>
                <w:rFonts w:hint="eastAsia"/>
                <w:b/>
                <w:bCs/>
                <w:snapToGrid w:val="0"/>
                <w:kern w:val="0"/>
                <w:sz w:val="24"/>
                <w:u w:val="single"/>
              </w:rPr>
              <w:t>《河南省2025年</w:t>
            </w:r>
            <w:r>
              <w:rPr>
                <w:rFonts w:hint="eastAsia"/>
                <w:b/>
                <w:bCs/>
                <w:snapToGrid w:val="0"/>
                <w:kern w:val="0"/>
                <w:sz w:val="24"/>
                <w:u w:val="single"/>
                <w:lang w:eastAsia="zh-CN"/>
              </w:rPr>
              <w:t>净土</w:t>
            </w:r>
            <w:r>
              <w:rPr>
                <w:b/>
                <w:bCs/>
                <w:snapToGrid w:val="0"/>
                <w:kern w:val="0"/>
                <w:sz w:val="24"/>
                <w:u w:val="single"/>
              </w:rPr>
              <w:t>保卫战实施方案</w:t>
            </w:r>
            <w:r>
              <w:rPr>
                <w:rFonts w:hint="eastAsia"/>
                <w:b/>
                <w:bCs/>
                <w:snapToGrid w:val="0"/>
                <w:kern w:val="0"/>
                <w:sz w:val="24"/>
                <w:u w:val="single"/>
                <w:lang w:eastAsia="zh-CN"/>
              </w:rPr>
              <w:t>要求</w:t>
            </w:r>
            <w:r>
              <w:rPr>
                <w:rFonts w:hint="eastAsia"/>
                <w:b/>
                <w:bCs/>
                <w:sz w:val="24"/>
                <w:u w:val="single"/>
              </w:rPr>
              <w:t>。</w:t>
            </w:r>
          </w:p>
          <w:p w14:paraId="02E58DEC">
            <w:pPr>
              <w:spacing w:line="360" w:lineRule="auto"/>
              <w:ind w:firstLine="482" w:firstLineChars="200"/>
              <w:rPr>
                <w:b/>
                <w:sz w:val="24"/>
              </w:rPr>
            </w:pPr>
            <w:r>
              <w:rPr>
                <w:b/>
                <w:sz w:val="24"/>
              </w:rPr>
              <w:t>5</w:t>
            </w:r>
            <w:r>
              <w:rPr>
                <w:rFonts w:hint="eastAsia"/>
                <w:b/>
                <w:sz w:val="24"/>
              </w:rPr>
              <w:t>、与《河南省人民政府关于印发河南省空气质量持续改善行动计划的通知》（豫政[2024]12号）相符性分析</w:t>
            </w:r>
          </w:p>
          <w:p w14:paraId="3143F054">
            <w:pPr>
              <w:spacing w:line="360" w:lineRule="auto"/>
              <w:ind w:firstLine="480" w:firstLineChars="200"/>
              <w:rPr>
                <w:kern w:val="0"/>
                <w:sz w:val="24"/>
              </w:rPr>
            </w:pPr>
            <w:r>
              <w:rPr>
                <w:rFonts w:hint="eastAsia"/>
                <w:kern w:val="0"/>
                <w:sz w:val="24"/>
              </w:rPr>
              <w:t>根据《河南省人民政府关于印发河南省空气质量持续改善行动计划的通知》（豫政[2024]12号），本项目与《河南省空气质量持续改善行动计划》相符性分析见下表。</w:t>
            </w:r>
          </w:p>
          <w:p w14:paraId="7CB4726F">
            <w:pPr>
              <w:pStyle w:val="61"/>
              <w:rPr>
                <w:sz w:val="24"/>
              </w:rPr>
            </w:pPr>
            <w:r>
              <w:rPr>
                <w:rFonts w:hint="eastAsia"/>
                <w:sz w:val="24"/>
              </w:rPr>
              <w:t>表</w:t>
            </w:r>
            <w:r>
              <w:rPr>
                <w:sz w:val="24"/>
              </w:rPr>
              <w:t>3</w:t>
            </w:r>
            <w:r>
              <w:rPr>
                <w:rFonts w:hint="eastAsia"/>
                <w:sz w:val="24"/>
              </w:rPr>
              <w:t xml:space="preserve">   本项目与《河南省空气质量持续改善行动计划》相符性分析</w:t>
            </w:r>
          </w:p>
          <w:tbl>
            <w:tblPr>
              <w:tblStyle w:val="2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560"/>
              <w:gridCol w:w="4030"/>
              <w:gridCol w:w="2781"/>
              <w:gridCol w:w="774"/>
            </w:tblGrid>
            <w:tr w14:paraId="0497C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c>
                <w:tcPr>
                  <w:tcW w:w="344" w:type="pct"/>
                  <w:shd w:val="clear" w:color="auto" w:fill="auto"/>
                  <w:vAlign w:val="center"/>
                </w:tcPr>
                <w:p w14:paraId="1CB0A4F1">
                  <w:pPr>
                    <w:jc w:val="center"/>
                  </w:pPr>
                  <w:r>
                    <w:rPr>
                      <w:rFonts w:hint="eastAsia"/>
                    </w:rPr>
                    <w:t>类别</w:t>
                  </w:r>
                </w:p>
              </w:tc>
              <w:tc>
                <w:tcPr>
                  <w:tcW w:w="2473" w:type="pct"/>
                  <w:shd w:val="clear" w:color="auto" w:fill="auto"/>
                  <w:vAlign w:val="center"/>
                </w:tcPr>
                <w:p w14:paraId="4D50F21B">
                  <w:pPr>
                    <w:jc w:val="center"/>
                  </w:pPr>
                  <w:r>
                    <w:rPr>
                      <w:rFonts w:hint="eastAsia"/>
                    </w:rPr>
                    <w:t>文件要求</w:t>
                  </w:r>
                </w:p>
              </w:tc>
              <w:tc>
                <w:tcPr>
                  <w:tcW w:w="1707" w:type="pct"/>
                  <w:shd w:val="clear" w:color="auto" w:fill="auto"/>
                  <w:vAlign w:val="center"/>
                </w:tcPr>
                <w:p w14:paraId="4FE2CFD7">
                  <w:pPr>
                    <w:jc w:val="center"/>
                  </w:pPr>
                  <w:r>
                    <w:rPr>
                      <w:rFonts w:hint="eastAsia"/>
                    </w:rPr>
                    <w:t>本项目情况</w:t>
                  </w:r>
                </w:p>
              </w:tc>
              <w:tc>
                <w:tcPr>
                  <w:tcW w:w="475" w:type="pct"/>
                  <w:shd w:val="clear" w:color="auto" w:fill="auto"/>
                  <w:vAlign w:val="center"/>
                </w:tcPr>
                <w:p w14:paraId="050F70A0">
                  <w:pPr>
                    <w:jc w:val="center"/>
                  </w:pPr>
                  <w:r>
                    <w:rPr>
                      <w:rFonts w:hint="eastAsia"/>
                    </w:rPr>
                    <w:t>相符性</w:t>
                  </w:r>
                </w:p>
              </w:tc>
            </w:tr>
            <w:tr w14:paraId="769DB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c>
                <w:tcPr>
                  <w:tcW w:w="344" w:type="pct"/>
                  <w:vMerge w:val="restart"/>
                  <w:shd w:val="clear" w:color="auto" w:fill="auto"/>
                  <w:vAlign w:val="center"/>
                </w:tcPr>
                <w:p w14:paraId="5E20A8F5">
                  <w:pPr>
                    <w:jc w:val="center"/>
                  </w:pPr>
                  <w:r>
                    <w:rPr>
                      <w:rFonts w:hint="eastAsia"/>
                    </w:rPr>
                    <w:t>优化产业结构，促进产业绿色发展</w:t>
                  </w:r>
                </w:p>
              </w:tc>
              <w:tc>
                <w:tcPr>
                  <w:tcW w:w="2473" w:type="pct"/>
                  <w:shd w:val="clear" w:color="auto" w:fill="auto"/>
                  <w:vAlign w:val="center"/>
                </w:tcPr>
                <w:p w14:paraId="73714F1E">
                  <w:pPr>
                    <w:jc w:val="center"/>
                  </w:pPr>
                  <w:r>
                    <w:t>（一）严把“两高”项目准入关口。严格落实国家和我省“两高”项目相关要求，严禁新增钢铁产能。严格执行有关行业产能置换政策，被置换产能及其配套设施关停后，新建项目方可投产。国家、省绩效分级重点行业以及涉及锅炉炉窑的其他行业，新（改、扩）建项目原则上达到环境绩效A级或国内清洁生产先进水平。推进钢铁、焦化、烧结一体化布局，大幅减少独立烧结、球团和热轧企业及工序，推动高炉—转炉长流程炼钢转型为电炉短流程炼钢，淘汰落后煤炭洗选产能。统筹落实国家“以钢定焦”有关要求，研究制定焦化行业产能退出实施方案。</w:t>
                  </w:r>
                </w:p>
              </w:tc>
              <w:tc>
                <w:tcPr>
                  <w:tcW w:w="1707" w:type="pct"/>
                  <w:shd w:val="clear" w:color="auto" w:fill="auto"/>
                  <w:vAlign w:val="center"/>
                </w:tcPr>
                <w:p w14:paraId="17FCBEBE">
                  <w:pPr>
                    <w:jc w:val="center"/>
                  </w:pPr>
                  <w:r>
                    <w:rPr>
                      <w:rFonts w:hint="eastAsia"/>
                    </w:rPr>
                    <w:t>本项目主要生产牙刷丝</w:t>
                  </w:r>
                  <w:r>
                    <w:t>，属于塑料制品</w:t>
                  </w:r>
                  <w:r>
                    <w:rPr>
                      <w:rFonts w:hint="eastAsia"/>
                    </w:rPr>
                    <w:t>，不属于“两高”项目；本项目不涉及产能置换；建设过程按照河南省绩效分级重点行业塑料</w:t>
                  </w:r>
                  <w:r>
                    <w:t>制品</w:t>
                  </w:r>
                  <w:r>
                    <w:rPr>
                      <w:rFonts w:hint="eastAsia"/>
                    </w:rPr>
                    <w:t>A级指标建设；项目不属于钢铁、焦化、烧结等行业</w:t>
                  </w:r>
                </w:p>
              </w:tc>
              <w:tc>
                <w:tcPr>
                  <w:tcW w:w="475" w:type="pct"/>
                  <w:shd w:val="clear" w:color="auto" w:fill="auto"/>
                  <w:vAlign w:val="center"/>
                </w:tcPr>
                <w:p w14:paraId="4E9A2822">
                  <w:pPr>
                    <w:jc w:val="center"/>
                  </w:pPr>
                  <w:r>
                    <w:rPr>
                      <w:rFonts w:hint="eastAsia"/>
                    </w:rPr>
                    <w:t>/</w:t>
                  </w:r>
                </w:p>
              </w:tc>
            </w:tr>
            <w:tr w14:paraId="5ED45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c>
                <w:tcPr>
                  <w:tcW w:w="344" w:type="pct"/>
                  <w:vMerge w:val="continue"/>
                  <w:shd w:val="clear" w:color="auto" w:fill="auto"/>
                  <w:vAlign w:val="center"/>
                </w:tcPr>
                <w:p w14:paraId="60F45C6A">
                  <w:pPr>
                    <w:jc w:val="center"/>
                  </w:pPr>
                </w:p>
              </w:tc>
              <w:tc>
                <w:tcPr>
                  <w:tcW w:w="2473" w:type="pct"/>
                  <w:shd w:val="clear" w:color="auto" w:fill="auto"/>
                  <w:vAlign w:val="center"/>
                </w:tcPr>
                <w:p w14:paraId="198D4E92">
                  <w:pPr>
                    <w:jc w:val="center"/>
                  </w:pPr>
                  <w:r>
                    <w:t>（二）加快淘汰落后低效产能。落实国家产业政策，进一步提高落后产能能耗、环保、质量、安全、技术等要求，将大气污染物排放强度高、清洁生产水平低、治理难度大以及产能过剩行业的工艺和装备纳入淘汰范围，逐步退出限制类涉气行业工艺和装备；加快淘汰步进式烧结机、球团竖炉、独立烧结、独立球团、独立热轧工序以及半封闭式硅锰合金、镍铁、高碳铬铁、高碳锰铁电炉；有序退出砖瓦行业6000万标砖/年以下烧结砖及烧结空心砌块生产线，鼓励各省辖市、济源示范区、航空港区城市规划区内的烧结砖瓦企业关停退出。</w:t>
                  </w:r>
                </w:p>
              </w:tc>
              <w:tc>
                <w:tcPr>
                  <w:tcW w:w="1707" w:type="pct"/>
                  <w:shd w:val="clear" w:color="auto" w:fill="auto"/>
                  <w:vAlign w:val="center"/>
                </w:tcPr>
                <w:p w14:paraId="2AC38B5E">
                  <w:pPr>
                    <w:jc w:val="center"/>
                  </w:pPr>
                  <w:r>
                    <w:rPr>
                      <w:rFonts w:hint="eastAsia"/>
                    </w:rPr>
                    <w:t>本项目不涉及落后低效产能。</w:t>
                  </w:r>
                </w:p>
              </w:tc>
              <w:tc>
                <w:tcPr>
                  <w:tcW w:w="475" w:type="pct"/>
                  <w:shd w:val="clear" w:color="auto" w:fill="auto"/>
                  <w:vAlign w:val="center"/>
                </w:tcPr>
                <w:p w14:paraId="3F45BC87">
                  <w:pPr>
                    <w:jc w:val="center"/>
                  </w:pPr>
                  <w:r>
                    <w:rPr>
                      <w:rFonts w:hint="eastAsia"/>
                    </w:rPr>
                    <w:t>相符</w:t>
                  </w:r>
                </w:p>
              </w:tc>
            </w:tr>
            <w:tr w14:paraId="38924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c>
                <w:tcPr>
                  <w:tcW w:w="344" w:type="pct"/>
                  <w:shd w:val="clear" w:color="auto" w:fill="auto"/>
                  <w:vAlign w:val="center"/>
                </w:tcPr>
                <w:p w14:paraId="071EA002">
                  <w:pPr>
                    <w:jc w:val="center"/>
                  </w:pPr>
                  <w:r>
                    <w:rPr>
                      <w:rFonts w:hint="eastAsia"/>
                    </w:rPr>
                    <w:t>优化能源结构，加快能源绿色低碳发展</w:t>
                  </w:r>
                </w:p>
              </w:tc>
              <w:tc>
                <w:tcPr>
                  <w:tcW w:w="2473" w:type="pct"/>
                  <w:shd w:val="clear" w:color="auto" w:fill="auto"/>
                  <w:vAlign w:val="center"/>
                </w:tcPr>
                <w:p w14:paraId="09715CDE">
                  <w:pPr>
                    <w:jc w:val="center"/>
                  </w:pPr>
                  <w:r>
                    <w:t>（三）积极开展燃煤锅炉关停整合。全省原则上不再新增自备燃煤机组、不再新建除集中供暖外的燃煤锅炉，鼓励自备燃煤机组实施清洁能源替代。全面淘汰35蒸吨/小时以下的燃煤锅炉及茶水炉、经营性炉灶，基本淘汰储粮烘干设备、农产品加工等燃煤设施。加快热力管网建设，开展远距离供热示范，充分发挥热电联产电厂的供热能力，2025年年底前，对30万千瓦以上热电联产电厂供热半径30公里范围内具备供热替代条件的燃煤锅炉和落后燃煤小热电机组（含自备电厂）进行关停或整合。</w:t>
                  </w:r>
                </w:p>
              </w:tc>
              <w:tc>
                <w:tcPr>
                  <w:tcW w:w="1707" w:type="pct"/>
                  <w:shd w:val="clear" w:color="auto" w:fill="auto"/>
                  <w:vAlign w:val="center"/>
                </w:tcPr>
                <w:p w14:paraId="20209063">
                  <w:pPr>
                    <w:jc w:val="center"/>
                  </w:pPr>
                  <w:r>
                    <w:rPr>
                      <w:rFonts w:hint="eastAsia"/>
                    </w:rPr>
                    <w:t>本项目不涉及燃煤锅炉</w:t>
                  </w:r>
                </w:p>
              </w:tc>
              <w:tc>
                <w:tcPr>
                  <w:tcW w:w="475" w:type="pct"/>
                  <w:shd w:val="clear" w:color="auto" w:fill="auto"/>
                  <w:vAlign w:val="center"/>
                </w:tcPr>
                <w:p w14:paraId="413F10F2">
                  <w:pPr>
                    <w:jc w:val="center"/>
                  </w:pPr>
                  <w:r>
                    <w:rPr>
                      <w:rFonts w:hint="eastAsia"/>
                    </w:rPr>
                    <w:t>相符</w:t>
                  </w:r>
                </w:p>
              </w:tc>
            </w:tr>
            <w:tr w14:paraId="3726C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c>
                <w:tcPr>
                  <w:tcW w:w="344" w:type="pct"/>
                  <w:shd w:val="clear" w:color="auto" w:fill="auto"/>
                  <w:vAlign w:val="center"/>
                </w:tcPr>
                <w:p w14:paraId="03B56C5C">
                  <w:pPr>
                    <w:jc w:val="center"/>
                  </w:pPr>
                  <w:r>
                    <w:rPr>
                      <w:rFonts w:hint="eastAsia"/>
                    </w:rPr>
                    <w:t>强化面源污染治理，提升精细化管理水平</w:t>
                  </w:r>
                </w:p>
              </w:tc>
              <w:tc>
                <w:tcPr>
                  <w:tcW w:w="2473" w:type="pct"/>
                  <w:shd w:val="clear" w:color="auto" w:fill="auto"/>
                  <w:vAlign w:val="center"/>
                </w:tcPr>
                <w:p w14:paraId="3C5F9D48">
                  <w:pPr>
                    <w:jc w:val="center"/>
                  </w:pPr>
                  <w:r>
                    <w:t>（一）深化扬尘污染综合治理。严格落实扬尘治理“两个标准”要求，加强施工围挡、车辆冲洗、湿法作业、密闭运输、地面硬化、物料覆盖等精细化管理，鼓励建筑项目积极采用装配式建造等绿色施工技术。市政道路、水务等长距离线性工程实行分段施工，逐步推动5000平方米以上建筑工地安装在线监测和视频监控设施并接入当地监管平台。将防治扬尘污染费用纳入工程造价。持续开展城市清洁行动，强化道路扬尘综合整治，对长期未开发的建设裸地进行排查整治。</w:t>
                  </w:r>
                </w:p>
              </w:tc>
              <w:tc>
                <w:tcPr>
                  <w:tcW w:w="1707" w:type="pct"/>
                  <w:shd w:val="clear" w:color="auto" w:fill="auto"/>
                  <w:vAlign w:val="center"/>
                </w:tcPr>
                <w:p w14:paraId="5482DFC0">
                  <w:pPr>
                    <w:jc w:val="center"/>
                  </w:pPr>
                  <w:r>
                    <w:rPr>
                      <w:rFonts w:hint="eastAsia"/>
                    </w:rPr>
                    <w:t>本项目租用现有场地</w:t>
                  </w:r>
                  <w:r>
                    <w:t>进行建设，</w:t>
                  </w:r>
                  <w:r>
                    <w:rPr>
                      <w:rFonts w:hint="eastAsia"/>
                    </w:rPr>
                    <w:t>本次现场</w:t>
                  </w:r>
                  <w:r>
                    <w:t>踏勘期间，企业厂房主体结构已建</w:t>
                  </w:r>
                  <w:r>
                    <w:rPr>
                      <w:rFonts w:hint="eastAsia"/>
                    </w:rPr>
                    <w:t>成，施工期主要进行内部</w:t>
                  </w:r>
                  <w:r>
                    <w:t>装修、</w:t>
                  </w:r>
                  <w:r>
                    <w:rPr>
                      <w:rFonts w:hint="eastAsia"/>
                    </w:rPr>
                    <w:t>设备安装，评价</w:t>
                  </w:r>
                  <w:r>
                    <w:t>要求企业施工期加强施工围挡、车辆冲洗、湿法作业、密闭运输、地面硬化、物料覆盖等精细化管理</w:t>
                  </w:r>
                </w:p>
              </w:tc>
              <w:tc>
                <w:tcPr>
                  <w:tcW w:w="475" w:type="pct"/>
                  <w:shd w:val="clear" w:color="auto" w:fill="auto"/>
                  <w:vAlign w:val="center"/>
                </w:tcPr>
                <w:p w14:paraId="529140CC">
                  <w:pPr>
                    <w:jc w:val="center"/>
                  </w:pPr>
                  <w:r>
                    <w:rPr>
                      <w:rFonts w:hint="eastAsia"/>
                    </w:rPr>
                    <w:t>相符</w:t>
                  </w:r>
                </w:p>
              </w:tc>
            </w:tr>
          </w:tbl>
          <w:p w14:paraId="79BFFB50">
            <w:pPr>
              <w:adjustRightInd w:val="0"/>
              <w:snapToGrid w:val="0"/>
              <w:spacing w:line="360" w:lineRule="auto"/>
              <w:ind w:firstLine="480" w:firstLineChars="200"/>
              <w:rPr>
                <w:sz w:val="24"/>
              </w:rPr>
            </w:pPr>
            <w:r>
              <w:rPr>
                <w:rFonts w:hint="eastAsia"/>
                <w:bCs/>
                <w:sz w:val="24"/>
              </w:rPr>
              <w:t>由上表可知，本项目建设符合</w:t>
            </w:r>
            <w:r>
              <w:rPr>
                <w:rFonts w:hint="eastAsia"/>
                <w:kern w:val="0"/>
                <w:sz w:val="24"/>
              </w:rPr>
              <w:t>《河南省空气质量持续改善行动计划》</w:t>
            </w:r>
            <w:r>
              <w:rPr>
                <w:rFonts w:hint="eastAsia"/>
                <w:bCs/>
                <w:sz w:val="24"/>
              </w:rPr>
              <w:t>要求。</w:t>
            </w:r>
          </w:p>
          <w:p w14:paraId="7C9F4529">
            <w:pPr>
              <w:spacing w:line="360" w:lineRule="auto"/>
              <w:ind w:firstLine="482" w:firstLineChars="200"/>
              <w:rPr>
                <w:b/>
                <w:sz w:val="24"/>
                <w:u w:val="single"/>
              </w:rPr>
            </w:pPr>
            <w:r>
              <w:rPr>
                <w:b/>
                <w:sz w:val="24"/>
              </w:rPr>
              <w:t>6</w:t>
            </w:r>
            <w:r>
              <w:rPr>
                <w:rFonts w:hint="eastAsia"/>
                <w:b/>
                <w:sz w:val="24"/>
              </w:rPr>
              <w:t>、本项目与《河南省生态环境厅办公室关于做好2024年夏季挥发性有机物治理工作的通知》（豫环办〔2024〕35号）相符性分析</w:t>
            </w:r>
          </w:p>
          <w:p w14:paraId="13DE0A17">
            <w:pPr>
              <w:spacing w:line="360" w:lineRule="auto"/>
              <w:ind w:firstLine="480" w:firstLineChars="200"/>
              <w:rPr>
                <w:bCs/>
                <w:kern w:val="0"/>
                <w:sz w:val="24"/>
              </w:rPr>
            </w:pPr>
            <w:r>
              <w:rPr>
                <w:rFonts w:hint="eastAsia" w:cs="宋体"/>
                <w:bCs/>
                <w:kern w:val="0"/>
                <w:sz w:val="24"/>
              </w:rPr>
              <w:t>对照《河南省生态环境厅办公室关于做好2024年夏季挥发性有机物治理工作的通知》（豫环办〔2024〕35号），本项目与其相符性分析见表</w:t>
            </w:r>
            <w:r>
              <w:rPr>
                <w:rFonts w:cs="宋体"/>
                <w:bCs/>
                <w:kern w:val="0"/>
                <w:sz w:val="24"/>
              </w:rPr>
              <w:t>4</w:t>
            </w:r>
            <w:r>
              <w:rPr>
                <w:rFonts w:hint="eastAsia" w:cs="宋体"/>
                <w:bCs/>
                <w:kern w:val="0"/>
                <w:sz w:val="24"/>
              </w:rPr>
              <w:t>。</w:t>
            </w:r>
          </w:p>
          <w:p w14:paraId="551C7D2E">
            <w:pPr>
              <w:pStyle w:val="61"/>
              <w:ind w:firstLine="482"/>
              <w:rPr>
                <w:bCs/>
                <w:sz w:val="24"/>
              </w:rPr>
            </w:pPr>
            <w:r>
              <w:rPr>
                <w:rFonts w:hint="eastAsia"/>
                <w:bCs/>
                <w:sz w:val="24"/>
              </w:rPr>
              <w:t>表</w:t>
            </w:r>
            <w:r>
              <w:rPr>
                <w:bCs/>
                <w:sz w:val="24"/>
              </w:rPr>
              <w:t>4</w:t>
            </w:r>
            <w:r>
              <w:rPr>
                <w:rFonts w:hint="eastAsia"/>
                <w:bCs/>
                <w:sz w:val="24"/>
              </w:rPr>
              <w:t xml:space="preserve">      与豫环办〔2024〕35号相符性分析</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742"/>
              <w:gridCol w:w="4407"/>
              <w:gridCol w:w="1906"/>
              <w:gridCol w:w="667"/>
            </w:tblGrid>
            <w:tr w14:paraId="2FDC9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6" w:type="dxa"/>
                  <w:tcBorders>
                    <w:tl2br w:val="nil"/>
                    <w:tr2bl w:val="nil"/>
                  </w:tcBorders>
                  <w:vAlign w:val="center"/>
                </w:tcPr>
                <w:p w14:paraId="25C5BDAD">
                  <w:pPr>
                    <w:jc w:val="center"/>
                  </w:pPr>
                  <w:r>
                    <w:t>序号</w:t>
                  </w:r>
                </w:p>
              </w:tc>
              <w:tc>
                <w:tcPr>
                  <w:tcW w:w="5144" w:type="dxa"/>
                  <w:gridSpan w:val="2"/>
                  <w:tcBorders>
                    <w:tl2br w:val="nil"/>
                    <w:tr2bl w:val="nil"/>
                  </w:tcBorders>
                  <w:vAlign w:val="center"/>
                </w:tcPr>
                <w:p w14:paraId="0435DF02">
                  <w:pPr>
                    <w:jc w:val="center"/>
                  </w:pPr>
                  <w:r>
                    <w:t>内容</w:t>
                  </w:r>
                </w:p>
              </w:tc>
              <w:tc>
                <w:tcPr>
                  <w:tcW w:w="2007" w:type="dxa"/>
                  <w:tcBorders>
                    <w:tl2br w:val="nil"/>
                    <w:tr2bl w:val="nil"/>
                  </w:tcBorders>
                  <w:vAlign w:val="center"/>
                </w:tcPr>
                <w:p w14:paraId="5B87DF1B">
                  <w:pPr>
                    <w:jc w:val="center"/>
                  </w:pPr>
                  <w:r>
                    <w:t>本项目情况</w:t>
                  </w:r>
                </w:p>
              </w:tc>
              <w:tc>
                <w:tcPr>
                  <w:tcW w:w="692" w:type="dxa"/>
                  <w:tcBorders>
                    <w:tl2br w:val="nil"/>
                    <w:tr2bl w:val="nil"/>
                  </w:tcBorders>
                  <w:vAlign w:val="center"/>
                </w:tcPr>
                <w:p w14:paraId="71D83770">
                  <w:pPr>
                    <w:jc w:val="center"/>
                  </w:pPr>
                  <w:r>
                    <w:t>相符性</w:t>
                  </w:r>
                </w:p>
              </w:tc>
            </w:tr>
            <w:tr w14:paraId="223A9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6" w:type="dxa"/>
                  <w:tcBorders>
                    <w:tl2br w:val="nil"/>
                    <w:tr2bl w:val="nil"/>
                  </w:tcBorders>
                  <w:vAlign w:val="center"/>
                </w:tcPr>
                <w:p w14:paraId="7F2FC09D">
                  <w:pPr>
                    <w:jc w:val="center"/>
                  </w:pPr>
                  <w:r>
                    <w:rPr>
                      <w:rFonts w:hint="eastAsia"/>
                    </w:rPr>
                    <w:t>1</w:t>
                  </w:r>
                </w:p>
              </w:tc>
              <w:tc>
                <w:tcPr>
                  <w:tcW w:w="496" w:type="dxa"/>
                  <w:tcBorders>
                    <w:tl2br w:val="nil"/>
                    <w:tr2bl w:val="nil"/>
                  </w:tcBorders>
                  <w:vAlign w:val="center"/>
                </w:tcPr>
                <w:p w14:paraId="7AFD5146">
                  <w:r>
                    <w:t>二、加强低VOCs含量原辅材料替代</w:t>
                  </w:r>
                </w:p>
              </w:tc>
              <w:tc>
                <w:tcPr>
                  <w:tcW w:w="4648" w:type="dxa"/>
                  <w:tcBorders>
                    <w:tl2br w:val="nil"/>
                    <w:tr2bl w:val="nil"/>
                  </w:tcBorders>
                  <w:vAlign w:val="center"/>
                </w:tcPr>
                <w:p w14:paraId="183AB232">
                  <w:r>
                    <w:t>推动源头替代落实。各地指导督促工业涂装、包装印刷、电子制造等重点行业，落实《低挥发性有机化合物含量涂料产品技术要求》（GB/T38597-2020）等VCOs含量限值标准，加大涂料、油墨、胶粘剂、清洗剂等低VOCs含量原辅材料替代力度。按照“可替尽替、应代尽代”的原则，结合行业特点和企业实际，在全面排查基础上制定低 VOCs 原辅材料替代计划并积极推动实施，2024年5月底前将低VOCs原辅材料替代任务纳入2024年大气攻坚重点治理任务系统，实施逐月调度。2024年6月底前，对已实施低VOCs原辅材料源头替代的企业进行一轮全面排查，通过查看VOCs原辅材料购买、使用台账及质量检测报告、开展现场检测等方式，检查企业是否严格执行涂料、油墨、胶粘剂、清洗剂VOCs含量限值标准，确保全部替代或者替代比例满足要求。钢铁、焦化、钢结构、铸造等重点行业应合理安排设施维护计划，生产设施、管道构件防腐防水防锈喷涂及厂房车间建（构）筑物外表面维修刷漆避开夏季高温时期，禁止夏季露天喷涂。</w:t>
                  </w:r>
                </w:p>
              </w:tc>
              <w:tc>
                <w:tcPr>
                  <w:tcW w:w="2007" w:type="dxa"/>
                  <w:tcBorders>
                    <w:tl2br w:val="nil"/>
                    <w:tr2bl w:val="nil"/>
                  </w:tcBorders>
                  <w:vAlign w:val="center"/>
                </w:tcPr>
                <w:p w14:paraId="14C4E7BA">
                  <w:pPr>
                    <w:jc w:val="center"/>
                  </w:pPr>
                  <w:r>
                    <w:rPr>
                      <w:color w:val="000000"/>
                    </w:rPr>
                    <w:t>本项目</w:t>
                  </w:r>
                  <w:r>
                    <w:rPr>
                      <w:rFonts w:hint="eastAsia"/>
                      <w:color w:val="000000"/>
                    </w:rPr>
                    <w:t>为塑料</w:t>
                  </w:r>
                  <w:r>
                    <w:rPr>
                      <w:color w:val="000000"/>
                    </w:rPr>
                    <w:t>制品行业，</w:t>
                  </w:r>
                  <w:r>
                    <w:rPr>
                      <w:rFonts w:hint="eastAsia"/>
                      <w:color w:val="000000"/>
                    </w:rPr>
                    <w:t>原料</w:t>
                  </w:r>
                  <w:r>
                    <w:rPr>
                      <w:color w:val="000000"/>
                    </w:rPr>
                    <w:t>均为</w:t>
                  </w:r>
                  <w:r>
                    <w:rPr>
                      <w:rFonts w:hint="eastAsia"/>
                      <w:color w:val="000000"/>
                    </w:rPr>
                    <w:t>固体塑料</w:t>
                  </w:r>
                  <w:r>
                    <w:rPr>
                      <w:color w:val="000000"/>
                    </w:rPr>
                    <w:t>颗粒，</w:t>
                  </w:r>
                  <w:r>
                    <w:rPr>
                      <w:rFonts w:hint="eastAsia"/>
                      <w:color w:val="000000"/>
                    </w:rPr>
                    <w:t>属于低</w:t>
                  </w:r>
                  <w:r>
                    <w:rPr>
                      <w:color w:val="000000"/>
                    </w:rPr>
                    <w:t>VOCs</w:t>
                  </w:r>
                  <w:r>
                    <w:rPr>
                      <w:rFonts w:hint="eastAsia"/>
                      <w:color w:val="000000"/>
                    </w:rPr>
                    <w:t>原料</w:t>
                  </w:r>
                  <w:r>
                    <w:rPr>
                      <w:rFonts w:hint="eastAsia"/>
                    </w:rPr>
                    <w:t>，不涉及前述</w:t>
                  </w:r>
                  <w:r>
                    <w:t>重点行业及原辅材料的使用</w:t>
                  </w:r>
                </w:p>
              </w:tc>
              <w:tc>
                <w:tcPr>
                  <w:tcW w:w="692" w:type="dxa"/>
                  <w:tcBorders>
                    <w:tl2br w:val="nil"/>
                    <w:tr2bl w:val="nil"/>
                  </w:tcBorders>
                  <w:vAlign w:val="center"/>
                </w:tcPr>
                <w:p w14:paraId="4956DD73">
                  <w:pPr>
                    <w:jc w:val="center"/>
                  </w:pPr>
                  <w:r>
                    <w:rPr>
                      <w:rFonts w:hint="eastAsia"/>
                    </w:rPr>
                    <w:t>相符</w:t>
                  </w:r>
                </w:p>
              </w:tc>
            </w:tr>
            <w:tr w14:paraId="01C66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6" w:type="dxa"/>
                  <w:tcBorders>
                    <w:tl2br w:val="nil"/>
                    <w:tr2bl w:val="nil"/>
                  </w:tcBorders>
                  <w:vAlign w:val="center"/>
                </w:tcPr>
                <w:p w14:paraId="26D0DFDD">
                  <w:pPr>
                    <w:jc w:val="center"/>
                  </w:pPr>
                  <w:r>
                    <w:rPr>
                      <w:rFonts w:hint="eastAsia"/>
                    </w:rPr>
                    <w:t>2</w:t>
                  </w:r>
                </w:p>
              </w:tc>
              <w:tc>
                <w:tcPr>
                  <w:tcW w:w="496" w:type="dxa"/>
                  <w:tcBorders>
                    <w:tl2br w:val="nil"/>
                    <w:tr2bl w:val="nil"/>
                  </w:tcBorders>
                  <w:vAlign w:val="center"/>
                </w:tcPr>
                <w:p w14:paraId="44B4637B">
                  <w:r>
                    <w:t>三、强化无组织排放管控</w:t>
                  </w:r>
                </w:p>
              </w:tc>
              <w:tc>
                <w:tcPr>
                  <w:tcW w:w="4648" w:type="dxa"/>
                  <w:tcBorders>
                    <w:tl2br w:val="nil"/>
                    <w:tr2bl w:val="nil"/>
                  </w:tcBorders>
                  <w:vAlign w:val="center"/>
                </w:tcPr>
                <w:p w14:paraId="7935130F">
                  <w:r>
                    <w:t>提升 VOCs 废气收集效率。各地指导督促企业按照“应收尽收、分质收集”的原则，科学设计废气收集系统，提升废气收集效率，尽可能将VOCs无组织排放转变为有组织排放集中治理。VOCs有机废水储罐、装置区集水井（池）有机废气要密闭收集处理，企业污水处理场排放的高浓度有机废气要单独收集处理；工业涂装、包装印刷等行业优先采用密闭设备、在密闭空间中操作等方式收集无组织废气，并保持负压运行；采用集气罩、侧吸风等方式收集无组织废气的，距集气罩开口面最远处的控制风速不低于0.3米/秒或按相关行业要求规定执行。2024年6月底前，各地对VOCs废气密闭收集能力进行全面排查，对采用集气罩、侧吸风等措施收集VOCs废气的企业开展一轮风速实测，对于敞开式生产未配备收集设施、废气收集系统控制风速达不到标准要求、废气收集系统输送管道破损泄漏严重等问题限期进行整改提升，并将升级改造任务纳入2024年大气攻坚重点治理任务系统。</w:t>
                  </w:r>
                </w:p>
              </w:tc>
              <w:tc>
                <w:tcPr>
                  <w:tcW w:w="2007" w:type="dxa"/>
                  <w:tcBorders>
                    <w:tl2br w:val="nil"/>
                    <w:tr2bl w:val="nil"/>
                  </w:tcBorders>
                  <w:vAlign w:val="center"/>
                </w:tcPr>
                <w:p w14:paraId="4F8B30D7">
                  <w:pPr>
                    <w:rPr>
                      <w:b/>
                      <w:bCs/>
                      <w:highlight w:val="green"/>
                      <w:u w:val="single"/>
                    </w:rPr>
                  </w:pPr>
                  <w:r>
                    <w:t>项目</w:t>
                  </w:r>
                  <w:r>
                    <w:rPr>
                      <w:rFonts w:hint="eastAsia"/>
                    </w:rPr>
                    <w:t>车间为密闭生产车间</w:t>
                  </w:r>
                  <w:r>
                    <w:t>，</w:t>
                  </w:r>
                  <w:r>
                    <w:rPr>
                      <w:rFonts w:hint="eastAsia"/>
                    </w:rPr>
                    <w:t>生产过程</w:t>
                  </w:r>
                  <w:r>
                    <w:t>中产生的</w:t>
                  </w:r>
                  <w:r>
                    <w:rPr>
                      <w:rFonts w:hint="eastAsia"/>
                    </w:rPr>
                    <w:t>废气采用集气罩收集后</w:t>
                  </w:r>
                  <w:r>
                    <w:t>引入废气治理设施治理后有组织排放</w:t>
                  </w:r>
                  <w:r>
                    <w:rPr>
                      <w:rFonts w:hint="eastAsia"/>
                    </w:rPr>
                    <w:t>。</w:t>
                  </w:r>
                  <w:r>
                    <w:t>距集气罩开口面最远处的控制风速不低于0.3米/秒</w:t>
                  </w:r>
                </w:p>
              </w:tc>
              <w:tc>
                <w:tcPr>
                  <w:tcW w:w="692" w:type="dxa"/>
                  <w:tcBorders>
                    <w:tl2br w:val="nil"/>
                    <w:tr2bl w:val="nil"/>
                  </w:tcBorders>
                  <w:vAlign w:val="center"/>
                </w:tcPr>
                <w:p w14:paraId="49D1F7A4">
                  <w:pPr>
                    <w:jc w:val="center"/>
                    <w:rPr>
                      <w:b/>
                      <w:bCs/>
                      <w:highlight w:val="green"/>
                      <w:u w:val="single"/>
                    </w:rPr>
                  </w:pPr>
                  <w:r>
                    <w:rPr>
                      <w:rFonts w:hint="eastAsia"/>
                    </w:rPr>
                    <w:t>相符</w:t>
                  </w:r>
                </w:p>
              </w:tc>
            </w:tr>
            <w:tr w14:paraId="142CE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6" w:type="dxa"/>
                  <w:tcBorders>
                    <w:tl2br w:val="nil"/>
                    <w:tr2bl w:val="nil"/>
                  </w:tcBorders>
                  <w:vAlign w:val="center"/>
                </w:tcPr>
                <w:p w14:paraId="18A21F66">
                  <w:pPr>
                    <w:jc w:val="center"/>
                  </w:pPr>
                  <w:r>
                    <w:rPr>
                      <w:rFonts w:hint="eastAsia"/>
                    </w:rPr>
                    <w:t>3</w:t>
                  </w:r>
                </w:p>
              </w:tc>
              <w:tc>
                <w:tcPr>
                  <w:tcW w:w="496" w:type="dxa"/>
                  <w:vMerge w:val="restart"/>
                  <w:tcBorders>
                    <w:tl2br w:val="nil"/>
                    <w:tr2bl w:val="nil"/>
                  </w:tcBorders>
                  <w:vAlign w:val="center"/>
                </w:tcPr>
                <w:p w14:paraId="3F56E705">
                  <w:r>
                    <w:t>四、提升有组织治理能力</w:t>
                  </w:r>
                </w:p>
              </w:tc>
              <w:tc>
                <w:tcPr>
                  <w:tcW w:w="4648" w:type="dxa"/>
                  <w:tcBorders>
                    <w:tl2br w:val="nil"/>
                    <w:tr2bl w:val="nil"/>
                  </w:tcBorders>
                  <w:vAlign w:val="center"/>
                </w:tcPr>
                <w:p w14:paraId="7FA0C63F">
                  <w:r>
                    <w:t>开展低效失效治理设施排查整治。2024年6月底前，各地制定低效失效治理设施排查整治方案，对涉VOCs等重点行业建立排查整治企业清单，对于不成熟、不适用、无法稳定达标排放的治理工艺，以及光催化、光氧化、低温等离子、非水溶性VOCs废气采用单一水喷淋吸收等低效技术使用占比大、治理效果差的治理工艺，通过更换适宜高效治理工艺、原辅材料源头替代、关停淘汰等方式实施分类整治。2024年10月底前完成排查工作，对于能立行立改的问题，督促企业立即整改到位。对于需实施治理设施提升改造的，应依据排放废气特征、VOCs组分及浓度、生产工况等，合理选择治理技术；对治理难度大、单一治理工艺难以稳定达标的，宜采用多种技术的组合工艺；除恶臭异味治理外，一般不使用低温等离子、光催化、光氧化等技术；加大蓄热式氧化燃烧（RTO）、蓄热式催化燃烧（RCO）、催化燃烧（CO）、沸石转轮吸附浓缩等高效治理技术推广力度。要明确治理设施提升改造任务的内容和时限，将提升改造任务纳入2024年大气攻坚重点治理任务系统，未按时完成提升改造的纳入秋冬季生产调控范围。</w:t>
                  </w:r>
                </w:p>
              </w:tc>
              <w:tc>
                <w:tcPr>
                  <w:tcW w:w="2007" w:type="dxa"/>
                  <w:tcBorders>
                    <w:tl2br w:val="nil"/>
                    <w:tr2bl w:val="nil"/>
                  </w:tcBorders>
                  <w:vAlign w:val="center"/>
                </w:tcPr>
                <w:p w14:paraId="03738040">
                  <w:pPr>
                    <w:jc w:val="center"/>
                  </w:pPr>
                  <w:r>
                    <w:rPr>
                      <w:rFonts w:hint="eastAsia"/>
                      <w:color w:val="000000"/>
                    </w:rPr>
                    <w:t>项目原料</w:t>
                  </w:r>
                  <w:r>
                    <w:rPr>
                      <w:color w:val="000000"/>
                    </w:rPr>
                    <w:t>均为</w:t>
                  </w:r>
                  <w:r>
                    <w:rPr>
                      <w:rFonts w:hint="eastAsia"/>
                      <w:color w:val="000000"/>
                    </w:rPr>
                    <w:t>固体塑料</w:t>
                  </w:r>
                  <w:r>
                    <w:rPr>
                      <w:color w:val="000000"/>
                    </w:rPr>
                    <w:t>颗粒，生产过程中产生少量VOCs</w:t>
                  </w:r>
                  <w:r>
                    <w:rPr>
                      <w:rFonts w:hint="eastAsia"/>
                    </w:rPr>
                    <w:t>，废气</w:t>
                  </w:r>
                  <w:r>
                    <w:t>经</w:t>
                  </w:r>
                  <w:r>
                    <w:rPr>
                      <w:rFonts w:hint="eastAsia"/>
                      <w:color w:val="000000"/>
                    </w:rPr>
                    <w:t>收集后引至</w:t>
                  </w:r>
                  <w:r>
                    <w:rPr>
                      <w:color w:val="000000"/>
                    </w:rPr>
                    <w:t>“</w:t>
                  </w:r>
                  <w:r>
                    <w:rPr>
                      <w:rFonts w:hint="eastAsia"/>
                      <w:color w:val="000000"/>
                    </w:rPr>
                    <w:t>二级</w:t>
                  </w:r>
                  <w:r>
                    <w:rPr>
                      <w:color w:val="000000"/>
                    </w:rPr>
                    <w:t>活性炭吸附”装置处理</w:t>
                  </w:r>
                  <w:r>
                    <w:rPr>
                      <w:rFonts w:hint="eastAsia"/>
                      <w:color w:val="000000"/>
                    </w:rPr>
                    <w:t>后</w:t>
                  </w:r>
                  <w:r>
                    <w:rPr>
                      <w:color w:val="000000"/>
                    </w:rPr>
                    <w:t>达标排放</w:t>
                  </w:r>
                  <w:r>
                    <w:rPr>
                      <w:rFonts w:hint="eastAsia"/>
                      <w:color w:val="000000"/>
                    </w:rPr>
                    <w:t>，</w:t>
                  </w:r>
                  <w:r>
                    <w:rPr>
                      <w:color w:val="000000"/>
                    </w:rPr>
                    <w:t>项目采用二级活性炭吸附工艺，不属于前述低效治理设施</w:t>
                  </w:r>
                </w:p>
              </w:tc>
              <w:tc>
                <w:tcPr>
                  <w:tcW w:w="692" w:type="dxa"/>
                  <w:tcBorders>
                    <w:tl2br w:val="nil"/>
                    <w:tr2bl w:val="nil"/>
                  </w:tcBorders>
                  <w:vAlign w:val="center"/>
                </w:tcPr>
                <w:p w14:paraId="2090ECD7">
                  <w:pPr>
                    <w:jc w:val="center"/>
                  </w:pPr>
                  <w:r>
                    <w:t>相符</w:t>
                  </w:r>
                </w:p>
              </w:tc>
            </w:tr>
            <w:tr w14:paraId="1DE4C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6" w:type="dxa"/>
                  <w:tcBorders>
                    <w:tl2br w:val="nil"/>
                    <w:tr2bl w:val="nil"/>
                  </w:tcBorders>
                  <w:vAlign w:val="center"/>
                </w:tcPr>
                <w:p w14:paraId="0BF142D4">
                  <w:pPr>
                    <w:jc w:val="center"/>
                  </w:pPr>
                  <w:r>
                    <w:rPr>
                      <w:rFonts w:hint="eastAsia"/>
                    </w:rPr>
                    <w:t>4</w:t>
                  </w:r>
                </w:p>
              </w:tc>
              <w:tc>
                <w:tcPr>
                  <w:tcW w:w="496" w:type="dxa"/>
                  <w:vMerge w:val="continue"/>
                  <w:tcBorders>
                    <w:tl2br w:val="nil"/>
                    <w:tr2bl w:val="nil"/>
                  </w:tcBorders>
                  <w:vAlign w:val="center"/>
                </w:tcPr>
                <w:p w14:paraId="1DDFAC57"/>
              </w:tc>
              <w:tc>
                <w:tcPr>
                  <w:tcW w:w="4648" w:type="dxa"/>
                  <w:tcBorders>
                    <w:tl2br w:val="nil"/>
                    <w:tr2bl w:val="nil"/>
                  </w:tcBorders>
                  <w:vAlign w:val="center"/>
                </w:tcPr>
                <w:p w14:paraId="2ED6E5F0">
                  <w:r>
                    <w:t>加强污染治理设施运行维护。各地指导督促企业加强污染治理设施运行维护管理，做到治理设施较生产设备“先启后停”；及时清理、更换吸附剂、吸收剂、催化剂、蓄热体、过滤棉、灯管、电器元件等治理设施耗材，确保设施能够稳定高效运行；做好生产设备和治理设施启停机时间、检维修情况、治理设施耗材维护更换、处置情况等台账记录。2024年5月底前对采用活性炭吸附工艺的企业开展现场监督帮扶，通过查看企业活性炭购买发票、活性炭质检报告、装填量、更换频次以及废活性炭暂存转运处理等台账记录，检查活性炭更换使用情况，其中颗粒状、柱状活性炭碘值不应低于 800 毫克/克，蜂窝状活性炭碘值不应低于650 毫克/克，相关支撑材料至少要保存三年以上备查。2024年6月15日前，使用活性炭吸附的企业，VOCs年产生量大于0.5吨且活性炭吸附效率低于70%的，以及现场监督帮扶时无法提供半年内活性炭更换记录（自带自动脱附处理的除外）、碘值报告或活性炭碘值不满足要求的，要新完成一轮活性炭更换工作；采用催化燃烧工艺的企业应使用合格的催化剂并足额添加，催化剂床层的设计空速不得高于40000立方米/（立方米催化剂小时），RTO燃烧温度不低于760摄氏度，催化燃烧装置燃烧温度不低于300摄氏度，运行温度、脱附频次等关键参数应自动记录存储，储存时间不得少于1年。</w:t>
                  </w:r>
                </w:p>
              </w:tc>
              <w:tc>
                <w:tcPr>
                  <w:tcW w:w="2007" w:type="dxa"/>
                  <w:tcBorders>
                    <w:tl2br w:val="nil"/>
                    <w:tr2bl w:val="nil"/>
                  </w:tcBorders>
                  <w:vAlign w:val="center"/>
                </w:tcPr>
                <w:p w14:paraId="69DB6AD2">
                  <w:pPr>
                    <w:rPr>
                      <w:b/>
                      <w:bCs/>
                      <w:highlight w:val="green"/>
                      <w:u w:val="single"/>
                    </w:rPr>
                  </w:pPr>
                  <w:r>
                    <w:t>项目</w:t>
                  </w:r>
                  <w:r>
                    <w:rPr>
                      <w:rFonts w:hint="eastAsia"/>
                    </w:rPr>
                    <w:t>有机废气采用集气罩收集，</w:t>
                  </w:r>
                  <w:r>
                    <w:t>进入</w:t>
                  </w:r>
                  <w:r>
                    <w:rPr>
                      <w:rFonts w:hint="eastAsia"/>
                    </w:rPr>
                    <w:t>“二级活性炭吸附”装置</w:t>
                  </w:r>
                  <w:r>
                    <w:t>处理</w:t>
                  </w:r>
                  <w:r>
                    <w:rPr>
                      <w:rFonts w:hint="eastAsia"/>
                    </w:rPr>
                    <w:t>达标</w:t>
                  </w:r>
                  <w:r>
                    <w:t>排放。本项目运营后应记录活性炭装填量、更换时间、废活性炭暂存转运情况等，使用颗粒状、柱状活性炭碘值不应低于800毫克/克</w:t>
                  </w:r>
                  <w:r>
                    <w:rPr>
                      <w:rFonts w:hint="eastAsia"/>
                    </w:rPr>
                    <w:t>，更换的</w:t>
                  </w:r>
                  <w:r>
                    <w:t>废活性炭在厂内危废暂存间暂存</w:t>
                  </w:r>
                  <w:r>
                    <w:rPr>
                      <w:rFonts w:hint="eastAsia"/>
                    </w:rPr>
                    <w:t>。</w:t>
                  </w:r>
                </w:p>
              </w:tc>
              <w:tc>
                <w:tcPr>
                  <w:tcW w:w="692" w:type="dxa"/>
                  <w:tcBorders>
                    <w:tl2br w:val="nil"/>
                    <w:tr2bl w:val="nil"/>
                  </w:tcBorders>
                  <w:vAlign w:val="center"/>
                </w:tcPr>
                <w:p w14:paraId="358B8EBD">
                  <w:pPr>
                    <w:jc w:val="center"/>
                    <w:rPr>
                      <w:b/>
                      <w:bCs/>
                      <w:highlight w:val="green"/>
                      <w:u w:val="single"/>
                    </w:rPr>
                  </w:pPr>
                  <w:r>
                    <w:t>相符</w:t>
                  </w:r>
                </w:p>
              </w:tc>
            </w:tr>
          </w:tbl>
          <w:p w14:paraId="4969838C">
            <w:pPr>
              <w:pStyle w:val="15"/>
              <w:spacing w:before="0" w:after="0" w:line="360" w:lineRule="auto"/>
              <w:ind w:right="0" w:firstLine="480" w:firstLineChars="200"/>
              <w:rPr>
                <w:b/>
                <w:bCs/>
                <w:sz w:val="24"/>
              </w:rPr>
            </w:pPr>
            <w:r>
              <w:rPr>
                <w:sz w:val="24"/>
                <w:szCs w:val="24"/>
              </w:rPr>
              <w:t>由上表可知，本项目与《河南省生态环境厅办公室关于做好2024年夏季挥发性有机物治理工作的通知》（豫环办〔2024〕35号）文件相符。</w:t>
            </w:r>
          </w:p>
          <w:p w14:paraId="1136CB57">
            <w:pPr>
              <w:autoSpaceDE w:val="0"/>
              <w:autoSpaceDN w:val="0"/>
              <w:adjustRightInd w:val="0"/>
              <w:snapToGrid w:val="0"/>
              <w:spacing w:line="360" w:lineRule="auto"/>
              <w:ind w:firstLine="482" w:firstLineChars="200"/>
              <w:rPr>
                <w:rFonts w:cs="宋体"/>
                <w:b/>
                <w:kern w:val="0"/>
                <w:sz w:val="24"/>
              </w:rPr>
            </w:pPr>
            <w:r>
              <w:rPr>
                <w:b/>
                <w:bCs/>
                <w:kern w:val="0"/>
                <w:sz w:val="24"/>
              </w:rPr>
              <w:t>7</w:t>
            </w:r>
            <w:r>
              <w:rPr>
                <w:rFonts w:hAnsi="宋体"/>
                <w:b/>
                <w:bCs/>
                <w:kern w:val="0"/>
                <w:sz w:val="24"/>
              </w:rPr>
              <w:t>、</w:t>
            </w:r>
            <w:r>
              <w:rPr>
                <w:rFonts w:hint="eastAsia" w:cs="宋体"/>
                <w:b/>
                <w:kern w:val="0"/>
                <w:sz w:val="24"/>
              </w:rPr>
              <w:t>与重污染天气应急减排措施制定技术指南相符性分析</w:t>
            </w:r>
          </w:p>
          <w:p w14:paraId="102850DE">
            <w:pPr>
              <w:spacing w:line="360" w:lineRule="auto"/>
              <w:ind w:firstLine="480" w:firstLineChars="200"/>
              <w:jc w:val="left"/>
              <w:rPr>
                <w:sz w:val="24"/>
              </w:rPr>
            </w:pPr>
            <w:r>
              <w:rPr>
                <w:rFonts w:hint="eastAsia"/>
                <w:sz w:val="24"/>
              </w:rPr>
              <w:t>本项目</w:t>
            </w:r>
            <w:r>
              <w:rPr>
                <w:rFonts w:hint="eastAsia"/>
                <w:sz w:val="24"/>
                <w:lang w:val="zh-CN"/>
              </w:rPr>
              <w:t>与</w:t>
            </w:r>
            <w:r>
              <w:rPr>
                <w:rFonts w:hint="eastAsia"/>
                <w:sz w:val="24"/>
              </w:rPr>
              <w:t>《河南省重污染天气重点行业应急减排措施制定技术指南》（202</w:t>
            </w:r>
            <w:r>
              <w:rPr>
                <w:sz w:val="24"/>
              </w:rPr>
              <w:t>4</w:t>
            </w:r>
            <w:r>
              <w:rPr>
                <w:rFonts w:hint="eastAsia"/>
                <w:sz w:val="24"/>
              </w:rPr>
              <w:t>年修订版）塑料</w:t>
            </w:r>
            <w:r>
              <w:rPr>
                <w:sz w:val="24"/>
              </w:rPr>
              <w:t>制品行业</w:t>
            </w:r>
            <w:r>
              <w:rPr>
                <w:rFonts w:hint="eastAsia"/>
                <w:sz w:val="24"/>
              </w:rPr>
              <w:t>A级</w:t>
            </w:r>
            <w:r>
              <w:rPr>
                <w:sz w:val="24"/>
              </w:rPr>
              <w:t>企业相关</w:t>
            </w:r>
            <w:r>
              <w:rPr>
                <w:rFonts w:hint="eastAsia"/>
                <w:sz w:val="24"/>
              </w:rPr>
              <w:t>要求相符性</w:t>
            </w:r>
            <w:r>
              <w:rPr>
                <w:sz w:val="24"/>
              </w:rPr>
              <w:t>分析如下</w:t>
            </w:r>
            <w:r>
              <w:rPr>
                <w:rFonts w:hint="eastAsia"/>
                <w:sz w:val="24"/>
              </w:rPr>
              <w:t>：</w:t>
            </w:r>
          </w:p>
          <w:p w14:paraId="3A4E96AB">
            <w:pPr>
              <w:jc w:val="center"/>
              <w:rPr>
                <w:bCs/>
                <w:sz w:val="24"/>
              </w:rPr>
            </w:pPr>
            <w:r>
              <w:rPr>
                <w:rFonts w:hint="eastAsia"/>
                <w:b/>
                <w:color w:val="000000"/>
                <w:sz w:val="24"/>
              </w:rPr>
              <w:t>表</w:t>
            </w:r>
            <w:r>
              <w:rPr>
                <w:b/>
                <w:color w:val="000000"/>
                <w:sz w:val="24"/>
              </w:rPr>
              <w:t>5</w:t>
            </w:r>
            <w:r>
              <w:rPr>
                <w:rFonts w:hint="eastAsia"/>
                <w:b/>
                <w:color w:val="000000"/>
                <w:sz w:val="24"/>
              </w:rPr>
              <w:t xml:space="preserve">   </w:t>
            </w:r>
            <w:r>
              <w:rPr>
                <w:rFonts w:hint="eastAsia"/>
                <w:b/>
                <w:bCs/>
                <w:color w:val="000000"/>
                <w:sz w:val="24"/>
              </w:rPr>
              <w:t>企业与塑料制品行业A级企业指标相符性分析一览表</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97"/>
              <w:gridCol w:w="4328"/>
              <w:gridCol w:w="2412"/>
              <w:gridCol w:w="711"/>
            </w:tblGrid>
            <w:tr w14:paraId="4E4BF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2" w:hRule="atLeast"/>
                <w:jc w:val="center"/>
              </w:trPr>
              <w:tc>
                <w:tcPr>
                  <w:tcW w:w="3084" w:type="pct"/>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0BC004D7">
                  <w:pPr>
                    <w:pStyle w:val="66"/>
                    <w:spacing w:line="276" w:lineRule="auto"/>
                    <w:jc w:val="center"/>
                    <w:rPr>
                      <w:rFonts w:ascii="Times New Roman" w:cs="Times New Roman"/>
                      <w:color w:val="auto"/>
                      <w:sz w:val="21"/>
                      <w:szCs w:val="21"/>
                    </w:rPr>
                  </w:pPr>
                  <w:r>
                    <w:rPr>
                      <w:rFonts w:ascii="Times New Roman" w:cs="Times New Roman"/>
                      <w:color w:val="auto"/>
                      <w:sz w:val="21"/>
                      <w:szCs w:val="21"/>
                    </w:rPr>
                    <w:t>（一）</w:t>
                  </w:r>
                  <w:r>
                    <w:rPr>
                      <w:rFonts w:ascii="Times New Roman" w:cs="Times New Roman"/>
                      <w:bCs/>
                      <w:sz w:val="21"/>
                      <w:szCs w:val="21"/>
                    </w:rPr>
                    <w:t>塑料制品行业A级</w:t>
                  </w:r>
                  <w:r>
                    <w:rPr>
                      <w:rFonts w:ascii="Times New Roman" w:cs="Times New Roman"/>
                      <w:color w:val="auto"/>
                      <w:sz w:val="21"/>
                      <w:szCs w:val="21"/>
                    </w:rPr>
                    <w:t>要求</w:t>
                  </w:r>
                </w:p>
              </w:tc>
              <w:tc>
                <w:tcPr>
                  <w:tcW w:w="1480" w:type="pct"/>
                  <w:tcBorders>
                    <w:top w:val="single" w:color="auto" w:sz="4" w:space="0"/>
                    <w:left w:val="single" w:color="auto" w:sz="4" w:space="0"/>
                    <w:bottom w:val="single" w:color="auto" w:sz="4" w:space="0"/>
                    <w:right w:val="single" w:color="auto" w:sz="4" w:space="0"/>
                  </w:tcBorders>
                  <w:shd w:val="clear" w:color="auto" w:fill="FFFFFF"/>
                  <w:vAlign w:val="center"/>
                </w:tcPr>
                <w:p w14:paraId="4831B015">
                  <w:pPr>
                    <w:pStyle w:val="11"/>
                    <w:snapToGrid w:val="0"/>
                    <w:spacing w:line="276" w:lineRule="auto"/>
                    <w:ind w:firstLine="0" w:firstLineChars="0"/>
                    <w:jc w:val="center"/>
                    <w:rPr>
                      <w:szCs w:val="21"/>
                    </w:rPr>
                  </w:pPr>
                  <w:r>
                    <w:rPr>
                      <w:szCs w:val="21"/>
                    </w:rPr>
                    <w:t>本项目情况</w:t>
                  </w:r>
                </w:p>
              </w:tc>
              <w:tc>
                <w:tcPr>
                  <w:tcW w:w="436" w:type="pct"/>
                  <w:tcBorders>
                    <w:top w:val="single" w:color="auto" w:sz="4" w:space="0"/>
                    <w:left w:val="single" w:color="auto" w:sz="4" w:space="0"/>
                    <w:bottom w:val="single" w:color="auto" w:sz="4" w:space="0"/>
                    <w:right w:val="single" w:color="auto" w:sz="4" w:space="0"/>
                  </w:tcBorders>
                  <w:shd w:val="clear" w:color="auto" w:fill="FFFFFF"/>
                  <w:vAlign w:val="center"/>
                </w:tcPr>
                <w:p w14:paraId="1C6FDCAC">
                  <w:pPr>
                    <w:spacing w:line="276" w:lineRule="auto"/>
                    <w:jc w:val="center"/>
                    <w:rPr>
                      <w:szCs w:val="21"/>
                    </w:rPr>
                  </w:pPr>
                  <w:r>
                    <w:rPr>
                      <w:szCs w:val="21"/>
                    </w:rPr>
                    <w:t>相符性</w:t>
                  </w:r>
                </w:p>
              </w:tc>
            </w:tr>
            <w:tr w14:paraId="6B8DA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28" w:type="pct"/>
                  <w:tcBorders>
                    <w:top w:val="single" w:color="auto" w:sz="4" w:space="0"/>
                    <w:left w:val="single" w:color="auto" w:sz="4" w:space="0"/>
                    <w:bottom w:val="single" w:color="auto" w:sz="4" w:space="0"/>
                    <w:right w:val="single" w:color="auto" w:sz="4" w:space="0"/>
                  </w:tcBorders>
                  <w:shd w:val="clear" w:color="auto" w:fill="FFFFFF"/>
                  <w:vAlign w:val="center"/>
                </w:tcPr>
                <w:p w14:paraId="667ECCBD">
                  <w:pPr>
                    <w:pStyle w:val="85"/>
                    <w:spacing w:line="276" w:lineRule="auto"/>
                    <w:rPr>
                      <w:szCs w:val="21"/>
                    </w:rPr>
                  </w:pPr>
                  <w:r>
                    <w:rPr>
                      <w:bCs/>
                      <w:color w:val="000000"/>
                      <w:szCs w:val="21"/>
                    </w:rPr>
                    <w:t>能源类型</w:t>
                  </w:r>
                </w:p>
              </w:tc>
              <w:tc>
                <w:tcPr>
                  <w:tcW w:w="2656" w:type="pct"/>
                  <w:tcBorders>
                    <w:top w:val="single" w:color="auto" w:sz="4" w:space="0"/>
                    <w:left w:val="single" w:color="auto" w:sz="4" w:space="0"/>
                    <w:bottom w:val="single" w:color="auto" w:sz="4" w:space="0"/>
                    <w:right w:val="single" w:color="auto" w:sz="4" w:space="0"/>
                  </w:tcBorders>
                  <w:shd w:val="clear" w:color="auto" w:fill="FFFFFF"/>
                  <w:vAlign w:val="center"/>
                </w:tcPr>
                <w:p w14:paraId="6D09D864">
                  <w:pPr>
                    <w:pStyle w:val="85"/>
                    <w:spacing w:line="276" w:lineRule="auto"/>
                    <w:jc w:val="left"/>
                    <w:rPr>
                      <w:szCs w:val="21"/>
                    </w:rPr>
                  </w:pPr>
                  <w:r>
                    <w:rPr>
                      <w:bCs/>
                      <w:color w:val="000000"/>
                      <w:szCs w:val="21"/>
                    </w:rPr>
                    <w:t>能源使用电、天然气、液化石油气等能源。</w:t>
                  </w:r>
                </w:p>
              </w:tc>
              <w:tc>
                <w:tcPr>
                  <w:tcW w:w="1480" w:type="pct"/>
                  <w:tcBorders>
                    <w:top w:val="single" w:color="auto" w:sz="4" w:space="0"/>
                    <w:left w:val="single" w:color="auto" w:sz="4" w:space="0"/>
                    <w:bottom w:val="single" w:color="auto" w:sz="4" w:space="0"/>
                    <w:right w:val="single" w:color="auto" w:sz="4" w:space="0"/>
                  </w:tcBorders>
                  <w:shd w:val="clear" w:color="auto" w:fill="FFFFFF"/>
                  <w:vAlign w:val="center"/>
                </w:tcPr>
                <w:p w14:paraId="2298EC7E">
                  <w:pPr>
                    <w:pStyle w:val="85"/>
                    <w:spacing w:line="276" w:lineRule="auto"/>
                    <w:jc w:val="both"/>
                    <w:rPr>
                      <w:szCs w:val="21"/>
                    </w:rPr>
                  </w:pPr>
                  <w:r>
                    <w:rPr>
                      <w:rFonts w:hint="eastAsia"/>
                      <w:szCs w:val="21"/>
                    </w:rPr>
                    <w:t>项目以</w:t>
                  </w:r>
                  <w:r>
                    <w:rPr>
                      <w:szCs w:val="21"/>
                    </w:rPr>
                    <w:t>电为能源</w:t>
                  </w:r>
                </w:p>
              </w:tc>
              <w:tc>
                <w:tcPr>
                  <w:tcW w:w="436" w:type="pct"/>
                  <w:tcBorders>
                    <w:top w:val="single" w:color="auto" w:sz="4" w:space="0"/>
                    <w:left w:val="single" w:color="auto" w:sz="4" w:space="0"/>
                    <w:bottom w:val="single" w:color="auto" w:sz="4" w:space="0"/>
                    <w:right w:val="single" w:color="auto" w:sz="4" w:space="0"/>
                  </w:tcBorders>
                  <w:shd w:val="clear" w:color="auto" w:fill="FFFFFF"/>
                  <w:vAlign w:val="center"/>
                </w:tcPr>
                <w:p w14:paraId="71437914">
                  <w:pPr>
                    <w:adjustRightInd w:val="0"/>
                    <w:spacing w:line="276" w:lineRule="auto"/>
                    <w:jc w:val="center"/>
                    <w:rPr>
                      <w:szCs w:val="21"/>
                    </w:rPr>
                  </w:pPr>
                  <w:r>
                    <w:rPr>
                      <w:szCs w:val="21"/>
                    </w:rPr>
                    <w:t>相符</w:t>
                  </w:r>
                </w:p>
              </w:tc>
            </w:tr>
            <w:tr w14:paraId="77512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28" w:type="pct"/>
                  <w:tcBorders>
                    <w:top w:val="single" w:color="auto" w:sz="4" w:space="0"/>
                    <w:left w:val="single" w:color="auto" w:sz="4" w:space="0"/>
                    <w:right w:val="single" w:color="auto" w:sz="4" w:space="0"/>
                  </w:tcBorders>
                  <w:shd w:val="clear" w:color="auto" w:fill="FFFFFF"/>
                  <w:vAlign w:val="center"/>
                </w:tcPr>
                <w:p w14:paraId="2E6413C6">
                  <w:pPr>
                    <w:pStyle w:val="85"/>
                    <w:spacing w:line="276" w:lineRule="auto"/>
                    <w:rPr>
                      <w:szCs w:val="21"/>
                    </w:rPr>
                  </w:pPr>
                  <w:r>
                    <w:rPr>
                      <w:bCs/>
                      <w:color w:val="000000"/>
                      <w:szCs w:val="21"/>
                    </w:rPr>
                    <w:t>生产工艺及装 备水平</w:t>
                  </w:r>
                </w:p>
              </w:tc>
              <w:tc>
                <w:tcPr>
                  <w:tcW w:w="2656" w:type="pct"/>
                  <w:tcBorders>
                    <w:top w:val="single" w:color="auto" w:sz="4" w:space="0"/>
                    <w:left w:val="single" w:color="auto" w:sz="4" w:space="0"/>
                    <w:bottom w:val="single" w:color="auto" w:sz="4" w:space="0"/>
                    <w:right w:val="single" w:color="auto" w:sz="4" w:space="0"/>
                  </w:tcBorders>
                  <w:shd w:val="clear" w:color="auto" w:fill="FFFFFF"/>
                  <w:vAlign w:val="center"/>
                </w:tcPr>
                <w:p w14:paraId="150CBBFD">
                  <w:pPr>
                    <w:pStyle w:val="85"/>
                    <w:spacing w:line="276" w:lineRule="auto"/>
                    <w:jc w:val="left"/>
                    <w:rPr>
                      <w:szCs w:val="21"/>
                    </w:rPr>
                  </w:pPr>
                  <w:r>
                    <w:rPr>
                      <w:color w:val="000000"/>
                      <w:szCs w:val="21"/>
                    </w:rPr>
                    <w:t>1.</w:t>
                  </w:r>
                  <w:r>
                    <w:rPr>
                      <w:bCs/>
                      <w:color w:val="000000"/>
                      <w:szCs w:val="21"/>
                    </w:rPr>
                    <w:t>属于《产业结构调整指导目录（</w:t>
                  </w:r>
                  <w:r>
                    <w:rPr>
                      <w:color w:val="000000"/>
                      <w:szCs w:val="21"/>
                    </w:rPr>
                    <w:t xml:space="preserve">2024 </w:t>
                  </w:r>
                  <w:r>
                    <w:rPr>
                      <w:bCs/>
                      <w:color w:val="000000"/>
                      <w:szCs w:val="21"/>
                    </w:rPr>
                    <w:t>年版）》鼓励类和允许类；</w:t>
                  </w:r>
                  <w:r>
                    <w:rPr>
                      <w:color w:val="000000"/>
                      <w:szCs w:val="21"/>
                    </w:rPr>
                    <w:t>2.</w:t>
                  </w:r>
                  <w:r>
                    <w:rPr>
                      <w:bCs/>
                      <w:color w:val="000000"/>
                      <w:szCs w:val="21"/>
                    </w:rPr>
                    <w:t>符合相关行业产业政策；</w:t>
                  </w:r>
                  <w:r>
                    <w:rPr>
                      <w:color w:val="000000"/>
                      <w:szCs w:val="21"/>
                    </w:rPr>
                    <w:t>3.</w:t>
                  </w:r>
                  <w:r>
                    <w:rPr>
                      <w:bCs/>
                      <w:color w:val="000000"/>
                      <w:szCs w:val="21"/>
                    </w:rPr>
                    <w:t>符合河南省相关政策要求；</w:t>
                  </w:r>
                  <w:r>
                    <w:rPr>
                      <w:color w:val="000000"/>
                      <w:szCs w:val="21"/>
                    </w:rPr>
                    <w:t>4.</w:t>
                  </w:r>
                  <w:r>
                    <w:rPr>
                      <w:bCs/>
                      <w:color w:val="000000"/>
                      <w:szCs w:val="21"/>
                    </w:rPr>
                    <w:t>符合市级规划。</w:t>
                  </w:r>
                </w:p>
              </w:tc>
              <w:tc>
                <w:tcPr>
                  <w:tcW w:w="1480" w:type="pct"/>
                  <w:tcBorders>
                    <w:top w:val="single" w:color="auto" w:sz="4" w:space="0"/>
                    <w:left w:val="single" w:color="auto" w:sz="4" w:space="0"/>
                    <w:bottom w:val="single" w:color="auto" w:sz="4" w:space="0"/>
                    <w:right w:val="single" w:color="auto" w:sz="4" w:space="0"/>
                  </w:tcBorders>
                  <w:shd w:val="clear" w:color="auto" w:fill="FFFFFF"/>
                  <w:vAlign w:val="center"/>
                </w:tcPr>
                <w:p w14:paraId="58F72E0F">
                  <w:pPr>
                    <w:autoSpaceDE w:val="0"/>
                    <w:autoSpaceDN w:val="0"/>
                    <w:adjustRightInd w:val="0"/>
                    <w:spacing w:line="276" w:lineRule="auto"/>
                    <w:jc w:val="center"/>
                    <w:rPr>
                      <w:kern w:val="0"/>
                      <w:szCs w:val="21"/>
                    </w:rPr>
                  </w:pPr>
                  <w:r>
                    <w:rPr>
                      <w:color w:val="000000"/>
                      <w:szCs w:val="21"/>
                    </w:rPr>
                    <w:t>1.</w:t>
                  </w:r>
                  <w:r>
                    <w:rPr>
                      <w:rFonts w:hint="eastAsia"/>
                      <w:color w:val="000000"/>
                      <w:szCs w:val="21"/>
                    </w:rPr>
                    <w:t>项目</w:t>
                  </w:r>
                  <w:r>
                    <w:rPr>
                      <w:bCs/>
                      <w:color w:val="000000"/>
                      <w:szCs w:val="21"/>
                    </w:rPr>
                    <w:t>属于《产业结构调整指导目录（</w:t>
                  </w:r>
                  <w:r>
                    <w:rPr>
                      <w:color w:val="000000"/>
                      <w:szCs w:val="21"/>
                    </w:rPr>
                    <w:t>2024</w:t>
                  </w:r>
                  <w:r>
                    <w:rPr>
                      <w:bCs/>
                      <w:color w:val="000000"/>
                      <w:szCs w:val="21"/>
                    </w:rPr>
                    <w:t>年版）》</w:t>
                  </w:r>
                  <w:r>
                    <w:rPr>
                      <w:rFonts w:hint="eastAsia"/>
                      <w:bCs/>
                      <w:color w:val="000000"/>
                      <w:szCs w:val="21"/>
                    </w:rPr>
                    <w:t>允许</w:t>
                  </w:r>
                  <w:r>
                    <w:rPr>
                      <w:bCs/>
                      <w:color w:val="000000"/>
                      <w:szCs w:val="21"/>
                    </w:rPr>
                    <w:t>类；</w:t>
                  </w:r>
                  <w:r>
                    <w:rPr>
                      <w:color w:val="000000"/>
                      <w:szCs w:val="21"/>
                    </w:rPr>
                    <w:t>2.</w:t>
                  </w:r>
                  <w:r>
                    <w:rPr>
                      <w:bCs/>
                      <w:color w:val="000000"/>
                      <w:szCs w:val="21"/>
                    </w:rPr>
                    <w:t>符合相关行业产业政策；</w:t>
                  </w:r>
                  <w:r>
                    <w:rPr>
                      <w:color w:val="000000"/>
                      <w:szCs w:val="21"/>
                    </w:rPr>
                    <w:t>3.</w:t>
                  </w:r>
                  <w:r>
                    <w:rPr>
                      <w:bCs/>
                      <w:color w:val="000000"/>
                      <w:szCs w:val="21"/>
                    </w:rPr>
                    <w:t>符合河南省相关政策要求；</w:t>
                  </w:r>
                  <w:r>
                    <w:rPr>
                      <w:color w:val="000000"/>
                      <w:szCs w:val="21"/>
                    </w:rPr>
                    <w:t>4.</w:t>
                  </w:r>
                  <w:r>
                    <w:rPr>
                      <w:bCs/>
                      <w:color w:val="000000"/>
                      <w:szCs w:val="21"/>
                    </w:rPr>
                    <w:t>符合</w:t>
                  </w:r>
                  <w:r>
                    <w:rPr>
                      <w:rFonts w:hint="eastAsia"/>
                      <w:bCs/>
                      <w:color w:val="000000"/>
                      <w:szCs w:val="21"/>
                    </w:rPr>
                    <w:t>相关规划</w:t>
                  </w:r>
                  <w:r>
                    <w:rPr>
                      <w:bCs/>
                      <w:color w:val="000000"/>
                      <w:szCs w:val="21"/>
                    </w:rPr>
                    <w:t>要求</w:t>
                  </w:r>
                </w:p>
              </w:tc>
              <w:tc>
                <w:tcPr>
                  <w:tcW w:w="436" w:type="pct"/>
                  <w:tcBorders>
                    <w:top w:val="single" w:color="auto" w:sz="4" w:space="0"/>
                    <w:left w:val="single" w:color="auto" w:sz="4" w:space="0"/>
                    <w:bottom w:val="single" w:color="auto" w:sz="4" w:space="0"/>
                    <w:right w:val="single" w:color="auto" w:sz="4" w:space="0"/>
                  </w:tcBorders>
                  <w:shd w:val="clear" w:color="auto" w:fill="FFFFFF"/>
                  <w:vAlign w:val="center"/>
                </w:tcPr>
                <w:p w14:paraId="3C9B90F0">
                  <w:pPr>
                    <w:adjustRightInd w:val="0"/>
                    <w:spacing w:line="276" w:lineRule="auto"/>
                    <w:jc w:val="center"/>
                    <w:rPr>
                      <w:szCs w:val="21"/>
                    </w:rPr>
                  </w:pPr>
                  <w:r>
                    <w:rPr>
                      <w:szCs w:val="21"/>
                    </w:rPr>
                    <w:t>相符</w:t>
                  </w:r>
                </w:p>
              </w:tc>
            </w:tr>
            <w:tr w14:paraId="6DBE5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428" w:type="pct"/>
                  <w:tcBorders>
                    <w:top w:val="single" w:color="auto" w:sz="4" w:space="0"/>
                    <w:left w:val="single" w:color="auto" w:sz="4" w:space="0"/>
                    <w:bottom w:val="single" w:color="auto" w:sz="4" w:space="0"/>
                    <w:right w:val="single" w:color="auto" w:sz="4" w:space="0"/>
                  </w:tcBorders>
                  <w:shd w:val="clear" w:color="auto" w:fill="FFFFFF"/>
                  <w:vAlign w:val="center"/>
                </w:tcPr>
                <w:p w14:paraId="150D10FB">
                  <w:pPr>
                    <w:pStyle w:val="85"/>
                    <w:spacing w:line="276" w:lineRule="auto"/>
                    <w:rPr>
                      <w:szCs w:val="21"/>
                    </w:rPr>
                  </w:pPr>
                  <w:r>
                    <w:rPr>
                      <w:szCs w:val="21"/>
                    </w:rPr>
                    <w:t>废气收集及处理工艺</w:t>
                  </w:r>
                </w:p>
              </w:tc>
              <w:tc>
                <w:tcPr>
                  <w:tcW w:w="2656" w:type="pct"/>
                  <w:tcBorders>
                    <w:top w:val="single" w:color="auto" w:sz="4" w:space="0"/>
                    <w:left w:val="single" w:color="auto" w:sz="4" w:space="0"/>
                    <w:bottom w:val="single" w:color="auto" w:sz="4" w:space="0"/>
                    <w:right w:val="single" w:color="auto" w:sz="4" w:space="0"/>
                  </w:tcBorders>
                  <w:shd w:val="clear" w:color="auto" w:fill="FFFFFF"/>
                  <w:vAlign w:val="center"/>
                </w:tcPr>
                <w:p w14:paraId="558B8452">
                  <w:pPr>
                    <w:pStyle w:val="85"/>
                    <w:spacing w:line="276" w:lineRule="auto"/>
                    <w:jc w:val="left"/>
                    <w:rPr>
                      <w:szCs w:val="21"/>
                    </w:rPr>
                  </w:pPr>
                  <w:r>
                    <w:rPr>
                      <w:color w:val="000000"/>
                      <w:szCs w:val="21"/>
                    </w:rPr>
                    <w:t>1.</w:t>
                  </w:r>
                  <w:r>
                    <w:rPr>
                      <w:bCs/>
                      <w:color w:val="000000"/>
                      <w:szCs w:val="21"/>
                    </w:rPr>
                    <w:t>投料、挤塑、注塑、滚塑、吹塑、挤出、造粒、热定型、冷却、发泡、熟化、干燥、塑炼、压延、涂覆等涉</w:t>
                  </w:r>
                  <w:r>
                    <w:rPr>
                      <w:color w:val="000000"/>
                      <w:szCs w:val="21"/>
                    </w:rPr>
                    <w:t>VOCs</w:t>
                  </w:r>
                  <w:r>
                    <w:rPr>
                      <w:bCs/>
                      <w:color w:val="000000"/>
                      <w:szCs w:val="21"/>
                    </w:rPr>
                    <w:t>工序采用密闭设备或在密闭空间内操作，废气有效收集至</w:t>
                  </w:r>
                  <w:r>
                    <w:rPr>
                      <w:color w:val="000000"/>
                      <w:szCs w:val="21"/>
                    </w:rPr>
                    <w:t>VOCs</w:t>
                  </w:r>
                  <w:r>
                    <w:rPr>
                      <w:bCs/>
                      <w:color w:val="000000"/>
                      <w:szCs w:val="21"/>
                    </w:rPr>
                    <w:t>废气处理系统，车间外无异味；采用局部集气罩的，距集气罩开口面最远处的</w:t>
                  </w:r>
                  <w:r>
                    <w:rPr>
                      <w:color w:val="000000"/>
                      <w:szCs w:val="21"/>
                    </w:rPr>
                    <w:t xml:space="preserve">VOCs </w:t>
                  </w:r>
                  <w:r>
                    <w:rPr>
                      <w:bCs/>
                      <w:color w:val="000000"/>
                      <w:szCs w:val="21"/>
                    </w:rPr>
                    <w:t>无组织排放位置，控制风速不低于</w:t>
                  </w:r>
                  <w:r>
                    <w:rPr>
                      <w:color w:val="000000"/>
                      <w:szCs w:val="21"/>
                    </w:rPr>
                    <w:t>0.3</w:t>
                  </w:r>
                  <w:r>
                    <w:rPr>
                      <w:bCs/>
                      <w:color w:val="000000"/>
                      <w:szCs w:val="21"/>
                    </w:rPr>
                    <w:t>米</w:t>
                  </w:r>
                  <w:r>
                    <w:rPr>
                      <w:color w:val="000000"/>
                      <w:szCs w:val="21"/>
                    </w:rPr>
                    <w:t>/</w:t>
                  </w:r>
                  <w:r>
                    <w:rPr>
                      <w:bCs/>
                      <w:color w:val="000000"/>
                      <w:szCs w:val="21"/>
                    </w:rPr>
                    <w:t xml:space="preserve">秒； </w:t>
                  </w:r>
                  <w:r>
                    <w:rPr>
                      <w:color w:val="000000"/>
                      <w:szCs w:val="21"/>
                    </w:rPr>
                    <w:t>2.</w:t>
                  </w:r>
                  <w:r>
                    <w:rPr>
                      <w:bCs/>
                      <w:color w:val="000000"/>
                      <w:szCs w:val="21"/>
                    </w:rPr>
                    <w:t>使用再生料的企业</w:t>
                  </w:r>
                  <w:r>
                    <w:rPr>
                      <w:rFonts w:hint="eastAsia"/>
                      <w:bCs/>
                      <w:color w:val="000000"/>
                      <w:szCs w:val="21"/>
                    </w:rPr>
                    <w:t>[</w:t>
                  </w:r>
                  <w:r>
                    <w:rPr>
                      <w:color w:val="000000"/>
                      <w:szCs w:val="21"/>
                    </w:rPr>
                    <w:t>1</w:t>
                  </w:r>
                  <w:r>
                    <w:rPr>
                      <w:rFonts w:hint="eastAsia"/>
                      <w:bCs/>
                      <w:color w:val="000000"/>
                      <w:szCs w:val="21"/>
                    </w:rPr>
                    <w:t>]</w:t>
                  </w:r>
                  <w:r>
                    <w:rPr>
                      <w:color w:val="000000"/>
                      <w:szCs w:val="21"/>
                    </w:rPr>
                    <w:t>VOCs</w:t>
                  </w:r>
                  <w:r>
                    <w:rPr>
                      <w:bCs/>
                      <w:color w:val="000000"/>
                      <w:szCs w:val="21"/>
                    </w:rPr>
                    <w:t>治理采用燃烧工艺（包括直接燃烧、催化燃烧和蓄热燃烧）；使用原生料的企业</w:t>
                  </w:r>
                  <w:r>
                    <w:rPr>
                      <w:color w:val="000000"/>
                      <w:szCs w:val="21"/>
                    </w:rPr>
                    <w:t>VOCs</w:t>
                  </w:r>
                  <w:r>
                    <w:rPr>
                      <w:bCs/>
                      <w:color w:val="000000"/>
                      <w:szCs w:val="21"/>
                    </w:rPr>
                    <w:t>治理采用燃烧工艺或吸附、冷凝、膜分离等工艺处理（其中采用颗粒状活性炭的，柱状活性炭直径</w:t>
                  </w:r>
                  <w:r>
                    <w:rPr>
                      <w:color w:val="000000"/>
                      <w:szCs w:val="21"/>
                    </w:rPr>
                    <w:t>≤5mm</w:t>
                  </w:r>
                  <w:r>
                    <w:rPr>
                      <w:bCs/>
                      <w:color w:val="000000"/>
                      <w:szCs w:val="21"/>
                    </w:rPr>
                    <w:t>、碘值</w:t>
                  </w:r>
                  <w:r>
                    <w:rPr>
                      <w:color w:val="000000"/>
                      <w:szCs w:val="21"/>
                    </w:rPr>
                    <w:t>≥800mg/g</w:t>
                  </w:r>
                  <w:r>
                    <w:rPr>
                      <w:bCs/>
                      <w:color w:val="000000"/>
                      <w:szCs w:val="21"/>
                    </w:rPr>
                    <w:t>，且填充量与每小时处理废气量体积之比满足</w:t>
                  </w:r>
                  <w:r>
                    <w:rPr>
                      <w:color w:val="000000"/>
                      <w:szCs w:val="21"/>
                    </w:rPr>
                    <w:t>1:7000</w:t>
                  </w:r>
                  <w:r>
                    <w:rPr>
                      <w:bCs/>
                      <w:color w:val="000000"/>
                      <w:szCs w:val="21"/>
                    </w:rPr>
                    <w:t>的要求；使用蜂窝状活性炭的，碘值</w:t>
                  </w:r>
                  <w:r>
                    <w:rPr>
                      <w:color w:val="000000"/>
                      <w:szCs w:val="21"/>
                    </w:rPr>
                    <w:t>≥650mg/g</w:t>
                  </w:r>
                  <w:r>
                    <w:rPr>
                      <w:bCs/>
                      <w:color w:val="000000"/>
                      <w:szCs w:val="21"/>
                    </w:rPr>
                    <w:t>、比表面积应不低于</w:t>
                  </w:r>
                  <w:r>
                    <w:rPr>
                      <w:color w:val="000000"/>
                      <w:szCs w:val="21"/>
                    </w:rPr>
                    <w:t>750m²/g</w:t>
                  </w:r>
                  <w:r>
                    <w:rPr>
                      <w:bCs/>
                      <w:color w:val="000000"/>
                      <w:szCs w:val="21"/>
                    </w:rPr>
                    <w:t>，且填充量与每小时处理废气量体积之比满足</w:t>
                  </w:r>
                  <w:r>
                    <w:rPr>
                      <w:color w:val="000000"/>
                      <w:szCs w:val="21"/>
                    </w:rPr>
                    <w:t>1:5000</w:t>
                  </w:r>
                  <w:r>
                    <w:rPr>
                      <w:bCs/>
                      <w:color w:val="000000"/>
                      <w:szCs w:val="21"/>
                    </w:rPr>
                    <w:t>的要求；活性炭吸附设施废气 进口处安装有仪器仪表等装置，可实时监测显示并记录湿度、温度等数据，废气温度、颗粒物、相对湿度分别不超过</w:t>
                  </w:r>
                  <w:r>
                    <w:rPr>
                      <w:color w:val="000000"/>
                      <w:szCs w:val="21"/>
                    </w:rPr>
                    <w:t>40</w:t>
                  </w:r>
                  <w:r>
                    <w:rPr>
                      <w:rFonts w:hint="eastAsia" w:ascii="宋体" w:hAnsi="宋体" w:cs="宋体"/>
                      <w:color w:val="000000"/>
                      <w:szCs w:val="21"/>
                    </w:rPr>
                    <w:t>℃</w:t>
                  </w:r>
                  <w:r>
                    <w:rPr>
                      <w:bCs/>
                      <w:color w:val="000000"/>
                      <w:szCs w:val="21"/>
                    </w:rPr>
                    <w:t xml:space="preserve">、 </w:t>
                  </w:r>
                  <w:r>
                    <w:rPr>
                      <w:color w:val="000000"/>
                      <w:szCs w:val="21"/>
                    </w:rPr>
                    <w:t>1mg/m</w:t>
                  </w:r>
                  <w:r>
                    <w:rPr>
                      <w:color w:val="000000"/>
                      <w:szCs w:val="21"/>
                      <w:vertAlign w:val="superscript"/>
                    </w:rPr>
                    <w:t>3</w:t>
                  </w:r>
                  <w:r>
                    <w:rPr>
                      <w:bCs/>
                      <w:color w:val="000000"/>
                      <w:szCs w:val="21"/>
                    </w:rPr>
                    <w:t>、</w:t>
                  </w:r>
                  <w:r>
                    <w:rPr>
                      <w:color w:val="000000"/>
                      <w:szCs w:val="21"/>
                    </w:rPr>
                    <w:t>50%</w:t>
                  </w:r>
                  <w:r>
                    <w:rPr>
                      <w:bCs/>
                      <w:color w:val="000000"/>
                      <w:szCs w:val="21"/>
                    </w:rPr>
                    <w:t>）。废气中含有油烟或颗粒物的，应在</w:t>
                  </w:r>
                  <w:r>
                    <w:rPr>
                      <w:color w:val="000000"/>
                      <w:szCs w:val="21"/>
                    </w:rPr>
                    <w:t>VOCs</w:t>
                  </w:r>
                  <w:r>
                    <w:rPr>
                      <w:bCs/>
                      <w:color w:val="000000"/>
                      <w:szCs w:val="21"/>
                    </w:rPr>
                    <w:t>治理设施前端加装除尘设施或油烟净化装置；</w:t>
                  </w:r>
                  <w:r>
                    <w:rPr>
                      <w:color w:val="000000"/>
                      <w:szCs w:val="21"/>
                    </w:rPr>
                    <w:t>3.</w:t>
                  </w:r>
                  <w:r>
                    <w:rPr>
                      <w:bCs/>
                      <w:color w:val="000000"/>
                      <w:szCs w:val="21"/>
                    </w:rPr>
                    <w:t>粉状、粒状物料采用自动投料器投加和配混，投加和混配工序在封闭车间内进行，</w:t>
                  </w:r>
                  <w:r>
                    <w:rPr>
                      <w:color w:val="000000"/>
                      <w:szCs w:val="21"/>
                    </w:rPr>
                    <w:t>PM</w:t>
                  </w:r>
                  <w:r>
                    <w:rPr>
                      <w:bCs/>
                      <w:color w:val="000000"/>
                      <w:szCs w:val="21"/>
                    </w:rPr>
                    <w:t>有效收集，采用覆膜滤袋、滤筒等除尘技术；</w:t>
                  </w:r>
                  <w:r>
                    <w:rPr>
                      <w:color w:val="000000"/>
                      <w:szCs w:val="21"/>
                    </w:rPr>
                    <w:t>4.</w:t>
                  </w:r>
                  <w:r>
                    <w:rPr>
                      <w:bCs/>
                      <w:color w:val="000000"/>
                      <w:szCs w:val="21"/>
                    </w:rPr>
                    <w:t>废吸附剂应密闭的包装袋或容器储存、转运，并建立储存、处置台账；</w:t>
                  </w:r>
                  <w:r>
                    <w:rPr>
                      <w:color w:val="000000"/>
                      <w:szCs w:val="21"/>
                    </w:rPr>
                    <w:t>5.NOx</w:t>
                  </w:r>
                  <w:r>
                    <w:rPr>
                      <w:bCs/>
                      <w:color w:val="000000"/>
                      <w:szCs w:val="21"/>
                    </w:rPr>
                    <w:t>治理采用低氮燃烧、</w:t>
                  </w:r>
                  <w:r>
                    <w:rPr>
                      <w:color w:val="000000"/>
                      <w:szCs w:val="21"/>
                    </w:rPr>
                    <w:t>SNCR/SCR</w:t>
                  </w:r>
                  <w:r>
                    <w:rPr>
                      <w:bCs/>
                      <w:color w:val="000000"/>
                      <w:szCs w:val="21"/>
                    </w:rPr>
                    <w:t>等适宜技术。使用氨法脱硝的企业，氨的装卸、储存、输送、制备等过程全程密闭，并采取氨气泄漏检测和收集措施；采用尿素作为还原剂的配备有尿素加热水解制氨系统。</w:t>
                  </w:r>
                </w:p>
              </w:tc>
              <w:tc>
                <w:tcPr>
                  <w:tcW w:w="1480" w:type="pct"/>
                  <w:tcBorders>
                    <w:top w:val="single" w:color="auto" w:sz="4" w:space="0"/>
                    <w:left w:val="single" w:color="auto" w:sz="4" w:space="0"/>
                    <w:bottom w:val="single" w:color="auto" w:sz="4" w:space="0"/>
                    <w:right w:val="single" w:color="auto" w:sz="4" w:space="0"/>
                  </w:tcBorders>
                  <w:shd w:val="clear" w:color="auto" w:fill="FFFFFF"/>
                  <w:vAlign w:val="center"/>
                </w:tcPr>
                <w:p w14:paraId="5C5F41EE">
                  <w:pPr>
                    <w:pStyle w:val="85"/>
                    <w:snapToGrid w:val="0"/>
                    <w:spacing w:line="276" w:lineRule="auto"/>
                    <w:rPr>
                      <w:spacing w:val="-4"/>
                      <w:szCs w:val="21"/>
                    </w:rPr>
                  </w:pPr>
                  <w:r>
                    <w:rPr>
                      <w:color w:val="000000"/>
                      <w:szCs w:val="21"/>
                    </w:rPr>
                    <w:t>1.</w:t>
                  </w:r>
                  <w:r>
                    <w:rPr>
                      <w:rFonts w:hint="eastAsia"/>
                      <w:bCs/>
                      <w:color w:val="000000"/>
                      <w:szCs w:val="21"/>
                    </w:rPr>
                    <w:t>项目拉丝工序</w:t>
                  </w:r>
                  <w:r>
                    <w:rPr>
                      <w:bCs/>
                      <w:color w:val="000000"/>
                      <w:szCs w:val="21"/>
                    </w:rPr>
                    <w:t>涉</w:t>
                  </w:r>
                  <w:r>
                    <w:rPr>
                      <w:color w:val="000000"/>
                      <w:szCs w:val="21"/>
                    </w:rPr>
                    <w:t>VOCs</w:t>
                  </w:r>
                  <w:r>
                    <w:rPr>
                      <w:rFonts w:hint="eastAsia"/>
                      <w:color w:val="000000"/>
                      <w:szCs w:val="21"/>
                    </w:rPr>
                    <w:t>，</w:t>
                  </w:r>
                  <w:r>
                    <w:rPr>
                      <w:bCs/>
                      <w:color w:val="000000"/>
                      <w:szCs w:val="21"/>
                    </w:rPr>
                    <w:t>工序</w:t>
                  </w:r>
                  <w:r>
                    <w:rPr>
                      <w:rFonts w:hint="eastAsia"/>
                      <w:bCs/>
                      <w:color w:val="000000"/>
                      <w:szCs w:val="21"/>
                    </w:rPr>
                    <w:t>上方采用</w:t>
                  </w:r>
                  <w:r>
                    <w:rPr>
                      <w:bCs/>
                      <w:color w:val="000000"/>
                      <w:szCs w:val="21"/>
                    </w:rPr>
                    <w:t>集气罩</w:t>
                  </w:r>
                  <w:r>
                    <w:rPr>
                      <w:rFonts w:hint="eastAsia"/>
                      <w:bCs/>
                      <w:color w:val="000000"/>
                      <w:szCs w:val="21"/>
                    </w:rPr>
                    <w:t>集气</w:t>
                  </w:r>
                  <w:r>
                    <w:rPr>
                      <w:bCs/>
                      <w:color w:val="000000"/>
                      <w:szCs w:val="21"/>
                    </w:rPr>
                    <w:t>，距集气罩开口面最远处的</w:t>
                  </w:r>
                  <w:r>
                    <w:rPr>
                      <w:color w:val="000000"/>
                      <w:szCs w:val="21"/>
                    </w:rPr>
                    <w:t>VOCs</w:t>
                  </w:r>
                  <w:r>
                    <w:rPr>
                      <w:bCs/>
                      <w:color w:val="000000"/>
                      <w:szCs w:val="21"/>
                    </w:rPr>
                    <w:t>无组织排放位置，控制风速不低于</w:t>
                  </w:r>
                  <w:r>
                    <w:rPr>
                      <w:color w:val="000000"/>
                      <w:szCs w:val="21"/>
                    </w:rPr>
                    <w:t>0.3</w:t>
                  </w:r>
                  <w:r>
                    <w:rPr>
                      <w:bCs/>
                      <w:color w:val="000000"/>
                      <w:szCs w:val="21"/>
                    </w:rPr>
                    <w:t>米</w:t>
                  </w:r>
                  <w:r>
                    <w:rPr>
                      <w:color w:val="000000"/>
                      <w:szCs w:val="21"/>
                    </w:rPr>
                    <w:t>/</w:t>
                  </w:r>
                  <w:r>
                    <w:rPr>
                      <w:bCs/>
                      <w:color w:val="000000"/>
                      <w:szCs w:val="21"/>
                    </w:rPr>
                    <w:t>秒；</w:t>
                  </w:r>
                  <w:r>
                    <w:rPr>
                      <w:rFonts w:hint="eastAsia"/>
                      <w:bCs/>
                      <w:color w:val="000000"/>
                      <w:szCs w:val="21"/>
                    </w:rPr>
                    <w:t>2、本项目</w:t>
                  </w:r>
                  <w:r>
                    <w:rPr>
                      <w:bCs/>
                      <w:color w:val="000000"/>
                      <w:szCs w:val="21"/>
                    </w:rPr>
                    <w:t>废气采用</w:t>
                  </w:r>
                  <w:r>
                    <w:rPr>
                      <w:rFonts w:hint="eastAsia"/>
                      <w:bCs/>
                      <w:color w:val="000000"/>
                      <w:szCs w:val="21"/>
                    </w:rPr>
                    <w:t>二级</w:t>
                  </w:r>
                  <w:r>
                    <w:rPr>
                      <w:bCs/>
                      <w:color w:val="000000"/>
                      <w:szCs w:val="21"/>
                    </w:rPr>
                    <w:t>活性炭吸附</w:t>
                  </w:r>
                  <w:r>
                    <w:rPr>
                      <w:rFonts w:hint="eastAsia"/>
                      <w:bCs/>
                      <w:color w:val="000000"/>
                      <w:szCs w:val="21"/>
                    </w:rPr>
                    <w:t>装置</w:t>
                  </w:r>
                  <w:r>
                    <w:rPr>
                      <w:bCs/>
                      <w:color w:val="000000"/>
                      <w:szCs w:val="21"/>
                    </w:rPr>
                    <w:t>处理，其中活性炭碘值大于</w:t>
                  </w:r>
                  <w:r>
                    <w:rPr>
                      <w:rFonts w:hint="eastAsia"/>
                      <w:bCs/>
                      <w:color w:val="000000"/>
                      <w:szCs w:val="21"/>
                    </w:rPr>
                    <w:t>800</w:t>
                  </w:r>
                  <w:r>
                    <w:rPr>
                      <w:bCs/>
                      <w:color w:val="000000"/>
                      <w:szCs w:val="21"/>
                    </w:rPr>
                    <w:t xml:space="preserve"> </w:t>
                  </w:r>
                  <w:r>
                    <w:rPr>
                      <w:color w:val="000000"/>
                      <w:szCs w:val="21"/>
                    </w:rPr>
                    <w:t>mg/g</w:t>
                  </w:r>
                  <w:r>
                    <w:rPr>
                      <w:rFonts w:hint="eastAsia"/>
                      <w:color w:val="000000"/>
                      <w:szCs w:val="21"/>
                    </w:rPr>
                    <w:t>，</w:t>
                  </w:r>
                  <w:r>
                    <w:rPr>
                      <w:bCs/>
                      <w:color w:val="000000"/>
                      <w:szCs w:val="21"/>
                    </w:rPr>
                    <w:t>且填充量与每小时处理废气量体积之比满足</w:t>
                  </w:r>
                  <w:r>
                    <w:rPr>
                      <w:color w:val="000000"/>
                      <w:szCs w:val="21"/>
                    </w:rPr>
                    <w:t>1:7000</w:t>
                  </w:r>
                  <w:r>
                    <w:rPr>
                      <w:bCs/>
                      <w:color w:val="000000"/>
                      <w:szCs w:val="21"/>
                    </w:rPr>
                    <w:t>的要求</w:t>
                  </w:r>
                  <w:r>
                    <w:rPr>
                      <w:rFonts w:hint="eastAsia"/>
                      <w:bCs/>
                      <w:color w:val="000000"/>
                      <w:szCs w:val="21"/>
                    </w:rPr>
                    <w:t>；</w:t>
                  </w:r>
                  <w:r>
                    <w:rPr>
                      <w:bCs/>
                      <w:color w:val="000000"/>
                      <w:szCs w:val="21"/>
                    </w:rPr>
                    <w:t>活性炭吸附设施废气进口处安装有仪器仪表等装置，可实时监测显示并记录湿度、温度等数据，废气温度、颗粒物、相对湿度分别不超过</w:t>
                  </w:r>
                  <w:r>
                    <w:rPr>
                      <w:color w:val="000000"/>
                      <w:szCs w:val="21"/>
                    </w:rPr>
                    <w:t>40</w:t>
                  </w:r>
                  <w:r>
                    <w:rPr>
                      <w:rFonts w:hint="eastAsia" w:ascii="宋体" w:hAnsi="宋体" w:cs="宋体"/>
                      <w:color w:val="000000"/>
                      <w:szCs w:val="21"/>
                    </w:rPr>
                    <w:t>℃</w:t>
                  </w:r>
                  <w:r>
                    <w:rPr>
                      <w:bCs/>
                      <w:color w:val="000000"/>
                      <w:szCs w:val="21"/>
                    </w:rPr>
                    <w:t>、</w:t>
                  </w:r>
                  <w:r>
                    <w:rPr>
                      <w:color w:val="000000"/>
                      <w:szCs w:val="21"/>
                    </w:rPr>
                    <w:t>1mg/m</w:t>
                  </w:r>
                  <w:r>
                    <w:rPr>
                      <w:color w:val="000000"/>
                      <w:szCs w:val="21"/>
                      <w:vertAlign w:val="superscript"/>
                    </w:rPr>
                    <w:t>3</w:t>
                  </w:r>
                  <w:r>
                    <w:rPr>
                      <w:bCs/>
                      <w:color w:val="000000"/>
                      <w:szCs w:val="21"/>
                    </w:rPr>
                    <w:t>、</w:t>
                  </w:r>
                  <w:r>
                    <w:rPr>
                      <w:color w:val="000000"/>
                      <w:szCs w:val="21"/>
                    </w:rPr>
                    <w:t>50%</w:t>
                  </w:r>
                  <w:r>
                    <w:rPr>
                      <w:bCs/>
                      <w:color w:val="000000"/>
                      <w:szCs w:val="21"/>
                    </w:rPr>
                    <w:t>）</w:t>
                  </w:r>
                  <w:r>
                    <w:rPr>
                      <w:rFonts w:hint="eastAsia"/>
                      <w:bCs/>
                      <w:color w:val="000000"/>
                      <w:szCs w:val="21"/>
                    </w:rPr>
                    <w:t>；3、项目原料</w:t>
                  </w:r>
                  <w:r>
                    <w:rPr>
                      <w:bCs/>
                      <w:color w:val="000000"/>
                      <w:szCs w:val="21"/>
                    </w:rPr>
                    <w:t>为粒料，采用自动投料器投加和混配</w:t>
                  </w:r>
                  <w:r>
                    <w:rPr>
                      <w:rFonts w:hint="eastAsia"/>
                      <w:bCs/>
                      <w:color w:val="000000"/>
                      <w:szCs w:val="21"/>
                    </w:rPr>
                    <w:t>；4、</w:t>
                  </w:r>
                  <w:r>
                    <w:rPr>
                      <w:bCs/>
                      <w:color w:val="000000"/>
                      <w:szCs w:val="21"/>
                    </w:rPr>
                    <w:t>废</w:t>
                  </w:r>
                  <w:r>
                    <w:rPr>
                      <w:rFonts w:hint="eastAsia"/>
                      <w:bCs/>
                      <w:color w:val="000000"/>
                      <w:szCs w:val="21"/>
                    </w:rPr>
                    <w:t>活性炭采用密闭</w:t>
                  </w:r>
                  <w:r>
                    <w:rPr>
                      <w:bCs/>
                      <w:color w:val="000000"/>
                      <w:szCs w:val="21"/>
                    </w:rPr>
                    <w:t>桶装，暂存于危废间内，储存、转运，并建立储存、处置台账；</w:t>
                  </w:r>
                  <w:r>
                    <w:rPr>
                      <w:rFonts w:hint="eastAsia"/>
                      <w:bCs/>
                      <w:color w:val="000000"/>
                      <w:szCs w:val="21"/>
                    </w:rPr>
                    <w:t>5、不涉及</w:t>
                  </w:r>
                </w:p>
              </w:tc>
              <w:tc>
                <w:tcPr>
                  <w:tcW w:w="436" w:type="pct"/>
                  <w:tcBorders>
                    <w:top w:val="single" w:color="auto" w:sz="4" w:space="0"/>
                    <w:left w:val="single" w:color="auto" w:sz="4" w:space="0"/>
                    <w:bottom w:val="single" w:color="auto" w:sz="4" w:space="0"/>
                    <w:right w:val="single" w:color="auto" w:sz="4" w:space="0"/>
                  </w:tcBorders>
                  <w:shd w:val="clear" w:color="auto" w:fill="FFFFFF"/>
                  <w:vAlign w:val="center"/>
                </w:tcPr>
                <w:p w14:paraId="5F75291C">
                  <w:pPr>
                    <w:adjustRightInd w:val="0"/>
                    <w:spacing w:line="276" w:lineRule="auto"/>
                    <w:jc w:val="center"/>
                    <w:rPr>
                      <w:szCs w:val="21"/>
                    </w:rPr>
                  </w:pPr>
                  <w:r>
                    <w:rPr>
                      <w:szCs w:val="21"/>
                    </w:rPr>
                    <w:t>相符</w:t>
                  </w:r>
                </w:p>
              </w:tc>
            </w:tr>
            <w:tr w14:paraId="23A2E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428" w:type="pct"/>
                  <w:tcBorders>
                    <w:top w:val="single" w:color="auto" w:sz="4" w:space="0"/>
                    <w:left w:val="single" w:color="auto" w:sz="4" w:space="0"/>
                    <w:bottom w:val="single" w:color="auto" w:sz="4" w:space="0"/>
                    <w:right w:val="single" w:color="auto" w:sz="4" w:space="0"/>
                  </w:tcBorders>
                  <w:shd w:val="clear" w:color="auto" w:fill="FFFFFF"/>
                  <w:vAlign w:val="center"/>
                </w:tcPr>
                <w:p w14:paraId="1A14BCA6">
                  <w:pPr>
                    <w:pStyle w:val="85"/>
                    <w:spacing w:line="276" w:lineRule="auto"/>
                    <w:rPr>
                      <w:szCs w:val="21"/>
                    </w:rPr>
                  </w:pPr>
                  <w:r>
                    <w:rPr>
                      <w:bCs/>
                      <w:color w:val="000000"/>
                      <w:szCs w:val="21"/>
                    </w:rPr>
                    <w:t>无组织管控</w:t>
                  </w:r>
                </w:p>
              </w:tc>
              <w:tc>
                <w:tcPr>
                  <w:tcW w:w="2656" w:type="pct"/>
                  <w:tcBorders>
                    <w:top w:val="single" w:color="auto" w:sz="4" w:space="0"/>
                    <w:left w:val="single" w:color="auto" w:sz="4" w:space="0"/>
                    <w:bottom w:val="single" w:color="auto" w:sz="4" w:space="0"/>
                    <w:right w:val="single" w:color="auto" w:sz="4" w:space="0"/>
                  </w:tcBorders>
                  <w:shd w:val="clear" w:color="auto" w:fill="FFFFFF"/>
                  <w:vAlign w:val="center"/>
                </w:tcPr>
                <w:p w14:paraId="32DFEDE0">
                  <w:pPr>
                    <w:pStyle w:val="85"/>
                    <w:spacing w:line="276" w:lineRule="auto"/>
                    <w:jc w:val="left"/>
                    <w:rPr>
                      <w:szCs w:val="21"/>
                    </w:rPr>
                  </w:pPr>
                  <w:r>
                    <w:rPr>
                      <w:color w:val="000000"/>
                      <w:szCs w:val="21"/>
                    </w:rPr>
                    <w:t>1.VOCs</w:t>
                  </w:r>
                  <w:r>
                    <w:rPr>
                      <w:bCs/>
                      <w:color w:val="000000"/>
                      <w:szCs w:val="21"/>
                    </w:rPr>
                    <w:t>物料存储于密闭的容器、包装袋、储罐、储库、料仓中；盛装</w:t>
                  </w:r>
                  <w:r>
                    <w:rPr>
                      <w:color w:val="000000"/>
                      <w:szCs w:val="21"/>
                    </w:rPr>
                    <w:t>VOCs</w:t>
                  </w:r>
                  <w:r>
                    <w:rPr>
                      <w:bCs/>
                      <w:color w:val="000000"/>
                      <w:szCs w:val="21"/>
                    </w:rPr>
                    <w:t>物料的容器或包装袋存放于室内；盛装</w:t>
                  </w:r>
                  <w:r>
                    <w:rPr>
                      <w:color w:val="000000"/>
                      <w:szCs w:val="21"/>
                    </w:rPr>
                    <w:t>VOCs</w:t>
                  </w:r>
                  <w:r>
                    <w:rPr>
                      <w:bCs/>
                      <w:color w:val="000000"/>
                      <w:szCs w:val="21"/>
                    </w:rPr>
                    <w:t>物料的容器或包装袋在非取用状态时应加盖、封口，保持密闭；</w:t>
                  </w:r>
                  <w:r>
                    <w:rPr>
                      <w:color w:val="000000"/>
                      <w:szCs w:val="21"/>
                    </w:rPr>
                    <w:t>2.</w:t>
                  </w:r>
                  <w:r>
                    <w:rPr>
                      <w:bCs/>
                      <w:color w:val="000000"/>
                      <w:szCs w:val="21"/>
                    </w:rPr>
                    <w:t>粉状物料采用气力输送、管状带式输送机、螺旋输送机等自动化、密闭输送方式；粒状物料采用封闭皮带等自动化、封闭输送方式；液态</w:t>
                  </w:r>
                  <w:r>
                    <w:rPr>
                      <w:color w:val="000000"/>
                      <w:szCs w:val="21"/>
                    </w:rPr>
                    <w:t>VOCs</w:t>
                  </w:r>
                  <w:r>
                    <w:rPr>
                      <w:bCs/>
                      <w:color w:val="000000"/>
                      <w:szCs w:val="21"/>
                    </w:rPr>
                    <w:t>物料采用密闭管道输送；</w:t>
                  </w:r>
                  <w:r>
                    <w:rPr>
                      <w:color w:val="000000"/>
                      <w:szCs w:val="21"/>
                    </w:rPr>
                    <w:t>3.</w:t>
                  </w:r>
                  <w:r>
                    <w:rPr>
                      <w:bCs/>
                      <w:color w:val="000000"/>
                      <w:szCs w:val="21"/>
                    </w:rPr>
                    <w:t>产生</w:t>
                  </w:r>
                  <w:r>
                    <w:rPr>
                      <w:color w:val="000000"/>
                      <w:szCs w:val="21"/>
                    </w:rPr>
                    <w:t>VOCs</w:t>
                  </w:r>
                  <w:r>
                    <w:rPr>
                      <w:bCs/>
                      <w:color w:val="000000"/>
                      <w:szCs w:val="21"/>
                    </w:rPr>
                    <w:t>的生产工序和装置应设置有效集气装置并引至</w:t>
                  </w:r>
                  <w:r>
                    <w:rPr>
                      <w:color w:val="000000"/>
                      <w:szCs w:val="21"/>
                    </w:rPr>
                    <w:t>VOCs</w:t>
                  </w:r>
                  <w:r>
                    <w:rPr>
                      <w:bCs/>
                      <w:color w:val="000000"/>
                      <w:szCs w:val="21"/>
                    </w:rPr>
                    <w:t xml:space="preserve">末端处理设施； </w:t>
                  </w:r>
                  <w:r>
                    <w:rPr>
                      <w:color w:val="000000"/>
                      <w:szCs w:val="21"/>
                    </w:rPr>
                    <w:t>4.</w:t>
                  </w:r>
                  <w:r>
                    <w:rPr>
                      <w:bCs/>
                      <w:color w:val="000000"/>
                      <w:szCs w:val="21"/>
                    </w:rPr>
                    <w:t>厂区道路及车间地面硬化，车间地面、墙壁、设备顶部整洁无积尘；厂内地面全部硬化或绿化，无成片裸露土地；</w:t>
                  </w:r>
                  <w:r>
                    <w:rPr>
                      <w:color w:val="000000"/>
                      <w:szCs w:val="21"/>
                    </w:rPr>
                    <w:t>5.</w:t>
                  </w:r>
                  <w:r>
                    <w:rPr>
                      <w:bCs/>
                      <w:color w:val="000000"/>
                      <w:szCs w:val="21"/>
                    </w:rPr>
                    <w:t>贮存易产生粉尘、</w:t>
                  </w:r>
                  <w:r>
                    <w:rPr>
                      <w:color w:val="000000"/>
                      <w:szCs w:val="21"/>
                    </w:rPr>
                    <w:t>VOCs</w:t>
                  </w:r>
                  <w:r>
                    <w:rPr>
                      <w:bCs/>
                      <w:color w:val="000000"/>
                      <w:szCs w:val="21"/>
                    </w:rPr>
                    <w:t>和异味的危险废物贮存库，设有废气收集装置和废气处理设施。废气处理设施的排气筒高度不低于</w:t>
                  </w:r>
                  <w:r>
                    <w:rPr>
                      <w:color w:val="000000"/>
                      <w:szCs w:val="21"/>
                    </w:rPr>
                    <w:t>15m</w:t>
                  </w:r>
                  <w:r>
                    <w:rPr>
                      <w:bCs/>
                      <w:color w:val="000000"/>
                      <w:szCs w:val="21"/>
                    </w:rPr>
                    <w:t>。</w:t>
                  </w:r>
                </w:p>
              </w:tc>
              <w:tc>
                <w:tcPr>
                  <w:tcW w:w="1480" w:type="pct"/>
                  <w:tcBorders>
                    <w:top w:val="single" w:color="auto" w:sz="4" w:space="0"/>
                    <w:left w:val="single" w:color="auto" w:sz="4" w:space="0"/>
                    <w:right w:val="single" w:color="auto" w:sz="4" w:space="0"/>
                  </w:tcBorders>
                  <w:shd w:val="clear" w:color="auto" w:fill="FFFFFF"/>
                  <w:vAlign w:val="center"/>
                </w:tcPr>
                <w:p w14:paraId="58F82929">
                  <w:pPr>
                    <w:autoSpaceDE w:val="0"/>
                    <w:autoSpaceDN w:val="0"/>
                    <w:adjustRightInd w:val="0"/>
                    <w:spacing w:line="276" w:lineRule="auto"/>
                    <w:jc w:val="center"/>
                    <w:rPr>
                      <w:kern w:val="0"/>
                      <w:szCs w:val="21"/>
                    </w:rPr>
                  </w:pPr>
                  <w:r>
                    <w:rPr>
                      <w:color w:val="000000"/>
                      <w:szCs w:val="21"/>
                    </w:rPr>
                    <w:t>1.</w:t>
                  </w:r>
                  <w:r>
                    <w:rPr>
                      <w:rFonts w:hint="eastAsia"/>
                      <w:color w:val="000000"/>
                      <w:szCs w:val="21"/>
                    </w:rPr>
                    <w:t>项目原料</w:t>
                  </w:r>
                  <w:r>
                    <w:rPr>
                      <w:color w:val="000000"/>
                      <w:szCs w:val="21"/>
                    </w:rPr>
                    <w:t>不涉及</w:t>
                  </w:r>
                  <w:r>
                    <w:rPr>
                      <w:rFonts w:hint="eastAsia"/>
                      <w:color w:val="000000"/>
                      <w:szCs w:val="21"/>
                    </w:rPr>
                    <w:t>VOC</w:t>
                  </w:r>
                  <w:r>
                    <w:rPr>
                      <w:color w:val="000000"/>
                      <w:szCs w:val="21"/>
                    </w:rPr>
                    <w:t>s</w:t>
                  </w:r>
                  <w:r>
                    <w:rPr>
                      <w:bCs/>
                      <w:color w:val="000000"/>
                      <w:szCs w:val="21"/>
                    </w:rPr>
                    <w:t>；</w:t>
                  </w:r>
                  <w:r>
                    <w:rPr>
                      <w:rFonts w:hint="eastAsia"/>
                      <w:bCs/>
                      <w:color w:val="000000"/>
                      <w:szCs w:val="21"/>
                    </w:rPr>
                    <w:t>2、项目不涉及</w:t>
                  </w:r>
                  <w:r>
                    <w:rPr>
                      <w:bCs/>
                      <w:color w:val="000000"/>
                      <w:szCs w:val="21"/>
                    </w:rPr>
                    <w:t>粉料和液体</w:t>
                  </w:r>
                  <w:r>
                    <w:rPr>
                      <w:rFonts w:hint="eastAsia"/>
                      <w:bCs/>
                      <w:color w:val="000000"/>
                      <w:szCs w:val="21"/>
                    </w:rPr>
                    <w:t>VOC</w:t>
                  </w:r>
                  <w:r>
                    <w:rPr>
                      <w:bCs/>
                      <w:color w:val="000000"/>
                      <w:szCs w:val="21"/>
                    </w:rPr>
                    <w:t>s物料；</w:t>
                  </w:r>
                  <w:r>
                    <w:rPr>
                      <w:rFonts w:hint="eastAsia"/>
                      <w:bCs/>
                      <w:color w:val="000000"/>
                      <w:szCs w:val="21"/>
                    </w:rPr>
                    <w:t>3、涉</w:t>
                  </w:r>
                  <w:r>
                    <w:rPr>
                      <w:color w:val="000000"/>
                      <w:szCs w:val="21"/>
                    </w:rPr>
                    <w:t>VOCs</w:t>
                  </w:r>
                  <w:r>
                    <w:rPr>
                      <w:rFonts w:hint="eastAsia"/>
                      <w:bCs/>
                      <w:color w:val="000000"/>
                      <w:szCs w:val="21"/>
                    </w:rPr>
                    <w:t>废气</w:t>
                  </w:r>
                  <w:r>
                    <w:rPr>
                      <w:bCs/>
                      <w:color w:val="000000"/>
                      <w:szCs w:val="21"/>
                    </w:rPr>
                    <w:t>的工序</w:t>
                  </w:r>
                  <w:r>
                    <w:rPr>
                      <w:rFonts w:hint="eastAsia"/>
                      <w:bCs/>
                      <w:color w:val="000000"/>
                      <w:szCs w:val="21"/>
                    </w:rPr>
                    <w:t>上方</w:t>
                  </w:r>
                  <w:r>
                    <w:rPr>
                      <w:bCs/>
                      <w:color w:val="000000"/>
                      <w:szCs w:val="21"/>
                    </w:rPr>
                    <w:t>设置集气罩，并引至</w:t>
                  </w:r>
                  <w:r>
                    <w:rPr>
                      <w:color w:val="000000"/>
                      <w:szCs w:val="21"/>
                    </w:rPr>
                    <w:t>VOCs</w:t>
                  </w:r>
                  <w:r>
                    <w:rPr>
                      <w:bCs/>
                      <w:color w:val="000000"/>
                      <w:szCs w:val="21"/>
                    </w:rPr>
                    <w:t>末端处理设施</w:t>
                  </w:r>
                  <w:r>
                    <w:rPr>
                      <w:rFonts w:hint="eastAsia"/>
                      <w:bCs/>
                      <w:color w:val="000000"/>
                      <w:szCs w:val="21"/>
                    </w:rPr>
                    <w:t>；4、项目运营期</w:t>
                  </w:r>
                  <w:r>
                    <w:rPr>
                      <w:bCs/>
                      <w:color w:val="000000"/>
                      <w:szCs w:val="21"/>
                    </w:rPr>
                    <w:t>厂区道路及车间地面</w:t>
                  </w:r>
                  <w:r>
                    <w:rPr>
                      <w:rFonts w:hint="eastAsia"/>
                      <w:bCs/>
                      <w:color w:val="000000"/>
                      <w:szCs w:val="21"/>
                    </w:rPr>
                    <w:t>均</w:t>
                  </w:r>
                  <w:r>
                    <w:rPr>
                      <w:bCs/>
                      <w:color w:val="000000"/>
                      <w:szCs w:val="21"/>
                    </w:rPr>
                    <w:t>硬化，车间地面、墙壁、设备顶部</w:t>
                  </w:r>
                  <w:r>
                    <w:rPr>
                      <w:rFonts w:hint="eastAsia"/>
                      <w:bCs/>
                      <w:color w:val="000000"/>
                      <w:szCs w:val="21"/>
                    </w:rPr>
                    <w:t>定期</w:t>
                  </w:r>
                  <w:r>
                    <w:rPr>
                      <w:bCs/>
                      <w:color w:val="000000"/>
                      <w:szCs w:val="21"/>
                    </w:rPr>
                    <w:t>清扫，确保整洁无积尘；</w:t>
                  </w:r>
                  <w:r>
                    <w:rPr>
                      <w:color w:val="000000"/>
                      <w:szCs w:val="21"/>
                    </w:rPr>
                    <w:t>5.</w:t>
                  </w:r>
                  <w:r>
                    <w:rPr>
                      <w:rFonts w:hint="eastAsia"/>
                      <w:bCs/>
                      <w:color w:val="000000"/>
                      <w:szCs w:val="21"/>
                    </w:rPr>
                    <w:t>危废间废气</w:t>
                  </w:r>
                  <w:r>
                    <w:rPr>
                      <w:bCs/>
                      <w:color w:val="000000"/>
                      <w:szCs w:val="21"/>
                    </w:rPr>
                    <w:t>通入</w:t>
                  </w:r>
                  <w:r>
                    <w:rPr>
                      <w:rFonts w:hint="eastAsia"/>
                      <w:bCs/>
                      <w:color w:val="000000"/>
                      <w:szCs w:val="21"/>
                    </w:rPr>
                    <w:t>1#车间有机</w:t>
                  </w:r>
                  <w:r>
                    <w:rPr>
                      <w:bCs/>
                      <w:color w:val="000000"/>
                      <w:szCs w:val="21"/>
                    </w:rPr>
                    <w:t>废气治理设施</w:t>
                  </w:r>
                  <w:r>
                    <w:rPr>
                      <w:rFonts w:hint="eastAsia"/>
                      <w:bCs/>
                      <w:color w:val="000000"/>
                      <w:szCs w:val="21"/>
                    </w:rPr>
                    <w:t>处理</w:t>
                  </w:r>
                  <w:r>
                    <w:rPr>
                      <w:bCs/>
                      <w:color w:val="000000"/>
                      <w:szCs w:val="21"/>
                    </w:rPr>
                    <w:t>后排放</w:t>
                  </w:r>
                </w:p>
              </w:tc>
              <w:tc>
                <w:tcPr>
                  <w:tcW w:w="436" w:type="pct"/>
                  <w:tcBorders>
                    <w:top w:val="single" w:color="auto" w:sz="4" w:space="0"/>
                    <w:left w:val="single" w:color="auto" w:sz="4" w:space="0"/>
                    <w:right w:val="single" w:color="auto" w:sz="4" w:space="0"/>
                  </w:tcBorders>
                  <w:shd w:val="clear" w:color="auto" w:fill="FFFFFF"/>
                  <w:vAlign w:val="center"/>
                </w:tcPr>
                <w:p w14:paraId="0656CBB0">
                  <w:pPr>
                    <w:adjustRightInd w:val="0"/>
                    <w:spacing w:line="276" w:lineRule="auto"/>
                    <w:jc w:val="center"/>
                    <w:rPr>
                      <w:szCs w:val="21"/>
                    </w:rPr>
                  </w:pPr>
                  <w:r>
                    <w:rPr>
                      <w:szCs w:val="21"/>
                    </w:rPr>
                    <w:t>相符</w:t>
                  </w:r>
                </w:p>
              </w:tc>
            </w:tr>
            <w:tr w14:paraId="0B026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5" w:hRule="atLeast"/>
                <w:jc w:val="center"/>
              </w:trPr>
              <w:tc>
                <w:tcPr>
                  <w:tcW w:w="428" w:type="pct"/>
                  <w:tcBorders>
                    <w:top w:val="single" w:color="auto" w:sz="4" w:space="0"/>
                    <w:left w:val="single" w:color="auto" w:sz="4" w:space="0"/>
                    <w:right w:val="single" w:color="auto" w:sz="4" w:space="0"/>
                  </w:tcBorders>
                  <w:shd w:val="clear" w:color="auto" w:fill="FFFFFF"/>
                  <w:vAlign w:val="center"/>
                </w:tcPr>
                <w:p w14:paraId="6F79F595">
                  <w:pPr>
                    <w:pStyle w:val="85"/>
                    <w:spacing w:line="276" w:lineRule="auto"/>
                    <w:rPr>
                      <w:szCs w:val="21"/>
                    </w:rPr>
                  </w:pPr>
                  <w:r>
                    <w:rPr>
                      <w:bCs/>
                      <w:color w:val="000000"/>
                      <w:szCs w:val="21"/>
                    </w:rPr>
                    <w:t>排放限值</w:t>
                  </w:r>
                </w:p>
              </w:tc>
              <w:tc>
                <w:tcPr>
                  <w:tcW w:w="2656" w:type="pct"/>
                  <w:tcBorders>
                    <w:top w:val="single" w:color="auto" w:sz="4" w:space="0"/>
                    <w:left w:val="single" w:color="auto" w:sz="4" w:space="0"/>
                    <w:bottom w:val="single" w:color="auto" w:sz="4" w:space="0"/>
                    <w:right w:val="single" w:color="auto" w:sz="4" w:space="0"/>
                  </w:tcBorders>
                  <w:shd w:val="clear" w:color="auto" w:fill="FFFFFF"/>
                  <w:vAlign w:val="center"/>
                </w:tcPr>
                <w:p w14:paraId="35CC7182">
                  <w:pPr>
                    <w:pStyle w:val="85"/>
                    <w:spacing w:line="276" w:lineRule="auto"/>
                    <w:jc w:val="left"/>
                    <w:rPr>
                      <w:szCs w:val="21"/>
                    </w:rPr>
                  </w:pPr>
                  <w:r>
                    <w:rPr>
                      <w:color w:val="000000"/>
                      <w:szCs w:val="21"/>
                    </w:rPr>
                    <w:t>1.</w:t>
                  </w:r>
                  <w:r>
                    <w:rPr>
                      <w:bCs/>
                      <w:color w:val="000000"/>
                      <w:szCs w:val="21"/>
                    </w:rPr>
                    <w:t>全厂有组织</w:t>
                  </w:r>
                  <w:r>
                    <w:rPr>
                      <w:color w:val="000000"/>
                      <w:szCs w:val="21"/>
                    </w:rPr>
                    <w:t>PM</w:t>
                  </w:r>
                  <w:r>
                    <w:rPr>
                      <w:bCs/>
                      <w:color w:val="000000"/>
                      <w:szCs w:val="21"/>
                    </w:rPr>
                    <w:t>、</w:t>
                  </w:r>
                  <w:r>
                    <w:rPr>
                      <w:color w:val="000000"/>
                      <w:szCs w:val="21"/>
                    </w:rPr>
                    <w:t>NMHC</w:t>
                  </w:r>
                  <w:r>
                    <w:rPr>
                      <w:bCs/>
                      <w:color w:val="000000"/>
                      <w:szCs w:val="21"/>
                    </w:rPr>
                    <w:t>有组织排放浓度分别不高于</w:t>
                  </w:r>
                  <w:r>
                    <w:rPr>
                      <w:color w:val="000000"/>
                      <w:szCs w:val="21"/>
                    </w:rPr>
                    <w:t>10</w:t>
                  </w:r>
                  <w:r>
                    <w:rPr>
                      <w:bCs/>
                      <w:color w:val="000000"/>
                      <w:szCs w:val="21"/>
                    </w:rPr>
                    <w:t>、</w:t>
                  </w:r>
                  <w:r>
                    <w:rPr>
                      <w:color w:val="000000"/>
                      <w:szCs w:val="21"/>
                    </w:rPr>
                    <w:t>20mg/m</w:t>
                  </w:r>
                  <w:r>
                    <w:rPr>
                      <w:color w:val="000000"/>
                      <w:szCs w:val="21"/>
                      <w:vertAlign w:val="superscript"/>
                    </w:rPr>
                    <w:t>3</w:t>
                  </w:r>
                  <w:r>
                    <w:rPr>
                      <w:bCs/>
                      <w:color w:val="000000"/>
                      <w:szCs w:val="21"/>
                    </w:rPr>
                    <w:t>；</w:t>
                  </w:r>
                  <w:r>
                    <w:rPr>
                      <w:color w:val="000000"/>
                      <w:szCs w:val="21"/>
                    </w:rPr>
                    <w:t>2.VOCs</w:t>
                  </w:r>
                  <w:r>
                    <w:rPr>
                      <w:bCs/>
                      <w:color w:val="000000"/>
                      <w:szCs w:val="21"/>
                    </w:rPr>
                    <w:t>治理设施去除率达到</w:t>
                  </w:r>
                  <w:r>
                    <w:rPr>
                      <w:color w:val="000000"/>
                      <w:szCs w:val="21"/>
                    </w:rPr>
                    <w:t>80%</w:t>
                  </w:r>
                  <w:r>
                    <w:rPr>
                      <w:bCs/>
                      <w:color w:val="000000"/>
                      <w:szCs w:val="21"/>
                    </w:rPr>
                    <w:t>及以上；去除率确实达不到的， 生产车间或生产设备的无组织排放监控点</w:t>
                  </w:r>
                  <w:r>
                    <w:rPr>
                      <w:color w:val="000000"/>
                      <w:szCs w:val="21"/>
                    </w:rPr>
                    <w:t>NMHC</w:t>
                  </w:r>
                  <w:r>
                    <w:rPr>
                      <w:bCs/>
                      <w:color w:val="000000"/>
                      <w:szCs w:val="21"/>
                    </w:rPr>
                    <w:t>浓度低于</w:t>
                  </w:r>
                  <w:r>
                    <w:rPr>
                      <w:color w:val="000000"/>
                      <w:szCs w:val="21"/>
                    </w:rPr>
                    <w:t>4mg/m³</w:t>
                  </w:r>
                  <w:r>
                    <w:rPr>
                      <w:bCs/>
                      <w:color w:val="000000"/>
                      <w:szCs w:val="21"/>
                    </w:rPr>
                    <w:t>，企业边界</w:t>
                  </w:r>
                  <w:r>
                    <w:rPr>
                      <w:color w:val="000000"/>
                      <w:szCs w:val="21"/>
                    </w:rPr>
                    <w:t xml:space="preserve">1hNMHC </w:t>
                  </w:r>
                  <w:r>
                    <w:rPr>
                      <w:bCs/>
                      <w:color w:val="000000"/>
                      <w:szCs w:val="21"/>
                    </w:rPr>
                    <w:t>平均浓度低于</w:t>
                  </w:r>
                  <w:r>
                    <w:rPr>
                      <w:color w:val="000000"/>
                      <w:szCs w:val="21"/>
                    </w:rPr>
                    <w:t>2mg/m³</w:t>
                  </w:r>
                  <w:r>
                    <w:rPr>
                      <w:bCs/>
                      <w:color w:val="000000"/>
                      <w:szCs w:val="21"/>
                    </w:rPr>
                    <w:t>；</w:t>
                  </w:r>
                  <w:r>
                    <w:rPr>
                      <w:color w:val="000000"/>
                      <w:szCs w:val="21"/>
                    </w:rPr>
                    <w:t>3.</w:t>
                  </w:r>
                  <w:r>
                    <w:rPr>
                      <w:bCs/>
                      <w:color w:val="000000"/>
                      <w:szCs w:val="21"/>
                    </w:rPr>
                    <w:t xml:space="preserve">锅炉烟气排放限值要求：燃气锅炉 </w:t>
                  </w:r>
                  <w:r>
                    <w:rPr>
                      <w:color w:val="000000"/>
                      <w:szCs w:val="21"/>
                    </w:rPr>
                    <w:t>PM</w:t>
                  </w:r>
                  <w:r>
                    <w:rPr>
                      <w:bCs/>
                      <w:color w:val="000000"/>
                      <w:szCs w:val="21"/>
                    </w:rPr>
                    <w:t>、</w:t>
                  </w:r>
                  <w:r>
                    <w:rPr>
                      <w:color w:val="000000"/>
                      <w:szCs w:val="21"/>
                    </w:rPr>
                    <w:t>SO</w:t>
                  </w:r>
                  <w:r>
                    <w:rPr>
                      <w:color w:val="000000"/>
                      <w:szCs w:val="21"/>
                      <w:vertAlign w:val="subscript"/>
                    </w:rPr>
                    <w:t>2</w:t>
                  </w:r>
                  <w:r>
                    <w:rPr>
                      <w:bCs/>
                      <w:color w:val="000000"/>
                      <w:szCs w:val="21"/>
                    </w:rPr>
                    <w:t>、</w:t>
                  </w:r>
                  <w:r>
                    <w:rPr>
                      <w:color w:val="000000"/>
                      <w:szCs w:val="21"/>
                    </w:rPr>
                    <w:t>NOx</w:t>
                  </w:r>
                  <w:r>
                    <w:rPr>
                      <w:bCs/>
                      <w:color w:val="000000"/>
                      <w:szCs w:val="21"/>
                    </w:rPr>
                    <w:t>排放浓度分别不高于：</w:t>
                  </w:r>
                  <w:r>
                    <w:rPr>
                      <w:color w:val="000000"/>
                      <w:szCs w:val="21"/>
                    </w:rPr>
                    <w:t>5</w:t>
                  </w:r>
                  <w:r>
                    <w:rPr>
                      <w:bCs/>
                      <w:color w:val="000000"/>
                      <w:szCs w:val="21"/>
                    </w:rPr>
                    <w:t>、</w:t>
                  </w:r>
                  <w:r>
                    <w:rPr>
                      <w:color w:val="000000"/>
                      <w:szCs w:val="21"/>
                    </w:rPr>
                    <w:t>10</w:t>
                  </w:r>
                  <w:r>
                    <w:rPr>
                      <w:bCs/>
                      <w:color w:val="000000"/>
                      <w:szCs w:val="21"/>
                    </w:rPr>
                    <w:t>、</w:t>
                  </w:r>
                  <w:r>
                    <w:rPr>
                      <w:color w:val="000000"/>
                      <w:szCs w:val="21"/>
                    </w:rPr>
                    <w:t>50/30</w:t>
                  </w:r>
                  <w:r>
                    <w:rPr>
                      <w:rFonts w:hint="eastAsia"/>
                      <w:bCs/>
                      <w:color w:val="000000"/>
                      <w:szCs w:val="21"/>
                    </w:rPr>
                    <w:t>[</w:t>
                  </w:r>
                  <w:r>
                    <w:rPr>
                      <w:color w:val="000000"/>
                      <w:szCs w:val="21"/>
                    </w:rPr>
                    <w:t>2</w:t>
                  </w:r>
                  <w:r>
                    <w:rPr>
                      <w:rFonts w:hint="eastAsia"/>
                      <w:bCs/>
                      <w:color w:val="000000"/>
                      <w:szCs w:val="21"/>
                    </w:rPr>
                    <w:t>]</w:t>
                  </w:r>
                  <w:r>
                    <w:rPr>
                      <w:bCs/>
                      <w:color w:val="000000"/>
                      <w:szCs w:val="21"/>
                    </w:rPr>
                    <w:t xml:space="preserve"> </w:t>
                  </w:r>
                  <w:r>
                    <w:rPr>
                      <w:color w:val="000000"/>
                      <w:szCs w:val="21"/>
                    </w:rPr>
                    <w:t>mg/m</w:t>
                  </w:r>
                  <w:r>
                    <w:rPr>
                      <w:color w:val="000000"/>
                      <w:szCs w:val="21"/>
                      <w:vertAlign w:val="superscript"/>
                    </w:rPr>
                    <w:t>3</w:t>
                  </w:r>
                  <w:r>
                    <w:rPr>
                      <w:bCs/>
                      <w:color w:val="000000"/>
                      <w:szCs w:val="21"/>
                    </w:rPr>
                    <w:t>。</w:t>
                  </w:r>
                </w:p>
              </w:tc>
              <w:tc>
                <w:tcPr>
                  <w:tcW w:w="1480" w:type="pct"/>
                  <w:tcBorders>
                    <w:top w:val="single" w:color="auto" w:sz="4" w:space="0"/>
                    <w:left w:val="single" w:color="auto" w:sz="4" w:space="0"/>
                    <w:bottom w:val="single" w:color="auto" w:sz="4" w:space="0"/>
                    <w:right w:val="single" w:color="auto" w:sz="4" w:space="0"/>
                  </w:tcBorders>
                  <w:shd w:val="clear" w:color="auto" w:fill="FFFFFF"/>
                  <w:vAlign w:val="center"/>
                </w:tcPr>
                <w:p w14:paraId="2CC61D84">
                  <w:pPr>
                    <w:autoSpaceDE w:val="0"/>
                    <w:autoSpaceDN w:val="0"/>
                    <w:adjustRightInd w:val="0"/>
                    <w:spacing w:line="276" w:lineRule="auto"/>
                    <w:jc w:val="center"/>
                    <w:rPr>
                      <w:kern w:val="0"/>
                      <w:szCs w:val="21"/>
                    </w:rPr>
                  </w:pPr>
                  <w:r>
                    <w:rPr>
                      <w:color w:val="000000"/>
                      <w:szCs w:val="21"/>
                    </w:rPr>
                    <w:t>1.</w:t>
                  </w:r>
                  <w:r>
                    <w:rPr>
                      <w:bCs/>
                      <w:color w:val="000000"/>
                      <w:szCs w:val="21"/>
                    </w:rPr>
                    <w:t>全厂有组织</w:t>
                  </w:r>
                  <w:r>
                    <w:rPr>
                      <w:color w:val="000000"/>
                      <w:szCs w:val="21"/>
                    </w:rPr>
                    <w:t>NMHC</w:t>
                  </w:r>
                  <w:r>
                    <w:rPr>
                      <w:bCs/>
                      <w:color w:val="000000"/>
                      <w:szCs w:val="21"/>
                    </w:rPr>
                    <w:t>有组织排放浓度不高于</w:t>
                  </w:r>
                  <w:r>
                    <w:rPr>
                      <w:color w:val="000000"/>
                      <w:szCs w:val="21"/>
                    </w:rPr>
                    <w:t>20mg/m</w:t>
                  </w:r>
                  <w:r>
                    <w:rPr>
                      <w:color w:val="000000"/>
                      <w:szCs w:val="21"/>
                      <w:vertAlign w:val="superscript"/>
                    </w:rPr>
                    <w:t>3</w:t>
                  </w:r>
                  <w:r>
                    <w:rPr>
                      <w:bCs/>
                      <w:color w:val="000000"/>
                      <w:szCs w:val="21"/>
                    </w:rPr>
                    <w:t>；</w:t>
                  </w:r>
                  <w:r>
                    <w:rPr>
                      <w:color w:val="000000"/>
                      <w:szCs w:val="21"/>
                    </w:rPr>
                    <w:t>2.</w:t>
                  </w:r>
                  <w:r>
                    <w:rPr>
                      <w:rFonts w:hint="eastAsia"/>
                      <w:color w:val="000000"/>
                      <w:szCs w:val="21"/>
                    </w:rPr>
                    <w:t>项目</w:t>
                  </w:r>
                  <w:r>
                    <w:rPr>
                      <w:color w:val="000000"/>
                      <w:szCs w:val="21"/>
                    </w:rPr>
                    <w:t>VOCs</w:t>
                  </w:r>
                  <w:r>
                    <w:rPr>
                      <w:bCs/>
                      <w:color w:val="000000"/>
                      <w:szCs w:val="21"/>
                    </w:rPr>
                    <w:t>治理设施去除率达到</w:t>
                  </w:r>
                  <w:r>
                    <w:rPr>
                      <w:color w:val="000000"/>
                      <w:szCs w:val="21"/>
                    </w:rPr>
                    <w:t>80%</w:t>
                  </w:r>
                  <w:r>
                    <w:rPr>
                      <w:bCs/>
                      <w:color w:val="000000"/>
                      <w:szCs w:val="21"/>
                    </w:rPr>
                    <w:t>以上；企业边界</w:t>
                  </w:r>
                  <w:r>
                    <w:rPr>
                      <w:color w:val="000000"/>
                      <w:szCs w:val="21"/>
                    </w:rPr>
                    <w:t>1hNMHC</w:t>
                  </w:r>
                  <w:r>
                    <w:rPr>
                      <w:bCs/>
                      <w:color w:val="000000"/>
                      <w:szCs w:val="21"/>
                    </w:rPr>
                    <w:t>平均浓度低于</w:t>
                  </w:r>
                  <w:r>
                    <w:rPr>
                      <w:color w:val="000000"/>
                      <w:szCs w:val="21"/>
                    </w:rPr>
                    <w:t>2mg/m³</w:t>
                  </w:r>
                  <w:r>
                    <w:rPr>
                      <w:bCs/>
                      <w:color w:val="000000"/>
                      <w:szCs w:val="21"/>
                    </w:rPr>
                    <w:t>；</w:t>
                  </w:r>
                  <w:r>
                    <w:rPr>
                      <w:color w:val="000000"/>
                      <w:szCs w:val="21"/>
                    </w:rPr>
                    <w:t>3.</w:t>
                  </w:r>
                  <w:r>
                    <w:rPr>
                      <w:rFonts w:hint="eastAsia"/>
                      <w:bCs/>
                      <w:color w:val="000000"/>
                      <w:szCs w:val="21"/>
                    </w:rPr>
                    <w:t>不涉及</w:t>
                  </w:r>
                </w:p>
              </w:tc>
              <w:tc>
                <w:tcPr>
                  <w:tcW w:w="436" w:type="pct"/>
                  <w:tcBorders>
                    <w:top w:val="single" w:color="auto" w:sz="4" w:space="0"/>
                    <w:left w:val="single" w:color="auto" w:sz="4" w:space="0"/>
                    <w:bottom w:val="single" w:color="auto" w:sz="4" w:space="0"/>
                    <w:right w:val="single" w:color="auto" w:sz="4" w:space="0"/>
                  </w:tcBorders>
                  <w:shd w:val="clear" w:color="auto" w:fill="FFFFFF"/>
                  <w:vAlign w:val="center"/>
                </w:tcPr>
                <w:p w14:paraId="559E8235">
                  <w:pPr>
                    <w:adjustRightInd w:val="0"/>
                    <w:spacing w:line="276" w:lineRule="auto"/>
                    <w:jc w:val="center"/>
                    <w:rPr>
                      <w:szCs w:val="21"/>
                    </w:rPr>
                  </w:pPr>
                  <w:r>
                    <w:rPr>
                      <w:szCs w:val="21"/>
                    </w:rPr>
                    <w:t>相符</w:t>
                  </w:r>
                </w:p>
              </w:tc>
            </w:tr>
            <w:tr w14:paraId="687C5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5" w:hRule="atLeast"/>
                <w:jc w:val="center"/>
              </w:trPr>
              <w:tc>
                <w:tcPr>
                  <w:tcW w:w="428" w:type="pct"/>
                  <w:tcBorders>
                    <w:top w:val="single" w:color="auto" w:sz="4" w:space="0"/>
                    <w:left w:val="single" w:color="auto" w:sz="4" w:space="0"/>
                    <w:right w:val="single" w:color="auto" w:sz="4" w:space="0"/>
                  </w:tcBorders>
                  <w:shd w:val="clear" w:color="auto" w:fill="FFFFFF"/>
                  <w:vAlign w:val="center"/>
                </w:tcPr>
                <w:p w14:paraId="252ABC16">
                  <w:pPr>
                    <w:pStyle w:val="85"/>
                    <w:spacing w:line="276" w:lineRule="auto"/>
                    <w:rPr>
                      <w:szCs w:val="21"/>
                    </w:rPr>
                  </w:pPr>
                  <w:r>
                    <w:rPr>
                      <w:bCs/>
                      <w:color w:val="000000"/>
                      <w:szCs w:val="21"/>
                    </w:rPr>
                    <w:t>监测监控水平</w:t>
                  </w:r>
                  <w:r>
                    <w:rPr>
                      <w:szCs w:val="21"/>
                    </w:rPr>
                    <w:t xml:space="preserve"> </w:t>
                  </w:r>
                </w:p>
              </w:tc>
              <w:tc>
                <w:tcPr>
                  <w:tcW w:w="2656" w:type="pct"/>
                  <w:tcBorders>
                    <w:top w:val="single" w:color="auto" w:sz="4" w:space="0"/>
                    <w:left w:val="single" w:color="auto" w:sz="4" w:space="0"/>
                    <w:bottom w:val="single" w:color="auto" w:sz="4" w:space="0"/>
                    <w:right w:val="single" w:color="auto" w:sz="4" w:space="0"/>
                  </w:tcBorders>
                  <w:shd w:val="clear" w:color="auto" w:fill="FFFFFF"/>
                  <w:vAlign w:val="center"/>
                </w:tcPr>
                <w:p w14:paraId="16E25AF8">
                  <w:pPr>
                    <w:pStyle w:val="85"/>
                    <w:spacing w:line="276" w:lineRule="auto"/>
                    <w:jc w:val="left"/>
                    <w:rPr>
                      <w:szCs w:val="21"/>
                    </w:rPr>
                  </w:pPr>
                  <w:r>
                    <w:rPr>
                      <w:color w:val="000000"/>
                      <w:szCs w:val="21"/>
                    </w:rPr>
                    <w:t>1.</w:t>
                  </w:r>
                  <w:r>
                    <w:rPr>
                      <w:bCs/>
                      <w:color w:val="000000"/>
                      <w:szCs w:val="21"/>
                    </w:rPr>
                    <w:t>有组织排放口按排污许可、环境影响评价或环境现状评估等要求安装烟气排放自动监控设施 （</w:t>
                  </w:r>
                  <w:r>
                    <w:rPr>
                      <w:color w:val="000000"/>
                      <w:szCs w:val="21"/>
                    </w:rPr>
                    <w:t>CEMS</w:t>
                  </w:r>
                  <w:r>
                    <w:rPr>
                      <w:bCs/>
                      <w:color w:val="000000"/>
                      <w:szCs w:val="21"/>
                    </w:rPr>
                    <w:t>），并按要求与省厅联网；重点排污单位风量大于</w:t>
                  </w:r>
                  <w:r>
                    <w:rPr>
                      <w:color w:val="000000"/>
                      <w:szCs w:val="21"/>
                    </w:rPr>
                    <w:t>10000m</w:t>
                  </w:r>
                  <w:r>
                    <w:rPr>
                      <w:color w:val="000000"/>
                      <w:szCs w:val="21"/>
                      <w:vertAlign w:val="superscript"/>
                    </w:rPr>
                    <w:t>3</w:t>
                  </w:r>
                  <w:r>
                    <w:rPr>
                      <w:color w:val="000000"/>
                      <w:szCs w:val="21"/>
                    </w:rPr>
                    <w:t>/h</w:t>
                  </w:r>
                  <w:r>
                    <w:rPr>
                      <w:bCs/>
                      <w:color w:val="000000"/>
                      <w:szCs w:val="21"/>
                    </w:rPr>
                    <w:t>的主要排放口安装</w:t>
                  </w:r>
                  <w:r>
                    <w:rPr>
                      <w:color w:val="000000"/>
                      <w:szCs w:val="21"/>
                    </w:rPr>
                    <w:t>NMHC</w:t>
                  </w:r>
                  <w:r>
                    <w:rPr>
                      <w:bCs/>
                      <w:color w:val="000000"/>
                      <w:szCs w:val="21"/>
                    </w:rPr>
                    <w:t>在线监测设施（</w:t>
                  </w:r>
                  <w:r>
                    <w:rPr>
                      <w:color w:val="000000"/>
                      <w:szCs w:val="21"/>
                    </w:rPr>
                    <w:t>FID</w:t>
                  </w:r>
                  <w:r>
                    <w:rPr>
                      <w:bCs/>
                      <w:color w:val="000000"/>
                      <w:szCs w:val="21"/>
                    </w:rPr>
                    <w:t>检测器）并按要求与省厅联网；其他企业</w:t>
                  </w:r>
                  <w:r>
                    <w:rPr>
                      <w:color w:val="000000"/>
                      <w:szCs w:val="21"/>
                    </w:rPr>
                    <w:t>NMHC</w:t>
                  </w:r>
                  <w:r>
                    <w:rPr>
                      <w:bCs/>
                      <w:color w:val="000000"/>
                      <w:szCs w:val="21"/>
                    </w:rPr>
                    <w:t>初始排放速率大于</w:t>
                  </w:r>
                  <w:r>
                    <w:rPr>
                      <w:color w:val="000000"/>
                      <w:szCs w:val="21"/>
                    </w:rPr>
                    <w:t>2kg/h</w:t>
                  </w:r>
                  <w:r>
                    <w:rPr>
                      <w:bCs/>
                      <w:color w:val="000000"/>
                      <w:szCs w:val="21"/>
                    </w:rPr>
                    <w:t>且排放口风量大于</w:t>
                  </w:r>
                  <w:r>
                    <w:rPr>
                      <w:color w:val="000000"/>
                      <w:szCs w:val="21"/>
                    </w:rPr>
                    <w:t>20000m</w:t>
                  </w:r>
                  <w:r>
                    <w:rPr>
                      <w:color w:val="000000"/>
                      <w:szCs w:val="21"/>
                      <w:vertAlign w:val="superscript"/>
                    </w:rPr>
                    <w:t>3</w:t>
                  </w:r>
                  <w:r>
                    <w:rPr>
                      <w:color w:val="000000"/>
                      <w:szCs w:val="21"/>
                    </w:rPr>
                    <w:t>/h</w:t>
                  </w:r>
                  <w:r>
                    <w:rPr>
                      <w:bCs/>
                      <w:color w:val="000000"/>
                      <w:szCs w:val="21"/>
                    </w:rPr>
                    <w:t>的废气排放口安装</w:t>
                  </w:r>
                  <w:r>
                    <w:rPr>
                      <w:color w:val="000000"/>
                      <w:szCs w:val="21"/>
                    </w:rPr>
                    <w:t>NMHC</w:t>
                  </w:r>
                  <w:r>
                    <w:rPr>
                      <w:bCs/>
                      <w:color w:val="000000"/>
                      <w:szCs w:val="21"/>
                    </w:rPr>
                    <w:t>在线监测设施（</w:t>
                  </w:r>
                  <w:r>
                    <w:rPr>
                      <w:color w:val="000000"/>
                      <w:szCs w:val="21"/>
                    </w:rPr>
                    <w:t>FID</w:t>
                  </w:r>
                  <w:r>
                    <w:rPr>
                      <w:bCs/>
                      <w:color w:val="000000"/>
                      <w:szCs w:val="21"/>
                    </w:rPr>
                    <w:t>检测器），并按要求与省厅联网；在线监测数据至少保存最近</w:t>
                  </w:r>
                  <w:r>
                    <w:rPr>
                      <w:color w:val="000000"/>
                      <w:szCs w:val="21"/>
                    </w:rPr>
                    <w:t>12</w:t>
                  </w:r>
                  <w:r>
                    <w:rPr>
                      <w:bCs/>
                      <w:color w:val="000000"/>
                      <w:szCs w:val="21"/>
                    </w:rPr>
                    <w:t>个月的</w:t>
                  </w:r>
                  <w:r>
                    <w:rPr>
                      <w:color w:val="000000"/>
                      <w:szCs w:val="21"/>
                    </w:rPr>
                    <w:t>1</w:t>
                  </w:r>
                  <w:r>
                    <w:rPr>
                      <w:bCs/>
                      <w:color w:val="000000"/>
                      <w:szCs w:val="21"/>
                    </w:rPr>
                    <w:t>分钟均值、</w:t>
                  </w:r>
                  <w:r>
                    <w:rPr>
                      <w:color w:val="000000"/>
                      <w:szCs w:val="21"/>
                    </w:rPr>
                    <w:t>36</w:t>
                  </w:r>
                  <w:r>
                    <w:rPr>
                      <w:bCs/>
                      <w:color w:val="000000"/>
                      <w:szCs w:val="21"/>
                    </w:rPr>
                    <w:t>个月的</w:t>
                  </w:r>
                  <w:r>
                    <w:rPr>
                      <w:color w:val="000000"/>
                      <w:szCs w:val="21"/>
                    </w:rPr>
                    <w:t>1</w:t>
                  </w:r>
                  <w:r>
                    <w:rPr>
                      <w:bCs/>
                      <w:color w:val="000000"/>
                      <w:szCs w:val="21"/>
                    </w:rPr>
                    <w:t>小时均值及</w:t>
                  </w:r>
                  <w:r>
                    <w:rPr>
                      <w:color w:val="000000"/>
                      <w:szCs w:val="21"/>
                    </w:rPr>
                    <w:t>60</w:t>
                  </w:r>
                  <w:r>
                    <w:rPr>
                      <w:bCs/>
                      <w:color w:val="000000"/>
                      <w:szCs w:val="21"/>
                    </w:rPr>
                    <w:t>个月的日均值和月均值。（投产或安装时间不满一年以上的企业，以现有数据为准）；</w:t>
                  </w:r>
                  <w:r>
                    <w:rPr>
                      <w:color w:val="000000"/>
                      <w:szCs w:val="21"/>
                    </w:rPr>
                    <w:t>2.</w:t>
                  </w:r>
                  <w:r>
                    <w:rPr>
                      <w:bCs/>
                      <w:color w:val="000000"/>
                      <w:szCs w:val="21"/>
                    </w:rPr>
                    <w:t>按生态环境部门要求规范设置废气排放口标志牌、二维码标识和采样平台、采样孔；各废气排放口按照排污许可要求开展自行监测。</w:t>
                  </w:r>
                </w:p>
              </w:tc>
              <w:tc>
                <w:tcPr>
                  <w:tcW w:w="1480" w:type="pct"/>
                  <w:tcBorders>
                    <w:top w:val="single" w:color="auto" w:sz="4" w:space="0"/>
                    <w:left w:val="single" w:color="auto" w:sz="4" w:space="0"/>
                    <w:bottom w:val="single" w:color="auto" w:sz="4" w:space="0"/>
                    <w:right w:val="single" w:color="auto" w:sz="4" w:space="0"/>
                  </w:tcBorders>
                  <w:shd w:val="clear" w:color="auto" w:fill="FFFFFF"/>
                  <w:vAlign w:val="center"/>
                </w:tcPr>
                <w:p w14:paraId="3C95F1C7">
                  <w:pPr>
                    <w:autoSpaceDE w:val="0"/>
                    <w:autoSpaceDN w:val="0"/>
                    <w:adjustRightInd w:val="0"/>
                    <w:spacing w:line="276" w:lineRule="auto"/>
                    <w:jc w:val="center"/>
                    <w:rPr>
                      <w:kern w:val="0"/>
                      <w:szCs w:val="21"/>
                    </w:rPr>
                  </w:pPr>
                  <w:r>
                    <w:rPr>
                      <w:kern w:val="0"/>
                      <w:szCs w:val="21"/>
                    </w:rPr>
                    <w:t>项目运营期</w:t>
                  </w:r>
                  <w:r>
                    <w:rPr>
                      <w:bCs/>
                      <w:color w:val="000000"/>
                      <w:szCs w:val="21"/>
                    </w:rPr>
                    <w:t>按生态环境部门要求规范设置废气排放口标志牌、二维码标识和采样平台、采样孔；各废气排放口按照排污许可要求开展自行监测</w:t>
                  </w:r>
                </w:p>
              </w:tc>
              <w:tc>
                <w:tcPr>
                  <w:tcW w:w="436" w:type="pct"/>
                  <w:tcBorders>
                    <w:top w:val="single" w:color="auto" w:sz="4" w:space="0"/>
                    <w:left w:val="single" w:color="auto" w:sz="4" w:space="0"/>
                    <w:bottom w:val="single" w:color="auto" w:sz="4" w:space="0"/>
                    <w:right w:val="single" w:color="auto" w:sz="4" w:space="0"/>
                  </w:tcBorders>
                  <w:shd w:val="clear" w:color="auto" w:fill="FFFFFF"/>
                  <w:vAlign w:val="center"/>
                </w:tcPr>
                <w:p w14:paraId="15762922">
                  <w:pPr>
                    <w:adjustRightInd w:val="0"/>
                    <w:spacing w:line="276" w:lineRule="auto"/>
                    <w:jc w:val="center"/>
                    <w:rPr>
                      <w:szCs w:val="21"/>
                    </w:rPr>
                  </w:pPr>
                  <w:r>
                    <w:rPr>
                      <w:szCs w:val="21"/>
                    </w:rPr>
                    <w:t>/</w:t>
                  </w:r>
                </w:p>
              </w:tc>
            </w:tr>
            <w:tr w14:paraId="27D02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6" w:hRule="atLeast"/>
                <w:jc w:val="center"/>
              </w:trPr>
              <w:tc>
                <w:tcPr>
                  <w:tcW w:w="428" w:type="pct"/>
                  <w:vMerge w:val="restart"/>
                  <w:tcBorders>
                    <w:top w:val="single" w:color="auto" w:sz="4" w:space="0"/>
                    <w:left w:val="single" w:color="auto" w:sz="4" w:space="0"/>
                    <w:right w:val="single" w:color="auto" w:sz="4" w:space="0"/>
                  </w:tcBorders>
                  <w:shd w:val="clear" w:color="auto" w:fill="FFFFFF"/>
                  <w:vAlign w:val="center"/>
                </w:tcPr>
                <w:p w14:paraId="28BDBE5E">
                  <w:pPr>
                    <w:adjustRightInd w:val="0"/>
                    <w:spacing w:line="276" w:lineRule="auto"/>
                    <w:jc w:val="center"/>
                    <w:rPr>
                      <w:szCs w:val="21"/>
                    </w:rPr>
                  </w:pPr>
                  <w:r>
                    <w:rPr>
                      <w:szCs w:val="21"/>
                    </w:rPr>
                    <w:t>环境管理要求</w:t>
                  </w:r>
                </w:p>
              </w:tc>
              <w:tc>
                <w:tcPr>
                  <w:tcW w:w="2656" w:type="pct"/>
                  <w:tcBorders>
                    <w:top w:val="single" w:color="auto" w:sz="4" w:space="0"/>
                    <w:left w:val="single" w:color="auto" w:sz="4" w:space="0"/>
                    <w:bottom w:val="single" w:color="auto" w:sz="4" w:space="0"/>
                    <w:right w:val="single" w:color="auto" w:sz="4" w:space="0"/>
                  </w:tcBorders>
                  <w:shd w:val="clear" w:color="auto" w:fill="FFFFFF"/>
                  <w:vAlign w:val="center"/>
                </w:tcPr>
                <w:p w14:paraId="2D85D27B">
                  <w:pPr>
                    <w:adjustRightInd w:val="0"/>
                    <w:spacing w:line="276" w:lineRule="auto"/>
                    <w:jc w:val="center"/>
                    <w:rPr>
                      <w:szCs w:val="21"/>
                    </w:rPr>
                  </w:pPr>
                  <w:r>
                    <w:rPr>
                      <w:szCs w:val="21"/>
                    </w:rPr>
                    <w:t>（1）环保档案：</w:t>
                  </w:r>
                  <w:r>
                    <w:rPr>
                      <w:color w:val="000000"/>
                      <w:szCs w:val="21"/>
                    </w:rPr>
                    <w:t>1.</w:t>
                  </w:r>
                  <w:r>
                    <w:rPr>
                      <w:bCs/>
                      <w:color w:val="000000"/>
                      <w:szCs w:val="21"/>
                    </w:rPr>
                    <w:t>环评批复文件和竣工环保验收文件或环境现状评估备案证明；</w:t>
                  </w:r>
                  <w:r>
                    <w:rPr>
                      <w:color w:val="000000"/>
                      <w:szCs w:val="21"/>
                    </w:rPr>
                    <w:t>2.</w:t>
                  </w:r>
                  <w:r>
                    <w:rPr>
                      <w:bCs/>
                      <w:color w:val="000000"/>
                      <w:szCs w:val="21"/>
                    </w:rPr>
                    <w:t>国家版排污许可证；</w:t>
                  </w:r>
                  <w:r>
                    <w:rPr>
                      <w:color w:val="000000"/>
                      <w:szCs w:val="21"/>
                    </w:rPr>
                    <w:t>3.</w:t>
                  </w:r>
                  <w:r>
                    <w:rPr>
                      <w:bCs/>
                      <w:color w:val="000000"/>
                      <w:szCs w:val="21"/>
                    </w:rPr>
                    <w:t>环境管理制度（有组织、无组织排放长效管理机制，主要包括日常操作规程、岗位责任制度、污染物排放公示制度和定期巡查维护制度等）；</w:t>
                  </w:r>
                  <w:r>
                    <w:rPr>
                      <w:color w:val="000000"/>
                      <w:szCs w:val="21"/>
                    </w:rPr>
                    <w:t>4.</w:t>
                  </w:r>
                  <w:r>
                    <w:rPr>
                      <w:bCs/>
                      <w:color w:val="000000"/>
                      <w:szCs w:val="21"/>
                    </w:rPr>
                    <w:t>废气污染治理设施稳定运行管理规程；</w:t>
                  </w:r>
                  <w:r>
                    <w:rPr>
                      <w:color w:val="000000"/>
                      <w:szCs w:val="21"/>
                    </w:rPr>
                    <w:t>5.</w:t>
                  </w:r>
                  <w:r>
                    <w:rPr>
                      <w:bCs/>
                      <w:color w:val="000000"/>
                      <w:szCs w:val="21"/>
                    </w:rPr>
                    <w:t>一年内废气监测报告（符合排污许可证监测项目及频次要求）。</w:t>
                  </w:r>
                </w:p>
              </w:tc>
              <w:tc>
                <w:tcPr>
                  <w:tcW w:w="1480" w:type="pct"/>
                  <w:tcBorders>
                    <w:top w:val="single" w:color="auto" w:sz="4" w:space="0"/>
                    <w:left w:val="single" w:color="auto" w:sz="4" w:space="0"/>
                    <w:bottom w:val="single" w:color="auto" w:sz="4" w:space="0"/>
                    <w:right w:val="single" w:color="auto" w:sz="4" w:space="0"/>
                  </w:tcBorders>
                  <w:shd w:val="clear" w:color="auto" w:fill="FFFFFF"/>
                  <w:vAlign w:val="center"/>
                </w:tcPr>
                <w:p w14:paraId="0DBA1E33">
                  <w:pPr>
                    <w:adjustRightInd w:val="0"/>
                    <w:spacing w:line="276" w:lineRule="auto"/>
                    <w:jc w:val="center"/>
                    <w:rPr>
                      <w:szCs w:val="21"/>
                    </w:rPr>
                  </w:pPr>
                  <w:r>
                    <w:rPr>
                      <w:szCs w:val="21"/>
                    </w:rPr>
                    <w:t>本项目后续按照要求施行</w:t>
                  </w:r>
                  <w:r>
                    <w:rPr>
                      <w:rFonts w:hint="eastAsia"/>
                      <w:szCs w:val="21"/>
                    </w:rPr>
                    <w:t>环保档案</w:t>
                  </w:r>
                  <w:r>
                    <w:rPr>
                      <w:szCs w:val="21"/>
                    </w:rPr>
                    <w:t>管理要求</w:t>
                  </w:r>
                </w:p>
              </w:tc>
              <w:tc>
                <w:tcPr>
                  <w:tcW w:w="436" w:type="pct"/>
                  <w:tcBorders>
                    <w:top w:val="single" w:color="auto" w:sz="4" w:space="0"/>
                    <w:left w:val="single" w:color="auto" w:sz="4" w:space="0"/>
                    <w:bottom w:val="single" w:color="auto" w:sz="4" w:space="0"/>
                    <w:right w:val="single" w:color="auto" w:sz="4" w:space="0"/>
                  </w:tcBorders>
                  <w:shd w:val="clear" w:color="auto" w:fill="FFFFFF"/>
                  <w:vAlign w:val="center"/>
                </w:tcPr>
                <w:p w14:paraId="2B7DF5BB">
                  <w:pPr>
                    <w:adjustRightInd w:val="0"/>
                    <w:spacing w:line="276" w:lineRule="auto"/>
                    <w:jc w:val="center"/>
                    <w:rPr>
                      <w:szCs w:val="21"/>
                    </w:rPr>
                  </w:pPr>
                  <w:r>
                    <w:rPr>
                      <w:szCs w:val="21"/>
                    </w:rPr>
                    <w:t>相符</w:t>
                  </w:r>
                </w:p>
              </w:tc>
            </w:tr>
            <w:tr w14:paraId="0A144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6" w:hRule="atLeast"/>
                <w:jc w:val="center"/>
              </w:trPr>
              <w:tc>
                <w:tcPr>
                  <w:tcW w:w="428" w:type="pct"/>
                  <w:vMerge w:val="continue"/>
                  <w:tcBorders>
                    <w:left w:val="single" w:color="auto" w:sz="4" w:space="0"/>
                    <w:right w:val="single" w:color="auto" w:sz="4" w:space="0"/>
                  </w:tcBorders>
                  <w:shd w:val="clear" w:color="auto" w:fill="FFFFFF"/>
                  <w:vAlign w:val="center"/>
                </w:tcPr>
                <w:p w14:paraId="749D9A88">
                  <w:pPr>
                    <w:adjustRightInd w:val="0"/>
                    <w:spacing w:line="276" w:lineRule="auto"/>
                    <w:jc w:val="center"/>
                    <w:rPr>
                      <w:szCs w:val="21"/>
                    </w:rPr>
                  </w:pPr>
                </w:p>
              </w:tc>
              <w:tc>
                <w:tcPr>
                  <w:tcW w:w="2656" w:type="pct"/>
                  <w:tcBorders>
                    <w:top w:val="single" w:color="auto" w:sz="4" w:space="0"/>
                    <w:left w:val="single" w:color="auto" w:sz="4" w:space="0"/>
                    <w:bottom w:val="single" w:color="auto" w:sz="4" w:space="0"/>
                    <w:right w:val="single" w:color="auto" w:sz="4" w:space="0"/>
                  </w:tcBorders>
                  <w:shd w:val="clear" w:color="auto" w:fill="FFFFFF"/>
                  <w:vAlign w:val="center"/>
                </w:tcPr>
                <w:p w14:paraId="0B8D3A36">
                  <w:pPr>
                    <w:adjustRightInd w:val="0"/>
                    <w:spacing w:line="276" w:lineRule="auto"/>
                    <w:jc w:val="center"/>
                    <w:rPr>
                      <w:szCs w:val="21"/>
                    </w:rPr>
                  </w:pPr>
                  <w:r>
                    <w:rPr>
                      <w:szCs w:val="21"/>
                    </w:rPr>
                    <w:t>（2）台账记录：</w:t>
                  </w:r>
                  <w:r>
                    <w:rPr>
                      <w:color w:val="000000"/>
                      <w:szCs w:val="21"/>
                    </w:rPr>
                    <w:t>1.</w:t>
                  </w:r>
                  <w:r>
                    <w:rPr>
                      <w:bCs/>
                      <w:color w:val="000000"/>
                      <w:szCs w:val="21"/>
                    </w:rPr>
                    <w:t>生产设施运行管理信息（生产时间、运行负荷、产品产量等）；</w:t>
                  </w:r>
                  <w:r>
                    <w:rPr>
                      <w:color w:val="000000"/>
                      <w:szCs w:val="21"/>
                    </w:rPr>
                    <w:t>2.</w:t>
                  </w:r>
                  <w:r>
                    <w:rPr>
                      <w:bCs/>
                      <w:color w:val="000000"/>
                      <w:szCs w:val="21"/>
                    </w:rPr>
                    <w:t>废气污染治理设施运行、维护、管理信息（包括但不限于废气收集系统和污染治理设施的名称规 格、设计参数、运行参数、巡检记录、污染治理易耗品与药剂用量（吸附剂、催化剂、脱硫剂、脱 硝剂、过滤耗材等）、操作记录以及维护记录、运行要求等）；</w:t>
                  </w:r>
                  <w:r>
                    <w:rPr>
                      <w:color w:val="000000"/>
                      <w:szCs w:val="21"/>
                    </w:rPr>
                    <w:t>3.</w:t>
                  </w:r>
                  <w:r>
                    <w:rPr>
                      <w:bCs/>
                      <w:color w:val="000000"/>
                      <w:szCs w:val="21"/>
                    </w:rPr>
                    <w:t>监测记录信息（主要污染排放口废气排放记录等）；</w:t>
                  </w:r>
                  <w:r>
                    <w:rPr>
                      <w:color w:val="000000"/>
                      <w:szCs w:val="21"/>
                    </w:rPr>
                    <w:t>4.</w:t>
                  </w:r>
                  <w:r>
                    <w:rPr>
                      <w:bCs/>
                      <w:color w:val="000000"/>
                      <w:szCs w:val="21"/>
                    </w:rPr>
                    <w:t>主要原辅材料消耗记录；</w:t>
                  </w:r>
                  <w:r>
                    <w:rPr>
                      <w:color w:val="000000"/>
                      <w:szCs w:val="21"/>
                    </w:rPr>
                    <w:t>5.</w:t>
                  </w:r>
                  <w:r>
                    <w:rPr>
                      <w:bCs/>
                      <w:color w:val="000000"/>
                      <w:szCs w:val="21"/>
                    </w:rPr>
                    <w:t>燃料消耗记录；</w:t>
                  </w:r>
                  <w:r>
                    <w:rPr>
                      <w:color w:val="000000"/>
                      <w:szCs w:val="21"/>
                    </w:rPr>
                    <w:t>6.</w:t>
                  </w:r>
                  <w:r>
                    <w:rPr>
                      <w:bCs/>
                      <w:color w:val="000000"/>
                      <w:szCs w:val="21"/>
                    </w:rPr>
                    <w:t>固废、危废暂存、处理记录。</w:t>
                  </w:r>
                </w:p>
              </w:tc>
              <w:tc>
                <w:tcPr>
                  <w:tcW w:w="1480" w:type="pct"/>
                  <w:tcBorders>
                    <w:top w:val="single" w:color="auto" w:sz="4" w:space="0"/>
                    <w:left w:val="single" w:color="auto" w:sz="4" w:space="0"/>
                    <w:bottom w:val="single" w:color="auto" w:sz="4" w:space="0"/>
                    <w:right w:val="single" w:color="auto" w:sz="4" w:space="0"/>
                  </w:tcBorders>
                  <w:shd w:val="clear" w:color="auto" w:fill="FFFFFF"/>
                  <w:vAlign w:val="center"/>
                </w:tcPr>
                <w:p w14:paraId="3FD493E8">
                  <w:pPr>
                    <w:adjustRightInd w:val="0"/>
                    <w:spacing w:line="276" w:lineRule="auto"/>
                    <w:jc w:val="center"/>
                    <w:rPr>
                      <w:szCs w:val="21"/>
                    </w:rPr>
                  </w:pPr>
                  <w:r>
                    <w:rPr>
                      <w:szCs w:val="21"/>
                    </w:rPr>
                    <w:t>本次</w:t>
                  </w:r>
                  <w:r>
                    <w:rPr>
                      <w:rFonts w:hint="eastAsia"/>
                      <w:szCs w:val="21"/>
                    </w:rPr>
                    <w:t>项目运营期</w:t>
                  </w:r>
                  <w:r>
                    <w:rPr>
                      <w:szCs w:val="21"/>
                    </w:rPr>
                    <w:t>台账按照要求进行记录，记录</w:t>
                  </w:r>
                  <w:r>
                    <w:rPr>
                      <w:bCs/>
                      <w:color w:val="000000"/>
                      <w:szCs w:val="21"/>
                    </w:rPr>
                    <w:t>生产设施运行管理信息</w:t>
                  </w:r>
                  <w:r>
                    <w:rPr>
                      <w:rFonts w:hint="eastAsia"/>
                      <w:bCs/>
                      <w:color w:val="000000"/>
                      <w:szCs w:val="21"/>
                    </w:rPr>
                    <w:t>、</w:t>
                  </w:r>
                  <w:r>
                    <w:rPr>
                      <w:bCs/>
                      <w:color w:val="000000"/>
                      <w:szCs w:val="21"/>
                    </w:rPr>
                    <w:t>废气污染治理设施运行、维护、管理信息</w:t>
                  </w:r>
                  <w:r>
                    <w:rPr>
                      <w:rFonts w:hint="eastAsia"/>
                      <w:bCs/>
                      <w:color w:val="000000"/>
                      <w:szCs w:val="21"/>
                    </w:rPr>
                    <w:t>、</w:t>
                  </w:r>
                  <w:r>
                    <w:rPr>
                      <w:bCs/>
                      <w:color w:val="000000"/>
                      <w:szCs w:val="21"/>
                    </w:rPr>
                    <w:t>监测记录信息</w:t>
                  </w:r>
                  <w:r>
                    <w:rPr>
                      <w:rFonts w:hint="eastAsia"/>
                      <w:bCs/>
                      <w:color w:val="000000"/>
                      <w:szCs w:val="21"/>
                    </w:rPr>
                    <w:t>、</w:t>
                  </w:r>
                  <w:r>
                    <w:rPr>
                      <w:bCs/>
                      <w:color w:val="000000"/>
                      <w:szCs w:val="21"/>
                    </w:rPr>
                    <w:t>主要原辅材料消耗记录</w:t>
                  </w:r>
                  <w:r>
                    <w:rPr>
                      <w:rFonts w:hint="eastAsia"/>
                      <w:bCs/>
                      <w:color w:val="000000"/>
                      <w:szCs w:val="21"/>
                    </w:rPr>
                    <w:t>和</w:t>
                  </w:r>
                  <w:r>
                    <w:rPr>
                      <w:bCs/>
                      <w:color w:val="000000"/>
                      <w:szCs w:val="21"/>
                    </w:rPr>
                    <w:t>固废、危废暂存、处理记录</w:t>
                  </w:r>
                </w:p>
              </w:tc>
              <w:tc>
                <w:tcPr>
                  <w:tcW w:w="436" w:type="pct"/>
                  <w:tcBorders>
                    <w:top w:val="single" w:color="auto" w:sz="4" w:space="0"/>
                    <w:left w:val="single" w:color="auto" w:sz="4" w:space="0"/>
                    <w:bottom w:val="single" w:color="auto" w:sz="4" w:space="0"/>
                    <w:right w:val="single" w:color="auto" w:sz="4" w:space="0"/>
                  </w:tcBorders>
                  <w:shd w:val="clear" w:color="auto" w:fill="FFFFFF"/>
                  <w:vAlign w:val="center"/>
                </w:tcPr>
                <w:p w14:paraId="76BE038B">
                  <w:pPr>
                    <w:adjustRightInd w:val="0"/>
                    <w:spacing w:line="276" w:lineRule="auto"/>
                    <w:jc w:val="center"/>
                    <w:rPr>
                      <w:szCs w:val="21"/>
                    </w:rPr>
                  </w:pPr>
                  <w:r>
                    <w:rPr>
                      <w:szCs w:val="21"/>
                    </w:rPr>
                    <w:t>相符</w:t>
                  </w:r>
                </w:p>
              </w:tc>
            </w:tr>
            <w:tr w14:paraId="5B92A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6" w:hRule="atLeast"/>
                <w:jc w:val="center"/>
              </w:trPr>
              <w:tc>
                <w:tcPr>
                  <w:tcW w:w="428" w:type="pct"/>
                  <w:vMerge w:val="continue"/>
                  <w:tcBorders>
                    <w:left w:val="single" w:color="auto" w:sz="4" w:space="0"/>
                    <w:right w:val="single" w:color="auto" w:sz="4" w:space="0"/>
                  </w:tcBorders>
                  <w:shd w:val="clear" w:color="auto" w:fill="FFFFFF"/>
                  <w:vAlign w:val="center"/>
                </w:tcPr>
                <w:p w14:paraId="6A2847DD">
                  <w:pPr>
                    <w:adjustRightInd w:val="0"/>
                    <w:snapToGrid w:val="0"/>
                    <w:spacing w:line="276" w:lineRule="auto"/>
                    <w:jc w:val="center"/>
                    <w:rPr>
                      <w:color w:val="000000"/>
                      <w:szCs w:val="21"/>
                      <w:lang w:val="zh-CN"/>
                    </w:rPr>
                  </w:pPr>
                </w:p>
              </w:tc>
              <w:tc>
                <w:tcPr>
                  <w:tcW w:w="2656" w:type="pct"/>
                  <w:tcBorders>
                    <w:top w:val="single" w:color="auto" w:sz="4" w:space="0"/>
                    <w:left w:val="single" w:color="auto" w:sz="4" w:space="0"/>
                    <w:bottom w:val="single" w:color="auto" w:sz="4" w:space="0"/>
                    <w:right w:val="single" w:color="auto" w:sz="4" w:space="0"/>
                  </w:tcBorders>
                  <w:shd w:val="clear" w:color="auto" w:fill="FFFFFF"/>
                  <w:vAlign w:val="center"/>
                </w:tcPr>
                <w:p w14:paraId="3BC2581A">
                  <w:pPr>
                    <w:adjustRightInd w:val="0"/>
                    <w:snapToGrid w:val="0"/>
                    <w:spacing w:line="276" w:lineRule="auto"/>
                    <w:jc w:val="center"/>
                    <w:rPr>
                      <w:color w:val="000000"/>
                      <w:szCs w:val="21"/>
                    </w:rPr>
                  </w:pPr>
                  <w:r>
                    <w:rPr>
                      <w:szCs w:val="21"/>
                    </w:rPr>
                    <w:t>（3）人员配置：</w:t>
                  </w:r>
                  <w:r>
                    <w:rPr>
                      <w:bCs/>
                      <w:color w:val="000000"/>
                      <w:szCs w:val="21"/>
                    </w:rPr>
                    <w:t>配备专职环保人员，并具备相应的环境管理能力（包括但不限于学历、培训、从业经验等）。</w:t>
                  </w:r>
                </w:p>
              </w:tc>
              <w:tc>
                <w:tcPr>
                  <w:tcW w:w="1480" w:type="pct"/>
                  <w:tcBorders>
                    <w:top w:val="single" w:color="auto" w:sz="4" w:space="0"/>
                    <w:left w:val="single" w:color="auto" w:sz="4" w:space="0"/>
                    <w:bottom w:val="single" w:color="auto" w:sz="4" w:space="0"/>
                    <w:right w:val="single" w:color="auto" w:sz="4" w:space="0"/>
                  </w:tcBorders>
                  <w:shd w:val="clear" w:color="auto" w:fill="FFFFFF"/>
                  <w:vAlign w:val="center"/>
                </w:tcPr>
                <w:p w14:paraId="5A89960B">
                  <w:pPr>
                    <w:adjustRightInd w:val="0"/>
                    <w:spacing w:line="276" w:lineRule="auto"/>
                    <w:jc w:val="center"/>
                    <w:rPr>
                      <w:szCs w:val="21"/>
                    </w:rPr>
                  </w:pPr>
                  <w:r>
                    <w:rPr>
                      <w:szCs w:val="21"/>
                    </w:rPr>
                    <w:t>本项目建设完成后配备具备相应管理能力的专职环保人员</w:t>
                  </w:r>
                </w:p>
              </w:tc>
              <w:tc>
                <w:tcPr>
                  <w:tcW w:w="436" w:type="pct"/>
                  <w:tcBorders>
                    <w:top w:val="single" w:color="auto" w:sz="4" w:space="0"/>
                    <w:left w:val="single" w:color="auto" w:sz="4" w:space="0"/>
                    <w:bottom w:val="single" w:color="auto" w:sz="4" w:space="0"/>
                    <w:right w:val="single" w:color="auto" w:sz="4" w:space="0"/>
                  </w:tcBorders>
                  <w:shd w:val="clear" w:color="auto" w:fill="FFFFFF"/>
                  <w:vAlign w:val="center"/>
                </w:tcPr>
                <w:p w14:paraId="05037B00">
                  <w:pPr>
                    <w:adjustRightInd w:val="0"/>
                    <w:spacing w:line="276" w:lineRule="auto"/>
                    <w:jc w:val="center"/>
                    <w:rPr>
                      <w:szCs w:val="21"/>
                    </w:rPr>
                  </w:pPr>
                  <w:r>
                    <w:rPr>
                      <w:szCs w:val="21"/>
                    </w:rPr>
                    <w:t>相符</w:t>
                  </w:r>
                </w:p>
              </w:tc>
            </w:tr>
            <w:tr w14:paraId="35E80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6" w:hRule="atLeast"/>
                <w:jc w:val="center"/>
              </w:trPr>
              <w:tc>
                <w:tcPr>
                  <w:tcW w:w="428" w:type="pct"/>
                  <w:tcBorders>
                    <w:top w:val="single" w:color="auto" w:sz="4" w:space="0"/>
                    <w:left w:val="single" w:color="auto" w:sz="4" w:space="0"/>
                    <w:right w:val="single" w:color="auto" w:sz="4" w:space="0"/>
                  </w:tcBorders>
                  <w:shd w:val="clear" w:color="auto" w:fill="FFFFFF"/>
                  <w:vAlign w:val="center"/>
                </w:tcPr>
                <w:p w14:paraId="3137F01F">
                  <w:pPr>
                    <w:adjustRightInd w:val="0"/>
                    <w:spacing w:line="276" w:lineRule="auto"/>
                    <w:jc w:val="center"/>
                    <w:rPr>
                      <w:szCs w:val="21"/>
                    </w:rPr>
                  </w:pPr>
                  <w:r>
                    <w:rPr>
                      <w:szCs w:val="21"/>
                    </w:rPr>
                    <w:t>运输方式</w:t>
                  </w:r>
                </w:p>
              </w:tc>
              <w:tc>
                <w:tcPr>
                  <w:tcW w:w="2656" w:type="pct"/>
                  <w:tcBorders>
                    <w:top w:val="single" w:color="auto" w:sz="4" w:space="0"/>
                    <w:left w:val="single" w:color="auto" w:sz="4" w:space="0"/>
                    <w:bottom w:val="single" w:color="auto" w:sz="4" w:space="0"/>
                    <w:right w:val="single" w:color="auto" w:sz="4" w:space="0"/>
                  </w:tcBorders>
                  <w:shd w:val="clear" w:color="auto" w:fill="FFFFFF"/>
                  <w:vAlign w:val="center"/>
                </w:tcPr>
                <w:p w14:paraId="790C4D51">
                  <w:pPr>
                    <w:adjustRightInd w:val="0"/>
                    <w:spacing w:line="276" w:lineRule="auto"/>
                    <w:jc w:val="center"/>
                    <w:rPr>
                      <w:szCs w:val="21"/>
                    </w:rPr>
                  </w:pPr>
                  <w:r>
                    <w:rPr>
                      <w:szCs w:val="21"/>
                    </w:rPr>
                    <w:t>1.物料、产品等公路运输全部使用国五及以上排放标准重型载货车辆（重型燃气车辆达到国六排放标准）或新能源 车辆； 2.厂内运输全部使用国五及以上排放标准（重型燃气车辆达到国六排放标准）或使用新能源车辆；3.厂内非道路移动机械全部使用国三及以上排放标准或使用新能源（电动、氢能）机械。</w:t>
                  </w:r>
                </w:p>
              </w:tc>
              <w:tc>
                <w:tcPr>
                  <w:tcW w:w="1480" w:type="pct"/>
                  <w:tcBorders>
                    <w:top w:val="single" w:color="auto" w:sz="4" w:space="0"/>
                    <w:left w:val="single" w:color="auto" w:sz="4" w:space="0"/>
                    <w:bottom w:val="single" w:color="auto" w:sz="4" w:space="0"/>
                    <w:right w:val="single" w:color="auto" w:sz="4" w:space="0"/>
                  </w:tcBorders>
                  <w:shd w:val="clear" w:color="auto" w:fill="FFFFFF"/>
                  <w:vAlign w:val="center"/>
                </w:tcPr>
                <w:p w14:paraId="5591731A">
                  <w:pPr>
                    <w:adjustRightInd w:val="0"/>
                    <w:spacing w:line="276" w:lineRule="auto"/>
                    <w:jc w:val="center"/>
                    <w:rPr>
                      <w:szCs w:val="21"/>
                    </w:rPr>
                  </w:pPr>
                  <w:r>
                    <w:rPr>
                      <w:szCs w:val="21"/>
                    </w:rPr>
                    <w:t>本项目物料运输采用达到国五及以上排放标准的车辆</w:t>
                  </w:r>
                </w:p>
              </w:tc>
              <w:tc>
                <w:tcPr>
                  <w:tcW w:w="436" w:type="pct"/>
                  <w:tcBorders>
                    <w:top w:val="single" w:color="auto" w:sz="4" w:space="0"/>
                    <w:left w:val="single" w:color="auto" w:sz="4" w:space="0"/>
                    <w:bottom w:val="single" w:color="auto" w:sz="4" w:space="0"/>
                    <w:right w:val="single" w:color="auto" w:sz="4" w:space="0"/>
                  </w:tcBorders>
                  <w:shd w:val="clear" w:color="auto" w:fill="FFFFFF"/>
                  <w:vAlign w:val="center"/>
                </w:tcPr>
                <w:p w14:paraId="3E91103F">
                  <w:pPr>
                    <w:adjustRightInd w:val="0"/>
                    <w:spacing w:line="276" w:lineRule="auto"/>
                    <w:jc w:val="center"/>
                    <w:rPr>
                      <w:szCs w:val="21"/>
                    </w:rPr>
                  </w:pPr>
                  <w:r>
                    <w:rPr>
                      <w:szCs w:val="21"/>
                    </w:rPr>
                    <w:t>相符</w:t>
                  </w:r>
                </w:p>
              </w:tc>
            </w:tr>
            <w:tr w14:paraId="2C2D1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6" w:hRule="atLeast"/>
                <w:jc w:val="center"/>
              </w:trPr>
              <w:tc>
                <w:tcPr>
                  <w:tcW w:w="428" w:type="pct"/>
                  <w:tcBorders>
                    <w:left w:val="single" w:color="auto" w:sz="4" w:space="0"/>
                    <w:right w:val="single" w:color="auto" w:sz="4" w:space="0"/>
                  </w:tcBorders>
                  <w:shd w:val="clear" w:color="auto" w:fill="FFFFFF"/>
                  <w:vAlign w:val="center"/>
                </w:tcPr>
                <w:p w14:paraId="30BE3B07">
                  <w:pPr>
                    <w:adjustRightInd w:val="0"/>
                    <w:snapToGrid w:val="0"/>
                    <w:spacing w:line="276" w:lineRule="auto"/>
                    <w:jc w:val="center"/>
                    <w:rPr>
                      <w:color w:val="000000"/>
                      <w:szCs w:val="21"/>
                      <w:lang w:val="zh-CN"/>
                    </w:rPr>
                  </w:pPr>
                  <w:r>
                    <w:rPr>
                      <w:szCs w:val="21"/>
                    </w:rPr>
                    <w:t>运输监管</w:t>
                  </w:r>
                </w:p>
              </w:tc>
              <w:tc>
                <w:tcPr>
                  <w:tcW w:w="2656" w:type="pct"/>
                  <w:tcBorders>
                    <w:top w:val="single" w:color="auto" w:sz="4" w:space="0"/>
                    <w:left w:val="single" w:color="auto" w:sz="4" w:space="0"/>
                    <w:bottom w:val="single" w:color="auto" w:sz="4" w:space="0"/>
                    <w:right w:val="single" w:color="auto" w:sz="4" w:space="0"/>
                  </w:tcBorders>
                  <w:shd w:val="clear" w:color="auto" w:fill="FFFFFF"/>
                  <w:vAlign w:val="center"/>
                </w:tcPr>
                <w:p w14:paraId="49CFC080">
                  <w:pPr>
                    <w:adjustRightInd w:val="0"/>
                    <w:spacing w:line="276" w:lineRule="auto"/>
                    <w:jc w:val="center"/>
                    <w:rPr>
                      <w:szCs w:val="21"/>
                    </w:rPr>
                  </w:pPr>
                  <w:r>
                    <w:rPr>
                      <w:szCs w:val="21"/>
                    </w:rPr>
                    <w:t>日均进出货物150吨（或载货车辆日进出10 辆次）及以上（货物包括原料、辅料、燃料、产品和其他与生产相关物料）的企业，参照《重污染天气重点行业移动源应急管理技术指南》建立门禁视频监控系统和电子台账；其他企业安装车辆运输视频监控（数据能保存 6 个月），并建立车辆运输手工台账。</w:t>
                  </w:r>
                </w:p>
              </w:tc>
              <w:tc>
                <w:tcPr>
                  <w:tcW w:w="1480" w:type="pct"/>
                  <w:tcBorders>
                    <w:top w:val="single" w:color="auto" w:sz="4" w:space="0"/>
                    <w:left w:val="single" w:color="auto" w:sz="4" w:space="0"/>
                    <w:bottom w:val="single" w:color="auto" w:sz="4" w:space="0"/>
                    <w:right w:val="single" w:color="auto" w:sz="4" w:space="0"/>
                  </w:tcBorders>
                  <w:shd w:val="clear" w:color="auto" w:fill="FFFFFF"/>
                  <w:vAlign w:val="center"/>
                </w:tcPr>
                <w:p w14:paraId="5F190021">
                  <w:pPr>
                    <w:adjustRightInd w:val="0"/>
                    <w:spacing w:line="276" w:lineRule="auto"/>
                    <w:jc w:val="center"/>
                    <w:rPr>
                      <w:szCs w:val="21"/>
                    </w:rPr>
                  </w:pPr>
                  <w:r>
                    <w:rPr>
                      <w:szCs w:val="21"/>
                    </w:rPr>
                    <w:t>企业日均进出货物约34吨，</w:t>
                  </w:r>
                  <w:r>
                    <w:rPr>
                      <w:rFonts w:hint="eastAsia"/>
                      <w:szCs w:val="21"/>
                    </w:rPr>
                    <w:t>单次</w:t>
                  </w:r>
                  <w:r>
                    <w:rPr>
                      <w:szCs w:val="21"/>
                    </w:rPr>
                    <w:t>载重</w:t>
                  </w:r>
                  <w:r>
                    <w:rPr>
                      <w:rFonts w:hint="eastAsia"/>
                      <w:szCs w:val="21"/>
                    </w:rPr>
                    <w:t>30吨</w:t>
                  </w:r>
                  <w:r>
                    <w:rPr>
                      <w:szCs w:val="21"/>
                    </w:rPr>
                    <w:t>，</w:t>
                  </w:r>
                  <w:r>
                    <w:rPr>
                      <w:rFonts w:hint="eastAsia"/>
                      <w:szCs w:val="21"/>
                    </w:rPr>
                    <w:t>进出场</w:t>
                  </w:r>
                  <w:r>
                    <w:rPr>
                      <w:szCs w:val="21"/>
                    </w:rPr>
                    <w:t>货车小于</w:t>
                  </w:r>
                  <w:r>
                    <w:rPr>
                      <w:rFonts w:hint="eastAsia"/>
                      <w:szCs w:val="21"/>
                    </w:rPr>
                    <w:t>10辆</w:t>
                  </w:r>
                  <w:r>
                    <w:rPr>
                      <w:szCs w:val="21"/>
                    </w:rPr>
                    <w:t>次</w:t>
                  </w:r>
                  <w:r>
                    <w:rPr>
                      <w:rFonts w:hint="eastAsia"/>
                      <w:szCs w:val="21"/>
                    </w:rPr>
                    <w:t>，</w:t>
                  </w:r>
                  <w:r>
                    <w:rPr>
                      <w:szCs w:val="21"/>
                    </w:rPr>
                    <w:t>属于</w:t>
                  </w:r>
                  <w:r>
                    <w:rPr>
                      <w:rFonts w:hint="eastAsia"/>
                      <w:szCs w:val="21"/>
                    </w:rPr>
                    <w:t>其他</w:t>
                  </w:r>
                  <w:r>
                    <w:rPr>
                      <w:szCs w:val="21"/>
                    </w:rPr>
                    <w:t>企业。建设单位应</w:t>
                  </w:r>
                  <w:r>
                    <w:rPr>
                      <w:rFonts w:hint="eastAsia"/>
                      <w:szCs w:val="21"/>
                    </w:rPr>
                    <w:t>安装车辆</w:t>
                  </w:r>
                  <w:r>
                    <w:rPr>
                      <w:szCs w:val="21"/>
                    </w:rPr>
                    <w:t>运输视频监控系统和</w:t>
                  </w:r>
                  <w:r>
                    <w:rPr>
                      <w:rFonts w:hint="eastAsia"/>
                      <w:szCs w:val="21"/>
                    </w:rPr>
                    <w:t>手工</w:t>
                  </w:r>
                  <w:r>
                    <w:rPr>
                      <w:szCs w:val="21"/>
                    </w:rPr>
                    <w:t>台账，</w:t>
                  </w:r>
                  <w:r>
                    <w:rPr>
                      <w:rFonts w:hint="eastAsia"/>
                      <w:szCs w:val="21"/>
                    </w:rPr>
                    <w:t>并</w:t>
                  </w:r>
                  <w:r>
                    <w:rPr>
                      <w:szCs w:val="21"/>
                    </w:rPr>
                    <w:t>保留数据6个月以上</w:t>
                  </w:r>
                </w:p>
              </w:tc>
              <w:tc>
                <w:tcPr>
                  <w:tcW w:w="436" w:type="pct"/>
                  <w:tcBorders>
                    <w:top w:val="single" w:color="auto" w:sz="4" w:space="0"/>
                    <w:left w:val="single" w:color="auto" w:sz="4" w:space="0"/>
                    <w:bottom w:val="single" w:color="auto" w:sz="4" w:space="0"/>
                    <w:right w:val="single" w:color="auto" w:sz="4" w:space="0"/>
                  </w:tcBorders>
                  <w:shd w:val="clear" w:color="auto" w:fill="FFFFFF"/>
                  <w:vAlign w:val="center"/>
                </w:tcPr>
                <w:p w14:paraId="502EBD7A">
                  <w:pPr>
                    <w:adjustRightInd w:val="0"/>
                    <w:spacing w:line="276" w:lineRule="auto"/>
                    <w:jc w:val="center"/>
                    <w:rPr>
                      <w:szCs w:val="21"/>
                    </w:rPr>
                  </w:pPr>
                  <w:r>
                    <w:rPr>
                      <w:szCs w:val="21"/>
                    </w:rPr>
                    <w:t>不涉及</w:t>
                  </w:r>
                </w:p>
              </w:tc>
            </w:tr>
            <w:tr w14:paraId="26A67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6" w:hRule="atLeast"/>
                <w:jc w:val="center"/>
              </w:trPr>
              <w:tc>
                <w:tcPr>
                  <w:tcW w:w="5000" w:type="pct"/>
                  <w:gridSpan w:val="4"/>
                  <w:tcBorders>
                    <w:left w:val="single" w:color="auto" w:sz="4" w:space="0"/>
                    <w:bottom w:val="single" w:color="auto" w:sz="4" w:space="0"/>
                    <w:right w:val="single" w:color="auto" w:sz="4" w:space="0"/>
                  </w:tcBorders>
                  <w:shd w:val="clear" w:color="auto" w:fill="FFFFFF"/>
                  <w:vAlign w:val="center"/>
                </w:tcPr>
                <w:p w14:paraId="2A5C4BF7">
                  <w:pPr>
                    <w:adjustRightInd w:val="0"/>
                    <w:spacing w:line="276" w:lineRule="auto"/>
                    <w:jc w:val="left"/>
                    <w:rPr>
                      <w:szCs w:val="21"/>
                    </w:rPr>
                  </w:pPr>
                  <w:r>
                    <w:rPr>
                      <w:rFonts w:hint="eastAsia"/>
                      <w:szCs w:val="21"/>
                    </w:rPr>
                    <w:t>备注</w:t>
                  </w:r>
                  <w:r>
                    <w:rPr>
                      <w:rFonts w:hint="eastAsia"/>
                      <w:szCs w:val="21"/>
                      <w:vertAlign w:val="superscript"/>
                    </w:rPr>
                    <w:t>【</w:t>
                  </w:r>
                  <w:r>
                    <w:rPr>
                      <w:szCs w:val="21"/>
                      <w:vertAlign w:val="superscript"/>
                    </w:rPr>
                    <w:t>1</w:t>
                  </w:r>
                  <w:r>
                    <w:rPr>
                      <w:rFonts w:hint="eastAsia"/>
                      <w:szCs w:val="21"/>
                      <w:vertAlign w:val="superscript"/>
                    </w:rPr>
                    <w:t>】</w:t>
                  </w:r>
                  <w:r>
                    <w:rPr>
                      <w:rFonts w:hint="eastAsia"/>
                      <w:szCs w:val="21"/>
                    </w:rPr>
                    <w:t xml:space="preserve"> ：使用再生料的企业是以再生塑料颗粒或其他企业废旧塑料为原料的企业，其中不包括利用自身边角料进行生产的企业。 备注</w:t>
                  </w:r>
                  <w:r>
                    <w:rPr>
                      <w:rFonts w:hint="eastAsia"/>
                      <w:szCs w:val="21"/>
                      <w:vertAlign w:val="superscript"/>
                    </w:rPr>
                    <w:t>【</w:t>
                  </w:r>
                  <w:r>
                    <w:rPr>
                      <w:szCs w:val="21"/>
                      <w:vertAlign w:val="superscript"/>
                    </w:rPr>
                    <w:t>2</w:t>
                  </w:r>
                  <w:r>
                    <w:rPr>
                      <w:rFonts w:hint="eastAsia"/>
                      <w:szCs w:val="21"/>
                      <w:vertAlign w:val="superscript"/>
                    </w:rPr>
                    <w:t>】</w:t>
                  </w:r>
                  <w:r>
                    <w:rPr>
                      <w:rFonts w:hint="eastAsia"/>
                      <w:szCs w:val="21"/>
                    </w:rPr>
                    <w:t xml:space="preserve"> ：</w:t>
                  </w:r>
                  <w:r>
                    <w:rPr>
                      <w:szCs w:val="21"/>
                    </w:rPr>
                    <w:t>2021</w:t>
                  </w:r>
                  <w:r>
                    <w:rPr>
                      <w:rFonts w:hint="eastAsia"/>
                      <w:szCs w:val="21"/>
                    </w:rPr>
                    <w:t>年</w:t>
                  </w:r>
                  <w:r>
                    <w:rPr>
                      <w:szCs w:val="21"/>
                    </w:rPr>
                    <w:t>3</w:t>
                  </w:r>
                  <w:r>
                    <w:rPr>
                      <w:rFonts w:hint="eastAsia"/>
                      <w:szCs w:val="21"/>
                    </w:rPr>
                    <w:t>月</w:t>
                  </w:r>
                  <w:r>
                    <w:rPr>
                      <w:szCs w:val="21"/>
                    </w:rPr>
                    <w:t>1</w:t>
                  </w:r>
                  <w:r>
                    <w:rPr>
                      <w:rFonts w:hint="eastAsia"/>
                      <w:szCs w:val="21"/>
                    </w:rPr>
                    <w:t>日后新建的燃气锅炉和需要采取特别保护措施的区域，执行该排放限值。</w:t>
                  </w:r>
                </w:p>
              </w:tc>
            </w:tr>
          </w:tbl>
          <w:p w14:paraId="6D208806">
            <w:pPr>
              <w:spacing w:line="360" w:lineRule="auto"/>
              <w:ind w:firstLine="480" w:firstLineChars="200"/>
              <w:rPr>
                <w:rFonts w:cs="宋体"/>
                <w:kern w:val="0"/>
                <w:sz w:val="24"/>
              </w:rPr>
            </w:pPr>
            <w:r>
              <w:rPr>
                <w:rFonts w:hint="eastAsia" w:cs="宋体"/>
                <w:kern w:val="0"/>
                <w:sz w:val="24"/>
              </w:rPr>
              <w:t>综上可知，项目建设与</w:t>
            </w:r>
            <w:r>
              <w:rPr>
                <w:rFonts w:hint="eastAsia"/>
                <w:sz w:val="24"/>
              </w:rPr>
              <w:t>《河南省重污染天气重点行业应急减排措施制定技术指南》（202</w:t>
            </w:r>
            <w:r>
              <w:rPr>
                <w:sz w:val="24"/>
              </w:rPr>
              <w:t>4</w:t>
            </w:r>
            <w:r>
              <w:rPr>
                <w:rFonts w:hint="eastAsia"/>
                <w:sz w:val="24"/>
              </w:rPr>
              <w:t>年修订版）</w:t>
            </w:r>
            <w:r>
              <w:rPr>
                <w:rFonts w:hint="eastAsia"/>
                <w:bCs/>
                <w:color w:val="000000"/>
                <w:sz w:val="24"/>
              </w:rPr>
              <w:t>塑料制品行业A级企业</w:t>
            </w:r>
            <w:r>
              <w:rPr>
                <w:rFonts w:hint="eastAsia" w:cs="宋体"/>
                <w:kern w:val="0"/>
                <w:sz w:val="24"/>
              </w:rPr>
              <w:t>各项要求相符。</w:t>
            </w:r>
          </w:p>
        </w:tc>
      </w:tr>
    </w:tbl>
    <w:p w14:paraId="01DA2321">
      <w:pPr>
        <w:spacing w:line="360" w:lineRule="auto"/>
        <w:outlineLvl w:val="0"/>
        <w:rPr>
          <w:rFonts w:eastAsia="黑体"/>
          <w:sz w:val="30"/>
        </w:rPr>
        <w:sectPr>
          <w:footerReference r:id="rId3" w:type="default"/>
          <w:pgSz w:w="11906" w:h="16838"/>
          <w:pgMar w:top="1440" w:right="1800" w:bottom="1440" w:left="1800" w:header="851" w:footer="1077" w:gutter="0"/>
          <w:cols w:space="720" w:num="1"/>
          <w:docGrid w:linePitch="312" w:charSpace="0"/>
        </w:sectPr>
      </w:pPr>
    </w:p>
    <w:p w14:paraId="0BCF9EE4">
      <w:pPr>
        <w:pStyle w:val="25"/>
        <w:jc w:val="center"/>
        <w:outlineLvl w:val="0"/>
        <w:rPr>
          <w:rFonts w:ascii="黑体" w:hAnsi="黑体" w:eastAsia="黑体"/>
          <w:snapToGrid w:val="0"/>
          <w:sz w:val="30"/>
          <w:szCs w:val="30"/>
        </w:rPr>
      </w:pPr>
      <w:r>
        <w:rPr>
          <w:rFonts w:hint="eastAsia" w:ascii="黑体" w:hAnsi="黑体" w:eastAsia="黑体"/>
          <w:snapToGrid w:val="0"/>
          <w:sz w:val="30"/>
          <w:szCs w:val="30"/>
        </w:rPr>
        <w:t>二、建设项目工程分析</w:t>
      </w:r>
    </w:p>
    <w:tbl>
      <w:tblPr>
        <w:tblStyle w:val="29"/>
        <w:tblW w:w="943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57" w:type="dxa"/>
          <w:bottom w:w="0" w:type="dxa"/>
          <w:right w:w="57" w:type="dxa"/>
        </w:tblCellMar>
      </w:tblPr>
      <w:tblGrid>
        <w:gridCol w:w="711"/>
        <w:gridCol w:w="8723"/>
      </w:tblGrid>
      <w:tr w14:paraId="5747E1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3670" w:hRule="atLeast"/>
          <w:jc w:val="center"/>
        </w:trPr>
        <w:tc>
          <w:tcPr>
            <w:tcW w:w="711" w:type="dxa"/>
            <w:vAlign w:val="center"/>
          </w:tcPr>
          <w:p w14:paraId="17A629F3">
            <w:pPr>
              <w:pStyle w:val="25"/>
              <w:adjustRightInd w:val="0"/>
              <w:snapToGrid w:val="0"/>
              <w:spacing w:before="0" w:beforeAutospacing="0" w:after="0" w:afterAutospacing="0"/>
              <w:jc w:val="center"/>
              <w:rPr>
                <w:rFonts w:ascii="Times New Roman" w:hAnsi="Times New Roman"/>
                <w:szCs w:val="24"/>
              </w:rPr>
            </w:pPr>
            <w:r>
              <w:rPr>
                <w:rFonts w:ascii="Times New Roman" w:hAnsi="Times New Roman"/>
                <w:szCs w:val="24"/>
              </w:rPr>
              <w:t>建设内容</w:t>
            </w:r>
          </w:p>
        </w:tc>
        <w:tc>
          <w:tcPr>
            <w:tcW w:w="5890" w:type="dxa"/>
          </w:tcPr>
          <w:p w14:paraId="5A540F59">
            <w:pPr>
              <w:adjustRightInd w:val="0"/>
              <w:snapToGrid w:val="0"/>
              <w:spacing w:line="360" w:lineRule="auto"/>
              <w:ind w:firstLine="482" w:firstLineChars="200"/>
              <w:rPr>
                <w:rFonts w:eastAsia="黑体"/>
                <w:b/>
                <w:iCs/>
                <w:sz w:val="24"/>
              </w:rPr>
            </w:pPr>
            <w:r>
              <w:rPr>
                <w:rFonts w:eastAsia="黑体"/>
                <w:b/>
                <w:iCs/>
                <w:sz w:val="24"/>
              </w:rPr>
              <w:t>1</w:t>
            </w:r>
            <w:r>
              <w:rPr>
                <w:rFonts w:hint="eastAsia" w:eastAsia="黑体"/>
                <w:b/>
                <w:iCs/>
                <w:sz w:val="24"/>
              </w:rPr>
              <w:t>、项目基本情况</w:t>
            </w:r>
          </w:p>
          <w:p w14:paraId="2D695E30">
            <w:pPr>
              <w:spacing w:line="360" w:lineRule="auto"/>
              <w:ind w:firstLine="480" w:firstLineChars="200"/>
              <w:rPr>
                <w:bCs/>
                <w:sz w:val="24"/>
              </w:rPr>
            </w:pPr>
            <w:r>
              <w:rPr>
                <w:rFonts w:hint="eastAsia"/>
                <w:sz w:val="24"/>
              </w:rPr>
              <w:t>河南毛旺尼龙纤维科技有限公司拟投资5000万元在商丘市民权县北关镇周翟庄村北民荷路东侧18号建设</w:t>
            </w:r>
            <w:r>
              <w:rPr>
                <w:rFonts w:hint="eastAsia"/>
                <w:bCs/>
                <w:sz w:val="24"/>
              </w:rPr>
              <w:t>年产5000吨牙刷丝项目，</w:t>
            </w:r>
            <w:r>
              <w:rPr>
                <w:rFonts w:hint="eastAsia"/>
                <w:bCs/>
                <w:spacing w:val="-6"/>
                <w:sz w:val="24"/>
              </w:rPr>
              <w:t>建设单位</w:t>
            </w:r>
            <w:r>
              <w:rPr>
                <w:rFonts w:hint="eastAsia"/>
                <w:sz w:val="24"/>
              </w:rPr>
              <w:t>于</w:t>
            </w:r>
            <w:r>
              <w:rPr>
                <w:sz w:val="24"/>
              </w:rPr>
              <w:t>2024年9月25日</w:t>
            </w:r>
            <w:r>
              <w:rPr>
                <w:rFonts w:hint="eastAsia"/>
                <w:sz w:val="24"/>
              </w:rPr>
              <w:t>经民权县发展和改革委员会以</w:t>
            </w:r>
            <w:r>
              <w:rPr>
                <w:rFonts w:ascii="宋体" w:hAnsi="宋体"/>
                <w:sz w:val="24"/>
              </w:rPr>
              <w:t>“</w:t>
            </w:r>
            <w:r>
              <w:rPr>
                <w:sz w:val="24"/>
              </w:rPr>
              <w:t>2409-411421-04-01-835208</w:t>
            </w:r>
            <w:r>
              <w:rPr>
                <w:rFonts w:ascii="宋体" w:hAnsi="宋体"/>
                <w:sz w:val="24"/>
              </w:rPr>
              <w:t>”</w:t>
            </w:r>
            <w:r>
              <w:rPr>
                <w:rFonts w:hint="eastAsia"/>
                <w:sz w:val="24"/>
              </w:rPr>
              <w:t>备案（见附件二）。本项目</w:t>
            </w:r>
            <w:r>
              <w:rPr>
                <w:rFonts w:hint="eastAsia"/>
                <w:bCs/>
                <w:spacing w:val="-4"/>
                <w:sz w:val="24"/>
              </w:rPr>
              <w:t>租赁民权县北关镇周翟庄村北民荷路东侧18号的车间内</w:t>
            </w:r>
            <w:r>
              <w:rPr>
                <w:rFonts w:hint="eastAsia"/>
                <w:sz w:val="24"/>
              </w:rPr>
              <w:t>进行建设生产，企业</w:t>
            </w:r>
            <w:r>
              <w:rPr>
                <w:sz w:val="24"/>
              </w:rPr>
              <w:t>与民权县北关镇人民政府签订的投资协议（兼</w:t>
            </w:r>
            <w:r>
              <w:rPr>
                <w:rFonts w:hint="eastAsia"/>
                <w:sz w:val="24"/>
              </w:rPr>
              <w:t>租赁合同）见附件三，投资</w:t>
            </w:r>
            <w:r>
              <w:rPr>
                <w:sz w:val="24"/>
              </w:rPr>
              <w:t>协议中</w:t>
            </w:r>
            <w:r>
              <w:rPr>
                <w:rFonts w:hint="eastAsia"/>
                <w:sz w:val="24"/>
              </w:rPr>
              <w:t>的</w:t>
            </w:r>
            <w:r>
              <w:rPr>
                <w:sz w:val="24"/>
              </w:rPr>
              <w:t>乙方为</w:t>
            </w:r>
            <w:r>
              <w:rPr>
                <w:rFonts w:hint="eastAsia"/>
                <w:sz w:val="24"/>
              </w:rPr>
              <w:t>江苏</w:t>
            </w:r>
            <w:r>
              <w:rPr>
                <w:sz w:val="24"/>
              </w:rPr>
              <w:t>毛王纤维有限公司，该公司法人</w:t>
            </w:r>
            <w:r>
              <w:rPr>
                <w:rFonts w:hint="eastAsia"/>
                <w:sz w:val="24"/>
              </w:rPr>
              <w:t>张</w:t>
            </w:r>
            <w:r>
              <w:rPr>
                <w:sz w:val="24"/>
              </w:rPr>
              <w:t>永战与企业为同一法人</w:t>
            </w:r>
            <w:r>
              <w:rPr>
                <w:rFonts w:hint="eastAsia"/>
                <w:sz w:val="24"/>
              </w:rPr>
              <w:t>；根据民权县自然资源局北关自然资源所出具的证明可知，该宗土地属于建设用地，符合民权县北关镇土地利用总体规划。</w:t>
            </w:r>
            <w:r>
              <w:rPr>
                <w:rFonts w:hint="eastAsia"/>
                <w:bCs/>
                <w:sz w:val="24"/>
              </w:rPr>
              <w:t>根据民权县工业暨民营经济工作领导组办公室印发的《民权县“一区多园”规划建设管理暂行办法（文件</w:t>
            </w:r>
            <w:r>
              <w:rPr>
                <w:bCs/>
                <w:sz w:val="24"/>
              </w:rPr>
              <w:t>节选）</w:t>
            </w:r>
            <w:r>
              <w:rPr>
                <w:rFonts w:hint="eastAsia"/>
                <w:bCs/>
                <w:sz w:val="24"/>
              </w:rPr>
              <w:t>》</w:t>
            </w:r>
            <w:r>
              <w:rPr>
                <w:rFonts w:hint="eastAsia"/>
                <w:sz w:val="24"/>
              </w:rPr>
              <w:t>（见附件九）</w:t>
            </w:r>
            <w:r>
              <w:rPr>
                <w:rFonts w:hint="eastAsia"/>
                <w:bCs/>
                <w:sz w:val="24"/>
              </w:rPr>
              <w:t>及</w:t>
            </w:r>
            <w:r>
              <w:rPr>
                <w:rFonts w:hint="eastAsia"/>
                <w:sz w:val="24"/>
              </w:rPr>
              <w:t>民权县北关镇乡村规划建设办公室出具的入驻证明（见附件四），项目建设符合北关镇总体规划，同意项目入驻</w:t>
            </w:r>
            <w:r>
              <w:rPr>
                <w:rFonts w:hint="eastAsia"/>
                <w:bCs/>
                <w:sz w:val="24"/>
              </w:rPr>
              <w:t>。</w:t>
            </w:r>
          </w:p>
          <w:p w14:paraId="2C95A406">
            <w:pPr>
              <w:spacing w:line="360" w:lineRule="auto"/>
              <w:ind w:firstLine="482" w:firstLineChars="200"/>
              <w:rPr>
                <w:rFonts w:eastAsia="黑体"/>
                <w:b/>
                <w:iCs/>
                <w:sz w:val="24"/>
              </w:rPr>
            </w:pPr>
            <w:r>
              <w:rPr>
                <w:rFonts w:hint="eastAsia" w:eastAsia="黑体"/>
                <w:b/>
                <w:iCs/>
                <w:sz w:val="24"/>
              </w:rPr>
              <w:t>2</w:t>
            </w:r>
            <w:r>
              <w:rPr>
                <w:rFonts w:eastAsia="黑体"/>
                <w:b/>
                <w:iCs/>
                <w:sz w:val="24"/>
              </w:rPr>
              <w:t>、</w:t>
            </w:r>
            <w:r>
              <w:rPr>
                <w:rFonts w:hint="eastAsia" w:eastAsia="黑体"/>
                <w:b/>
                <w:iCs/>
                <w:sz w:val="24"/>
              </w:rPr>
              <w:t>项目基本组成</w:t>
            </w:r>
          </w:p>
          <w:p w14:paraId="1D0C4756">
            <w:pPr>
              <w:spacing w:line="360" w:lineRule="auto"/>
              <w:ind w:firstLine="480" w:firstLineChars="200"/>
              <w:rPr>
                <w:sz w:val="24"/>
              </w:rPr>
            </w:pPr>
            <w:r>
              <w:rPr>
                <w:sz w:val="24"/>
              </w:rPr>
              <w:t>项目基本情况见表</w:t>
            </w:r>
            <w:r>
              <w:rPr>
                <w:rFonts w:hint="eastAsia"/>
                <w:sz w:val="24"/>
              </w:rPr>
              <w:t>6，</w:t>
            </w:r>
            <w:r>
              <w:rPr>
                <w:sz w:val="24"/>
              </w:rPr>
              <w:t>项目</w:t>
            </w:r>
            <w:r>
              <w:rPr>
                <w:rFonts w:hint="eastAsia"/>
                <w:sz w:val="24"/>
              </w:rPr>
              <w:t>工程</w:t>
            </w:r>
            <w:r>
              <w:rPr>
                <w:sz w:val="24"/>
              </w:rPr>
              <w:t>内容见表</w:t>
            </w:r>
            <w:r>
              <w:rPr>
                <w:rFonts w:hint="eastAsia"/>
                <w:sz w:val="24"/>
              </w:rPr>
              <w:t>7</w:t>
            </w:r>
            <w:r>
              <w:rPr>
                <w:sz w:val="24"/>
              </w:rPr>
              <w:t>。</w:t>
            </w:r>
          </w:p>
          <w:p w14:paraId="408A6BA4">
            <w:pPr>
              <w:jc w:val="center"/>
              <w:rPr>
                <w:rFonts w:hAnsi="黑体" w:eastAsia="黑体"/>
                <w:b/>
                <w:sz w:val="24"/>
              </w:rPr>
            </w:pPr>
            <w:r>
              <w:rPr>
                <w:rFonts w:hint="eastAsia" w:hAnsi="黑体"/>
                <w:b/>
                <w:sz w:val="24"/>
              </w:rPr>
              <w:t>表6    项目基本情况一览表</w:t>
            </w:r>
          </w:p>
          <w:tbl>
            <w:tblPr>
              <w:tblStyle w:val="29"/>
              <w:tblW w:w="5000" w:type="pct"/>
              <w:jc w:val="center"/>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Layout w:type="autofit"/>
              <w:tblCellMar>
                <w:top w:w="40" w:type="dxa"/>
                <w:left w:w="28" w:type="dxa"/>
                <w:bottom w:w="40" w:type="dxa"/>
                <w:right w:w="28" w:type="dxa"/>
              </w:tblCellMar>
            </w:tblPr>
            <w:tblGrid>
              <w:gridCol w:w="946"/>
              <w:gridCol w:w="2019"/>
              <w:gridCol w:w="5634"/>
            </w:tblGrid>
            <w:tr w14:paraId="2AC9A637">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40" w:type="dxa"/>
                  <w:left w:w="28" w:type="dxa"/>
                  <w:bottom w:w="40" w:type="dxa"/>
                  <w:right w:w="28" w:type="dxa"/>
                </w:tblCellMar>
              </w:tblPrEx>
              <w:trPr>
                <w:trHeight w:val="323" w:hRule="atLeast"/>
                <w:jc w:val="center"/>
              </w:trPr>
              <w:tc>
                <w:tcPr>
                  <w:tcW w:w="550" w:type="pct"/>
                  <w:tcBorders>
                    <w:top w:val="single" w:color="000000" w:sz="4" w:space="0"/>
                    <w:left w:val="single" w:color="000000" w:sz="4" w:space="0"/>
                    <w:bottom w:val="single" w:color="000000" w:sz="4" w:space="0"/>
                    <w:right w:val="single" w:color="000000" w:sz="4" w:space="0"/>
                  </w:tcBorders>
                  <w:vAlign w:val="center"/>
                </w:tcPr>
                <w:p w14:paraId="4445C513">
                  <w:pPr>
                    <w:jc w:val="center"/>
                    <w:rPr>
                      <w:bCs/>
                      <w:szCs w:val="21"/>
                    </w:rPr>
                  </w:pPr>
                  <w:r>
                    <w:rPr>
                      <w:rFonts w:hint="eastAsia"/>
                      <w:szCs w:val="21"/>
                    </w:rPr>
                    <w:t>序号</w:t>
                  </w:r>
                </w:p>
              </w:tc>
              <w:tc>
                <w:tcPr>
                  <w:tcW w:w="1174" w:type="pct"/>
                  <w:tcBorders>
                    <w:top w:val="single" w:color="000000" w:sz="4" w:space="0"/>
                    <w:left w:val="single" w:color="000000" w:sz="4" w:space="0"/>
                    <w:bottom w:val="single" w:color="000000" w:sz="4" w:space="0"/>
                    <w:right w:val="single" w:color="000000" w:sz="4" w:space="0"/>
                  </w:tcBorders>
                  <w:vAlign w:val="center"/>
                </w:tcPr>
                <w:p w14:paraId="0FD4AE74">
                  <w:pPr>
                    <w:jc w:val="center"/>
                    <w:rPr>
                      <w:bCs/>
                      <w:szCs w:val="21"/>
                    </w:rPr>
                  </w:pPr>
                  <w:r>
                    <w:rPr>
                      <w:rFonts w:hint="eastAsia"/>
                      <w:szCs w:val="21"/>
                    </w:rPr>
                    <w:t>项目</w:t>
                  </w:r>
                </w:p>
              </w:tc>
              <w:tc>
                <w:tcPr>
                  <w:tcW w:w="3276" w:type="pct"/>
                  <w:tcBorders>
                    <w:top w:val="single" w:color="000000" w:sz="4" w:space="0"/>
                    <w:left w:val="single" w:color="000000" w:sz="4" w:space="0"/>
                    <w:bottom w:val="single" w:color="000000" w:sz="4" w:space="0"/>
                    <w:right w:val="single" w:color="000000" w:sz="4" w:space="0"/>
                  </w:tcBorders>
                  <w:vAlign w:val="center"/>
                </w:tcPr>
                <w:p w14:paraId="794FC8D3">
                  <w:pPr>
                    <w:jc w:val="center"/>
                    <w:rPr>
                      <w:bCs/>
                      <w:szCs w:val="21"/>
                    </w:rPr>
                  </w:pPr>
                  <w:r>
                    <w:rPr>
                      <w:rFonts w:hint="eastAsia"/>
                      <w:szCs w:val="21"/>
                    </w:rPr>
                    <w:t>建设内容</w:t>
                  </w:r>
                </w:p>
              </w:tc>
            </w:tr>
            <w:tr w14:paraId="43E75253">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40" w:type="dxa"/>
                  <w:left w:w="28" w:type="dxa"/>
                  <w:bottom w:w="40" w:type="dxa"/>
                  <w:right w:w="28" w:type="dxa"/>
                </w:tblCellMar>
              </w:tblPrEx>
              <w:trPr>
                <w:trHeight w:val="323" w:hRule="atLeast"/>
                <w:jc w:val="center"/>
              </w:trPr>
              <w:tc>
                <w:tcPr>
                  <w:tcW w:w="550" w:type="pct"/>
                  <w:tcBorders>
                    <w:top w:val="single" w:color="000000" w:sz="4" w:space="0"/>
                    <w:left w:val="single" w:color="000000" w:sz="4" w:space="0"/>
                    <w:bottom w:val="single" w:color="000000" w:sz="4" w:space="0"/>
                    <w:right w:val="single" w:color="000000" w:sz="4" w:space="0"/>
                  </w:tcBorders>
                  <w:vAlign w:val="center"/>
                </w:tcPr>
                <w:p w14:paraId="41CB0DB6">
                  <w:pPr>
                    <w:jc w:val="center"/>
                    <w:rPr>
                      <w:bCs/>
                      <w:szCs w:val="21"/>
                    </w:rPr>
                  </w:pPr>
                  <w:r>
                    <w:rPr>
                      <w:szCs w:val="21"/>
                    </w:rPr>
                    <w:t>1</w:t>
                  </w:r>
                </w:p>
              </w:tc>
              <w:tc>
                <w:tcPr>
                  <w:tcW w:w="1174" w:type="pct"/>
                  <w:tcBorders>
                    <w:top w:val="single" w:color="000000" w:sz="4" w:space="0"/>
                    <w:left w:val="single" w:color="000000" w:sz="4" w:space="0"/>
                    <w:bottom w:val="single" w:color="000000" w:sz="4" w:space="0"/>
                    <w:right w:val="single" w:color="000000" w:sz="4" w:space="0"/>
                  </w:tcBorders>
                  <w:vAlign w:val="center"/>
                </w:tcPr>
                <w:p w14:paraId="7C9511C3">
                  <w:pPr>
                    <w:jc w:val="center"/>
                    <w:rPr>
                      <w:bCs/>
                      <w:szCs w:val="21"/>
                    </w:rPr>
                  </w:pPr>
                  <w:r>
                    <w:rPr>
                      <w:rFonts w:hint="eastAsia"/>
                      <w:szCs w:val="21"/>
                    </w:rPr>
                    <w:t>建设内容及规模</w:t>
                  </w:r>
                </w:p>
              </w:tc>
              <w:tc>
                <w:tcPr>
                  <w:tcW w:w="3276" w:type="pct"/>
                  <w:tcBorders>
                    <w:top w:val="single" w:color="000000" w:sz="4" w:space="0"/>
                    <w:left w:val="single" w:color="000000" w:sz="4" w:space="0"/>
                    <w:bottom w:val="single" w:color="000000" w:sz="4" w:space="0"/>
                    <w:right w:val="single" w:color="000000" w:sz="4" w:space="0"/>
                  </w:tcBorders>
                  <w:vAlign w:val="center"/>
                </w:tcPr>
                <w:p w14:paraId="726D4FC4">
                  <w:pPr>
                    <w:jc w:val="center"/>
                    <w:rPr>
                      <w:bCs/>
                      <w:szCs w:val="21"/>
                    </w:rPr>
                  </w:pPr>
                  <w:r>
                    <w:rPr>
                      <w:rFonts w:hint="eastAsia"/>
                      <w:bCs/>
                      <w:szCs w:val="21"/>
                    </w:rPr>
                    <w:t>年产5000吨牙刷丝项目</w:t>
                  </w:r>
                </w:p>
              </w:tc>
            </w:tr>
            <w:tr w14:paraId="23AA7A5B">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40" w:type="dxa"/>
                  <w:left w:w="28" w:type="dxa"/>
                  <w:bottom w:w="40" w:type="dxa"/>
                  <w:right w:w="28" w:type="dxa"/>
                </w:tblCellMar>
              </w:tblPrEx>
              <w:trPr>
                <w:trHeight w:val="323" w:hRule="atLeast"/>
                <w:jc w:val="center"/>
              </w:trPr>
              <w:tc>
                <w:tcPr>
                  <w:tcW w:w="550" w:type="pct"/>
                  <w:tcBorders>
                    <w:top w:val="single" w:color="000000" w:sz="4" w:space="0"/>
                    <w:left w:val="single" w:color="000000" w:sz="4" w:space="0"/>
                    <w:bottom w:val="single" w:color="000000" w:sz="4" w:space="0"/>
                    <w:right w:val="single" w:color="000000" w:sz="4" w:space="0"/>
                  </w:tcBorders>
                  <w:vAlign w:val="center"/>
                </w:tcPr>
                <w:p w14:paraId="71A7A78A">
                  <w:pPr>
                    <w:jc w:val="center"/>
                    <w:rPr>
                      <w:bCs/>
                      <w:szCs w:val="21"/>
                    </w:rPr>
                  </w:pPr>
                  <w:r>
                    <w:rPr>
                      <w:szCs w:val="21"/>
                    </w:rPr>
                    <w:t>2</w:t>
                  </w:r>
                </w:p>
              </w:tc>
              <w:tc>
                <w:tcPr>
                  <w:tcW w:w="1174" w:type="pct"/>
                  <w:tcBorders>
                    <w:top w:val="single" w:color="000000" w:sz="4" w:space="0"/>
                    <w:left w:val="single" w:color="000000" w:sz="4" w:space="0"/>
                    <w:bottom w:val="single" w:color="000000" w:sz="4" w:space="0"/>
                    <w:right w:val="single" w:color="000000" w:sz="4" w:space="0"/>
                  </w:tcBorders>
                  <w:vAlign w:val="center"/>
                </w:tcPr>
                <w:p w14:paraId="3107F753">
                  <w:pPr>
                    <w:jc w:val="center"/>
                    <w:rPr>
                      <w:bCs/>
                      <w:szCs w:val="21"/>
                    </w:rPr>
                  </w:pPr>
                  <w:r>
                    <w:rPr>
                      <w:rFonts w:hint="eastAsia"/>
                      <w:szCs w:val="21"/>
                    </w:rPr>
                    <w:t>建设性质</w:t>
                  </w:r>
                </w:p>
              </w:tc>
              <w:tc>
                <w:tcPr>
                  <w:tcW w:w="3276" w:type="pct"/>
                  <w:tcBorders>
                    <w:top w:val="single" w:color="000000" w:sz="4" w:space="0"/>
                    <w:left w:val="single" w:color="000000" w:sz="4" w:space="0"/>
                    <w:bottom w:val="single" w:color="000000" w:sz="4" w:space="0"/>
                    <w:right w:val="single" w:color="000000" w:sz="4" w:space="0"/>
                  </w:tcBorders>
                  <w:vAlign w:val="center"/>
                </w:tcPr>
                <w:p w14:paraId="71E70378">
                  <w:pPr>
                    <w:jc w:val="center"/>
                    <w:rPr>
                      <w:bCs/>
                      <w:szCs w:val="21"/>
                    </w:rPr>
                  </w:pPr>
                  <w:r>
                    <w:rPr>
                      <w:rFonts w:hint="eastAsia"/>
                      <w:szCs w:val="21"/>
                    </w:rPr>
                    <w:t>新建</w:t>
                  </w:r>
                </w:p>
              </w:tc>
            </w:tr>
            <w:tr w14:paraId="0296B7B0">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40" w:type="dxa"/>
                  <w:left w:w="28" w:type="dxa"/>
                  <w:bottom w:w="40" w:type="dxa"/>
                  <w:right w:w="28" w:type="dxa"/>
                </w:tblCellMar>
              </w:tblPrEx>
              <w:trPr>
                <w:trHeight w:val="323" w:hRule="atLeast"/>
                <w:jc w:val="center"/>
              </w:trPr>
              <w:tc>
                <w:tcPr>
                  <w:tcW w:w="550" w:type="pct"/>
                  <w:tcBorders>
                    <w:top w:val="single" w:color="000000" w:sz="4" w:space="0"/>
                    <w:left w:val="single" w:color="000000" w:sz="4" w:space="0"/>
                    <w:bottom w:val="single" w:color="000000" w:sz="4" w:space="0"/>
                    <w:right w:val="single" w:color="000000" w:sz="4" w:space="0"/>
                  </w:tcBorders>
                  <w:vAlign w:val="center"/>
                </w:tcPr>
                <w:p w14:paraId="08F23D9B">
                  <w:pPr>
                    <w:jc w:val="center"/>
                    <w:rPr>
                      <w:bCs/>
                      <w:szCs w:val="21"/>
                    </w:rPr>
                  </w:pPr>
                  <w:r>
                    <w:rPr>
                      <w:szCs w:val="21"/>
                    </w:rPr>
                    <w:t>3</w:t>
                  </w:r>
                </w:p>
              </w:tc>
              <w:tc>
                <w:tcPr>
                  <w:tcW w:w="1174" w:type="pct"/>
                  <w:tcBorders>
                    <w:top w:val="single" w:color="000000" w:sz="4" w:space="0"/>
                    <w:left w:val="single" w:color="000000" w:sz="4" w:space="0"/>
                    <w:bottom w:val="single" w:color="000000" w:sz="4" w:space="0"/>
                    <w:right w:val="single" w:color="000000" w:sz="4" w:space="0"/>
                  </w:tcBorders>
                  <w:vAlign w:val="center"/>
                </w:tcPr>
                <w:p w14:paraId="44B18732">
                  <w:pPr>
                    <w:jc w:val="center"/>
                    <w:rPr>
                      <w:bCs/>
                      <w:szCs w:val="21"/>
                    </w:rPr>
                  </w:pPr>
                  <w:r>
                    <w:rPr>
                      <w:rFonts w:hint="eastAsia"/>
                      <w:szCs w:val="21"/>
                    </w:rPr>
                    <w:t>所属行业</w:t>
                  </w:r>
                </w:p>
              </w:tc>
              <w:tc>
                <w:tcPr>
                  <w:tcW w:w="3276" w:type="pct"/>
                  <w:tcBorders>
                    <w:top w:val="single" w:color="000000" w:sz="4" w:space="0"/>
                    <w:left w:val="single" w:color="000000" w:sz="4" w:space="0"/>
                    <w:bottom w:val="single" w:color="000000" w:sz="4" w:space="0"/>
                    <w:right w:val="single" w:color="000000" w:sz="4" w:space="0"/>
                  </w:tcBorders>
                  <w:vAlign w:val="center"/>
                </w:tcPr>
                <w:p w14:paraId="1C671842">
                  <w:pPr>
                    <w:jc w:val="center"/>
                    <w:rPr>
                      <w:szCs w:val="21"/>
                    </w:rPr>
                  </w:pPr>
                  <w:r>
                    <w:rPr>
                      <w:szCs w:val="21"/>
                    </w:rPr>
                    <w:t xml:space="preserve">C2929 </w:t>
                  </w:r>
                  <w:r>
                    <w:rPr>
                      <w:rFonts w:hint="eastAsia"/>
                      <w:szCs w:val="21"/>
                    </w:rPr>
                    <w:t>塑料零件</w:t>
                  </w:r>
                  <w:r>
                    <w:rPr>
                      <w:szCs w:val="21"/>
                    </w:rPr>
                    <w:t>及其他塑料制品制造</w:t>
                  </w:r>
                </w:p>
              </w:tc>
            </w:tr>
            <w:tr w14:paraId="2CE50300">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40" w:type="dxa"/>
                  <w:left w:w="28" w:type="dxa"/>
                  <w:bottom w:w="40" w:type="dxa"/>
                  <w:right w:w="28" w:type="dxa"/>
                </w:tblCellMar>
              </w:tblPrEx>
              <w:trPr>
                <w:trHeight w:val="323" w:hRule="atLeast"/>
                <w:jc w:val="center"/>
              </w:trPr>
              <w:tc>
                <w:tcPr>
                  <w:tcW w:w="550" w:type="pct"/>
                  <w:tcBorders>
                    <w:top w:val="single" w:color="000000" w:sz="4" w:space="0"/>
                    <w:left w:val="single" w:color="000000" w:sz="4" w:space="0"/>
                    <w:bottom w:val="single" w:color="000000" w:sz="4" w:space="0"/>
                    <w:right w:val="single" w:color="000000" w:sz="4" w:space="0"/>
                  </w:tcBorders>
                  <w:vAlign w:val="center"/>
                </w:tcPr>
                <w:p w14:paraId="1E268D25">
                  <w:pPr>
                    <w:jc w:val="center"/>
                    <w:rPr>
                      <w:bCs/>
                      <w:szCs w:val="21"/>
                    </w:rPr>
                  </w:pPr>
                  <w:r>
                    <w:rPr>
                      <w:szCs w:val="21"/>
                    </w:rPr>
                    <w:t>4</w:t>
                  </w:r>
                </w:p>
              </w:tc>
              <w:tc>
                <w:tcPr>
                  <w:tcW w:w="1174" w:type="pct"/>
                  <w:tcBorders>
                    <w:top w:val="single" w:color="000000" w:sz="4" w:space="0"/>
                    <w:left w:val="single" w:color="000000" w:sz="4" w:space="0"/>
                    <w:bottom w:val="single" w:color="000000" w:sz="4" w:space="0"/>
                    <w:right w:val="single" w:color="000000" w:sz="4" w:space="0"/>
                  </w:tcBorders>
                  <w:vAlign w:val="center"/>
                </w:tcPr>
                <w:p w14:paraId="3A619143">
                  <w:pPr>
                    <w:jc w:val="center"/>
                    <w:rPr>
                      <w:bCs/>
                      <w:szCs w:val="21"/>
                    </w:rPr>
                  </w:pPr>
                  <w:r>
                    <w:rPr>
                      <w:rFonts w:hint="eastAsia"/>
                      <w:szCs w:val="21"/>
                    </w:rPr>
                    <w:t>建设地点</w:t>
                  </w:r>
                </w:p>
              </w:tc>
              <w:tc>
                <w:tcPr>
                  <w:tcW w:w="3276" w:type="pct"/>
                  <w:tcBorders>
                    <w:top w:val="single" w:color="000000" w:sz="4" w:space="0"/>
                    <w:left w:val="single" w:color="000000" w:sz="4" w:space="0"/>
                    <w:bottom w:val="single" w:color="000000" w:sz="4" w:space="0"/>
                    <w:right w:val="single" w:color="000000" w:sz="4" w:space="0"/>
                  </w:tcBorders>
                  <w:vAlign w:val="center"/>
                </w:tcPr>
                <w:p w14:paraId="6682649B">
                  <w:pPr>
                    <w:jc w:val="center"/>
                    <w:rPr>
                      <w:bCs/>
                      <w:szCs w:val="21"/>
                    </w:rPr>
                  </w:pPr>
                  <w:r>
                    <w:rPr>
                      <w:rFonts w:hint="eastAsia"/>
                      <w:szCs w:val="21"/>
                    </w:rPr>
                    <w:t>河南省商丘市民权县北关镇周翟庄村北民荷路东侧18号</w:t>
                  </w:r>
                </w:p>
              </w:tc>
            </w:tr>
            <w:tr w14:paraId="4337BA34">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40" w:type="dxa"/>
                  <w:left w:w="28" w:type="dxa"/>
                  <w:bottom w:w="40" w:type="dxa"/>
                  <w:right w:w="28" w:type="dxa"/>
                </w:tblCellMar>
              </w:tblPrEx>
              <w:trPr>
                <w:trHeight w:val="323" w:hRule="atLeast"/>
                <w:jc w:val="center"/>
              </w:trPr>
              <w:tc>
                <w:tcPr>
                  <w:tcW w:w="550" w:type="pct"/>
                  <w:tcBorders>
                    <w:top w:val="single" w:color="000000" w:sz="4" w:space="0"/>
                    <w:left w:val="single" w:color="000000" w:sz="4" w:space="0"/>
                    <w:bottom w:val="single" w:color="000000" w:sz="4" w:space="0"/>
                    <w:right w:val="single" w:color="000000" w:sz="4" w:space="0"/>
                  </w:tcBorders>
                  <w:vAlign w:val="center"/>
                </w:tcPr>
                <w:p w14:paraId="334C5BA8">
                  <w:pPr>
                    <w:jc w:val="center"/>
                    <w:rPr>
                      <w:bCs/>
                      <w:szCs w:val="21"/>
                    </w:rPr>
                  </w:pPr>
                  <w:r>
                    <w:rPr>
                      <w:szCs w:val="21"/>
                    </w:rPr>
                    <w:t>5</w:t>
                  </w:r>
                </w:p>
              </w:tc>
              <w:tc>
                <w:tcPr>
                  <w:tcW w:w="1174" w:type="pct"/>
                  <w:tcBorders>
                    <w:top w:val="single" w:color="000000" w:sz="4" w:space="0"/>
                    <w:left w:val="single" w:color="000000" w:sz="4" w:space="0"/>
                    <w:bottom w:val="single" w:color="000000" w:sz="4" w:space="0"/>
                    <w:right w:val="single" w:color="000000" w:sz="4" w:space="0"/>
                  </w:tcBorders>
                  <w:vAlign w:val="center"/>
                </w:tcPr>
                <w:p w14:paraId="2A9C939C">
                  <w:pPr>
                    <w:jc w:val="center"/>
                    <w:rPr>
                      <w:bCs/>
                      <w:szCs w:val="21"/>
                    </w:rPr>
                  </w:pPr>
                  <w:r>
                    <w:rPr>
                      <w:rFonts w:hint="eastAsia"/>
                      <w:szCs w:val="21"/>
                    </w:rPr>
                    <w:t>建设单位</w:t>
                  </w:r>
                </w:p>
              </w:tc>
              <w:tc>
                <w:tcPr>
                  <w:tcW w:w="3276" w:type="pct"/>
                  <w:tcBorders>
                    <w:top w:val="single" w:color="000000" w:sz="4" w:space="0"/>
                    <w:left w:val="single" w:color="000000" w:sz="4" w:space="0"/>
                    <w:bottom w:val="single" w:color="000000" w:sz="4" w:space="0"/>
                    <w:right w:val="single" w:color="000000" w:sz="4" w:space="0"/>
                  </w:tcBorders>
                  <w:vAlign w:val="center"/>
                </w:tcPr>
                <w:p w14:paraId="7965BE6E">
                  <w:pPr>
                    <w:jc w:val="center"/>
                    <w:rPr>
                      <w:bCs/>
                      <w:szCs w:val="21"/>
                    </w:rPr>
                  </w:pPr>
                  <w:r>
                    <w:rPr>
                      <w:rFonts w:hint="eastAsia"/>
                      <w:bCs/>
                      <w:szCs w:val="21"/>
                    </w:rPr>
                    <w:t>河南毛旺尼龙纤维科技有限公司</w:t>
                  </w:r>
                </w:p>
              </w:tc>
            </w:tr>
            <w:tr w14:paraId="68A202A4">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40" w:type="dxa"/>
                  <w:left w:w="28" w:type="dxa"/>
                  <w:bottom w:w="40" w:type="dxa"/>
                  <w:right w:w="28" w:type="dxa"/>
                </w:tblCellMar>
              </w:tblPrEx>
              <w:trPr>
                <w:trHeight w:val="323" w:hRule="atLeast"/>
                <w:jc w:val="center"/>
              </w:trPr>
              <w:tc>
                <w:tcPr>
                  <w:tcW w:w="550" w:type="pct"/>
                  <w:tcBorders>
                    <w:top w:val="single" w:color="000000" w:sz="4" w:space="0"/>
                    <w:left w:val="single" w:color="000000" w:sz="4" w:space="0"/>
                    <w:bottom w:val="single" w:color="000000" w:sz="4" w:space="0"/>
                    <w:right w:val="single" w:color="000000" w:sz="4" w:space="0"/>
                  </w:tcBorders>
                  <w:vAlign w:val="center"/>
                </w:tcPr>
                <w:p w14:paraId="657ED136">
                  <w:pPr>
                    <w:jc w:val="center"/>
                    <w:rPr>
                      <w:bCs/>
                      <w:szCs w:val="21"/>
                    </w:rPr>
                  </w:pPr>
                  <w:r>
                    <w:rPr>
                      <w:szCs w:val="21"/>
                    </w:rPr>
                    <w:t>6</w:t>
                  </w:r>
                </w:p>
              </w:tc>
              <w:tc>
                <w:tcPr>
                  <w:tcW w:w="1174" w:type="pct"/>
                  <w:tcBorders>
                    <w:top w:val="single" w:color="000000" w:sz="4" w:space="0"/>
                    <w:left w:val="single" w:color="000000" w:sz="4" w:space="0"/>
                    <w:bottom w:val="single" w:color="000000" w:sz="4" w:space="0"/>
                    <w:right w:val="single" w:color="000000" w:sz="4" w:space="0"/>
                  </w:tcBorders>
                  <w:vAlign w:val="center"/>
                </w:tcPr>
                <w:p w14:paraId="077A2196">
                  <w:pPr>
                    <w:jc w:val="center"/>
                    <w:rPr>
                      <w:bCs/>
                      <w:szCs w:val="21"/>
                    </w:rPr>
                  </w:pPr>
                  <w:r>
                    <w:rPr>
                      <w:rFonts w:hint="eastAsia"/>
                      <w:szCs w:val="21"/>
                    </w:rPr>
                    <w:t>总投资</w:t>
                  </w:r>
                </w:p>
              </w:tc>
              <w:tc>
                <w:tcPr>
                  <w:tcW w:w="3276" w:type="pct"/>
                  <w:tcBorders>
                    <w:top w:val="single" w:color="000000" w:sz="4" w:space="0"/>
                    <w:left w:val="single" w:color="000000" w:sz="4" w:space="0"/>
                    <w:bottom w:val="single" w:color="000000" w:sz="4" w:space="0"/>
                    <w:right w:val="single" w:color="000000" w:sz="4" w:space="0"/>
                  </w:tcBorders>
                  <w:vAlign w:val="center"/>
                </w:tcPr>
                <w:p w14:paraId="5B3FF397">
                  <w:pPr>
                    <w:jc w:val="center"/>
                    <w:rPr>
                      <w:bCs/>
                      <w:szCs w:val="21"/>
                    </w:rPr>
                  </w:pPr>
                  <w:r>
                    <w:rPr>
                      <w:rFonts w:hint="eastAsia"/>
                      <w:szCs w:val="21"/>
                    </w:rPr>
                    <w:t>5000万元</w:t>
                  </w:r>
                </w:p>
              </w:tc>
            </w:tr>
            <w:tr w14:paraId="4C4BC81A">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40" w:type="dxa"/>
                  <w:left w:w="28" w:type="dxa"/>
                  <w:bottom w:w="40" w:type="dxa"/>
                  <w:right w:w="28" w:type="dxa"/>
                </w:tblCellMar>
              </w:tblPrEx>
              <w:trPr>
                <w:trHeight w:val="323" w:hRule="atLeast"/>
                <w:jc w:val="center"/>
              </w:trPr>
              <w:tc>
                <w:tcPr>
                  <w:tcW w:w="550" w:type="pct"/>
                  <w:tcBorders>
                    <w:top w:val="single" w:color="000000" w:sz="4" w:space="0"/>
                    <w:left w:val="single" w:color="000000" w:sz="4" w:space="0"/>
                    <w:bottom w:val="single" w:color="000000" w:sz="4" w:space="0"/>
                    <w:right w:val="single" w:color="000000" w:sz="4" w:space="0"/>
                  </w:tcBorders>
                  <w:vAlign w:val="center"/>
                </w:tcPr>
                <w:p w14:paraId="073612DC">
                  <w:pPr>
                    <w:jc w:val="center"/>
                    <w:rPr>
                      <w:bCs/>
                      <w:szCs w:val="21"/>
                    </w:rPr>
                  </w:pPr>
                  <w:r>
                    <w:rPr>
                      <w:szCs w:val="21"/>
                    </w:rPr>
                    <w:t>7</w:t>
                  </w:r>
                </w:p>
              </w:tc>
              <w:tc>
                <w:tcPr>
                  <w:tcW w:w="1174" w:type="pct"/>
                  <w:tcBorders>
                    <w:top w:val="single" w:color="000000" w:sz="4" w:space="0"/>
                    <w:left w:val="single" w:color="000000" w:sz="4" w:space="0"/>
                    <w:bottom w:val="single" w:color="000000" w:sz="4" w:space="0"/>
                    <w:right w:val="single" w:color="000000" w:sz="4" w:space="0"/>
                  </w:tcBorders>
                  <w:vAlign w:val="center"/>
                </w:tcPr>
                <w:p w14:paraId="7C839EDA">
                  <w:pPr>
                    <w:jc w:val="center"/>
                    <w:rPr>
                      <w:bCs/>
                      <w:spacing w:val="-12"/>
                      <w:szCs w:val="21"/>
                    </w:rPr>
                  </w:pPr>
                  <w:r>
                    <w:rPr>
                      <w:rFonts w:hint="eastAsia"/>
                      <w:spacing w:val="-12"/>
                      <w:szCs w:val="21"/>
                    </w:rPr>
                    <w:t>劳动定员及工作制度</w:t>
                  </w:r>
                </w:p>
              </w:tc>
              <w:tc>
                <w:tcPr>
                  <w:tcW w:w="3276" w:type="pct"/>
                  <w:tcBorders>
                    <w:top w:val="single" w:color="000000" w:sz="4" w:space="0"/>
                    <w:left w:val="single" w:color="000000" w:sz="4" w:space="0"/>
                    <w:bottom w:val="single" w:color="000000" w:sz="4" w:space="0"/>
                    <w:right w:val="single" w:color="000000" w:sz="4" w:space="0"/>
                  </w:tcBorders>
                  <w:vAlign w:val="center"/>
                </w:tcPr>
                <w:p w14:paraId="0B7C67BF">
                  <w:pPr>
                    <w:jc w:val="center"/>
                    <w:rPr>
                      <w:bCs/>
                      <w:szCs w:val="21"/>
                    </w:rPr>
                  </w:pPr>
                  <w:r>
                    <w:rPr>
                      <w:rFonts w:hint="eastAsia"/>
                      <w:bCs/>
                      <w:szCs w:val="21"/>
                    </w:rPr>
                    <w:t>劳动定员</w:t>
                  </w:r>
                  <w:r>
                    <w:rPr>
                      <w:bCs/>
                      <w:szCs w:val="21"/>
                    </w:rPr>
                    <w:t>5</w:t>
                  </w:r>
                  <w:r>
                    <w:rPr>
                      <w:rFonts w:hint="eastAsia"/>
                      <w:bCs/>
                      <w:szCs w:val="21"/>
                    </w:rPr>
                    <w:t>0人，实行三班制，每班工作8h，年工作300d</w:t>
                  </w:r>
                </w:p>
              </w:tc>
            </w:tr>
            <w:tr w14:paraId="0BC85015">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40" w:type="dxa"/>
                  <w:left w:w="28" w:type="dxa"/>
                  <w:bottom w:w="40" w:type="dxa"/>
                  <w:right w:w="28" w:type="dxa"/>
                </w:tblCellMar>
              </w:tblPrEx>
              <w:trPr>
                <w:trHeight w:val="323" w:hRule="atLeast"/>
                <w:jc w:val="center"/>
              </w:trPr>
              <w:tc>
                <w:tcPr>
                  <w:tcW w:w="550" w:type="pct"/>
                  <w:tcBorders>
                    <w:top w:val="single" w:color="000000" w:sz="4" w:space="0"/>
                    <w:left w:val="single" w:color="000000" w:sz="4" w:space="0"/>
                    <w:bottom w:val="single" w:color="auto" w:sz="4" w:space="0"/>
                    <w:right w:val="single" w:color="000000" w:sz="4" w:space="0"/>
                  </w:tcBorders>
                  <w:vAlign w:val="center"/>
                </w:tcPr>
                <w:p w14:paraId="29288E08">
                  <w:pPr>
                    <w:jc w:val="center"/>
                    <w:rPr>
                      <w:bCs/>
                      <w:szCs w:val="21"/>
                    </w:rPr>
                  </w:pPr>
                  <w:r>
                    <w:rPr>
                      <w:szCs w:val="21"/>
                    </w:rPr>
                    <w:t>8</w:t>
                  </w:r>
                </w:p>
              </w:tc>
              <w:tc>
                <w:tcPr>
                  <w:tcW w:w="1174" w:type="pct"/>
                  <w:tcBorders>
                    <w:top w:val="single" w:color="000000" w:sz="4" w:space="0"/>
                    <w:left w:val="single" w:color="000000" w:sz="4" w:space="0"/>
                    <w:bottom w:val="single" w:color="auto" w:sz="4" w:space="0"/>
                    <w:right w:val="single" w:color="000000" w:sz="4" w:space="0"/>
                  </w:tcBorders>
                  <w:vAlign w:val="center"/>
                </w:tcPr>
                <w:p w14:paraId="66A3597E">
                  <w:pPr>
                    <w:jc w:val="center"/>
                    <w:rPr>
                      <w:bCs/>
                      <w:spacing w:val="-12"/>
                      <w:szCs w:val="21"/>
                    </w:rPr>
                  </w:pPr>
                  <w:r>
                    <w:rPr>
                      <w:rFonts w:hint="eastAsia"/>
                      <w:szCs w:val="21"/>
                    </w:rPr>
                    <w:t>占地面积</w:t>
                  </w:r>
                </w:p>
              </w:tc>
              <w:tc>
                <w:tcPr>
                  <w:tcW w:w="3276" w:type="pct"/>
                  <w:tcBorders>
                    <w:top w:val="single" w:color="000000" w:sz="4" w:space="0"/>
                    <w:left w:val="single" w:color="000000" w:sz="4" w:space="0"/>
                    <w:bottom w:val="single" w:color="auto" w:sz="4" w:space="0"/>
                    <w:right w:val="single" w:color="000000" w:sz="4" w:space="0"/>
                  </w:tcBorders>
                  <w:vAlign w:val="center"/>
                </w:tcPr>
                <w:p w14:paraId="09267C2C">
                  <w:pPr>
                    <w:jc w:val="center"/>
                    <w:rPr>
                      <w:bCs/>
                      <w:szCs w:val="21"/>
                    </w:rPr>
                  </w:pPr>
                  <w:r>
                    <w:rPr>
                      <w:spacing w:val="-4"/>
                      <w:szCs w:val="21"/>
                    </w:rPr>
                    <w:t>4500</w:t>
                  </w:r>
                  <w:r>
                    <w:rPr>
                      <w:rFonts w:hint="eastAsia"/>
                      <w:spacing w:val="-4"/>
                      <w:szCs w:val="21"/>
                    </w:rPr>
                    <w:t>m</w:t>
                  </w:r>
                  <w:r>
                    <w:rPr>
                      <w:spacing w:val="-4"/>
                      <w:szCs w:val="21"/>
                      <w:vertAlign w:val="superscript"/>
                    </w:rPr>
                    <w:t>2</w:t>
                  </w:r>
                </w:p>
              </w:tc>
            </w:tr>
          </w:tbl>
          <w:p w14:paraId="10E93258">
            <w:pPr>
              <w:pStyle w:val="61"/>
              <w:rPr>
                <w:rFonts w:hAnsi="宋体" w:eastAsia="宋体"/>
                <w:sz w:val="24"/>
              </w:rPr>
            </w:pPr>
            <w:r>
              <w:rPr>
                <w:rFonts w:hAnsi="宋体" w:eastAsia="宋体"/>
                <w:sz w:val="24"/>
              </w:rPr>
              <w:t>表</w:t>
            </w:r>
            <w:r>
              <w:rPr>
                <w:rFonts w:hint="eastAsia" w:eastAsia="宋体"/>
                <w:sz w:val="24"/>
              </w:rPr>
              <w:t xml:space="preserve">7     </w:t>
            </w:r>
            <w:r>
              <w:rPr>
                <w:rFonts w:hAnsi="宋体" w:eastAsia="宋体"/>
                <w:sz w:val="24"/>
              </w:rPr>
              <w:t>项目</w:t>
            </w:r>
            <w:r>
              <w:rPr>
                <w:rFonts w:hint="eastAsia" w:hAnsi="宋体" w:eastAsia="宋体"/>
                <w:sz w:val="24"/>
              </w:rPr>
              <w:t>工程</w:t>
            </w:r>
            <w:r>
              <w:rPr>
                <w:rFonts w:hAnsi="宋体" w:eastAsia="宋体"/>
                <w:sz w:val="24"/>
              </w:rPr>
              <w:t>内容一览表</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0" w:type="dxa"/>
                <w:bottom w:w="28" w:type="dxa"/>
                <w:right w:w="0" w:type="dxa"/>
              </w:tblCellMar>
            </w:tblPr>
            <w:tblGrid>
              <w:gridCol w:w="669"/>
              <w:gridCol w:w="1030"/>
              <w:gridCol w:w="5954"/>
              <w:gridCol w:w="946"/>
            </w:tblGrid>
            <w:tr w14:paraId="3BD58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0" w:type="dxa"/>
                  <w:bottom w:w="28" w:type="dxa"/>
                  <w:right w:w="0" w:type="dxa"/>
                </w:tblCellMar>
              </w:tblPrEx>
              <w:trPr>
                <w:trHeight w:val="340" w:hRule="atLeast"/>
              </w:trPr>
              <w:tc>
                <w:tcPr>
                  <w:tcW w:w="389" w:type="pct"/>
                  <w:tcBorders>
                    <w:top w:val="single" w:color="auto" w:sz="4" w:space="0"/>
                    <w:left w:val="single" w:color="auto" w:sz="4" w:space="0"/>
                    <w:bottom w:val="single" w:color="auto" w:sz="4" w:space="0"/>
                    <w:right w:val="single" w:color="auto" w:sz="4" w:space="0"/>
                  </w:tcBorders>
                  <w:vAlign w:val="center"/>
                </w:tcPr>
                <w:p w14:paraId="22BF1162">
                  <w:pPr>
                    <w:jc w:val="center"/>
                    <w:rPr>
                      <w:bCs/>
                      <w:szCs w:val="21"/>
                    </w:rPr>
                  </w:pPr>
                  <w:r>
                    <w:rPr>
                      <w:szCs w:val="21"/>
                    </w:rPr>
                    <w:t>类别</w:t>
                  </w:r>
                </w:p>
              </w:tc>
              <w:tc>
                <w:tcPr>
                  <w:tcW w:w="599" w:type="pct"/>
                  <w:tcBorders>
                    <w:top w:val="single" w:color="auto" w:sz="4" w:space="0"/>
                    <w:left w:val="single" w:color="auto" w:sz="4" w:space="0"/>
                    <w:bottom w:val="single" w:color="auto" w:sz="4" w:space="0"/>
                    <w:right w:val="single" w:color="auto" w:sz="4" w:space="0"/>
                  </w:tcBorders>
                  <w:vAlign w:val="center"/>
                </w:tcPr>
                <w:p w14:paraId="50DD4A80">
                  <w:pPr>
                    <w:jc w:val="center"/>
                    <w:rPr>
                      <w:bCs/>
                      <w:szCs w:val="21"/>
                    </w:rPr>
                  </w:pPr>
                  <w:r>
                    <w:rPr>
                      <w:szCs w:val="21"/>
                    </w:rPr>
                    <w:t>单项工程</w:t>
                  </w:r>
                </w:p>
              </w:tc>
              <w:tc>
                <w:tcPr>
                  <w:tcW w:w="3462" w:type="pct"/>
                  <w:tcBorders>
                    <w:top w:val="single" w:color="auto" w:sz="4" w:space="0"/>
                    <w:left w:val="single" w:color="auto" w:sz="4" w:space="0"/>
                    <w:bottom w:val="single" w:color="auto" w:sz="4" w:space="0"/>
                    <w:right w:val="single" w:color="auto" w:sz="4" w:space="0"/>
                  </w:tcBorders>
                  <w:vAlign w:val="center"/>
                </w:tcPr>
                <w:p w14:paraId="4EAAEB2B">
                  <w:pPr>
                    <w:jc w:val="center"/>
                    <w:rPr>
                      <w:bCs/>
                      <w:szCs w:val="21"/>
                    </w:rPr>
                  </w:pPr>
                  <w:r>
                    <w:rPr>
                      <w:szCs w:val="21"/>
                    </w:rPr>
                    <w:t>工程内容</w:t>
                  </w:r>
                </w:p>
              </w:tc>
              <w:tc>
                <w:tcPr>
                  <w:tcW w:w="550" w:type="pct"/>
                  <w:tcBorders>
                    <w:top w:val="single" w:color="auto" w:sz="4" w:space="0"/>
                    <w:left w:val="single" w:color="auto" w:sz="4" w:space="0"/>
                    <w:bottom w:val="single" w:color="auto" w:sz="4" w:space="0"/>
                    <w:right w:val="single" w:color="auto" w:sz="4" w:space="0"/>
                  </w:tcBorders>
                  <w:vAlign w:val="center"/>
                </w:tcPr>
                <w:p w14:paraId="5EC6075B">
                  <w:pPr>
                    <w:jc w:val="center"/>
                    <w:rPr>
                      <w:bCs/>
                      <w:szCs w:val="21"/>
                    </w:rPr>
                  </w:pPr>
                  <w:r>
                    <w:rPr>
                      <w:szCs w:val="21"/>
                    </w:rPr>
                    <w:t>备注</w:t>
                  </w:r>
                </w:p>
              </w:tc>
            </w:tr>
            <w:tr w14:paraId="154A0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0" w:type="dxa"/>
                  <w:bottom w:w="28" w:type="dxa"/>
                  <w:right w:w="0" w:type="dxa"/>
                </w:tblCellMar>
              </w:tblPrEx>
              <w:trPr>
                <w:trHeight w:val="340" w:hRule="atLeast"/>
              </w:trPr>
              <w:tc>
                <w:tcPr>
                  <w:tcW w:w="389" w:type="pct"/>
                  <w:tcBorders>
                    <w:top w:val="single" w:color="auto" w:sz="4" w:space="0"/>
                    <w:left w:val="single" w:color="auto" w:sz="4" w:space="0"/>
                    <w:right w:val="single" w:color="auto" w:sz="4" w:space="0"/>
                  </w:tcBorders>
                  <w:vAlign w:val="center"/>
                </w:tcPr>
                <w:p w14:paraId="58A86426">
                  <w:pPr>
                    <w:jc w:val="center"/>
                    <w:rPr>
                      <w:szCs w:val="21"/>
                    </w:rPr>
                  </w:pPr>
                  <w:r>
                    <w:rPr>
                      <w:szCs w:val="21"/>
                    </w:rPr>
                    <w:t>主体</w:t>
                  </w:r>
                </w:p>
                <w:p w14:paraId="1E7F613A">
                  <w:pPr>
                    <w:jc w:val="center"/>
                    <w:rPr>
                      <w:szCs w:val="21"/>
                    </w:rPr>
                  </w:pPr>
                  <w:r>
                    <w:rPr>
                      <w:szCs w:val="21"/>
                    </w:rPr>
                    <w:t>工程</w:t>
                  </w:r>
                </w:p>
              </w:tc>
              <w:tc>
                <w:tcPr>
                  <w:tcW w:w="599" w:type="pct"/>
                  <w:tcBorders>
                    <w:top w:val="single" w:color="auto" w:sz="4" w:space="0"/>
                    <w:left w:val="single" w:color="auto" w:sz="4" w:space="0"/>
                    <w:bottom w:val="single" w:color="auto" w:sz="4" w:space="0"/>
                    <w:right w:val="single" w:color="auto" w:sz="4" w:space="0"/>
                  </w:tcBorders>
                  <w:vAlign w:val="center"/>
                </w:tcPr>
                <w:p w14:paraId="59BFC9AA">
                  <w:pPr>
                    <w:jc w:val="center"/>
                    <w:rPr>
                      <w:spacing w:val="-6"/>
                      <w:szCs w:val="21"/>
                    </w:rPr>
                  </w:pPr>
                  <w:r>
                    <w:rPr>
                      <w:rFonts w:hint="eastAsia"/>
                      <w:spacing w:val="-6"/>
                      <w:szCs w:val="21"/>
                    </w:rPr>
                    <w:t>生产车间</w:t>
                  </w:r>
                </w:p>
              </w:tc>
              <w:tc>
                <w:tcPr>
                  <w:tcW w:w="3462" w:type="pct"/>
                  <w:tcBorders>
                    <w:top w:val="single" w:color="auto" w:sz="4" w:space="0"/>
                    <w:left w:val="single" w:color="auto" w:sz="4" w:space="0"/>
                    <w:bottom w:val="single" w:color="auto" w:sz="4" w:space="0"/>
                    <w:right w:val="single" w:color="auto" w:sz="4" w:space="0"/>
                  </w:tcBorders>
                  <w:vAlign w:val="center"/>
                </w:tcPr>
                <w:p w14:paraId="4ADAEF4A">
                  <w:pPr>
                    <w:autoSpaceDE w:val="0"/>
                    <w:autoSpaceDN w:val="0"/>
                    <w:adjustRightInd w:val="0"/>
                    <w:jc w:val="left"/>
                    <w:rPr>
                      <w:kern w:val="0"/>
                      <w:szCs w:val="21"/>
                    </w:rPr>
                  </w:pPr>
                  <w:r>
                    <w:rPr>
                      <w:rFonts w:hint="eastAsia"/>
                      <w:kern w:val="21"/>
                      <w:szCs w:val="21"/>
                    </w:rPr>
                    <w:t>占地面积为</w:t>
                  </w:r>
                  <w:r>
                    <w:rPr>
                      <w:kern w:val="21"/>
                      <w:szCs w:val="21"/>
                    </w:rPr>
                    <w:t>45</w:t>
                  </w:r>
                  <w:r>
                    <w:rPr>
                      <w:rFonts w:hint="eastAsia"/>
                      <w:kern w:val="21"/>
                      <w:szCs w:val="21"/>
                    </w:rPr>
                    <w:t>00m</w:t>
                  </w:r>
                  <w:r>
                    <w:rPr>
                      <w:rFonts w:hint="eastAsia"/>
                      <w:kern w:val="21"/>
                      <w:szCs w:val="21"/>
                      <w:vertAlign w:val="superscript"/>
                    </w:rPr>
                    <w:t>2</w:t>
                  </w:r>
                  <w:r>
                    <w:rPr>
                      <w:rFonts w:hint="eastAsia"/>
                      <w:kern w:val="21"/>
                      <w:szCs w:val="21"/>
                    </w:rPr>
                    <w:t>，高9.6m，</w:t>
                  </w:r>
                  <w:r>
                    <w:rPr>
                      <w:rFonts w:hint="eastAsia"/>
                      <w:bCs/>
                      <w:szCs w:val="21"/>
                    </w:rPr>
                    <w:t>全密闭</w:t>
                  </w:r>
                  <w:r>
                    <w:rPr>
                      <w:rFonts w:hint="eastAsia"/>
                      <w:kern w:val="21"/>
                      <w:szCs w:val="21"/>
                    </w:rPr>
                    <w:t>钢结构，建设牙刷丝生产线、</w:t>
                  </w:r>
                  <w:r>
                    <w:rPr>
                      <w:kern w:val="21"/>
                      <w:szCs w:val="21"/>
                    </w:rPr>
                    <w:t>原料暂存间、产品暂存间、办公区</w:t>
                  </w:r>
                  <w:r>
                    <w:rPr>
                      <w:rFonts w:hint="eastAsia"/>
                      <w:kern w:val="0"/>
                      <w:szCs w:val="21"/>
                    </w:rPr>
                    <w:t>等</w:t>
                  </w:r>
                  <w:r>
                    <w:rPr>
                      <w:kern w:val="0"/>
                      <w:szCs w:val="21"/>
                    </w:rPr>
                    <w:t>区域</w:t>
                  </w:r>
                </w:p>
              </w:tc>
              <w:tc>
                <w:tcPr>
                  <w:tcW w:w="550" w:type="pct"/>
                  <w:tcBorders>
                    <w:top w:val="single" w:color="auto" w:sz="4" w:space="0"/>
                    <w:left w:val="single" w:color="auto" w:sz="4" w:space="0"/>
                    <w:right w:val="single" w:color="auto" w:sz="4" w:space="0"/>
                  </w:tcBorders>
                  <w:vAlign w:val="center"/>
                </w:tcPr>
                <w:p w14:paraId="793185E4">
                  <w:pPr>
                    <w:jc w:val="center"/>
                    <w:rPr>
                      <w:szCs w:val="21"/>
                    </w:rPr>
                  </w:pPr>
                  <w:r>
                    <w:rPr>
                      <w:rFonts w:hint="eastAsia"/>
                      <w:szCs w:val="21"/>
                    </w:rPr>
                    <w:t>新建</w:t>
                  </w:r>
                </w:p>
              </w:tc>
            </w:tr>
            <w:tr w14:paraId="4D44B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0" w:type="dxa"/>
                  <w:bottom w:w="28" w:type="dxa"/>
                  <w:right w:w="0" w:type="dxa"/>
                </w:tblCellMar>
              </w:tblPrEx>
              <w:trPr>
                <w:trHeight w:val="340" w:hRule="atLeast"/>
              </w:trPr>
              <w:tc>
                <w:tcPr>
                  <w:tcW w:w="389" w:type="pct"/>
                  <w:tcBorders>
                    <w:top w:val="single" w:color="auto" w:sz="4" w:space="0"/>
                    <w:left w:val="single" w:color="auto" w:sz="4" w:space="0"/>
                    <w:right w:val="single" w:color="auto" w:sz="4" w:space="0"/>
                  </w:tcBorders>
                  <w:vAlign w:val="center"/>
                </w:tcPr>
                <w:p w14:paraId="553D10BF">
                  <w:pPr>
                    <w:jc w:val="center"/>
                    <w:rPr>
                      <w:szCs w:val="21"/>
                    </w:rPr>
                  </w:pPr>
                  <w:r>
                    <w:rPr>
                      <w:szCs w:val="21"/>
                    </w:rPr>
                    <w:t>辅助</w:t>
                  </w:r>
                </w:p>
                <w:p w14:paraId="7C30E1CD">
                  <w:pPr>
                    <w:jc w:val="center"/>
                    <w:rPr>
                      <w:szCs w:val="21"/>
                    </w:rPr>
                  </w:pPr>
                  <w:r>
                    <w:rPr>
                      <w:szCs w:val="21"/>
                    </w:rPr>
                    <w:t>工程</w:t>
                  </w:r>
                </w:p>
              </w:tc>
              <w:tc>
                <w:tcPr>
                  <w:tcW w:w="599" w:type="pct"/>
                  <w:tcBorders>
                    <w:top w:val="single" w:color="auto" w:sz="4" w:space="0"/>
                    <w:left w:val="single" w:color="auto" w:sz="4" w:space="0"/>
                    <w:bottom w:val="single" w:color="auto" w:sz="4" w:space="0"/>
                    <w:right w:val="single" w:color="auto" w:sz="4" w:space="0"/>
                  </w:tcBorders>
                  <w:vAlign w:val="center"/>
                </w:tcPr>
                <w:p w14:paraId="227A8840">
                  <w:pPr>
                    <w:jc w:val="center"/>
                    <w:rPr>
                      <w:bCs/>
                      <w:szCs w:val="21"/>
                    </w:rPr>
                  </w:pPr>
                  <w:r>
                    <w:rPr>
                      <w:rFonts w:hint="eastAsia"/>
                      <w:bCs/>
                      <w:szCs w:val="21"/>
                    </w:rPr>
                    <w:t>办公区</w:t>
                  </w:r>
                </w:p>
              </w:tc>
              <w:tc>
                <w:tcPr>
                  <w:tcW w:w="3462" w:type="pct"/>
                  <w:tcBorders>
                    <w:top w:val="single" w:color="auto" w:sz="4" w:space="0"/>
                    <w:left w:val="single" w:color="auto" w:sz="4" w:space="0"/>
                    <w:bottom w:val="single" w:color="auto" w:sz="4" w:space="0"/>
                    <w:right w:val="single" w:color="auto" w:sz="4" w:space="0"/>
                  </w:tcBorders>
                  <w:vAlign w:val="center"/>
                </w:tcPr>
                <w:p w14:paraId="22524632">
                  <w:pPr>
                    <w:autoSpaceDE w:val="0"/>
                    <w:autoSpaceDN w:val="0"/>
                    <w:adjustRightInd w:val="0"/>
                    <w:jc w:val="left"/>
                    <w:rPr>
                      <w:kern w:val="0"/>
                      <w:szCs w:val="21"/>
                    </w:rPr>
                  </w:pPr>
                  <w:r>
                    <w:rPr>
                      <w:rFonts w:ascii="宋体" w:cs="宋体"/>
                      <w:kern w:val="0"/>
                      <w:szCs w:val="21"/>
                    </w:rPr>
                    <w:t>占地面积约</w:t>
                  </w:r>
                  <w:r>
                    <w:rPr>
                      <w:kern w:val="0"/>
                      <w:szCs w:val="21"/>
                    </w:rPr>
                    <w:t>9</w:t>
                  </w:r>
                  <w:r>
                    <w:rPr>
                      <w:rFonts w:hint="eastAsia"/>
                      <w:kern w:val="0"/>
                      <w:szCs w:val="21"/>
                    </w:rPr>
                    <w:t>0</w:t>
                  </w:r>
                  <w:r>
                    <w:rPr>
                      <w:kern w:val="0"/>
                      <w:szCs w:val="21"/>
                    </w:rPr>
                    <w:t>m</w:t>
                  </w:r>
                  <w:r>
                    <w:rPr>
                      <w:kern w:val="0"/>
                      <w:szCs w:val="21"/>
                      <w:vertAlign w:val="superscript"/>
                    </w:rPr>
                    <w:t>2</w:t>
                  </w:r>
                  <w:r>
                    <w:rPr>
                      <w:kern w:val="0"/>
                      <w:szCs w:val="21"/>
                    </w:rPr>
                    <w:t>，位于生产车间内，</w:t>
                  </w:r>
                  <w:r>
                    <w:rPr>
                      <w:rFonts w:hint="eastAsia"/>
                      <w:kern w:val="0"/>
                      <w:szCs w:val="21"/>
                    </w:rPr>
                    <w:t>主要</w:t>
                  </w:r>
                  <w:r>
                    <w:rPr>
                      <w:kern w:val="0"/>
                      <w:szCs w:val="21"/>
                    </w:rPr>
                    <w:t>用于职工办公</w:t>
                  </w:r>
                </w:p>
              </w:tc>
              <w:tc>
                <w:tcPr>
                  <w:tcW w:w="550" w:type="pct"/>
                  <w:tcBorders>
                    <w:left w:val="single" w:color="auto" w:sz="4" w:space="0"/>
                    <w:right w:val="single" w:color="auto" w:sz="4" w:space="0"/>
                  </w:tcBorders>
                  <w:vAlign w:val="center"/>
                </w:tcPr>
                <w:p w14:paraId="106941D5">
                  <w:pPr>
                    <w:jc w:val="center"/>
                    <w:rPr>
                      <w:szCs w:val="21"/>
                    </w:rPr>
                  </w:pPr>
                  <w:r>
                    <w:rPr>
                      <w:szCs w:val="21"/>
                    </w:rPr>
                    <w:t>新建</w:t>
                  </w:r>
                </w:p>
              </w:tc>
            </w:tr>
            <w:tr w14:paraId="4C306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0" w:type="dxa"/>
                  <w:bottom w:w="28" w:type="dxa"/>
                  <w:right w:w="0" w:type="dxa"/>
                </w:tblCellMar>
              </w:tblPrEx>
              <w:trPr>
                <w:trHeight w:val="340" w:hRule="atLeast"/>
              </w:trPr>
              <w:tc>
                <w:tcPr>
                  <w:tcW w:w="389" w:type="pct"/>
                  <w:vMerge w:val="restart"/>
                  <w:tcBorders>
                    <w:top w:val="single" w:color="auto" w:sz="4" w:space="0"/>
                    <w:left w:val="single" w:color="auto" w:sz="4" w:space="0"/>
                    <w:right w:val="single" w:color="auto" w:sz="4" w:space="0"/>
                  </w:tcBorders>
                  <w:vAlign w:val="center"/>
                </w:tcPr>
                <w:p w14:paraId="3DD45403">
                  <w:pPr>
                    <w:jc w:val="center"/>
                    <w:rPr>
                      <w:szCs w:val="21"/>
                    </w:rPr>
                  </w:pPr>
                  <w:r>
                    <w:rPr>
                      <w:szCs w:val="21"/>
                    </w:rPr>
                    <w:t>公用</w:t>
                  </w:r>
                </w:p>
                <w:p w14:paraId="02CDF7C7">
                  <w:pPr>
                    <w:jc w:val="center"/>
                    <w:rPr>
                      <w:bCs/>
                      <w:szCs w:val="21"/>
                    </w:rPr>
                  </w:pPr>
                  <w:r>
                    <w:rPr>
                      <w:szCs w:val="21"/>
                    </w:rPr>
                    <w:t>工程</w:t>
                  </w:r>
                </w:p>
              </w:tc>
              <w:tc>
                <w:tcPr>
                  <w:tcW w:w="599" w:type="pct"/>
                  <w:tcBorders>
                    <w:top w:val="single" w:color="auto" w:sz="4" w:space="0"/>
                    <w:left w:val="single" w:color="auto" w:sz="4" w:space="0"/>
                    <w:bottom w:val="single" w:color="auto" w:sz="4" w:space="0"/>
                    <w:right w:val="single" w:color="auto" w:sz="4" w:space="0"/>
                  </w:tcBorders>
                  <w:vAlign w:val="center"/>
                </w:tcPr>
                <w:p w14:paraId="6DA99327">
                  <w:pPr>
                    <w:jc w:val="center"/>
                    <w:rPr>
                      <w:bCs/>
                      <w:szCs w:val="21"/>
                    </w:rPr>
                  </w:pPr>
                  <w:r>
                    <w:rPr>
                      <w:szCs w:val="21"/>
                    </w:rPr>
                    <w:t>供电</w:t>
                  </w:r>
                </w:p>
              </w:tc>
              <w:tc>
                <w:tcPr>
                  <w:tcW w:w="3462" w:type="pct"/>
                  <w:tcBorders>
                    <w:top w:val="single" w:color="auto" w:sz="4" w:space="0"/>
                    <w:left w:val="single" w:color="auto" w:sz="4" w:space="0"/>
                    <w:bottom w:val="single" w:color="auto" w:sz="4" w:space="0"/>
                    <w:right w:val="single" w:color="auto" w:sz="4" w:space="0"/>
                  </w:tcBorders>
                  <w:vAlign w:val="center"/>
                </w:tcPr>
                <w:p w14:paraId="11CC450F">
                  <w:pPr>
                    <w:jc w:val="left"/>
                    <w:rPr>
                      <w:bCs/>
                      <w:kern w:val="21"/>
                      <w:szCs w:val="21"/>
                    </w:rPr>
                  </w:pPr>
                  <w:r>
                    <w:rPr>
                      <w:kern w:val="21"/>
                      <w:szCs w:val="21"/>
                    </w:rPr>
                    <w:t>由</w:t>
                  </w:r>
                  <w:r>
                    <w:rPr>
                      <w:rFonts w:hint="eastAsia"/>
                      <w:kern w:val="21"/>
                      <w:szCs w:val="21"/>
                    </w:rPr>
                    <w:t>北关镇</w:t>
                  </w:r>
                  <w:r>
                    <w:rPr>
                      <w:kern w:val="21"/>
                      <w:szCs w:val="21"/>
                    </w:rPr>
                    <w:t>电网供给</w:t>
                  </w:r>
                </w:p>
              </w:tc>
              <w:tc>
                <w:tcPr>
                  <w:tcW w:w="550" w:type="pct"/>
                  <w:tcBorders>
                    <w:top w:val="single" w:color="auto" w:sz="4" w:space="0"/>
                    <w:left w:val="single" w:color="auto" w:sz="4" w:space="0"/>
                    <w:bottom w:val="single" w:color="auto" w:sz="4" w:space="0"/>
                    <w:right w:val="single" w:color="auto" w:sz="4" w:space="0"/>
                  </w:tcBorders>
                  <w:vAlign w:val="center"/>
                </w:tcPr>
                <w:p w14:paraId="4187072A">
                  <w:pPr>
                    <w:jc w:val="center"/>
                    <w:rPr>
                      <w:bCs/>
                      <w:szCs w:val="21"/>
                    </w:rPr>
                  </w:pPr>
                  <w:r>
                    <w:rPr>
                      <w:rFonts w:hint="eastAsia"/>
                      <w:bCs/>
                      <w:szCs w:val="21"/>
                    </w:rPr>
                    <w:t>/</w:t>
                  </w:r>
                </w:p>
              </w:tc>
            </w:tr>
            <w:tr w14:paraId="0E82B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0" w:type="dxa"/>
                  <w:bottom w:w="28" w:type="dxa"/>
                  <w:right w:w="0" w:type="dxa"/>
                </w:tblCellMar>
              </w:tblPrEx>
              <w:trPr>
                <w:trHeight w:val="340" w:hRule="atLeast"/>
              </w:trPr>
              <w:tc>
                <w:tcPr>
                  <w:tcW w:w="389" w:type="pct"/>
                  <w:vMerge w:val="continue"/>
                  <w:tcBorders>
                    <w:left w:val="single" w:color="auto" w:sz="4" w:space="0"/>
                    <w:right w:val="single" w:color="auto" w:sz="4" w:space="0"/>
                  </w:tcBorders>
                  <w:vAlign w:val="center"/>
                </w:tcPr>
                <w:p w14:paraId="1568D987">
                  <w:pPr>
                    <w:widowControl/>
                    <w:jc w:val="left"/>
                    <w:rPr>
                      <w:bCs/>
                      <w:szCs w:val="21"/>
                    </w:rPr>
                  </w:pPr>
                </w:p>
              </w:tc>
              <w:tc>
                <w:tcPr>
                  <w:tcW w:w="599" w:type="pct"/>
                  <w:tcBorders>
                    <w:top w:val="single" w:color="auto" w:sz="4" w:space="0"/>
                    <w:left w:val="single" w:color="auto" w:sz="4" w:space="0"/>
                    <w:bottom w:val="single" w:color="auto" w:sz="4" w:space="0"/>
                    <w:right w:val="single" w:color="auto" w:sz="4" w:space="0"/>
                  </w:tcBorders>
                  <w:vAlign w:val="center"/>
                </w:tcPr>
                <w:p w14:paraId="3BE75CD3">
                  <w:pPr>
                    <w:jc w:val="center"/>
                    <w:rPr>
                      <w:bCs/>
                      <w:szCs w:val="21"/>
                    </w:rPr>
                  </w:pPr>
                  <w:r>
                    <w:rPr>
                      <w:szCs w:val="21"/>
                    </w:rPr>
                    <w:t>供水</w:t>
                  </w:r>
                </w:p>
              </w:tc>
              <w:tc>
                <w:tcPr>
                  <w:tcW w:w="3462" w:type="pct"/>
                  <w:tcBorders>
                    <w:top w:val="single" w:color="auto" w:sz="4" w:space="0"/>
                    <w:left w:val="single" w:color="auto" w:sz="4" w:space="0"/>
                    <w:bottom w:val="single" w:color="auto" w:sz="4" w:space="0"/>
                    <w:right w:val="single" w:color="auto" w:sz="4" w:space="0"/>
                  </w:tcBorders>
                  <w:vAlign w:val="center"/>
                </w:tcPr>
                <w:p w14:paraId="1736F8D6">
                  <w:pPr>
                    <w:jc w:val="left"/>
                    <w:rPr>
                      <w:bCs/>
                      <w:kern w:val="21"/>
                      <w:szCs w:val="21"/>
                    </w:rPr>
                  </w:pPr>
                  <w:r>
                    <w:rPr>
                      <w:kern w:val="21"/>
                      <w:szCs w:val="21"/>
                    </w:rPr>
                    <w:t>由</w:t>
                  </w:r>
                  <w:r>
                    <w:rPr>
                      <w:rFonts w:hint="eastAsia"/>
                      <w:kern w:val="21"/>
                      <w:szCs w:val="21"/>
                    </w:rPr>
                    <w:t>北关镇自来水管网</w:t>
                  </w:r>
                  <w:r>
                    <w:rPr>
                      <w:kern w:val="21"/>
                      <w:szCs w:val="21"/>
                    </w:rPr>
                    <w:t>供给</w:t>
                  </w:r>
                </w:p>
              </w:tc>
              <w:tc>
                <w:tcPr>
                  <w:tcW w:w="550" w:type="pct"/>
                  <w:tcBorders>
                    <w:top w:val="single" w:color="auto" w:sz="4" w:space="0"/>
                    <w:left w:val="single" w:color="auto" w:sz="4" w:space="0"/>
                    <w:bottom w:val="single" w:color="auto" w:sz="4" w:space="0"/>
                    <w:right w:val="single" w:color="auto" w:sz="4" w:space="0"/>
                  </w:tcBorders>
                  <w:vAlign w:val="center"/>
                </w:tcPr>
                <w:p w14:paraId="5BB61A13">
                  <w:pPr>
                    <w:jc w:val="center"/>
                    <w:rPr>
                      <w:bCs/>
                      <w:szCs w:val="21"/>
                    </w:rPr>
                  </w:pPr>
                  <w:r>
                    <w:rPr>
                      <w:rFonts w:hint="eastAsia"/>
                      <w:bCs/>
                      <w:szCs w:val="21"/>
                    </w:rPr>
                    <w:t>/</w:t>
                  </w:r>
                </w:p>
              </w:tc>
            </w:tr>
            <w:tr w14:paraId="0AC23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0" w:type="dxa"/>
                  <w:bottom w:w="28" w:type="dxa"/>
                  <w:right w:w="0" w:type="dxa"/>
                </w:tblCellMar>
              </w:tblPrEx>
              <w:trPr>
                <w:trHeight w:val="340" w:hRule="atLeast"/>
              </w:trPr>
              <w:tc>
                <w:tcPr>
                  <w:tcW w:w="389" w:type="pct"/>
                  <w:vMerge w:val="continue"/>
                  <w:tcBorders>
                    <w:left w:val="single" w:color="auto" w:sz="4" w:space="0"/>
                    <w:right w:val="single" w:color="auto" w:sz="4" w:space="0"/>
                  </w:tcBorders>
                  <w:vAlign w:val="center"/>
                </w:tcPr>
                <w:p w14:paraId="68EE5B03">
                  <w:pPr>
                    <w:widowControl/>
                    <w:jc w:val="left"/>
                    <w:rPr>
                      <w:bCs/>
                      <w:szCs w:val="21"/>
                    </w:rPr>
                  </w:pPr>
                </w:p>
              </w:tc>
              <w:tc>
                <w:tcPr>
                  <w:tcW w:w="599" w:type="pct"/>
                  <w:tcBorders>
                    <w:top w:val="single" w:color="auto" w:sz="4" w:space="0"/>
                    <w:left w:val="single" w:color="auto" w:sz="4" w:space="0"/>
                    <w:bottom w:val="single" w:color="auto" w:sz="4" w:space="0"/>
                    <w:right w:val="single" w:color="auto" w:sz="4" w:space="0"/>
                  </w:tcBorders>
                  <w:vAlign w:val="center"/>
                </w:tcPr>
                <w:p w14:paraId="44666633">
                  <w:pPr>
                    <w:jc w:val="center"/>
                    <w:rPr>
                      <w:szCs w:val="21"/>
                    </w:rPr>
                  </w:pPr>
                  <w:r>
                    <w:rPr>
                      <w:szCs w:val="21"/>
                    </w:rPr>
                    <w:t>供气</w:t>
                  </w:r>
                </w:p>
              </w:tc>
              <w:tc>
                <w:tcPr>
                  <w:tcW w:w="3462" w:type="pct"/>
                  <w:tcBorders>
                    <w:top w:val="single" w:color="auto" w:sz="4" w:space="0"/>
                    <w:left w:val="single" w:color="auto" w:sz="4" w:space="0"/>
                    <w:bottom w:val="single" w:color="auto" w:sz="4" w:space="0"/>
                    <w:right w:val="single" w:color="auto" w:sz="4" w:space="0"/>
                  </w:tcBorders>
                  <w:vAlign w:val="center"/>
                </w:tcPr>
                <w:p w14:paraId="2A8975A4">
                  <w:pPr>
                    <w:jc w:val="left"/>
                    <w:rPr>
                      <w:kern w:val="21"/>
                      <w:szCs w:val="21"/>
                    </w:rPr>
                  </w:pPr>
                  <w:r>
                    <w:rPr>
                      <w:kern w:val="21"/>
                      <w:szCs w:val="21"/>
                    </w:rPr>
                    <w:t>由</w:t>
                  </w:r>
                  <w:r>
                    <w:rPr>
                      <w:rFonts w:hint="eastAsia"/>
                      <w:kern w:val="21"/>
                      <w:szCs w:val="21"/>
                    </w:rPr>
                    <w:t>北关镇</w:t>
                  </w:r>
                  <w:r>
                    <w:rPr>
                      <w:kern w:val="21"/>
                      <w:szCs w:val="21"/>
                    </w:rPr>
                    <w:t>天然气</w:t>
                  </w:r>
                  <w:r>
                    <w:rPr>
                      <w:rFonts w:hint="eastAsia"/>
                      <w:kern w:val="21"/>
                      <w:szCs w:val="21"/>
                    </w:rPr>
                    <w:t>管道</w:t>
                  </w:r>
                  <w:r>
                    <w:rPr>
                      <w:kern w:val="21"/>
                      <w:szCs w:val="21"/>
                    </w:rPr>
                    <w:t>供给</w:t>
                  </w:r>
                </w:p>
              </w:tc>
              <w:tc>
                <w:tcPr>
                  <w:tcW w:w="550" w:type="pct"/>
                  <w:tcBorders>
                    <w:top w:val="single" w:color="auto" w:sz="4" w:space="0"/>
                    <w:left w:val="single" w:color="auto" w:sz="4" w:space="0"/>
                    <w:bottom w:val="single" w:color="auto" w:sz="4" w:space="0"/>
                    <w:right w:val="single" w:color="auto" w:sz="4" w:space="0"/>
                  </w:tcBorders>
                  <w:vAlign w:val="center"/>
                </w:tcPr>
                <w:p w14:paraId="7976C6DE">
                  <w:pPr>
                    <w:jc w:val="center"/>
                    <w:rPr>
                      <w:bCs/>
                      <w:szCs w:val="21"/>
                    </w:rPr>
                  </w:pPr>
                  <w:r>
                    <w:rPr>
                      <w:rFonts w:hint="eastAsia"/>
                      <w:bCs/>
                      <w:szCs w:val="21"/>
                    </w:rPr>
                    <w:t>/</w:t>
                  </w:r>
                </w:p>
              </w:tc>
            </w:tr>
            <w:tr w14:paraId="7EA4D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0" w:type="dxa"/>
                  <w:bottom w:w="28" w:type="dxa"/>
                  <w:right w:w="0" w:type="dxa"/>
                </w:tblCellMar>
              </w:tblPrEx>
              <w:trPr>
                <w:trHeight w:val="340" w:hRule="atLeast"/>
              </w:trPr>
              <w:tc>
                <w:tcPr>
                  <w:tcW w:w="389" w:type="pct"/>
                  <w:vMerge w:val="restart"/>
                  <w:tcBorders>
                    <w:top w:val="single" w:color="auto" w:sz="4" w:space="0"/>
                    <w:left w:val="single" w:color="auto" w:sz="4" w:space="0"/>
                    <w:right w:val="single" w:color="auto" w:sz="4" w:space="0"/>
                  </w:tcBorders>
                  <w:vAlign w:val="center"/>
                </w:tcPr>
                <w:p w14:paraId="71EA497D">
                  <w:pPr>
                    <w:jc w:val="center"/>
                    <w:rPr>
                      <w:bCs/>
                      <w:szCs w:val="21"/>
                    </w:rPr>
                  </w:pPr>
                  <w:r>
                    <w:rPr>
                      <w:szCs w:val="21"/>
                    </w:rPr>
                    <w:t>环保</w:t>
                  </w:r>
                </w:p>
                <w:p w14:paraId="477C94D6">
                  <w:pPr>
                    <w:jc w:val="center"/>
                    <w:rPr>
                      <w:szCs w:val="21"/>
                      <w:highlight w:val="yellow"/>
                    </w:rPr>
                  </w:pPr>
                  <w:r>
                    <w:rPr>
                      <w:szCs w:val="21"/>
                    </w:rPr>
                    <w:t>工程</w:t>
                  </w:r>
                </w:p>
              </w:tc>
              <w:tc>
                <w:tcPr>
                  <w:tcW w:w="599" w:type="pct"/>
                  <w:tcBorders>
                    <w:top w:val="single" w:color="auto" w:sz="4" w:space="0"/>
                    <w:left w:val="single" w:color="auto" w:sz="4" w:space="0"/>
                    <w:right w:val="single" w:color="auto" w:sz="4" w:space="0"/>
                  </w:tcBorders>
                  <w:vAlign w:val="center"/>
                </w:tcPr>
                <w:p w14:paraId="4E38E978">
                  <w:pPr>
                    <w:jc w:val="center"/>
                    <w:rPr>
                      <w:szCs w:val="21"/>
                      <w:highlight w:val="yellow"/>
                    </w:rPr>
                  </w:pPr>
                  <w:r>
                    <w:rPr>
                      <w:szCs w:val="21"/>
                    </w:rPr>
                    <w:t>废气防治</w:t>
                  </w:r>
                </w:p>
              </w:tc>
              <w:tc>
                <w:tcPr>
                  <w:tcW w:w="3462" w:type="pct"/>
                  <w:tcBorders>
                    <w:top w:val="single" w:color="auto" w:sz="4" w:space="0"/>
                    <w:left w:val="single" w:color="auto" w:sz="4" w:space="0"/>
                    <w:bottom w:val="single" w:color="auto" w:sz="4" w:space="0"/>
                    <w:right w:val="single" w:color="auto" w:sz="4" w:space="0"/>
                  </w:tcBorders>
                  <w:vAlign w:val="center"/>
                </w:tcPr>
                <w:p w14:paraId="1F573ED0">
                  <w:pPr>
                    <w:jc w:val="left"/>
                    <w:rPr>
                      <w:rFonts w:hAnsiTheme="majorEastAsia" w:eastAsiaTheme="majorEastAsia"/>
                      <w:szCs w:val="21"/>
                    </w:rPr>
                  </w:pPr>
                  <w:r>
                    <w:rPr>
                      <w:rFonts w:hint="eastAsia"/>
                    </w:rPr>
                    <w:t>拉丝</w:t>
                  </w:r>
                  <w:r>
                    <w:t>废气</w:t>
                  </w:r>
                  <w:r>
                    <w:rPr>
                      <w:rFonts w:hint="eastAsia"/>
                    </w:rPr>
                    <w:t>：集气罩+UV光氧催化+二级活性炭吸附装置（TA00</w:t>
                  </w:r>
                  <w:r>
                    <w:t>1</w:t>
                  </w:r>
                  <w:r>
                    <w:rPr>
                      <w:rFonts w:hint="eastAsia"/>
                    </w:rPr>
                    <w:t>）+15m高排气筒（DA00</w:t>
                  </w:r>
                  <w:r>
                    <w:t>1</w:t>
                  </w:r>
                  <w:r>
                    <w:rPr>
                      <w:rFonts w:hint="eastAsia"/>
                    </w:rPr>
                    <w:t>）</w:t>
                  </w:r>
                </w:p>
              </w:tc>
              <w:tc>
                <w:tcPr>
                  <w:tcW w:w="550" w:type="pct"/>
                  <w:tcBorders>
                    <w:top w:val="single" w:color="auto" w:sz="4" w:space="0"/>
                    <w:left w:val="single" w:color="auto" w:sz="4" w:space="0"/>
                    <w:right w:val="single" w:color="auto" w:sz="4" w:space="0"/>
                  </w:tcBorders>
                  <w:vAlign w:val="center"/>
                </w:tcPr>
                <w:p w14:paraId="00622D58">
                  <w:pPr>
                    <w:jc w:val="center"/>
                    <w:rPr>
                      <w:szCs w:val="21"/>
                    </w:rPr>
                  </w:pPr>
                  <w:r>
                    <w:rPr>
                      <w:szCs w:val="21"/>
                    </w:rPr>
                    <w:t>新建</w:t>
                  </w:r>
                </w:p>
              </w:tc>
            </w:tr>
            <w:tr w14:paraId="60CCC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0" w:type="dxa"/>
                  <w:bottom w:w="28" w:type="dxa"/>
                  <w:right w:w="0" w:type="dxa"/>
                </w:tblCellMar>
              </w:tblPrEx>
              <w:trPr>
                <w:trHeight w:val="340" w:hRule="atLeast"/>
              </w:trPr>
              <w:tc>
                <w:tcPr>
                  <w:tcW w:w="389" w:type="pct"/>
                  <w:vMerge w:val="continue"/>
                  <w:tcBorders>
                    <w:left w:val="single" w:color="auto" w:sz="4" w:space="0"/>
                    <w:right w:val="single" w:color="auto" w:sz="4" w:space="0"/>
                  </w:tcBorders>
                  <w:vAlign w:val="center"/>
                </w:tcPr>
                <w:p w14:paraId="4182F5A2">
                  <w:pPr>
                    <w:jc w:val="center"/>
                    <w:rPr>
                      <w:bCs/>
                      <w:szCs w:val="21"/>
                    </w:rPr>
                  </w:pPr>
                </w:p>
              </w:tc>
              <w:tc>
                <w:tcPr>
                  <w:tcW w:w="599" w:type="pct"/>
                  <w:tcBorders>
                    <w:top w:val="single" w:color="auto" w:sz="4" w:space="0"/>
                    <w:left w:val="single" w:color="auto" w:sz="4" w:space="0"/>
                    <w:right w:val="single" w:color="auto" w:sz="4" w:space="0"/>
                  </w:tcBorders>
                  <w:vAlign w:val="center"/>
                </w:tcPr>
                <w:p w14:paraId="07D7F849">
                  <w:pPr>
                    <w:jc w:val="center"/>
                    <w:rPr>
                      <w:szCs w:val="21"/>
                      <w:highlight w:val="yellow"/>
                    </w:rPr>
                  </w:pPr>
                  <w:r>
                    <w:rPr>
                      <w:szCs w:val="21"/>
                    </w:rPr>
                    <w:t>废水处理</w:t>
                  </w:r>
                </w:p>
              </w:tc>
              <w:tc>
                <w:tcPr>
                  <w:tcW w:w="3462" w:type="pct"/>
                  <w:tcBorders>
                    <w:top w:val="single" w:color="auto" w:sz="4" w:space="0"/>
                    <w:left w:val="single" w:color="auto" w:sz="4" w:space="0"/>
                    <w:bottom w:val="single" w:color="auto" w:sz="4" w:space="0"/>
                    <w:right w:val="single" w:color="auto" w:sz="4" w:space="0"/>
                  </w:tcBorders>
                  <w:vAlign w:val="center"/>
                </w:tcPr>
                <w:p w14:paraId="1CEA2FF7">
                  <w:pPr>
                    <w:jc w:val="left"/>
                    <w:rPr>
                      <w:szCs w:val="21"/>
                    </w:rPr>
                  </w:pPr>
                  <w:r>
                    <w:rPr>
                      <w:rFonts w:hint="eastAsia"/>
                      <w:bCs/>
                      <w:szCs w:val="21"/>
                    </w:rPr>
                    <w:t>职工生活废水经厂区化粪池（</w:t>
                  </w:r>
                  <w:r>
                    <w:rPr>
                      <w:bCs/>
                      <w:szCs w:val="21"/>
                    </w:rPr>
                    <w:t>2</w:t>
                  </w:r>
                  <w:r>
                    <w:rPr>
                      <w:rFonts w:hint="eastAsia"/>
                      <w:bCs/>
                      <w:szCs w:val="21"/>
                    </w:rPr>
                    <w:t>0m</w:t>
                  </w:r>
                  <w:r>
                    <w:rPr>
                      <w:rFonts w:hint="eastAsia"/>
                      <w:bCs/>
                      <w:szCs w:val="21"/>
                      <w:vertAlign w:val="superscript"/>
                    </w:rPr>
                    <w:t>3</w:t>
                  </w:r>
                  <w:r>
                    <w:rPr>
                      <w:rFonts w:hint="eastAsia"/>
                      <w:bCs/>
                      <w:szCs w:val="21"/>
                    </w:rPr>
                    <w:t>）暂存后定期清掏外运肥田</w:t>
                  </w:r>
                  <w:r>
                    <w:rPr>
                      <w:rFonts w:hint="eastAsia"/>
                      <w:szCs w:val="21"/>
                    </w:rPr>
                    <w:t>，项目厂区设有水冲厕</w:t>
                  </w:r>
                </w:p>
              </w:tc>
              <w:tc>
                <w:tcPr>
                  <w:tcW w:w="550" w:type="pct"/>
                  <w:tcBorders>
                    <w:top w:val="single" w:color="auto" w:sz="4" w:space="0"/>
                    <w:left w:val="single" w:color="auto" w:sz="4" w:space="0"/>
                    <w:bottom w:val="single" w:color="auto" w:sz="4" w:space="0"/>
                    <w:right w:val="single" w:color="auto" w:sz="4" w:space="0"/>
                  </w:tcBorders>
                  <w:vAlign w:val="center"/>
                </w:tcPr>
                <w:p w14:paraId="3A9E75CD">
                  <w:pPr>
                    <w:jc w:val="center"/>
                    <w:rPr>
                      <w:szCs w:val="21"/>
                    </w:rPr>
                  </w:pPr>
                  <w:r>
                    <w:rPr>
                      <w:rFonts w:hint="eastAsia"/>
                      <w:szCs w:val="21"/>
                    </w:rPr>
                    <w:t>新建</w:t>
                  </w:r>
                </w:p>
              </w:tc>
            </w:tr>
            <w:tr w14:paraId="212AA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0" w:type="dxa"/>
                  <w:bottom w:w="28" w:type="dxa"/>
                  <w:right w:w="0" w:type="dxa"/>
                </w:tblCellMar>
              </w:tblPrEx>
              <w:trPr>
                <w:trHeight w:val="340" w:hRule="atLeast"/>
              </w:trPr>
              <w:tc>
                <w:tcPr>
                  <w:tcW w:w="389" w:type="pct"/>
                  <w:vMerge w:val="continue"/>
                  <w:tcBorders>
                    <w:left w:val="single" w:color="auto" w:sz="4" w:space="0"/>
                    <w:right w:val="single" w:color="auto" w:sz="4" w:space="0"/>
                  </w:tcBorders>
                  <w:vAlign w:val="center"/>
                </w:tcPr>
                <w:p w14:paraId="516CBBE1">
                  <w:pPr>
                    <w:widowControl/>
                    <w:jc w:val="left"/>
                    <w:rPr>
                      <w:bCs/>
                      <w:szCs w:val="21"/>
                    </w:rPr>
                  </w:pPr>
                </w:p>
              </w:tc>
              <w:tc>
                <w:tcPr>
                  <w:tcW w:w="599" w:type="pct"/>
                  <w:tcBorders>
                    <w:top w:val="single" w:color="auto" w:sz="4" w:space="0"/>
                    <w:left w:val="single" w:color="auto" w:sz="4" w:space="0"/>
                    <w:bottom w:val="single" w:color="auto" w:sz="4" w:space="0"/>
                    <w:right w:val="single" w:color="auto" w:sz="4" w:space="0"/>
                  </w:tcBorders>
                  <w:vAlign w:val="center"/>
                </w:tcPr>
                <w:p w14:paraId="67A15D6C">
                  <w:pPr>
                    <w:jc w:val="center"/>
                    <w:rPr>
                      <w:bCs/>
                      <w:szCs w:val="21"/>
                    </w:rPr>
                  </w:pPr>
                  <w:r>
                    <w:rPr>
                      <w:szCs w:val="21"/>
                    </w:rPr>
                    <w:t>噪声控制</w:t>
                  </w:r>
                </w:p>
              </w:tc>
              <w:tc>
                <w:tcPr>
                  <w:tcW w:w="3462" w:type="pct"/>
                  <w:tcBorders>
                    <w:top w:val="single" w:color="auto" w:sz="4" w:space="0"/>
                    <w:left w:val="single" w:color="auto" w:sz="4" w:space="0"/>
                    <w:bottom w:val="single" w:color="auto" w:sz="4" w:space="0"/>
                    <w:right w:val="single" w:color="auto" w:sz="4" w:space="0"/>
                  </w:tcBorders>
                  <w:vAlign w:val="center"/>
                </w:tcPr>
                <w:p w14:paraId="62F6AA96">
                  <w:pPr>
                    <w:pStyle w:val="66"/>
                    <w:adjustRightInd/>
                    <w:rPr>
                      <w:rFonts w:ascii="Times New Roman" w:cs="Times New Roman"/>
                      <w:color w:val="auto"/>
                      <w:kern w:val="21"/>
                      <w:sz w:val="21"/>
                      <w:szCs w:val="21"/>
                    </w:rPr>
                  </w:pPr>
                  <w:r>
                    <w:rPr>
                      <w:rFonts w:ascii="Times New Roman" w:cs="Times New Roman"/>
                      <w:color w:val="auto"/>
                      <w:kern w:val="21"/>
                      <w:sz w:val="21"/>
                      <w:szCs w:val="21"/>
                    </w:rPr>
                    <w:t>选用低噪声设备，</w:t>
                  </w:r>
                  <w:r>
                    <w:rPr>
                      <w:rFonts w:hint="eastAsia" w:ascii="Times New Roman" w:cs="Times New Roman"/>
                      <w:color w:val="auto"/>
                      <w:kern w:val="21"/>
                      <w:sz w:val="21"/>
                      <w:szCs w:val="21"/>
                    </w:rPr>
                    <w:t>生产区域设置基础减振、消声器等</w:t>
                  </w:r>
                </w:p>
              </w:tc>
              <w:tc>
                <w:tcPr>
                  <w:tcW w:w="550" w:type="pct"/>
                  <w:tcBorders>
                    <w:top w:val="single" w:color="auto" w:sz="4" w:space="0"/>
                    <w:left w:val="single" w:color="auto" w:sz="4" w:space="0"/>
                    <w:bottom w:val="single" w:color="auto" w:sz="4" w:space="0"/>
                    <w:right w:val="single" w:color="auto" w:sz="4" w:space="0"/>
                  </w:tcBorders>
                  <w:vAlign w:val="center"/>
                </w:tcPr>
                <w:p w14:paraId="24904213">
                  <w:pPr>
                    <w:pStyle w:val="66"/>
                    <w:adjustRightInd/>
                    <w:jc w:val="center"/>
                    <w:rPr>
                      <w:rFonts w:ascii="Times New Roman" w:cs="Times New Roman"/>
                      <w:color w:val="auto"/>
                      <w:kern w:val="2"/>
                      <w:sz w:val="21"/>
                      <w:szCs w:val="21"/>
                    </w:rPr>
                  </w:pPr>
                  <w:r>
                    <w:rPr>
                      <w:rFonts w:ascii="Times New Roman" w:cs="Times New Roman"/>
                      <w:color w:val="auto"/>
                      <w:kern w:val="2"/>
                      <w:sz w:val="21"/>
                      <w:szCs w:val="21"/>
                    </w:rPr>
                    <w:t>新建</w:t>
                  </w:r>
                </w:p>
              </w:tc>
            </w:tr>
            <w:tr w14:paraId="04FC2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0" w:type="dxa"/>
                  <w:bottom w:w="28" w:type="dxa"/>
                  <w:right w:w="0" w:type="dxa"/>
                </w:tblCellMar>
              </w:tblPrEx>
              <w:trPr>
                <w:trHeight w:val="340" w:hRule="atLeast"/>
              </w:trPr>
              <w:tc>
                <w:tcPr>
                  <w:tcW w:w="389" w:type="pct"/>
                  <w:vMerge w:val="continue"/>
                  <w:tcBorders>
                    <w:left w:val="single" w:color="auto" w:sz="4" w:space="0"/>
                    <w:right w:val="single" w:color="auto" w:sz="4" w:space="0"/>
                  </w:tcBorders>
                  <w:vAlign w:val="center"/>
                </w:tcPr>
                <w:p w14:paraId="05A5ADE8">
                  <w:pPr>
                    <w:widowControl/>
                    <w:jc w:val="left"/>
                    <w:rPr>
                      <w:bCs/>
                      <w:szCs w:val="21"/>
                    </w:rPr>
                  </w:pPr>
                </w:p>
              </w:tc>
              <w:tc>
                <w:tcPr>
                  <w:tcW w:w="599" w:type="pct"/>
                  <w:tcBorders>
                    <w:top w:val="single" w:color="auto" w:sz="4" w:space="0"/>
                    <w:left w:val="single" w:color="auto" w:sz="4" w:space="0"/>
                    <w:right w:val="single" w:color="auto" w:sz="4" w:space="0"/>
                  </w:tcBorders>
                  <w:vAlign w:val="center"/>
                </w:tcPr>
                <w:p w14:paraId="5C9B290E">
                  <w:pPr>
                    <w:jc w:val="center"/>
                    <w:rPr>
                      <w:bCs/>
                      <w:szCs w:val="21"/>
                    </w:rPr>
                  </w:pPr>
                  <w:r>
                    <w:rPr>
                      <w:szCs w:val="21"/>
                    </w:rPr>
                    <w:t>固废处置</w:t>
                  </w:r>
                </w:p>
              </w:tc>
              <w:tc>
                <w:tcPr>
                  <w:tcW w:w="3462" w:type="pct"/>
                  <w:tcBorders>
                    <w:top w:val="single" w:color="auto" w:sz="4" w:space="0"/>
                    <w:left w:val="single" w:color="auto" w:sz="4" w:space="0"/>
                    <w:bottom w:val="single" w:color="auto" w:sz="4" w:space="0"/>
                    <w:right w:val="single" w:color="auto" w:sz="4" w:space="0"/>
                  </w:tcBorders>
                  <w:vAlign w:val="center"/>
                </w:tcPr>
                <w:p w14:paraId="1D9398B9">
                  <w:pPr>
                    <w:jc w:val="left"/>
                    <w:rPr>
                      <w:kern w:val="21"/>
                      <w:szCs w:val="21"/>
                    </w:rPr>
                  </w:pPr>
                  <w:r>
                    <w:rPr>
                      <w:rFonts w:hint="eastAsia"/>
                      <w:szCs w:val="21"/>
                    </w:rPr>
                    <w:t>设置</w:t>
                  </w:r>
                  <w:r>
                    <w:rPr>
                      <w:rFonts w:hint="eastAsia"/>
                      <w:bCs/>
                      <w:szCs w:val="21"/>
                    </w:rPr>
                    <w:t>一般固废间（10m</w:t>
                  </w:r>
                  <w:r>
                    <w:rPr>
                      <w:rFonts w:hint="eastAsia"/>
                      <w:bCs/>
                      <w:szCs w:val="21"/>
                      <w:vertAlign w:val="superscript"/>
                    </w:rPr>
                    <w:t>2</w:t>
                  </w:r>
                  <w:r>
                    <w:rPr>
                      <w:rFonts w:hint="eastAsia"/>
                      <w:bCs/>
                      <w:szCs w:val="21"/>
                    </w:rPr>
                    <w:t>）和危废暂存间（10m</w:t>
                  </w:r>
                  <w:r>
                    <w:rPr>
                      <w:rFonts w:hint="eastAsia"/>
                      <w:bCs/>
                      <w:szCs w:val="21"/>
                      <w:vertAlign w:val="superscript"/>
                    </w:rPr>
                    <w:t>2</w:t>
                  </w:r>
                  <w:r>
                    <w:rPr>
                      <w:rFonts w:hint="eastAsia"/>
                      <w:bCs/>
                      <w:szCs w:val="21"/>
                    </w:rPr>
                    <w:t>）</w:t>
                  </w:r>
                  <w:r>
                    <w:rPr>
                      <w:rFonts w:hint="eastAsia"/>
                      <w:szCs w:val="21"/>
                    </w:rPr>
                    <w:t>，分类收集处理</w:t>
                  </w:r>
                </w:p>
              </w:tc>
              <w:tc>
                <w:tcPr>
                  <w:tcW w:w="550" w:type="pct"/>
                  <w:tcBorders>
                    <w:top w:val="single" w:color="auto" w:sz="4" w:space="0"/>
                    <w:left w:val="single" w:color="auto" w:sz="4" w:space="0"/>
                    <w:bottom w:val="single" w:color="auto" w:sz="4" w:space="0"/>
                    <w:right w:val="single" w:color="auto" w:sz="4" w:space="0"/>
                  </w:tcBorders>
                  <w:vAlign w:val="center"/>
                </w:tcPr>
                <w:p w14:paraId="24E7ABAD">
                  <w:pPr>
                    <w:jc w:val="center"/>
                    <w:rPr>
                      <w:szCs w:val="21"/>
                    </w:rPr>
                  </w:pPr>
                  <w:r>
                    <w:rPr>
                      <w:szCs w:val="21"/>
                    </w:rPr>
                    <w:t>新建</w:t>
                  </w:r>
                </w:p>
              </w:tc>
            </w:tr>
          </w:tbl>
          <w:p w14:paraId="73F5F4B7">
            <w:pPr>
              <w:spacing w:line="360" w:lineRule="auto"/>
              <w:ind w:firstLine="482" w:firstLineChars="200"/>
              <w:rPr>
                <w:rFonts w:eastAsia="黑体"/>
                <w:b/>
                <w:iCs/>
                <w:sz w:val="24"/>
                <w:u w:val="single"/>
              </w:rPr>
            </w:pPr>
            <w:r>
              <w:rPr>
                <w:rFonts w:hint="eastAsia" w:eastAsia="黑体"/>
                <w:b/>
                <w:iCs/>
                <w:sz w:val="24"/>
                <w:u w:val="single"/>
              </w:rPr>
              <w:t>3</w:t>
            </w:r>
            <w:r>
              <w:rPr>
                <w:rFonts w:eastAsia="黑体"/>
                <w:b/>
                <w:iCs/>
                <w:sz w:val="24"/>
                <w:u w:val="single"/>
              </w:rPr>
              <w:t>、</w:t>
            </w:r>
            <w:r>
              <w:rPr>
                <w:rFonts w:hint="eastAsia" w:eastAsia="黑体"/>
                <w:b/>
                <w:iCs/>
                <w:sz w:val="24"/>
                <w:u w:val="single"/>
              </w:rPr>
              <w:t>产品方案</w:t>
            </w:r>
          </w:p>
          <w:p w14:paraId="18BAAABC">
            <w:pPr>
              <w:spacing w:line="360" w:lineRule="auto"/>
              <w:ind w:firstLine="482" w:firstLineChars="200"/>
              <w:jc w:val="left"/>
              <w:rPr>
                <w:b/>
                <w:bCs/>
                <w:sz w:val="24"/>
                <w:u w:val="single"/>
              </w:rPr>
            </w:pPr>
            <w:r>
              <w:rPr>
                <w:rFonts w:hint="eastAsia"/>
                <w:b/>
                <w:sz w:val="24"/>
                <w:u w:val="single"/>
              </w:rPr>
              <w:t>本项目为</w:t>
            </w:r>
            <w:r>
              <w:rPr>
                <w:rFonts w:hint="eastAsia"/>
                <w:b/>
                <w:bCs/>
                <w:sz w:val="24"/>
                <w:u w:val="single"/>
              </w:rPr>
              <w:t>年产5000吨牙刷丝项目，</w:t>
            </w:r>
            <w:r>
              <w:rPr>
                <w:rFonts w:hint="eastAsia"/>
                <w:b/>
                <w:sz w:val="24"/>
                <w:u w:val="single"/>
              </w:rPr>
              <w:t>具体</w:t>
            </w:r>
            <w:r>
              <w:rPr>
                <w:rFonts w:hint="eastAsia"/>
                <w:b/>
                <w:bCs/>
                <w:sz w:val="24"/>
                <w:u w:val="single"/>
              </w:rPr>
              <w:t>产品方案</w:t>
            </w:r>
            <w:r>
              <w:rPr>
                <w:rFonts w:hint="eastAsia"/>
                <w:b/>
                <w:sz w:val="24"/>
                <w:u w:val="single"/>
              </w:rPr>
              <w:t>见表8。</w:t>
            </w:r>
          </w:p>
          <w:p w14:paraId="67727FDE">
            <w:pPr>
              <w:pStyle w:val="61"/>
              <w:rPr>
                <w:rFonts w:hAnsi="宋体" w:eastAsia="宋体"/>
                <w:sz w:val="24"/>
                <w:u w:val="single"/>
              </w:rPr>
            </w:pPr>
            <w:r>
              <w:rPr>
                <w:rFonts w:hAnsi="宋体" w:eastAsia="宋体"/>
                <w:sz w:val="24"/>
                <w:u w:val="single"/>
              </w:rPr>
              <w:t>表</w:t>
            </w:r>
            <w:r>
              <w:rPr>
                <w:rFonts w:hint="eastAsia" w:eastAsia="宋体"/>
                <w:sz w:val="24"/>
                <w:u w:val="single"/>
              </w:rPr>
              <w:t xml:space="preserve">8   </w:t>
            </w:r>
            <w:r>
              <w:rPr>
                <w:rFonts w:hAnsi="宋体" w:eastAsia="宋体"/>
                <w:sz w:val="24"/>
                <w:u w:val="single"/>
              </w:rPr>
              <w:t>项目</w:t>
            </w:r>
            <w:r>
              <w:rPr>
                <w:rFonts w:hint="eastAsia" w:hAnsi="宋体" w:eastAsia="宋体"/>
                <w:bCs/>
                <w:sz w:val="24"/>
                <w:u w:val="single"/>
              </w:rPr>
              <w:t>产品方案</w:t>
            </w:r>
            <w:r>
              <w:rPr>
                <w:rFonts w:hAnsi="宋体" w:eastAsia="宋体"/>
                <w:sz w:val="24"/>
                <w:u w:val="single"/>
              </w:rPr>
              <w:t>一览表</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550"/>
              <w:gridCol w:w="3268"/>
              <w:gridCol w:w="1703"/>
              <w:gridCol w:w="2078"/>
            </w:tblGrid>
            <w:tr w14:paraId="6143E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901" w:type="pct"/>
                  <w:vAlign w:val="center"/>
                </w:tcPr>
                <w:p w14:paraId="3D738299">
                  <w:pPr>
                    <w:jc w:val="center"/>
                    <w:rPr>
                      <w:b/>
                      <w:u w:val="single"/>
                    </w:rPr>
                  </w:pPr>
                  <w:r>
                    <w:rPr>
                      <w:rFonts w:hint="eastAsia"/>
                      <w:b/>
                      <w:bCs/>
                      <w:szCs w:val="21"/>
                      <w:u w:val="single"/>
                    </w:rPr>
                    <w:t>产品名称</w:t>
                  </w:r>
                </w:p>
              </w:tc>
              <w:tc>
                <w:tcPr>
                  <w:tcW w:w="1900" w:type="pct"/>
                  <w:vAlign w:val="center"/>
                </w:tcPr>
                <w:p w14:paraId="62AD6F8C">
                  <w:pPr>
                    <w:jc w:val="center"/>
                    <w:rPr>
                      <w:b/>
                      <w:bCs/>
                      <w:szCs w:val="21"/>
                      <w:u w:val="single"/>
                    </w:rPr>
                  </w:pPr>
                  <w:r>
                    <w:rPr>
                      <w:rFonts w:hint="eastAsia"/>
                      <w:b/>
                      <w:bCs/>
                      <w:szCs w:val="21"/>
                      <w:u w:val="single"/>
                    </w:rPr>
                    <w:t>尺寸/规格</w:t>
                  </w:r>
                </w:p>
              </w:tc>
              <w:tc>
                <w:tcPr>
                  <w:tcW w:w="990" w:type="pct"/>
                  <w:vAlign w:val="center"/>
                </w:tcPr>
                <w:p w14:paraId="6D9B980B">
                  <w:pPr>
                    <w:jc w:val="center"/>
                    <w:rPr>
                      <w:b/>
                      <w:bCs/>
                      <w:szCs w:val="21"/>
                      <w:u w:val="single"/>
                    </w:rPr>
                  </w:pPr>
                  <w:r>
                    <w:rPr>
                      <w:rFonts w:hint="eastAsia"/>
                      <w:b/>
                      <w:bCs/>
                      <w:szCs w:val="21"/>
                      <w:u w:val="single"/>
                    </w:rPr>
                    <w:t>产品规模（t/a）</w:t>
                  </w:r>
                </w:p>
              </w:tc>
              <w:tc>
                <w:tcPr>
                  <w:tcW w:w="1208" w:type="pct"/>
                  <w:vAlign w:val="center"/>
                </w:tcPr>
                <w:p w14:paraId="61C13F88">
                  <w:pPr>
                    <w:jc w:val="center"/>
                    <w:rPr>
                      <w:b/>
                      <w:bCs/>
                      <w:szCs w:val="21"/>
                      <w:u w:val="single"/>
                    </w:rPr>
                  </w:pPr>
                  <w:r>
                    <w:rPr>
                      <w:rFonts w:hint="eastAsia"/>
                      <w:b/>
                      <w:bCs/>
                      <w:szCs w:val="21"/>
                      <w:u w:val="single"/>
                    </w:rPr>
                    <w:t>备注</w:t>
                  </w:r>
                </w:p>
              </w:tc>
            </w:tr>
            <w:tr w14:paraId="6F50B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901" w:type="pct"/>
                  <w:vAlign w:val="center"/>
                </w:tcPr>
                <w:p w14:paraId="4A6ACCE8">
                  <w:pPr>
                    <w:jc w:val="center"/>
                    <w:rPr>
                      <w:b/>
                      <w:bCs/>
                      <w:szCs w:val="21"/>
                      <w:u w:val="single"/>
                    </w:rPr>
                  </w:pPr>
                  <w:r>
                    <w:rPr>
                      <w:rFonts w:hint="eastAsia"/>
                      <w:b/>
                      <w:bCs/>
                      <w:szCs w:val="21"/>
                      <w:u w:val="single"/>
                    </w:rPr>
                    <w:t>牙刷长丝</w:t>
                  </w:r>
                </w:p>
              </w:tc>
              <w:tc>
                <w:tcPr>
                  <w:tcW w:w="1900" w:type="pct"/>
                  <w:vAlign w:val="center"/>
                </w:tcPr>
                <w:p w14:paraId="7D1E9C5E">
                  <w:pPr>
                    <w:adjustRightInd w:val="0"/>
                    <w:snapToGrid w:val="0"/>
                    <w:jc w:val="center"/>
                    <w:rPr>
                      <w:b/>
                      <w:szCs w:val="21"/>
                      <w:u w:val="single"/>
                    </w:rPr>
                  </w:pPr>
                  <w:r>
                    <w:rPr>
                      <w:rFonts w:hint="eastAsia" w:ascii="宋体" w:hAnsi="宋体"/>
                      <w:b/>
                      <w:szCs w:val="21"/>
                      <w:u w:val="single"/>
                    </w:rPr>
                    <w:t>直径≤</w:t>
                  </w:r>
                  <w:r>
                    <w:rPr>
                      <w:b/>
                      <w:szCs w:val="21"/>
                      <w:u w:val="single"/>
                    </w:rPr>
                    <w:t>0.18</w:t>
                  </w:r>
                  <w:r>
                    <w:rPr>
                      <w:rFonts w:hint="eastAsia"/>
                      <w:b/>
                      <w:szCs w:val="21"/>
                      <w:u w:val="single"/>
                    </w:rPr>
                    <w:t>mm，</w:t>
                  </w:r>
                  <w:r>
                    <w:rPr>
                      <w:b/>
                      <w:szCs w:val="21"/>
                      <w:u w:val="single"/>
                    </w:rPr>
                    <w:t>长度1150mm</w:t>
                  </w:r>
                </w:p>
              </w:tc>
              <w:tc>
                <w:tcPr>
                  <w:tcW w:w="990" w:type="pct"/>
                  <w:vAlign w:val="center"/>
                </w:tcPr>
                <w:p w14:paraId="50747E3D">
                  <w:pPr>
                    <w:jc w:val="center"/>
                    <w:rPr>
                      <w:b/>
                      <w:bCs/>
                      <w:szCs w:val="21"/>
                      <w:u w:val="single"/>
                    </w:rPr>
                  </w:pPr>
                  <w:r>
                    <w:rPr>
                      <w:b/>
                      <w:bCs/>
                      <w:szCs w:val="21"/>
                      <w:u w:val="single"/>
                    </w:rPr>
                    <w:t>2500</w:t>
                  </w:r>
                </w:p>
              </w:tc>
              <w:tc>
                <w:tcPr>
                  <w:tcW w:w="1208" w:type="pct"/>
                  <w:vMerge w:val="restart"/>
                  <w:vAlign w:val="center"/>
                </w:tcPr>
                <w:p w14:paraId="78DB8F52">
                  <w:pPr>
                    <w:jc w:val="center"/>
                    <w:rPr>
                      <w:b/>
                      <w:bCs/>
                      <w:szCs w:val="21"/>
                      <w:u w:val="single"/>
                    </w:rPr>
                  </w:pPr>
                  <w:r>
                    <w:rPr>
                      <w:rFonts w:hint="eastAsia"/>
                      <w:b/>
                      <w:bCs/>
                      <w:szCs w:val="21"/>
                      <w:u w:val="single"/>
                    </w:rPr>
                    <w:t>用于</w:t>
                  </w:r>
                  <w:r>
                    <w:rPr>
                      <w:b/>
                      <w:bCs/>
                      <w:szCs w:val="21"/>
                      <w:u w:val="single"/>
                    </w:rPr>
                    <w:t>生产牙刷刷毛</w:t>
                  </w:r>
                </w:p>
              </w:tc>
            </w:tr>
            <w:tr w14:paraId="48423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trPr>
              <w:tc>
                <w:tcPr>
                  <w:tcW w:w="901" w:type="pct"/>
                  <w:vAlign w:val="center"/>
                </w:tcPr>
                <w:p w14:paraId="3996CF4C">
                  <w:pPr>
                    <w:jc w:val="center"/>
                    <w:rPr>
                      <w:b/>
                      <w:bCs/>
                      <w:szCs w:val="21"/>
                      <w:u w:val="single"/>
                    </w:rPr>
                  </w:pPr>
                  <w:r>
                    <w:rPr>
                      <w:rFonts w:hint="eastAsia"/>
                      <w:b/>
                      <w:bCs/>
                      <w:szCs w:val="21"/>
                      <w:u w:val="single"/>
                    </w:rPr>
                    <w:t>牙刷</w:t>
                  </w:r>
                  <w:r>
                    <w:rPr>
                      <w:b/>
                      <w:bCs/>
                      <w:szCs w:val="21"/>
                      <w:u w:val="single"/>
                    </w:rPr>
                    <w:t>尖丝</w:t>
                  </w:r>
                </w:p>
              </w:tc>
              <w:tc>
                <w:tcPr>
                  <w:tcW w:w="1900" w:type="pct"/>
                  <w:vAlign w:val="center"/>
                </w:tcPr>
                <w:p w14:paraId="2E81D7E1">
                  <w:pPr>
                    <w:adjustRightInd w:val="0"/>
                    <w:snapToGrid w:val="0"/>
                    <w:jc w:val="center"/>
                    <w:rPr>
                      <w:rFonts w:ascii="宋体" w:hAnsi="宋体"/>
                      <w:b/>
                      <w:szCs w:val="21"/>
                      <w:u w:val="single"/>
                    </w:rPr>
                  </w:pPr>
                  <w:r>
                    <w:rPr>
                      <w:rFonts w:hint="eastAsia" w:ascii="宋体" w:hAnsi="宋体"/>
                      <w:b/>
                      <w:szCs w:val="21"/>
                      <w:u w:val="single"/>
                    </w:rPr>
                    <w:t>直径≤</w:t>
                  </w:r>
                  <w:r>
                    <w:rPr>
                      <w:b/>
                      <w:szCs w:val="21"/>
                      <w:u w:val="single"/>
                    </w:rPr>
                    <w:t>0.18</w:t>
                  </w:r>
                  <w:r>
                    <w:rPr>
                      <w:rFonts w:hint="eastAsia"/>
                      <w:b/>
                      <w:szCs w:val="21"/>
                      <w:u w:val="single"/>
                    </w:rPr>
                    <w:t>mm，</w:t>
                  </w:r>
                  <w:r>
                    <w:rPr>
                      <w:b/>
                      <w:szCs w:val="21"/>
                      <w:u w:val="single"/>
                    </w:rPr>
                    <w:t>长度29mm</w:t>
                  </w:r>
                </w:p>
              </w:tc>
              <w:tc>
                <w:tcPr>
                  <w:tcW w:w="990" w:type="pct"/>
                  <w:vAlign w:val="center"/>
                </w:tcPr>
                <w:p w14:paraId="2772CE4C">
                  <w:pPr>
                    <w:jc w:val="center"/>
                    <w:rPr>
                      <w:b/>
                      <w:bCs/>
                      <w:szCs w:val="21"/>
                      <w:u w:val="single"/>
                    </w:rPr>
                  </w:pPr>
                  <w:r>
                    <w:rPr>
                      <w:rFonts w:hint="eastAsia"/>
                      <w:b/>
                      <w:bCs/>
                      <w:szCs w:val="21"/>
                      <w:u w:val="single"/>
                    </w:rPr>
                    <w:t>25</w:t>
                  </w:r>
                  <w:r>
                    <w:rPr>
                      <w:b/>
                      <w:bCs/>
                      <w:szCs w:val="21"/>
                      <w:u w:val="single"/>
                    </w:rPr>
                    <w:t>00</w:t>
                  </w:r>
                </w:p>
              </w:tc>
              <w:tc>
                <w:tcPr>
                  <w:tcW w:w="1208" w:type="pct"/>
                  <w:vMerge w:val="continue"/>
                  <w:vAlign w:val="center"/>
                </w:tcPr>
                <w:p w14:paraId="13786635">
                  <w:pPr>
                    <w:jc w:val="center"/>
                    <w:rPr>
                      <w:b/>
                      <w:bCs/>
                      <w:szCs w:val="21"/>
                      <w:u w:val="single"/>
                    </w:rPr>
                  </w:pPr>
                </w:p>
              </w:tc>
            </w:tr>
          </w:tbl>
          <w:p w14:paraId="5D9D3700">
            <w:pPr>
              <w:spacing w:line="360" w:lineRule="auto"/>
              <w:ind w:firstLine="482" w:firstLineChars="200"/>
              <w:rPr>
                <w:rFonts w:eastAsia="黑体"/>
                <w:b/>
                <w:iCs/>
                <w:sz w:val="24"/>
              </w:rPr>
            </w:pPr>
            <w:r>
              <w:rPr>
                <w:rFonts w:hint="eastAsia" w:eastAsia="黑体"/>
                <w:b/>
                <w:iCs/>
                <w:sz w:val="24"/>
              </w:rPr>
              <w:t>4</w:t>
            </w:r>
            <w:r>
              <w:rPr>
                <w:rFonts w:eastAsia="黑体"/>
                <w:b/>
                <w:iCs/>
                <w:sz w:val="24"/>
              </w:rPr>
              <w:t>、主要生产设备</w:t>
            </w:r>
          </w:p>
          <w:p w14:paraId="4201821A">
            <w:pPr>
              <w:spacing w:line="360" w:lineRule="auto"/>
              <w:ind w:firstLine="480" w:firstLineChars="200"/>
              <w:rPr>
                <w:sz w:val="24"/>
              </w:rPr>
            </w:pPr>
            <w:r>
              <w:rPr>
                <w:sz w:val="24"/>
              </w:rPr>
              <w:t>本项目主要生产设备见表</w:t>
            </w:r>
            <w:r>
              <w:rPr>
                <w:rFonts w:hint="eastAsia"/>
                <w:sz w:val="24"/>
              </w:rPr>
              <w:t>9</w:t>
            </w:r>
            <w:r>
              <w:rPr>
                <w:sz w:val="24"/>
              </w:rPr>
              <w:t>。</w:t>
            </w:r>
          </w:p>
          <w:p w14:paraId="3EC1BF26">
            <w:pPr>
              <w:pStyle w:val="61"/>
              <w:rPr>
                <w:rFonts w:hAnsi="宋体" w:eastAsia="宋体"/>
                <w:sz w:val="24"/>
              </w:rPr>
            </w:pPr>
            <w:r>
              <w:rPr>
                <w:rFonts w:hAnsi="宋体" w:eastAsia="宋体"/>
                <w:sz w:val="24"/>
              </w:rPr>
              <w:t>表</w:t>
            </w:r>
            <w:r>
              <w:rPr>
                <w:rFonts w:hint="eastAsia" w:eastAsia="宋体"/>
                <w:sz w:val="24"/>
              </w:rPr>
              <w:t xml:space="preserve">9   </w:t>
            </w:r>
            <w:r>
              <w:rPr>
                <w:rFonts w:hint="eastAsia" w:hAnsi="宋体" w:eastAsia="宋体"/>
                <w:sz w:val="24"/>
              </w:rPr>
              <w:t>项目</w:t>
            </w:r>
            <w:r>
              <w:rPr>
                <w:rFonts w:hAnsi="宋体" w:eastAsia="宋体"/>
                <w:sz w:val="24"/>
              </w:rPr>
              <w:t>主要生产设备一览表</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40" w:type="dxa"/>
                <w:left w:w="0" w:type="dxa"/>
                <w:bottom w:w="40" w:type="dxa"/>
                <w:right w:w="0" w:type="dxa"/>
              </w:tblCellMar>
            </w:tblPr>
            <w:tblGrid>
              <w:gridCol w:w="811"/>
              <w:gridCol w:w="1314"/>
              <w:gridCol w:w="992"/>
              <w:gridCol w:w="709"/>
              <w:gridCol w:w="707"/>
              <w:gridCol w:w="4066"/>
            </w:tblGrid>
            <w:tr w14:paraId="58755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0" w:type="dxa"/>
                  <w:bottom w:w="40" w:type="dxa"/>
                  <w:right w:w="0" w:type="dxa"/>
                </w:tblCellMar>
              </w:tblPrEx>
              <w:trPr>
                <w:trHeight w:val="312" w:hRule="atLeast"/>
                <w:jc w:val="center"/>
              </w:trPr>
              <w:tc>
                <w:tcPr>
                  <w:tcW w:w="472" w:type="pct"/>
                  <w:tcBorders>
                    <w:top w:val="single" w:color="auto" w:sz="4" w:space="0"/>
                    <w:left w:val="single" w:color="auto" w:sz="4" w:space="0"/>
                    <w:bottom w:val="single" w:color="auto" w:sz="4" w:space="0"/>
                    <w:right w:val="single" w:color="auto" w:sz="4" w:space="0"/>
                  </w:tcBorders>
                  <w:vAlign w:val="center"/>
                </w:tcPr>
                <w:p w14:paraId="034E78A1">
                  <w:pPr>
                    <w:jc w:val="center"/>
                    <w:rPr>
                      <w:bCs/>
                      <w:szCs w:val="21"/>
                    </w:rPr>
                  </w:pPr>
                  <w:r>
                    <w:rPr>
                      <w:rFonts w:hint="eastAsia"/>
                      <w:szCs w:val="21"/>
                    </w:rPr>
                    <w:t>序号</w:t>
                  </w:r>
                </w:p>
              </w:tc>
              <w:tc>
                <w:tcPr>
                  <w:tcW w:w="764" w:type="pct"/>
                  <w:tcBorders>
                    <w:top w:val="single" w:color="auto" w:sz="4" w:space="0"/>
                    <w:left w:val="single" w:color="auto" w:sz="4" w:space="0"/>
                    <w:bottom w:val="single" w:color="auto" w:sz="4" w:space="0"/>
                    <w:right w:val="single" w:color="auto" w:sz="4" w:space="0"/>
                  </w:tcBorders>
                  <w:vAlign w:val="center"/>
                </w:tcPr>
                <w:p w14:paraId="35570E77">
                  <w:pPr>
                    <w:jc w:val="center"/>
                    <w:rPr>
                      <w:bCs/>
                      <w:szCs w:val="21"/>
                    </w:rPr>
                  </w:pPr>
                  <w:r>
                    <w:rPr>
                      <w:rFonts w:hint="eastAsia"/>
                      <w:szCs w:val="21"/>
                    </w:rPr>
                    <w:t>名称</w:t>
                  </w:r>
                </w:p>
              </w:tc>
              <w:tc>
                <w:tcPr>
                  <w:tcW w:w="577" w:type="pct"/>
                  <w:tcBorders>
                    <w:top w:val="single" w:color="auto" w:sz="4" w:space="0"/>
                    <w:left w:val="single" w:color="auto" w:sz="4" w:space="0"/>
                    <w:bottom w:val="single" w:color="auto" w:sz="4" w:space="0"/>
                    <w:right w:val="single" w:color="auto" w:sz="4" w:space="0"/>
                  </w:tcBorders>
                  <w:vAlign w:val="center"/>
                </w:tcPr>
                <w:p w14:paraId="1384B7B7">
                  <w:pPr>
                    <w:widowControl/>
                    <w:jc w:val="center"/>
                    <w:rPr>
                      <w:rFonts w:ascii="宋体" w:hAnsi="宋体" w:cs="宋体"/>
                      <w:kern w:val="0"/>
                      <w:szCs w:val="21"/>
                    </w:rPr>
                  </w:pPr>
                  <w:r>
                    <w:rPr>
                      <w:rFonts w:hint="eastAsia"/>
                      <w:szCs w:val="21"/>
                    </w:rPr>
                    <w:t>规格</w:t>
                  </w:r>
                  <w:r>
                    <w:rPr>
                      <w:szCs w:val="21"/>
                    </w:rPr>
                    <w:t>/</w:t>
                  </w:r>
                  <w:r>
                    <w:rPr>
                      <w:rFonts w:hint="eastAsia"/>
                      <w:szCs w:val="21"/>
                    </w:rPr>
                    <w:t>型号</w:t>
                  </w:r>
                </w:p>
              </w:tc>
              <w:tc>
                <w:tcPr>
                  <w:tcW w:w="412" w:type="pct"/>
                  <w:tcBorders>
                    <w:top w:val="single" w:color="auto" w:sz="4" w:space="0"/>
                    <w:left w:val="single" w:color="auto" w:sz="4" w:space="0"/>
                    <w:bottom w:val="single" w:color="auto" w:sz="4" w:space="0"/>
                    <w:right w:val="single" w:color="auto" w:sz="4" w:space="0"/>
                  </w:tcBorders>
                  <w:vAlign w:val="center"/>
                </w:tcPr>
                <w:p w14:paraId="3B793A92">
                  <w:pPr>
                    <w:jc w:val="center"/>
                    <w:rPr>
                      <w:bCs/>
                      <w:szCs w:val="21"/>
                    </w:rPr>
                  </w:pPr>
                  <w:r>
                    <w:rPr>
                      <w:rFonts w:hint="eastAsia"/>
                      <w:szCs w:val="21"/>
                    </w:rPr>
                    <w:t>单位</w:t>
                  </w:r>
                </w:p>
              </w:tc>
              <w:tc>
                <w:tcPr>
                  <w:tcW w:w="411" w:type="pct"/>
                  <w:tcBorders>
                    <w:top w:val="single" w:color="auto" w:sz="4" w:space="0"/>
                    <w:left w:val="single" w:color="auto" w:sz="4" w:space="0"/>
                    <w:bottom w:val="single" w:color="auto" w:sz="4" w:space="0"/>
                    <w:right w:val="single" w:color="auto" w:sz="4" w:space="0"/>
                  </w:tcBorders>
                  <w:vAlign w:val="center"/>
                </w:tcPr>
                <w:p w14:paraId="7622F357">
                  <w:pPr>
                    <w:jc w:val="center"/>
                    <w:rPr>
                      <w:bCs/>
                      <w:szCs w:val="21"/>
                    </w:rPr>
                  </w:pPr>
                  <w:r>
                    <w:rPr>
                      <w:rFonts w:hint="eastAsia"/>
                      <w:szCs w:val="21"/>
                    </w:rPr>
                    <w:t>数量</w:t>
                  </w:r>
                </w:p>
              </w:tc>
              <w:tc>
                <w:tcPr>
                  <w:tcW w:w="2364" w:type="pct"/>
                  <w:tcBorders>
                    <w:top w:val="single" w:color="auto" w:sz="4" w:space="0"/>
                    <w:left w:val="single" w:color="auto" w:sz="4" w:space="0"/>
                    <w:bottom w:val="single" w:color="auto" w:sz="4" w:space="0"/>
                    <w:right w:val="single" w:color="auto" w:sz="4" w:space="0"/>
                  </w:tcBorders>
                  <w:vAlign w:val="center"/>
                </w:tcPr>
                <w:p w14:paraId="570F574F">
                  <w:pPr>
                    <w:jc w:val="center"/>
                    <w:rPr>
                      <w:bCs/>
                      <w:szCs w:val="21"/>
                    </w:rPr>
                  </w:pPr>
                  <w:r>
                    <w:rPr>
                      <w:rFonts w:hint="eastAsia"/>
                      <w:szCs w:val="21"/>
                    </w:rPr>
                    <w:t>用途</w:t>
                  </w:r>
                </w:p>
              </w:tc>
            </w:tr>
            <w:tr w14:paraId="59D99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0" w:type="dxa"/>
                  <w:bottom w:w="40" w:type="dxa"/>
                  <w:right w:w="0" w:type="dxa"/>
                </w:tblCellMar>
              </w:tblPrEx>
              <w:trPr>
                <w:trHeight w:val="312" w:hRule="atLeast"/>
                <w:jc w:val="center"/>
              </w:trPr>
              <w:tc>
                <w:tcPr>
                  <w:tcW w:w="472" w:type="pct"/>
                  <w:tcBorders>
                    <w:top w:val="single" w:color="auto" w:sz="4" w:space="0"/>
                    <w:left w:val="single" w:color="auto" w:sz="4" w:space="0"/>
                    <w:bottom w:val="single" w:color="auto" w:sz="4" w:space="0"/>
                    <w:right w:val="single" w:color="auto" w:sz="4" w:space="0"/>
                  </w:tcBorders>
                  <w:vAlign w:val="center"/>
                </w:tcPr>
                <w:p w14:paraId="683EFE3A">
                  <w:pPr>
                    <w:jc w:val="center"/>
                    <w:rPr>
                      <w:szCs w:val="21"/>
                    </w:rPr>
                  </w:pPr>
                  <w:r>
                    <w:rPr>
                      <w:rFonts w:hint="eastAsia"/>
                      <w:szCs w:val="21"/>
                    </w:rPr>
                    <w:t>1</w:t>
                  </w:r>
                </w:p>
              </w:tc>
              <w:tc>
                <w:tcPr>
                  <w:tcW w:w="764" w:type="pct"/>
                  <w:tcBorders>
                    <w:top w:val="single" w:color="auto" w:sz="4" w:space="0"/>
                    <w:left w:val="single" w:color="auto" w:sz="4" w:space="0"/>
                    <w:bottom w:val="single" w:color="auto" w:sz="4" w:space="0"/>
                    <w:right w:val="single" w:color="auto" w:sz="4" w:space="0"/>
                  </w:tcBorders>
                  <w:vAlign w:val="center"/>
                </w:tcPr>
                <w:p w14:paraId="45031F9C">
                  <w:pPr>
                    <w:jc w:val="center"/>
                    <w:rPr>
                      <w:szCs w:val="21"/>
                    </w:rPr>
                  </w:pPr>
                  <w:r>
                    <w:rPr>
                      <w:rFonts w:hint="eastAsia"/>
                      <w:szCs w:val="21"/>
                    </w:rPr>
                    <w:t>电烘干机</w:t>
                  </w:r>
                </w:p>
              </w:tc>
              <w:tc>
                <w:tcPr>
                  <w:tcW w:w="577" w:type="pct"/>
                  <w:tcBorders>
                    <w:top w:val="single" w:color="auto" w:sz="4" w:space="0"/>
                    <w:left w:val="single" w:color="auto" w:sz="4" w:space="0"/>
                    <w:bottom w:val="single" w:color="auto" w:sz="4" w:space="0"/>
                    <w:right w:val="single" w:color="auto" w:sz="4" w:space="0"/>
                  </w:tcBorders>
                  <w:vAlign w:val="center"/>
                </w:tcPr>
                <w:p w14:paraId="5C36651A">
                  <w:pPr>
                    <w:widowControl/>
                    <w:jc w:val="center"/>
                    <w:rPr>
                      <w:szCs w:val="21"/>
                    </w:rPr>
                  </w:pPr>
                  <w:r>
                    <w:rPr>
                      <w:rFonts w:hint="eastAsia"/>
                      <w:szCs w:val="21"/>
                    </w:rPr>
                    <w:t>80℃</w:t>
                  </w:r>
                </w:p>
              </w:tc>
              <w:tc>
                <w:tcPr>
                  <w:tcW w:w="412" w:type="pct"/>
                  <w:tcBorders>
                    <w:top w:val="single" w:color="auto" w:sz="4" w:space="0"/>
                    <w:left w:val="single" w:color="auto" w:sz="4" w:space="0"/>
                    <w:bottom w:val="single" w:color="auto" w:sz="4" w:space="0"/>
                    <w:right w:val="single" w:color="auto" w:sz="4" w:space="0"/>
                  </w:tcBorders>
                  <w:vAlign w:val="center"/>
                </w:tcPr>
                <w:p w14:paraId="57AE79F4">
                  <w:pPr>
                    <w:jc w:val="center"/>
                    <w:rPr>
                      <w:szCs w:val="21"/>
                    </w:rPr>
                  </w:pPr>
                  <w:r>
                    <w:rPr>
                      <w:rFonts w:hint="eastAsia"/>
                      <w:szCs w:val="21"/>
                    </w:rPr>
                    <w:t>台</w:t>
                  </w:r>
                </w:p>
              </w:tc>
              <w:tc>
                <w:tcPr>
                  <w:tcW w:w="411" w:type="pct"/>
                  <w:tcBorders>
                    <w:top w:val="single" w:color="auto" w:sz="4" w:space="0"/>
                    <w:left w:val="single" w:color="auto" w:sz="4" w:space="0"/>
                    <w:bottom w:val="single" w:color="auto" w:sz="4" w:space="0"/>
                    <w:right w:val="single" w:color="auto" w:sz="4" w:space="0"/>
                  </w:tcBorders>
                  <w:vAlign w:val="center"/>
                </w:tcPr>
                <w:p w14:paraId="36DDE1A3">
                  <w:pPr>
                    <w:jc w:val="center"/>
                    <w:rPr>
                      <w:szCs w:val="21"/>
                    </w:rPr>
                  </w:pPr>
                  <w:r>
                    <w:rPr>
                      <w:rFonts w:hint="eastAsia"/>
                      <w:szCs w:val="21"/>
                    </w:rPr>
                    <w:t>1</w:t>
                  </w:r>
                </w:p>
              </w:tc>
              <w:tc>
                <w:tcPr>
                  <w:tcW w:w="2364" w:type="pct"/>
                  <w:tcBorders>
                    <w:top w:val="single" w:color="auto" w:sz="4" w:space="0"/>
                    <w:left w:val="single" w:color="auto" w:sz="4" w:space="0"/>
                    <w:bottom w:val="single" w:color="auto" w:sz="4" w:space="0"/>
                    <w:right w:val="single" w:color="auto" w:sz="4" w:space="0"/>
                  </w:tcBorders>
                  <w:vAlign w:val="center"/>
                </w:tcPr>
                <w:p w14:paraId="5EFCB400">
                  <w:pPr>
                    <w:jc w:val="center"/>
                    <w:rPr>
                      <w:szCs w:val="21"/>
                    </w:rPr>
                  </w:pPr>
                  <w:r>
                    <w:rPr>
                      <w:rFonts w:hint="eastAsia"/>
                      <w:szCs w:val="21"/>
                    </w:rPr>
                    <w:t>用于</w:t>
                  </w:r>
                  <w:r>
                    <w:rPr>
                      <w:szCs w:val="21"/>
                    </w:rPr>
                    <w:t>原料中的水分烘干</w:t>
                  </w:r>
                </w:p>
              </w:tc>
            </w:tr>
            <w:tr w14:paraId="1DA2E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0" w:type="dxa"/>
                  <w:bottom w:w="40" w:type="dxa"/>
                  <w:right w:w="0" w:type="dxa"/>
                </w:tblCellMar>
              </w:tblPrEx>
              <w:trPr>
                <w:trHeight w:val="312" w:hRule="atLeast"/>
                <w:jc w:val="center"/>
              </w:trPr>
              <w:tc>
                <w:tcPr>
                  <w:tcW w:w="472" w:type="pct"/>
                  <w:tcBorders>
                    <w:top w:val="single" w:color="auto" w:sz="4" w:space="0"/>
                    <w:left w:val="single" w:color="auto" w:sz="4" w:space="0"/>
                    <w:bottom w:val="single" w:color="auto" w:sz="4" w:space="0"/>
                    <w:right w:val="single" w:color="auto" w:sz="4" w:space="0"/>
                  </w:tcBorders>
                  <w:vAlign w:val="center"/>
                </w:tcPr>
                <w:p w14:paraId="2F3098BE">
                  <w:pPr>
                    <w:jc w:val="center"/>
                    <w:rPr>
                      <w:b/>
                      <w:szCs w:val="21"/>
                      <w:u w:val="single"/>
                    </w:rPr>
                  </w:pPr>
                  <w:r>
                    <w:rPr>
                      <w:rFonts w:hint="eastAsia"/>
                      <w:b/>
                      <w:szCs w:val="21"/>
                      <w:u w:val="single"/>
                    </w:rPr>
                    <w:t>2</w:t>
                  </w:r>
                </w:p>
              </w:tc>
              <w:tc>
                <w:tcPr>
                  <w:tcW w:w="764" w:type="pct"/>
                  <w:tcBorders>
                    <w:top w:val="single" w:color="auto" w:sz="4" w:space="0"/>
                    <w:left w:val="single" w:color="auto" w:sz="4" w:space="0"/>
                    <w:bottom w:val="single" w:color="auto" w:sz="4" w:space="0"/>
                    <w:right w:val="single" w:color="auto" w:sz="4" w:space="0"/>
                  </w:tcBorders>
                  <w:vAlign w:val="center"/>
                </w:tcPr>
                <w:p w14:paraId="3429EFA4">
                  <w:pPr>
                    <w:jc w:val="center"/>
                    <w:rPr>
                      <w:b/>
                      <w:szCs w:val="21"/>
                      <w:u w:val="single"/>
                    </w:rPr>
                  </w:pPr>
                  <w:r>
                    <w:rPr>
                      <w:rFonts w:hint="eastAsia"/>
                      <w:b/>
                      <w:szCs w:val="21"/>
                      <w:u w:val="single"/>
                    </w:rPr>
                    <w:t>拉丝机</w:t>
                  </w:r>
                </w:p>
              </w:tc>
              <w:tc>
                <w:tcPr>
                  <w:tcW w:w="577" w:type="pct"/>
                  <w:tcBorders>
                    <w:top w:val="single" w:color="auto" w:sz="4" w:space="0"/>
                    <w:left w:val="single" w:color="auto" w:sz="4" w:space="0"/>
                    <w:bottom w:val="single" w:color="auto" w:sz="4" w:space="0"/>
                    <w:right w:val="single" w:color="auto" w:sz="4" w:space="0"/>
                  </w:tcBorders>
                  <w:vAlign w:val="center"/>
                </w:tcPr>
                <w:p w14:paraId="423C34DD">
                  <w:pPr>
                    <w:widowControl/>
                    <w:jc w:val="center"/>
                    <w:rPr>
                      <w:b/>
                      <w:szCs w:val="21"/>
                      <w:u w:val="single"/>
                    </w:rPr>
                  </w:pPr>
                  <w:r>
                    <w:rPr>
                      <w:b/>
                      <w:szCs w:val="21"/>
                      <w:u w:val="single"/>
                    </w:rPr>
                    <w:t>L750</w:t>
                  </w:r>
                </w:p>
              </w:tc>
              <w:tc>
                <w:tcPr>
                  <w:tcW w:w="412" w:type="pct"/>
                  <w:tcBorders>
                    <w:top w:val="single" w:color="auto" w:sz="4" w:space="0"/>
                    <w:left w:val="single" w:color="auto" w:sz="4" w:space="0"/>
                    <w:bottom w:val="single" w:color="auto" w:sz="4" w:space="0"/>
                    <w:right w:val="single" w:color="auto" w:sz="4" w:space="0"/>
                  </w:tcBorders>
                  <w:vAlign w:val="center"/>
                </w:tcPr>
                <w:p w14:paraId="21B33DC5">
                  <w:pPr>
                    <w:jc w:val="center"/>
                    <w:rPr>
                      <w:b/>
                      <w:szCs w:val="21"/>
                      <w:u w:val="single"/>
                    </w:rPr>
                  </w:pPr>
                  <w:r>
                    <w:rPr>
                      <w:rFonts w:hint="eastAsia"/>
                      <w:b/>
                      <w:szCs w:val="21"/>
                      <w:u w:val="single"/>
                    </w:rPr>
                    <w:t>台</w:t>
                  </w:r>
                </w:p>
              </w:tc>
              <w:tc>
                <w:tcPr>
                  <w:tcW w:w="411" w:type="pct"/>
                  <w:tcBorders>
                    <w:top w:val="single" w:color="auto" w:sz="4" w:space="0"/>
                    <w:left w:val="single" w:color="auto" w:sz="4" w:space="0"/>
                    <w:bottom w:val="single" w:color="auto" w:sz="4" w:space="0"/>
                    <w:right w:val="single" w:color="auto" w:sz="4" w:space="0"/>
                  </w:tcBorders>
                  <w:vAlign w:val="center"/>
                </w:tcPr>
                <w:p w14:paraId="43A4ACD5">
                  <w:pPr>
                    <w:jc w:val="center"/>
                    <w:rPr>
                      <w:b/>
                      <w:szCs w:val="21"/>
                      <w:u w:val="single"/>
                    </w:rPr>
                  </w:pPr>
                  <w:r>
                    <w:rPr>
                      <w:b/>
                      <w:szCs w:val="21"/>
                      <w:u w:val="single"/>
                    </w:rPr>
                    <w:t>2</w:t>
                  </w:r>
                </w:p>
              </w:tc>
              <w:tc>
                <w:tcPr>
                  <w:tcW w:w="2364" w:type="pct"/>
                  <w:tcBorders>
                    <w:top w:val="single" w:color="auto" w:sz="4" w:space="0"/>
                    <w:left w:val="single" w:color="auto" w:sz="4" w:space="0"/>
                    <w:bottom w:val="single" w:color="auto" w:sz="4" w:space="0"/>
                    <w:right w:val="single" w:color="auto" w:sz="4" w:space="0"/>
                  </w:tcBorders>
                  <w:vAlign w:val="center"/>
                </w:tcPr>
                <w:p w14:paraId="06807996">
                  <w:pPr>
                    <w:jc w:val="center"/>
                    <w:rPr>
                      <w:b/>
                      <w:szCs w:val="21"/>
                      <w:u w:val="single"/>
                    </w:rPr>
                  </w:pPr>
                  <w:r>
                    <w:rPr>
                      <w:rFonts w:hint="eastAsia"/>
                      <w:b/>
                      <w:szCs w:val="21"/>
                      <w:u w:val="single"/>
                    </w:rPr>
                    <w:t>用于产品</w:t>
                  </w:r>
                  <w:r>
                    <w:rPr>
                      <w:b/>
                      <w:szCs w:val="21"/>
                      <w:u w:val="single"/>
                    </w:rPr>
                    <w:t>成型</w:t>
                  </w:r>
                  <w:r>
                    <w:rPr>
                      <w:rFonts w:hint="eastAsia"/>
                      <w:b/>
                      <w:szCs w:val="21"/>
                      <w:u w:val="single"/>
                    </w:rPr>
                    <w:t>，</w:t>
                  </w:r>
                  <w:r>
                    <w:rPr>
                      <w:b/>
                      <w:szCs w:val="21"/>
                      <w:u w:val="single"/>
                    </w:rPr>
                    <w:t>配套牵引</w:t>
                  </w:r>
                </w:p>
              </w:tc>
            </w:tr>
            <w:tr w14:paraId="138BF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0" w:type="dxa"/>
                  <w:bottom w:w="40" w:type="dxa"/>
                  <w:right w:w="0" w:type="dxa"/>
                </w:tblCellMar>
              </w:tblPrEx>
              <w:trPr>
                <w:trHeight w:val="312" w:hRule="atLeast"/>
                <w:jc w:val="center"/>
              </w:trPr>
              <w:tc>
                <w:tcPr>
                  <w:tcW w:w="472" w:type="pct"/>
                  <w:tcBorders>
                    <w:top w:val="single" w:color="auto" w:sz="4" w:space="0"/>
                    <w:left w:val="single" w:color="auto" w:sz="4" w:space="0"/>
                    <w:bottom w:val="single" w:color="auto" w:sz="4" w:space="0"/>
                    <w:right w:val="single" w:color="auto" w:sz="4" w:space="0"/>
                  </w:tcBorders>
                  <w:vAlign w:val="center"/>
                </w:tcPr>
                <w:p w14:paraId="44282B84">
                  <w:pPr>
                    <w:jc w:val="center"/>
                    <w:rPr>
                      <w:szCs w:val="21"/>
                    </w:rPr>
                  </w:pPr>
                  <w:r>
                    <w:rPr>
                      <w:rFonts w:hint="eastAsia"/>
                      <w:szCs w:val="21"/>
                    </w:rPr>
                    <w:t>3</w:t>
                  </w:r>
                </w:p>
              </w:tc>
              <w:tc>
                <w:tcPr>
                  <w:tcW w:w="764" w:type="pct"/>
                  <w:tcBorders>
                    <w:top w:val="single" w:color="auto" w:sz="4" w:space="0"/>
                    <w:left w:val="single" w:color="auto" w:sz="4" w:space="0"/>
                    <w:bottom w:val="single" w:color="auto" w:sz="4" w:space="0"/>
                    <w:right w:val="single" w:color="auto" w:sz="4" w:space="0"/>
                  </w:tcBorders>
                  <w:vAlign w:val="center"/>
                </w:tcPr>
                <w:p w14:paraId="74AD9EF0">
                  <w:pPr>
                    <w:jc w:val="center"/>
                    <w:rPr>
                      <w:szCs w:val="21"/>
                    </w:rPr>
                  </w:pPr>
                  <w:r>
                    <w:rPr>
                      <w:rFonts w:hint="eastAsia"/>
                      <w:szCs w:val="21"/>
                    </w:rPr>
                    <w:t>包丝机</w:t>
                  </w:r>
                </w:p>
              </w:tc>
              <w:tc>
                <w:tcPr>
                  <w:tcW w:w="577" w:type="pct"/>
                  <w:tcBorders>
                    <w:top w:val="single" w:color="auto" w:sz="4" w:space="0"/>
                    <w:left w:val="single" w:color="auto" w:sz="4" w:space="0"/>
                    <w:bottom w:val="single" w:color="auto" w:sz="4" w:space="0"/>
                    <w:right w:val="single" w:color="auto" w:sz="4" w:space="0"/>
                  </w:tcBorders>
                  <w:vAlign w:val="center"/>
                </w:tcPr>
                <w:p w14:paraId="1ED5FF44">
                  <w:pPr>
                    <w:widowControl/>
                    <w:jc w:val="center"/>
                    <w:rPr>
                      <w:szCs w:val="21"/>
                    </w:rPr>
                  </w:pPr>
                  <w:r>
                    <w:rPr>
                      <w:rFonts w:hint="eastAsia"/>
                      <w:szCs w:val="21"/>
                    </w:rPr>
                    <w:t>/</w:t>
                  </w:r>
                </w:p>
              </w:tc>
              <w:tc>
                <w:tcPr>
                  <w:tcW w:w="412" w:type="pct"/>
                  <w:tcBorders>
                    <w:top w:val="single" w:color="auto" w:sz="4" w:space="0"/>
                    <w:left w:val="single" w:color="auto" w:sz="4" w:space="0"/>
                    <w:bottom w:val="single" w:color="auto" w:sz="4" w:space="0"/>
                    <w:right w:val="single" w:color="auto" w:sz="4" w:space="0"/>
                  </w:tcBorders>
                  <w:vAlign w:val="center"/>
                </w:tcPr>
                <w:p w14:paraId="1B3513BC">
                  <w:pPr>
                    <w:jc w:val="center"/>
                    <w:rPr>
                      <w:szCs w:val="21"/>
                    </w:rPr>
                  </w:pPr>
                  <w:r>
                    <w:rPr>
                      <w:rFonts w:hint="eastAsia"/>
                      <w:szCs w:val="21"/>
                    </w:rPr>
                    <w:t>台</w:t>
                  </w:r>
                </w:p>
              </w:tc>
              <w:tc>
                <w:tcPr>
                  <w:tcW w:w="411" w:type="pct"/>
                  <w:tcBorders>
                    <w:top w:val="single" w:color="auto" w:sz="4" w:space="0"/>
                    <w:left w:val="single" w:color="auto" w:sz="4" w:space="0"/>
                    <w:bottom w:val="single" w:color="auto" w:sz="4" w:space="0"/>
                    <w:right w:val="single" w:color="auto" w:sz="4" w:space="0"/>
                  </w:tcBorders>
                  <w:vAlign w:val="center"/>
                </w:tcPr>
                <w:p w14:paraId="224F4162">
                  <w:pPr>
                    <w:jc w:val="center"/>
                    <w:rPr>
                      <w:szCs w:val="21"/>
                    </w:rPr>
                  </w:pPr>
                  <w:r>
                    <w:rPr>
                      <w:rFonts w:hint="eastAsia"/>
                      <w:szCs w:val="21"/>
                    </w:rPr>
                    <w:t>2</w:t>
                  </w:r>
                </w:p>
              </w:tc>
              <w:tc>
                <w:tcPr>
                  <w:tcW w:w="2364" w:type="pct"/>
                  <w:tcBorders>
                    <w:top w:val="single" w:color="auto" w:sz="4" w:space="0"/>
                    <w:left w:val="single" w:color="auto" w:sz="4" w:space="0"/>
                    <w:bottom w:val="single" w:color="auto" w:sz="4" w:space="0"/>
                    <w:right w:val="single" w:color="auto" w:sz="4" w:space="0"/>
                  </w:tcBorders>
                  <w:vAlign w:val="center"/>
                </w:tcPr>
                <w:p w14:paraId="38528CA1">
                  <w:pPr>
                    <w:jc w:val="center"/>
                    <w:rPr>
                      <w:szCs w:val="21"/>
                    </w:rPr>
                  </w:pPr>
                  <w:r>
                    <w:rPr>
                      <w:rFonts w:hint="eastAsia"/>
                      <w:szCs w:val="21"/>
                    </w:rPr>
                    <w:t>用于拉丝后</w:t>
                  </w:r>
                  <w:r>
                    <w:rPr>
                      <w:szCs w:val="21"/>
                    </w:rPr>
                    <w:t>的牙刷丝</w:t>
                  </w:r>
                  <w:r>
                    <w:rPr>
                      <w:rFonts w:hint="eastAsia"/>
                      <w:szCs w:val="21"/>
                    </w:rPr>
                    <w:t>包丝</w:t>
                  </w:r>
                </w:p>
              </w:tc>
            </w:tr>
            <w:tr w14:paraId="1C9E9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0" w:type="dxa"/>
                  <w:bottom w:w="40" w:type="dxa"/>
                  <w:right w:w="0" w:type="dxa"/>
                </w:tblCellMar>
              </w:tblPrEx>
              <w:trPr>
                <w:trHeight w:val="312" w:hRule="atLeast"/>
                <w:jc w:val="center"/>
              </w:trPr>
              <w:tc>
                <w:tcPr>
                  <w:tcW w:w="472" w:type="pct"/>
                  <w:tcBorders>
                    <w:top w:val="single" w:color="auto" w:sz="4" w:space="0"/>
                    <w:left w:val="single" w:color="auto" w:sz="4" w:space="0"/>
                    <w:bottom w:val="single" w:color="auto" w:sz="4" w:space="0"/>
                    <w:right w:val="single" w:color="auto" w:sz="4" w:space="0"/>
                  </w:tcBorders>
                  <w:vAlign w:val="center"/>
                </w:tcPr>
                <w:p w14:paraId="75E7DBE4">
                  <w:pPr>
                    <w:jc w:val="center"/>
                    <w:rPr>
                      <w:szCs w:val="21"/>
                    </w:rPr>
                  </w:pPr>
                  <w:r>
                    <w:rPr>
                      <w:rFonts w:hint="eastAsia"/>
                      <w:szCs w:val="21"/>
                    </w:rPr>
                    <w:t>4</w:t>
                  </w:r>
                </w:p>
              </w:tc>
              <w:tc>
                <w:tcPr>
                  <w:tcW w:w="764" w:type="pct"/>
                  <w:tcBorders>
                    <w:top w:val="single" w:color="auto" w:sz="4" w:space="0"/>
                    <w:left w:val="single" w:color="auto" w:sz="4" w:space="0"/>
                    <w:bottom w:val="single" w:color="auto" w:sz="4" w:space="0"/>
                    <w:right w:val="single" w:color="auto" w:sz="4" w:space="0"/>
                  </w:tcBorders>
                  <w:vAlign w:val="center"/>
                </w:tcPr>
                <w:p w14:paraId="1347718D">
                  <w:pPr>
                    <w:jc w:val="center"/>
                    <w:rPr>
                      <w:szCs w:val="21"/>
                    </w:rPr>
                  </w:pPr>
                  <w:r>
                    <w:rPr>
                      <w:rFonts w:hint="eastAsia"/>
                      <w:szCs w:val="21"/>
                    </w:rPr>
                    <w:t>切丝机</w:t>
                  </w:r>
                </w:p>
              </w:tc>
              <w:tc>
                <w:tcPr>
                  <w:tcW w:w="577" w:type="pct"/>
                  <w:tcBorders>
                    <w:top w:val="single" w:color="auto" w:sz="4" w:space="0"/>
                    <w:left w:val="single" w:color="auto" w:sz="4" w:space="0"/>
                    <w:bottom w:val="single" w:color="auto" w:sz="4" w:space="0"/>
                    <w:right w:val="single" w:color="auto" w:sz="4" w:space="0"/>
                  </w:tcBorders>
                  <w:vAlign w:val="center"/>
                </w:tcPr>
                <w:p w14:paraId="39230749">
                  <w:pPr>
                    <w:widowControl/>
                    <w:jc w:val="center"/>
                    <w:rPr>
                      <w:szCs w:val="21"/>
                    </w:rPr>
                  </w:pPr>
                  <w:r>
                    <w:rPr>
                      <w:rFonts w:hint="eastAsia"/>
                      <w:szCs w:val="21"/>
                    </w:rPr>
                    <w:t>/</w:t>
                  </w:r>
                </w:p>
              </w:tc>
              <w:tc>
                <w:tcPr>
                  <w:tcW w:w="412" w:type="pct"/>
                  <w:tcBorders>
                    <w:top w:val="single" w:color="auto" w:sz="4" w:space="0"/>
                    <w:left w:val="single" w:color="auto" w:sz="4" w:space="0"/>
                    <w:bottom w:val="single" w:color="auto" w:sz="4" w:space="0"/>
                    <w:right w:val="single" w:color="auto" w:sz="4" w:space="0"/>
                  </w:tcBorders>
                  <w:vAlign w:val="center"/>
                </w:tcPr>
                <w:p w14:paraId="47A3E485">
                  <w:pPr>
                    <w:jc w:val="center"/>
                    <w:rPr>
                      <w:szCs w:val="21"/>
                    </w:rPr>
                  </w:pPr>
                  <w:r>
                    <w:rPr>
                      <w:rFonts w:hint="eastAsia"/>
                      <w:szCs w:val="21"/>
                    </w:rPr>
                    <w:t>台</w:t>
                  </w:r>
                </w:p>
              </w:tc>
              <w:tc>
                <w:tcPr>
                  <w:tcW w:w="411" w:type="pct"/>
                  <w:tcBorders>
                    <w:top w:val="single" w:color="auto" w:sz="4" w:space="0"/>
                    <w:left w:val="single" w:color="auto" w:sz="4" w:space="0"/>
                    <w:bottom w:val="single" w:color="auto" w:sz="4" w:space="0"/>
                    <w:right w:val="single" w:color="auto" w:sz="4" w:space="0"/>
                  </w:tcBorders>
                  <w:vAlign w:val="center"/>
                </w:tcPr>
                <w:p w14:paraId="0AC74081">
                  <w:pPr>
                    <w:jc w:val="center"/>
                    <w:rPr>
                      <w:szCs w:val="21"/>
                    </w:rPr>
                  </w:pPr>
                  <w:r>
                    <w:rPr>
                      <w:szCs w:val="21"/>
                    </w:rPr>
                    <w:t>2</w:t>
                  </w:r>
                </w:p>
              </w:tc>
              <w:tc>
                <w:tcPr>
                  <w:tcW w:w="2364" w:type="pct"/>
                  <w:tcBorders>
                    <w:top w:val="single" w:color="auto" w:sz="4" w:space="0"/>
                    <w:left w:val="single" w:color="auto" w:sz="4" w:space="0"/>
                    <w:bottom w:val="single" w:color="auto" w:sz="4" w:space="0"/>
                    <w:right w:val="single" w:color="auto" w:sz="4" w:space="0"/>
                  </w:tcBorders>
                  <w:vAlign w:val="center"/>
                </w:tcPr>
                <w:p w14:paraId="1E0F8E23">
                  <w:pPr>
                    <w:jc w:val="center"/>
                    <w:rPr>
                      <w:szCs w:val="21"/>
                    </w:rPr>
                  </w:pPr>
                  <w:r>
                    <w:rPr>
                      <w:rFonts w:hint="eastAsia"/>
                      <w:szCs w:val="21"/>
                    </w:rPr>
                    <w:t>将</w:t>
                  </w:r>
                  <w:r>
                    <w:rPr>
                      <w:szCs w:val="21"/>
                    </w:rPr>
                    <w:t>产品切成制定长度</w:t>
                  </w:r>
                </w:p>
              </w:tc>
            </w:tr>
            <w:tr w14:paraId="1F1CE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0" w:type="dxa"/>
                  <w:bottom w:w="40" w:type="dxa"/>
                  <w:right w:w="0" w:type="dxa"/>
                </w:tblCellMar>
              </w:tblPrEx>
              <w:trPr>
                <w:trHeight w:val="312" w:hRule="atLeast"/>
                <w:jc w:val="center"/>
              </w:trPr>
              <w:tc>
                <w:tcPr>
                  <w:tcW w:w="472" w:type="pct"/>
                  <w:tcBorders>
                    <w:top w:val="single" w:color="auto" w:sz="4" w:space="0"/>
                    <w:left w:val="single" w:color="auto" w:sz="4" w:space="0"/>
                    <w:bottom w:val="single" w:color="auto" w:sz="4" w:space="0"/>
                    <w:right w:val="single" w:color="auto" w:sz="4" w:space="0"/>
                  </w:tcBorders>
                  <w:vAlign w:val="center"/>
                </w:tcPr>
                <w:p w14:paraId="66C18563">
                  <w:pPr>
                    <w:jc w:val="center"/>
                    <w:rPr>
                      <w:szCs w:val="21"/>
                    </w:rPr>
                  </w:pPr>
                  <w:r>
                    <w:rPr>
                      <w:rFonts w:hint="eastAsia"/>
                      <w:szCs w:val="21"/>
                    </w:rPr>
                    <w:t>5</w:t>
                  </w:r>
                </w:p>
              </w:tc>
              <w:tc>
                <w:tcPr>
                  <w:tcW w:w="764" w:type="pct"/>
                  <w:tcBorders>
                    <w:top w:val="single" w:color="auto" w:sz="4" w:space="0"/>
                    <w:left w:val="single" w:color="auto" w:sz="4" w:space="0"/>
                    <w:bottom w:val="single" w:color="auto" w:sz="4" w:space="0"/>
                    <w:right w:val="single" w:color="auto" w:sz="4" w:space="0"/>
                  </w:tcBorders>
                  <w:vAlign w:val="center"/>
                </w:tcPr>
                <w:p w14:paraId="3FADBFF0">
                  <w:pPr>
                    <w:jc w:val="center"/>
                    <w:rPr>
                      <w:szCs w:val="21"/>
                    </w:rPr>
                  </w:pPr>
                  <w:r>
                    <w:rPr>
                      <w:rFonts w:hint="eastAsia"/>
                      <w:szCs w:val="21"/>
                    </w:rPr>
                    <w:t>磨尖</w:t>
                  </w:r>
                  <w:r>
                    <w:rPr>
                      <w:szCs w:val="21"/>
                    </w:rPr>
                    <w:t>机</w:t>
                  </w:r>
                </w:p>
              </w:tc>
              <w:tc>
                <w:tcPr>
                  <w:tcW w:w="577" w:type="pct"/>
                  <w:tcBorders>
                    <w:top w:val="single" w:color="auto" w:sz="4" w:space="0"/>
                    <w:left w:val="single" w:color="auto" w:sz="4" w:space="0"/>
                    <w:bottom w:val="single" w:color="auto" w:sz="4" w:space="0"/>
                    <w:right w:val="single" w:color="auto" w:sz="4" w:space="0"/>
                  </w:tcBorders>
                  <w:vAlign w:val="center"/>
                </w:tcPr>
                <w:p w14:paraId="7638299E">
                  <w:pPr>
                    <w:widowControl/>
                    <w:jc w:val="center"/>
                    <w:rPr>
                      <w:szCs w:val="21"/>
                    </w:rPr>
                  </w:pPr>
                  <w:r>
                    <w:rPr>
                      <w:rFonts w:hint="eastAsia"/>
                      <w:szCs w:val="21"/>
                    </w:rPr>
                    <w:t>/</w:t>
                  </w:r>
                </w:p>
              </w:tc>
              <w:tc>
                <w:tcPr>
                  <w:tcW w:w="412" w:type="pct"/>
                  <w:tcBorders>
                    <w:top w:val="single" w:color="auto" w:sz="4" w:space="0"/>
                    <w:left w:val="single" w:color="auto" w:sz="4" w:space="0"/>
                    <w:bottom w:val="single" w:color="auto" w:sz="4" w:space="0"/>
                    <w:right w:val="single" w:color="auto" w:sz="4" w:space="0"/>
                  </w:tcBorders>
                  <w:vAlign w:val="center"/>
                </w:tcPr>
                <w:p w14:paraId="7A59E9B8">
                  <w:pPr>
                    <w:jc w:val="center"/>
                    <w:rPr>
                      <w:szCs w:val="21"/>
                    </w:rPr>
                  </w:pPr>
                  <w:r>
                    <w:rPr>
                      <w:rFonts w:hint="eastAsia"/>
                      <w:szCs w:val="21"/>
                    </w:rPr>
                    <w:t>台</w:t>
                  </w:r>
                </w:p>
              </w:tc>
              <w:tc>
                <w:tcPr>
                  <w:tcW w:w="411" w:type="pct"/>
                  <w:tcBorders>
                    <w:top w:val="single" w:color="auto" w:sz="4" w:space="0"/>
                    <w:left w:val="single" w:color="auto" w:sz="4" w:space="0"/>
                    <w:bottom w:val="single" w:color="auto" w:sz="4" w:space="0"/>
                    <w:right w:val="single" w:color="auto" w:sz="4" w:space="0"/>
                  </w:tcBorders>
                  <w:vAlign w:val="center"/>
                </w:tcPr>
                <w:p w14:paraId="21D02B20">
                  <w:pPr>
                    <w:jc w:val="center"/>
                    <w:rPr>
                      <w:szCs w:val="21"/>
                    </w:rPr>
                  </w:pPr>
                  <w:r>
                    <w:rPr>
                      <w:szCs w:val="21"/>
                    </w:rPr>
                    <w:t>2</w:t>
                  </w:r>
                </w:p>
              </w:tc>
              <w:tc>
                <w:tcPr>
                  <w:tcW w:w="2364" w:type="pct"/>
                  <w:tcBorders>
                    <w:top w:val="single" w:color="auto" w:sz="4" w:space="0"/>
                    <w:left w:val="single" w:color="auto" w:sz="4" w:space="0"/>
                    <w:bottom w:val="single" w:color="auto" w:sz="4" w:space="0"/>
                    <w:right w:val="single" w:color="auto" w:sz="4" w:space="0"/>
                  </w:tcBorders>
                  <w:vAlign w:val="center"/>
                </w:tcPr>
                <w:p w14:paraId="1D70480F">
                  <w:pPr>
                    <w:jc w:val="center"/>
                    <w:rPr>
                      <w:szCs w:val="21"/>
                    </w:rPr>
                  </w:pPr>
                  <w:r>
                    <w:rPr>
                      <w:rFonts w:hint="eastAsia"/>
                      <w:szCs w:val="21"/>
                    </w:rPr>
                    <w:t>牙刷丝</w:t>
                  </w:r>
                  <w:r>
                    <w:rPr>
                      <w:szCs w:val="21"/>
                    </w:rPr>
                    <w:t>磨尖机</w:t>
                  </w:r>
                </w:p>
              </w:tc>
            </w:tr>
            <w:tr w14:paraId="200BD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0" w:type="dxa"/>
                  <w:bottom w:w="40" w:type="dxa"/>
                  <w:right w:w="0" w:type="dxa"/>
                </w:tblCellMar>
              </w:tblPrEx>
              <w:trPr>
                <w:trHeight w:val="312" w:hRule="atLeast"/>
                <w:jc w:val="center"/>
              </w:trPr>
              <w:tc>
                <w:tcPr>
                  <w:tcW w:w="472" w:type="pct"/>
                  <w:tcBorders>
                    <w:top w:val="single" w:color="auto" w:sz="4" w:space="0"/>
                    <w:left w:val="single" w:color="auto" w:sz="4" w:space="0"/>
                    <w:bottom w:val="single" w:color="auto" w:sz="4" w:space="0"/>
                    <w:right w:val="single" w:color="auto" w:sz="4" w:space="0"/>
                  </w:tcBorders>
                  <w:vAlign w:val="center"/>
                </w:tcPr>
                <w:p w14:paraId="6DBE6915">
                  <w:pPr>
                    <w:jc w:val="center"/>
                    <w:rPr>
                      <w:szCs w:val="21"/>
                    </w:rPr>
                  </w:pPr>
                  <w:r>
                    <w:rPr>
                      <w:rFonts w:hint="eastAsia"/>
                      <w:szCs w:val="21"/>
                    </w:rPr>
                    <w:t>6</w:t>
                  </w:r>
                </w:p>
              </w:tc>
              <w:tc>
                <w:tcPr>
                  <w:tcW w:w="764" w:type="pct"/>
                  <w:tcBorders>
                    <w:top w:val="single" w:color="auto" w:sz="4" w:space="0"/>
                    <w:left w:val="single" w:color="auto" w:sz="4" w:space="0"/>
                    <w:bottom w:val="single" w:color="auto" w:sz="4" w:space="0"/>
                    <w:right w:val="single" w:color="auto" w:sz="4" w:space="0"/>
                  </w:tcBorders>
                  <w:vAlign w:val="center"/>
                </w:tcPr>
                <w:p w14:paraId="7D573EEF">
                  <w:pPr>
                    <w:jc w:val="center"/>
                    <w:rPr>
                      <w:szCs w:val="21"/>
                    </w:rPr>
                  </w:pPr>
                  <w:r>
                    <w:rPr>
                      <w:rFonts w:hint="eastAsia"/>
                      <w:szCs w:val="21"/>
                    </w:rPr>
                    <w:t>打包机</w:t>
                  </w:r>
                </w:p>
              </w:tc>
              <w:tc>
                <w:tcPr>
                  <w:tcW w:w="577" w:type="pct"/>
                  <w:tcBorders>
                    <w:top w:val="single" w:color="auto" w:sz="4" w:space="0"/>
                    <w:left w:val="single" w:color="auto" w:sz="4" w:space="0"/>
                    <w:bottom w:val="single" w:color="auto" w:sz="4" w:space="0"/>
                    <w:right w:val="single" w:color="auto" w:sz="4" w:space="0"/>
                  </w:tcBorders>
                  <w:vAlign w:val="center"/>
                </w:tcPr>
                <w:p w14:paraId="2044D2DC">
                  <w:pPr>
                    <w:widowControl/>
                    <w:jc w:val="center"/>
                    <w:rPr>
                      <w:szCs w:val="21"/>
                    </w:rPr>
                  </w:pPr>
                  <w:r>
                    <w:rPr>
                      <w:rFonts w:hint="eastAsia"/>
                      <w:szCs w:val="21"/>
                    </w:rPr>
                    <w:t>/</w:t>
                  </w:r>
                </w:p>
              </w:tc>
              <w:tc>
                <w:tcPr>
                  <w:tcW w:w="412" w:type="pct"/>
                  <w:tcBorders>
                    <w:top w:val="single" w:color="auto" w:sz="4" w:space="0"/>
                    <w:left w:val="single" w:color="auto" w:sz="4" w:space="0"/>
                    <w:bottom w:val="single" w:color="auto" w:sz="4" w:space="0"/>
                    <w:right w:val="single" w:color="auto" w:sz="4" w:space="0"/>
                  </w:tcBorders>
                  <w:vAlign w:val="center"/>
                </w:tcPr>
                <w:p w14:paraId="12A7CFE1">
                  <w:pPr>
                    <w:jc w:val="center"/>
                    <w:rPr>
                      <w:szCs w:val="21"/>
                    </w:rPr>
                  </w:pPr>
                  <w:r>
                    <w:rPr>
                      <w:rFonts w:hint="eastAsia"/>
                      <w:szCs w:val="21"/>
                    </w:rPr>
                    <w:t>台</w:t>
                  </w:r>
                </w:p>
              </w:tc>
              <w:tc>
                <w:tcPr>
                  <w:tcW w:w="411" w:type="pct"/>
                  <w:tcBorders>
                    <w:top w:val="single" w:color="auto" w:sz="4" w:space="0"/>
                    <w:left w:val="single" w:color="auto" w:sz="4" w:space="0"/>
                    <w:bottom w:val="single" w:color="auto" w:sz="4" w:space="0"/>
                    <w:right w:val="single" w:color="auto" w:sz="4" w:space="0"/>
                  </w:tcBorders>
                  <w:vAlign w:val="center"/>
                </w:tcPr>
                <w:p w14:paraId="7B5337D6">
                  <w:pPr>
                    <w:jc w:val="center"/>
                    <w:rPr>
                      <w:szCs w:val="21"/>
                    </w:rPr>
                  </w:pPr>
                  <w:r>
                    <w:rPr>
                      <w:szCs w:val="21"/>
                    </w:rPr>
                    <w:t>2</w:t>
                  </w:r>
                </w:p>
              </w:tc>
              <w:tc>
                <w:tcPr>
                  <w:tcW w:w="2364" w:type="pct"/>
                  <w:tcBorders>
                    <w:top w:val="single" w:color="auto" w:sz="4" w:space="0"/>
                    <w:left w:val="single" w:color="auto" w:sz="4" w:space="0"/>
                    <w:bottom w:val="single" w:color="auto" w:sz="4" w:space="0"/>
                    <w:right w:val="single" w:color="auto" w:sz="4" w:space="0"/>
                  </w:tcBorders>
                  <w:vAlign w:val="center"/>
                </w:tcPr>
                <w:p w14:paraId="0C6C10CB">
                  <w:pPr>
                    <w:jc w:val="center"/>
                    <w:rPr>
                      <w:szCs w:val="21"/>
                    </w:rPr>
                  </w:pPr>
                  <w:r>
                    <w:rPr>
                      <w:rFonts w:hint="eastAsia"/>
                      <w:szCs w:val="21"/>
                    </w:rPr>
                    <w:t>用于打包</w:t>
                  </w:r>
                  <w:r>
                    <w:rPr>
                      <w:szCs w:val="21"/>
                    </w:rPr>
                    <w:t>成品</w:t>
                  </w:r>
                </w:p>
              </w:tc>
            </w:tr>
            <w:tr w14:paraId="5A2AD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0" w:type="dxa"/>
                  <w:bottom w:w="40" w:type="dxa"/>
                  <w:right w:w="0" w:type="dxa"/>
                </w:tblCellMar>
              </w:tblPrEx>
              <w:trPr>
                <w:trHeight w:val="312" w:hRule="atLeast"/>
                <w:jc w:val="center"/>
              </w:trPr>
              <w:tc>
                <w:tcPr>
                  <w:tcW w:w="472" w:type="pct"/>
                  <w:tcBorders>
                    <w:top w:val="single" w:color="auto" w:sz="4" w:space="0"/>
                    <w:left w:val="single" w:color="auto" w:sz="4" w:space="0"/>
                    <w:bottom w:val="single" w:color="auto" w:sz="4" w:space="0"/>
                    <w:right w:val="single" w:color="auto" w:sz="4" w:space="0"/>
                  </w:tcBorders>
                  <w:vAlign w:val="center"/>
                </w:tcPr>
                <w:p w14:paraId="4660917A">
                  <w:pPr>
                    <w:jc w:val="center"/>
                    <w:rPr>
                      <w:szCs w:val="21"/>
                    </w:rPr>
                  </w:pPr>
                  <w:r>
                    <w:rPr>
                      <w:szCs w:val="21"/>
                    </w:rPr>
                    <w:t>7</w:t>
                  </w:r>
                </w:p>
              </w:tc>
              <w:tc>
                <w:tcPr>
                  <w:tcW w:w="764" w:type="pct"/>
                  <w:tcBorders>
                    <w:top w:val="single" w:color="auto" w:sz="4" w:space="0"/>
                    <w:left w:val="single" w:color="auto" w:sz="4" w:space="0"/>
                    <w:bottom w:val="single" w:color="auto" w:sz="4" w:space="0"/>
                    <w:right w:val="single" w:color="auto" w:sz="4" w:space="0"/>
                  </w:tcBorders>
                  <w:vAlign w:val="center"/>
                </w:tcPr>
                <w:p w14:paraId="650D674C">
                  <w:pPr>
                    <w:jc w:val="center"/>
                    <w:rPr>
                      <w:szCs w:val="21"/>
                    </w:rPr>
                  </w:pPr>
                  <w:r>
                    <w:rPr>
                      <w:rFonts w:hint="eastAsia"/>
                      <w:szCs w:val="21"/>
                    </w:rPr>
                    <w:t>清洗池</w:t>
                  </w:r>
                </w:p>
              </w:tc>
              <w:tc>
                <w:tcPr>
                  <w:tcW w:w="577" w:type="pct"/>
                  <w:tcBorders>
                    <w:top w:val="single" w:color="auto" w:sz="4" w:space="0"/>
                    <w:left w:val="single" w:color="auto" w:sz="4" w:space="0"/>
                    <w:bottom w:val="single" w:color="auto" w:sz="4" w:space="0"/>
                    <w:right w:val="single" w:color="auto" w:sz="4" w:space="0"/>
                  </w:tcBorders>
                  <w:vAlign w:val="center"/>
                </w:tcPr>
                <w:p w14:paraId="2FD85448">
                  <w:pPr>
                    <w:widowControl/>
                    <w:jc w:val="center"/>
                    <w:rPr>
                      <w:szCs w:val="21"/>
                    </w:rPr>
                  </w:pPr>
                  <w:r>
                    <w:rPr>
                      <w:rFonts w:hint="eastAsia"/>
                      <w:szCs w:val="21"/>
                    </w:rPr>
                    <w:t>1</w:t>
                  </w:r>
                  <w:r>
                    <w:rPr>
                      <w:szCs w:val="21"/>
                    </w:rPr>
                    <w:t>m</w:t>
                  </w:r>
                  <w:r>
                    <w:rPr>
                      <w:szCs w:val="21"/>
                      <w:vertAlign w:val="superscript"/>
                    </w:rPr>
                    <w:t>3</w:t>
                  </w:r>
                </w:p>
              </w:tc>
              <w:tc>
                <w:tcPr>
                  <w:tcW w:w="412" w:type="pct"/>
                  <w:tcBorders>
                    <w:top w:val="single" w:color="auto" w:sz="4" w:space="0"/>
                    <w:left w:val="single" w:color="auto" w:sz="4" w:space="0"/>
                    <w:bottom w:val="single" w:color="auto" w:sz="4" w:space="0"/>
                    <w:right w:val="single" w:color="auto" w:sz="4" w:space="0"/>
                  </w:tcBorders>
                  <w:vAlign w:val="center"/>
                </w:tcPr>
                <w:p w14:paraId="3B2292B4">
                  <w:pPr>
                    <w:jc w:val="center"/>
                    <w:rPr>
                      <w:szCs w:val="21"/>
                    </w:rPr>
                  </w:pPr>
                  <w:r>
                    <w:rPr>
                      <w:rFonts w:hint="eastAsia"/>
                      <w:szCs w:val="21"/>
                    </w:rPr>
                    <w:t>个</w:t>
                  </w:r>
                </w:p>
              </w:tc>
              <w:tc>
                <w:tcPr>
                  <w:tcW w:w="411" w:type="pct"/>
                  <w:tcBorders>
                    <w:top w:val="single" w:color="auto" w:sz="4" w:space="0"/>
                    <w:left w:val="single" w:color="auto" w:sz="4" w:space="0"/>
                    <w:bottom w:val="single" w:color="auto" w:sz="4" w:space="0"/>
                    <w:right w:val="single" w:color="auto" w:sz="4" w:space="0"/>
                  </w:tcBorders>
                  <w:vAlign w:val="center"/>
                </w:tcPr>
                <w:p w14:paraId="609917AB">
                  <w:pPr>
                    <w:jc w:val="center"/>
                    <w:rPr>
                      <w:szCs w:val="21"/>
                    </w:rPr>
                  </w:pPr>
                  <w:r>
                    <w:rPr>
                      <w:rFonts w:hint="eastAsia"/>
                      <w:szCs w:val="21"/>
                    </w:rPr>
                    <w:t>10</w:t>
                  </w:r>
                </w:p>
              </w:tc>
              <w:tc>
                <w:tcPr>
                  <w:tcW w:w="2364" w:type="pct"/>
                  <w:tcBorders>
                    <w:top w:val="single" w:color="auto" w:sz="4" w:space="0"/>
                    <w:left w:val="single" w:color="auto" w:sz="4" w:space="0"/>
                    <w:bottom w:val="single" w:color="auto" w:sz="4" w:space="0"/>
                    <w:right w:val="single" w:color="auto" w:sz="4" w:space="0"/>
                  </w:tcBorders>
                  <w:vAlign w:val="center"/>
                </w:tcPr>
                <w:p w14:paraId="565DF526">
                  <w:pPr>
                    <w:jc w:val="center"/>
                    <w:rPr>
                      <w:szCs w:val="21"/>
                    </w:rPr>
                  </w:pPr>
                  <w:r>
                    <w:rPr>
                      <w:rFonts w:hint="eastAsia"/>
                      <w:szCs w:val="21"/>
                    </w:rPr>
                    <w:t>漂洗牙刷丝</w:t>
                  </w:r>
                </w:p>
              </w:tc>
            </w:tr>
            <w:tr w14:paraId="5BF3E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0" w:type="dxa"/>
                  <w:bottom w:w="40" w:type="dxa"/>
                  <w:right w:w="0" w:type="dxa"/>
                </w:tblCellMar>
              </w:tblPrEx>
              <w:trPr>
                <w:trHeight w:val="312" w:hRule="atLeast"/>
                <w:jc w:val="center"/>
              </w:trPr>
              <w:tc>
                <w:tcPr>
                  <w:tcW w:w="472" w:type="pct"/>
                  <w:tcBorders>
                    <w:top w:val="single" w:color="auto" w:sz="4" w:space="0"/>
                    <w:left w:val="single" w:color="auto" w:sz="4" w:space="0"/>
                    <w:bottom w:val="single" w:color="auto" w:sz="4" w:space="0"/>
                    <w:right w:val="single" w:color="auto" w:sz="4" w:space="0"/>
                  </w:tcBorders>
                  <w:vAlign w:val="center"/>
                </w:tcPr>
                <w:p w14:paraId="377A582D">
                  <w:pPr>
                    <w:jc w:val="center"/>
                    <w:rPr>
                      <w:szCs w:val="21"/>
                    </w:rPr>
                  </w:pPr>
                  <w:r>
                    <w:rPr>
                      <w:rFonts w:hint="eastAsia"/>
                      <w:szCs w:val="21"/>
                    </w:rPr>
                    <w:t>8</w:t>
                  </w:r>
                </w:p>
              </w:tc>
              <w:tc>
                <w:tcPr>
                  <w:tcW w:w="764" w:type="pct"/>
                  <w:tcBorders>
                    <w:top w:val="single" w:color="auto" w:sz="4" w:space="0"/>
                    <w:left w:val="single" w:color="auto" w:sz="4" w:space="0"/>
                    <w:bottom w:val="single" w:color="auto" w:sz="4" w:space="0"/>
                    <w:right w:val="single" w:color="auto" w:sz="4" w:space="0"/>
                  </w:tcBorders>
                  <w:vAlign w:val="center"/>
                </w:tcPr>
                <w:p w14:paraId="0936EBCD">
                  <w:pPr>
                    <w:jc w:val="center"/>
                    <w:rPr>
                      <w:szCs w:val="21"/>
                    </w:rPr>
                  </w:pPr>
                  <w:r>
                    <w:rPr>
                      <w:rFonts w:hint="eastAsia"/>
                    </w:rPr>
                    <w:t>循环冷却</w:t>
                  </w:r>
                  <w:r>
                    <w:t>系统</w:t>
                  </w:r>
                </w:p>
              </w:tc>
              <w:tc>
                <w:tcPr>
                  <w:tcW w:w="577" w:type="pct"/>
                  <w:tcBorders>
                    <w:top w:val="single" w:color="auto" w:sz="4" w:space="0"/>
                    <w:left w:val="single" w:color="auto" w:sz="4" w:space="0"/>
                    <w:bottom w:val="single" w:color="auto" w:sz="4" w:space="0"/>
                    <w:right w:val="single" w:color="auto" w:sz="4" w:space="0"/>
                  </w:tcBorders>
                  <w:vAlign w:val="center"/>
                </w:tcPr>
                <w:p w14:paraId="6AE99D1B">
                  <w:pPr>
                    <w:widowControl/>
                    <w:jc w:val="center"/>
                    <w:rPr>
                      <w:szCs w:val="21"/>
                    </w:rPr>
                  </w:pPr>
                  <w:r>
                    <w:rPr>
                      <w:szCs w:val="21"/>
                    </w:rPr>
                    <w:t>1.2</w:t>
                  </w:r>
                  <w:r>
                    <w:rPr>
                      <w:rFonts w:hint="eastAsia"/>
                      <w:szCs w:val="21"/>
                    </w:rPr>
                    <w:t>t/h</w:t>
                  </w:r>
                </w:p>
              </w:tc>
              <w:tc>
                <w:tcPr>
                  <w:tcW w:w="412" w:type="pct"/>
                  <w:tcBorders>
                    <w:top w:val="single" w:color="auto" w:sz="4" w:space="0"/>
                    <w:left w:val="single" w:color="auto" w:sz="4" w:space="0"/>
                    <w:bottom w:val="single" w:color="auto" w:sz="4" w:space="0"/>
                    <w:right w:val="single" w:color="auto" w:sz="4" w:space="0"/>
                  </w:tcBorders>
                  <w:vAlign w:val="center"/>
                </w:tcPr>
                <w:p w14:paraId="47BAF058">
                  <w:pPr>
                    <w:jc w:val="center"/>
                    <w:rPr>
                      <w:szCs w:val="21"/>
                    </w:rPr>
                  </w:pPr>
                  <w:r>
                    <w:rPr>
                      <w:rFonts w:hint="eastAsia"/>
                      <w:szCs w:val="21"/>
                    </w:rPr>
                    <w:t>套</w:t>
                  </w:r>
                </w:p>
              </w:tc>
              <w:tc>
                <w:tcPr>
                  <w:tcW w:w="411" w:type="pct"/>
                  <w:tcBorders>
                    <w:top w:val="single" w:color="auto" w:sz="4" w:space="0"/>
                    <w:left w:val="single" w:color="auto" w:sz="4" w:space="0"/>
                    <w:bottom w:val="single" w:color="auto" w:sz="4" w:space="0"/>
                    <w:right w:val="single" w:color="auto" w:sz="4" w:space="0"/>
                  </w:tcBorders>
                  <w:vAlign w:val="center"/>
                </w:tcPr>
                <w:p w14:paraId="6E050947">
                  <w:pPr>
                    <w:jc w:val="center"/>
                    <w:rPr>
                      <w:szCs w:val="21"/>
                    </w:rPr>
                  </w:pPr>
                  <w:r>
                    <w:rPr>
                      <w:rFonts w:hint="eastAsia"/>
                      <w:szCs w:val="21"/>
                    </w:rPr>
                    <w:t>1</w:t>
                  </w:r>
                </w:p>
              </w:tc>
              <w:tc>
                <w:tcPr>
                  <w:tcW w:w="2364" w:type="pct"/>
                  <w:tcBorders>
                    <w:top w:val="single" w:color="auto" w:sz="4" w:space="0"/>
                    <w:left w:val="single" w:color="auto" w:sz="4" w:space="0"/>
                    <w:bottom w:val="single" w:color="auto" w:sz="4" w:space="0"/>
                    <w:right w:val="single" w:color="auto" w:sz="4" w:space="0"/>
                  </w:tcBorders>
                  <w:vAlign w:val="center"/>
                </w:tcPr>
                <w:p w14:paraId="7E05BA14">
                  <w:pPr>
                    <w:jc w:val="center"/>
                    <w:rPr>
                      <w:szCs w:val="21"/>
                    </w:rPr>
                  </w:pPr>
                  <w:r>
                    <w:rPr>
                      <w:rFonts w:hint="eastAsia"/>
                    </w:rPr>
                    <w:t>6</w:t>
                  </w:r>
                  <w:r>
                    <w:t>m</w:t>
                  </w:r>
                  <w:r>
                    <w:rPr>
                      <w:vertAlign w:val="superscript"/>
                    </w:rPr>
                    <w:t>3</w:t>
                  </w:r>
                  <w:r>
                    <w:rPr>
                      <w:rFonts w:hint="eastAsia"/>
                    </w:rPr>
                    <w:t>循环</w:t>
                  </w:r>
                  <w:r>
                    <w:t>冷却水水池</w:t>
                  </w:r>
                  <w:r>
                    <w:rPr>
                      <w:rFonts w:hint="eastAsia"/>
                    </w:rPr>
                    <w:t>，</w:t>
                  </w:r>
                  <w:r>
                    <w:t>用于产品冷却</w:t>
                  </w:r>
                </w:p>
              </w:tc>
            </w:tr>
          </w:tbl>
          <w:p w14:paraId="00E6A00A">
            <w:pPr>
              <w:spacing w:line="360" w:lineRule="auto"/>
              <w:ind w:firstLine="480" w:firstLineChars="200"/>
              <w:rPr>
                <w:rFonts w:eastAsia="黑体"/>
                <w:b/>
                <w:iCs/>
                <w:sz w:val="24"/>
                <w:u w:val="single"/>
              </w:rPr>
            </w:pPr>
            <w:r>
              <w:rPr>
                <w:rFonts w:hint="eastAsia" w:hAnsi="宋体"/>
                <w:kern w:val="0"/>
                <w:sz w:val="24"/>
              </w:rPr>
              <w:t>根据</w:t>
            </w:r>
            <w:r>
              <w:rPr>
                <w:rFonts w:hAnsi="宋体"/>
                <w:kern w:val="0"/>
                <w:sz w:val="24"/>
              </w:rPr>
              <w:t>《产业结构调整指导目录（</w:t>
            </w:r>
            <w:r>
              <w:rPr>
                <w:kern w:val="0"/>
                <w:sz w:val="24"/>
              </w:rPr>
              <w:t>20</w:t>
            </w:r>
            <w:r>
              <w:rPr>
                <w:rFonts w:hint="eastAsia"/>
                <w:kern w:val="0"/>
                <w:sz w:val="24"/>
              </w:rPr>
              <w:t>24</w:t>
            </w:r>
            <w:r>
              <w:rPr>
                <w:rFonts w:hAnsi="宋体"/>
                <w:kern w:val="0"/>
                <w:sz w:val="24"/>
              </w:rPr>
              <w:t>年版）》和</w:t>
            </w:r>
            <w:r>
              <w:rPr>
                <w:rFonts w:hint="eastAsia"/>
                <w:sz w:val="24"/>
              </w:rPr>
              <w:t>《河南省部分工业行业淘汰落后生产工艺装备和产品目录》</w:t>
            </w:r>
            <w:r>
              <w:rPr>
                <w:rFonts w:hAnsi="宋体"/>
                <w:kern w:val="0"/>
                <w:sz w:val="24"/>
              </w:rPr>
              <w:t>可知，项目所选设备均不属于国家淘汰和限制的</w:t>
            </w:r>
            <w:r>
              <w:rPr>
                <w:rFonts w:hint="eastAsia"/>
                <w:sz w:val="24"/>
              </w:rPr>
              <w:t>生产工艺装备</w:t>
            </w:r>
            <w:r>
              <w:rPr>
                <w:rFonts w:hAnsi="宋体"/>
                <w:kern w:val="0"/>
                <w:sz w:val="24"/>
              </w:rPr>
              <w:t>，可满足正常生产的需要。</w:t>
            </w:r>
            <w:r>
              <w:rPr>
                <w:b/>
                <w:sz w:val="24"/>
                <w:szCs w:val="32"/>
                <w:u w:val="single"/>
              </w:rPr>
              <w:t>本项目拟购置2</w:t>
            </w:r>
            <w:r>
              <w:rPr>
                <w:rFonts w:hint="eastAsia"/>
                <w:b/>
                <w:sz w:val="24"/>
                <w:szCs w:val="32"/>
                <w:u w:val="single"/>
              </w:rPr>
              <w:t>台拉丝机</w:t>
            </w:r>
            <w:r>
              <w:rPr>
                <w:b/>
                <w:sz w:val="24"/>
                <w:szCs w:val="32"/>
                <w:u w:val="single"/>
              </w:rPr>
              <w:t>，每</w:t>
            </w:r>
            <w:r>
              <w:rPr>
                <w:rFonts w:hint="eastAsia"/>
                <w:b/>
                <w:sz w:val="24"/>
                <w:szCs w:val="32"/>
                <w:u w:val="single"/>
              </w:rPr>
              <w:t>台拉丝机</w:t>
            </w:r>
            <w:r>
              <w:rPr>
                <w:b/>
                <w:sz w:val="24"/>
                <w:szCs w:val="32"/>
                <w:u w:val="single"/>
              </w:rPr>
              <w:t>的生产能力为1.5t/h，项目年</w:t>
            </w:r>
            <w:r>
              <w:rPr>
                <w:rFonts w:hint="eastAsia"/>
                <w:b/>
                <w:sz w:val="24"/>
                <w:szCs w:val="32"/>
                <w:u w:val="single"/>
              </w:rPr>
              <w:t>运行</w:t>
            </w:r>
            <w:r>
              <w:rPr>
                <w:b/>
                <w:sz w:val="24"/>
                <w:szCs w:val="32"/>
                <w:u w:val="single"/>
              </w:rPr>
              <w:t>300d，每天生产24h，则2条生产线生产能力为21600t/a</w:t>
            </w:r>
            <w:r>
              <w:rPr>
                <w:rFonts w:hint="eastAsia"/>
                <w:b/>
                <w:sz w:val="24"/>
                <w:szCs w:val="32"/>
                <w:u w:val="single"/>
              </w:rPr>
              <w:t>，</w:t>
            </w:r>
            <w:r>
              <w:rPr>
                <w:b/>
                <w:sz w:val="24"/>
                <w:szCs w:val="32"/>
                <w:u w:val="single"/>
              </w:rPr>
              <w:t>满足项目设计产量的要求。</w:t>
            </w:r>
            <w:r>
              <w:rPr>
                <w:rFonts w:hint="eastAsia"/>
                <w:b/>
                <w:sz w:val="24"/>
                <w:szCs w:val="32"/>
                <w:u w:val="single"/>
              </w:rPr>
              <w:t>根据</w:t>
            </w:r>
            <w:r>
              <w:rPr>
                <w:b/>
                <w:sz w:val="24"/>
                <w:szCs w:val="32"/>
                <w:u w:val="single"/>
              </w:rPr>
              <w:t>计算，拉丝机每天运行</w:t>
            </w:r>
            <w:r>
              <w:rPr>
                <w:rFonts w:hint="eastAsia"/>
                <w:b/>
                <w:sz w:val="24"/>
                <w:szCs w:val="32"/>
                <w:u w:val="single"/>
              </w:rPr>
              <w:t>7小时</w:t>
            </w:r>
            <w:r>
              <w:rPr>
                <w:b/>
                <w:sz w:val="24"/>
                <w:szCs w:val="32"/>
                <w:u w:val="single"/>
              </w:rPr>
              <w:t>即可满足</w:t>
            </w:r>
            <w:r>
              <w:rPr>
                <w:rFonts w:hint="eastAsia"/>
                <w:b/>
                <w:sz w:val="24"/>
                <w:szCs w:val="32"/>
                <w:u w:val="single"/>
              </w:rPr>
              <w:t>5000</w:t>
            </w:r>
            <w:r>
              <w:rPr>
                <w:b/>
                <w:sz w:val="24"/>
                <w:szCs w:val="32"/>
                <w:u w:val="single"/>
              </w:rPr>
              <w:t>t/a的产能需求</w:t>
            </w:r>
            <w:r>
              <w:rPr>
                <w:rFonts w:hint="eastAsia"/>
                <w:b/>
                <w:sz w:val="24"/>
                <w:szCs w:val="32"/>
                <w:u w:val="single"/>
              </w:rPr>
              <w:t>，清洗后</w:t>
            </w:r>
            <w:r>
              <w:rPr>
                <w:b/>
                <w:sz w:val="24"/>
                <w:szCs w:val="32"/>
                <w:u w:val="single"/>
              </w:rPr>
              <w:t>晾干</w:t>
            </w:r>
            <w:r>
              <w:rPr>
                <w:rFonts w:hint="eastAsia"/>
                <w:b/>
                <w:sz w:val="24"/>
                <w:szCs w:val="32"/>
                <w:u w:val="single"/>
              </w:rPr>
              <w:t>及理丝</w:t>
            </w:r>
            <w:r>
              <w:rPr>
                <w:b/>
                <w:sz w:val="24"/>
                <w:szCs w:val="32"/>
                <w:u w:val="single"/>
              </w:rPr>
              <w:t>耗时较长</w:t>
            </w:r>
            <w:r>
              <w:rPr>
                <w:rFonts w:hint="eastAsia"/>
                <w:b/>
                <w:sz w:val="24"/>
                <w:szCs w:val="32"/>
                <w:u w:val="single"/>
              </w:rPr>
              <w:t>，因此三班工作制。</w:t>
            </w:r>
          </w:p>
          <w:p w14:paraId="69DB9778">
            <w:pPr>
              <w:spacing w:line="360" w:lineRule="auto"/>
              <w:ind w:firstLine="482" w:firstLineChars="200"/>
              <w:rPr>
                <w:rFonts w:eastAsia="黑体"/>
                <w:b/>
                <w:iCs/>
                <w:sz w:val="24"/>
              </w:rPr>
            </w:pPr>
            <w:r>
              <w:rPr>
                <w:rFonts w:hint="eastAsia" w:eastAsia="黑体"/>
                <w:b/>
                <w:iCs/>
                <w:sz w:val="24"/>
              </w:rPr>
              <w:t>5</w:t>
            </w:r>
            <w:r>
              <w:rPr>
                <w:rFonts w:eastAsia="黑体"/>
                <w:b/>
                <w:iCs/>
                <w:sz w:val="24"/>
              </w:rPr>
              <w:t>、原辅材料及能源使用情况</w:t>
            </w:r>
          </w:p>
          <w:p w14:paraId="65B46277">
            <w:pPr>
              <w:pStyle w:val="11"/>
              <w:spacing w:line="360" w:lineRule="auto"/>
              <w:ind w:firstLine="482"/>
              <w:rPr>
                <w:sz w:val="24"/>
              </w:rPr>
            </w:pPr>
            <w:r>
              <w:rPr>
                <w:rFonts w:hint="eastAsia"/>
                <w:b/>
                <w:sz w:val="24"/>
              </w:rPr>
              <w:t>（</w:t>
            </w:r>
            <w:r>
              <w:rPr>
                <w:b/>
                <w:sz w:val="24"/>
              </w:rPr>
              <w:t>1</w:t>
            </w:r>
            <w:r>
              <w:rPr>
                <w:rFonts w:hint="eastAsia"/>
                <w:b/>
                <w:sz w:val="24"/>
              </w:rPr>
              <w:t>）</w:t>
            </w:r>
            <w:r>
              <w:rPr>
                <w:rFonts w:hint="eastAsia"/>
                <w:b/>
                <w:iCs/>
                <w:sz w:val="24"/>
              </w:rPr>
              <w:t>原辅材料及能源使用情况</w:t>
            </w:r>
          </w:p>
          <w:p w14:paraId="640D22AE">
            <w:pPr>
              <w:pStyle w:val="11"/>
              <w:spacing w:line="360" w:lineRule="auto"/>
              <w:ind w:firstLine="480"/>
              <w:rPr>
                <w:sz w:val="24"/>
              </w:rPr>
            </w:pPr>
            <w:r>
              <w:rPr>
                <w:bCs w:val="0"/>
                <w:sz w:val="24"/>
              </w:rPr>
              <w:t>本</w:t>
            </w:r>
            <w:r>
              <w:rPr>
                <w:sz w:val="24"/>
              </w:rPr>
              <w:t>项目主要原辅材料及能源消耗情况见表</w:t>
            </w:r>
            <w:r>
              <w:rPr>
                <w:rFonts w:hint="eastAsia"/>
                <w:sz w:val="24"/>
              </w:rPr>
              <w:t>1</w:t>
            </w:r>
            <w:r>
              <w:rPr>
                <w:sz w:val="24"/>
              </w:rPr>
              <w:t>0。</w:t>
            </w:r>
          </w:p>
          <w:p w14:paraId="2E2EA445">
            <w:pPr>
              <w:spacing w:line="360" w:lineRule="auto"/>
              <w:jc w:val="center"/>
              <w:rPr>
                <w:b/>
                <w:sz w:val="24"/>
              </w:rPr>
            </w:pPr>
            <w:r>
              <w:rPr>
                <w:b/>
                <w:sz w:val="24"/>
              </w:rPr>
              <w:t>表</w:t>
            </w:r>
            <w:r>
              <w:rPr>
                <w:rFonts w:hint="eastAsia"/>
                <w:b/>
                <w:sz w:val="24"/>
              </w:rPr>
              <w:t>1</w:t>
            </w:r>
            <w:r>
              <w:rPr>
                <w:b/>
                <w:sz w:val="24"/>
              </w:rPr>
              <w:t>0   主要原辅材料及能源消耗情况一览表</w:t>
            </w:r>
          </w:p>
          <w:tbl>
            <w:tblPr>
              <w:tblStyle w:val="29"/>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28" w:type="dxa"/>
                <w:bottom w:w="0" w:type="dxa"/>
                <w:right w:w="28" w:type="dxa"/>
              </w:tblCellMar>
            </w:tblPr>
            <w:tblGrid>
              <w:gridCol w:w="634"/>
              <w:gridCol w:w="1195"/>
              <w:gridCol w:w="1789"/>
              <w:gridCol w:w="1109"/>
              <w:gridCol w:w="635"/>
              <w:gridCol w:w="800"/>
              <w:gridCol w:w="2437"/>
            </w:tblGrid>
            <w:tr w14:paraId="228376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jc w:val="center"/>
              </w:trPr>
              <w:tc>
                <w:tcPr>
                  <w:tcW w:w="369" w:type="pct"/>
                  <w:tcBorders>
                    <w:top w:val="single" w:color="000000" w:sz="4" w:space="0"/>
                    <w:left w:val="single" w:color="000000" w:sz="4" w:space="0"/>
                    <w:bottom w:val="single" w:color="000000" w:sz="4" w:space="0"/>
                    <w:right w:val="single" w:color="000000" w:sz="4" w:space="0"/>
                  </w:tcBorders>
                  <w:vAlign w:val="center"/>
                </w:tcPr>
                <w:p w14:paraId="7C08AF8C">
                  <w:pPr>
                    <w:jc w:val="center"/>
                    <w:rPr>
                      <w:b/>
                      <w:u w:val="single"/>
                    </w:rPr>
                  </w:pPr>
                  <w:r>
                    <w:rPr>
                      <w:b/>
                      <w:u w:val="single"/>
                    </w:rPr>
                    <w:t>序号</w:t>
                  </w:r>
                </w:p>
              </w:tc>
              <w:tc>
                <w:tcPr>
                  <w:tcW w:w="695" w:type="pct"/>
                  <w:tcBorders>
                    <w:top w:val="single" w:color="000000" w:sz="4" w:space="0"/>
                    <w:left w:val="single" w:color="000000" w:sz="4" w:space="0"/>
                    <w:bottom w:val="single" w:color="000000" w:sz="4" w:space="0"/>
                    <w:right w:val="single" w:color="000000" w:sz="4" w:space="0"/>
                  </w:tcBorders>
                  <w:vAlign w:val="center"/>
                </w:tcPr>
                <w:p w14:paraId="0A451D56">
                  <w:pPr>
                    <w:jc w:val="center"/>
                    <w:rPr>
                      <w:b/>
                      <w:u w:val="single"/>
                    </w:rPr>
                  </w:pPr>
                  <w:r>
                    <w:rPr>
                      <w:b/>
                      <w:u w:val="single"/>
                    </w:rPr>
                    <w:t>原料名称</w:t>
                  </w:r>
                </w:p>
              </w:tc>
              <w:tc>
                <w:tcPr>
                  <w:tcW w:w="1040" w:type="pct"/>
                  <w:tcBorders>
                    <w:top w:val="single" w:color="000000" w:sz="4" w:space="0"/>
                    <w:left w:val="single" w:color="000000" w:sz="4" w:space="0"/>
                    <w:bottom w:val="single" w:color="000000" w:sz="4" w:space="0"/>
                    <w:right w:val="single" w:color="000000" w:sz="4" w:space="0"/>
                  </w:tcBorders>
                  <w:vAlign w:val="center"/>
                </w:tcPr>
                <w:p w14:paraId="765886B4">
                  <w:pPr>
                    <w:jc w:val="center"/>
                    <w:rPr>
                      <w:b/>
                      <w:u w:val="single"/>
                    </w:rPr>
                  </w:pPr>
                  <w:r>
                    <w:rPr>
                      <w:b/>
                      <w:u w:val="single"/>
                    </w:rPr>
                    <w:t>规格</w:t>
                  </w:r>
                </w:p>
              </w:tc>
              <w:tc>
                <w:tcPr>
                  <w:tcW w:w="645" w:type="pct"/>
                  <w:tcBorders>
                    <w:top w:val="single" w:color="000000" w:sz="4" w:space="0"/>
                    <w:left w:val="single" w:color="000000" w:sz="4" w:space="0"/>
                    <w:bottom w:val="single" w:color="000000" w:sz="4" w:space="0"/>
                    <w:right w:val="single" w:color="000000" w:sz="4" w:space="0"/>
                  </w:tcBorders>
                  <w:vAlign w:val="center"/>
                </w:tcPr>
                <w:p w14:paraId="58DC82B5">
                  <w:pPr>
                    <w:jc w:val="center"/>
                    <w:rPr>
                      <w:b/>
                      <w:u w:val="single"/>
                    </w:rPr>
                  </w:pPr>
                  <w:r>
                    <w:rPr>
                      <w:b/>
                      <w:u w:val="single"/>
                    </w:rPr>
                    <w:t>单位</w:t>
                  </w:r>
                </w:p>
              </w:tc>
              <w:tc>
                <w:tcPr>
                  <w:tcW w:w="369" w:type="pct"/>
                  <w:tcBorders>
                    <w:top w:val="single" w:color="000000" w:sz="4" w:space="0"/>
                    <w:left w:val="single" w:color="000000" w:sz="4" w:space="0"/>
                    <w:bottom w:val="single" w:color="000000" w:sz="4" w:space="0"/>
                    <w:right w:val="single" w:color="000000" w:sz="4" w:space="0"/>
                  </w:tcBorders>
                  <w:vAlign w:val="center"/>
                </w:tcPr>
                <w:p w14:paraId="67DD6A4F">
                  <w:pPr>
                    <w:jc w:val="center"/>
                    <w:rPr>
                      <w:b/>
                      <w:u w:val="single"/>
                    </w:rPr>
                  </w:pPr>
                  <w:r>
                    <w:rPr>
                      <w:b/>
                      <w:u w:val="single"/>
                    </w:rPr>
                    <w:t>数量</w:t>
                  </w:r>
                </w:p>
              </w:tc>
              <w:tc>
                <w:tcPr>
                  <w:tcW w:w="465" w:type="pct"/>
                  <w:tcBorders>
                    <w:top w:val="single" w:color="000000" w:sz="4" w:space="0"/>
                    <w:left w:val="single" w:color="000000" w:sz="4" w:space="0"/>
                    <w:bottom w:val="single" w:color="000000" w:sz="4" w:space="0"/>
                    <w:right w:val="single" w:color="000000" w:sz="4" w:space="0"/>
                  </w:tcBorders>
                </w:tcPr>
                <w:p w14:paraId="4A1ED978">
                  <w:pPr>
                    <w:jc w:val="center"/>
                    <w:rPr>
                      <w:b/>
                      <w:u w:val="single"/>
                    </w:rPr>
                  </w:pPr>
                  <w:r>
                    <w:rPr>
                      <w:rFonts w:hint="eastAsia"/>
                      <w:b/>
                      <w:u w:val="single"/>
                    </w:rPr>
                    <w:t>最大储存量</w:t>
                  </w:r>
                </w:p>
              </w:tc>
              <w:tc>
                <w:tcPr>
                  <w:tcW w:w="1418" w:type="pct"/>
                  <w:tcBorders>
                    <w:top w:val="single" w:color="000000" w:sz="4" w:space="0"/>
                    <w:left w:val="single" w:color="000000" w:sz="4" w:space="0"/>
                    <w:bottom w:val="single" w:color="000000" w:sz="4" w:space="0"/>
                    <w:right w:val="single" w:color="000000" w:sz="4" w:space="0"/>
                  </w:tcBorders>
                  <w:vAlign w:val="center"/>
                </w:tcPr>
                <w:p w14:paraId="20BF7E36">
                  <w:pPr>
                    <w:jc w:val="center"/>
                    <w:rPr>
                      <w:b/>
                      <w:u w:val="single"/>
                    </w:rPr>
                  </w:pPr>
                  <w:r>
                    <w:rPr>
                      <w:b/>
                      <w:u w:val="single"/>
                    </w:rPr>
                    <w:t>来源</w:t>
                  </w:r>
                </w:p>
              </w:tc>
            </w:tr>
            <w:tr w14:paraId="6868AD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jc w:val="center"/>
              </w:trPr>
              <w:tc>
                <w:tcPr>
                  <w:tcW w:w="369" w:type="pct"/>
                  <w:tcBorders>
                    <w:top w:val="single" w:color="000000" w:sz="4" w:space="0"/>
                    <w:left w:val="single" w:color="000000" w:sz="4" w:space="0"/>
                    <w:right w:val="single" w:color="000000" w:sz="4" w:space="0"/>
                  </w:tcBorders>
                  <w:vAlign w:val="center"/>
                </w:tcPr>
                <w:p w14:paraId="14D0E710">
                  <w:pPr>
                    <w:jc w:val="center"/>
                    <w:rPr>
                      <w:b/>
                      <w:u w:val="single"/>
                    </w:rPr>
                  </w:pPr>
                  <w:r>
                    <w:rPr>
                      <w:b/>
                      <w:u w:val="single"/>
                    </w:rPr>
                    <w:t>1</w:t>
                  </w:r>
                </w:p>
              </w:tc>
              <w:tc>
                <w:tcPr>
                  <w:tcW w:w="695" w:type="pct"/>
                  <w:tcBorders>
                    <w:top w:val="single" w:color="000000" w:sz="4" w:space="0"/>
                    <w:left w:val="single" w:color="000000" w:sz="4" w:space="0"/>
                    <w:right w:val="single" w:color="000000" w:sz="4" w:space="0"/>
                  </w:tcBorders>
                  <w:vAlign w:val="center"/>
                </w:tcPr>
                <w:p w14:paraId="6F0A7C38">
                  <w:pPr>
                    <w:jc w:val="center"/>
                    <w:rPr>
                      <w:b/>
                      <w:u w:val="single"/>
                    </w:rPr>
                  </w:pPr>
                  <w:r>
                    <w:rPr>
                      <w:b/>
                      <w:u w:val="single"/>
                    </w:rPr>
                    <w:t>PBT</w:t>
                  </w:r>
                </w:p>
              </w:tc>
              <w:tc>
                <w:tcPr>
                  <w:tcW w:w="1040" w:type="pct"/>
                  <w:tcBorders>
                    <w:top w:val="single" w:color="000000" w:sz="4" w:space="0"/>
                    <w:left w:val="single" w:color="000000" w:sz="4" w:space="0"/>
                    <w:bottom w:val="single" w:color="000000" w:sz="4" w:space="0"/>
                    <w:right w:val="single" w:color="000000" w:sz="4" w:space="0"/>
                  </w:tcBorders>
                  <w:vAlign w:val="center"/>
                </w:tcPr>
                <w:p w14:paraId="628AB210">
                  <w:pPr>
                    <w:jc w:val="center"/>
                    <w:rPr>
                      <w:b/>
                      <w:u w:val="single"/>
                    </w:rPr>
                  </w:pPr>
                  <w:r>
                    <w:rPr>
                      <w:b/>
                      <w:u w:val="single"/>
                    </w:rPr>
                    <w:t>1t/包，1-3mm</w:t>
                  </w:r>
                </w:p>
              </w:tc>
              <w:tc>
                <w:tcPr>
                  <w:tcW w:w="645" w:type="pct"/>
                  <w:vMerge w:val="restart"/>
                  <w:tcBorders>
                    <w:top w:val="single" w:color="000000" w:sz="4" w:space="0"/>
                    <w:left w:val="single" w:color="000000" w:sz="4" w:space="0"/>
                    <w:right w:val="single" w:color="000000" w:sz="4" w:space="0"/>
                  </w:tcBorders>
                  <w:vAlign w:val="center"/>
                </w:tcPr>
                <w:p w14:paraId="1078EEC7">
                  <w:pPr>
                    <w:jc w:val="center"/>
                    <w:rPr>
                      <w:b/>
                      <w:u w:val="single"/>
                    </w:rPr>
                  </w:pPr>
                  <w:r>
                    <w:rPr>
                      <w:b/>
                      <w:u w:val="single"/>
                    </w:rPr>
                    <w:t>t/a</w:t>
                  </w:r>
                </w:p>
              </w:tc>
              <w:tc>
                <w:tcPr>
                  <w:tcW w:w="369" w:type="pct"/>
                  <w:tcBorders>
                    <w:top w:val="single" w:color="000000" w:sz="4" w:space="0"/>
                    <w:left w:val="single" w:color="000000" w:sz="4" w:space="0"/>
                    <w:bottom w:val="single" w:color="000000" w:sz="4" w:space="0"/>
                    <w:right w:val="single" w:color="000000" w:sz="4" w:space="0"/>
                  </w:tcBorders>
                  <w:vAlign w:val="center"/>
                </w:tcPr>
                <w:p w14:paraId="24E0E1EF">
                  <w:pPr>
                    <w:jc w:val="center"/>
                    <w:rPr>
                      <w:b/>
                      <w:u w:val="single"/>
                    </w:rPr>
                  </w:pPr>
                  <w:r>
                    <w:rPr>
                      <w:b/>
                      <w:u w:val="single"/>
                    </w:rPr>
                    <w:t>2505</w:t>
                  </w:r>
                </w:p>
              </w:tc>
              <w:tc>
                <w:tcPr>
                  <w:tcW w:w="465" w:type="pct"/>
                  <w:tcBorders>
                    <w:top w:val="single" w:color="000000" w:sz="4" w:space="0"/>
                    <w:left w:val="single" w:color="000000" w:sz="4" w:space="0"/>
                    <w:bottom w:val="single" w:color="000000" w:sz="4" w:space="0"/>
                    <w:right w:val="single" w:color="000000" w:sz="4" w:space="0"/>
                  </w:tcBorders>
                </w:tcPr>
                <w:p w14:paraId="2A2B9C36">
                  <w:pPr>
                    <w:jc w:val="center"/>
                    <w:rPr>
                      <w:b/>
                      <w:u w:val="single"/>
                    </w:rPr>
                  </w:pPr>
                  <w:r>
                    <w:rPr>
                      <w:rFonts w:hint="eastAsia"/>
                      <w:b/>
                      <w:u w:val="single"/>
                    </w:rPr>
                    <w:t>2</w:t>
                  </w:r>
                  <w:r>
                    <w:rPr>
                      <w:b/>
                      <w:u w:val="single"/>
                    </w:rPr>
                    <w:t>50</w:t>
                  </w:r>
                </w:p>
              </w:tc>
              <w:tc>
                <w:tcPr>
                  <w:tcW w:w="1418" w:type="pct"/>
                  <w:tcBorders>
                    <w:top w:val="single" w:color="000000" w:sz="4" w:space="0"/>
                    <w:left w:val="single" w:color="000000" w:sz="4" w:space="0"/>
                    <w:bottom w:val="single" w:color="000000" w:sz="4" w:space="0"/>
                    <w:right w:val="single" w:color="000000" w:sz="4" w:space="0"/>
                  </w:tcBorders>
                  <w:vAlign w:val="center"/>
                </w:tcPr>
                <w:p w14:paraId="4FB4E27E">
                  <w:pPr>
                    <w:jc w:val="center"/>
                    <w:rPr>
                      <w:b/>
                      <w:u w:val="single"/>
                    </w:rPr>
                  </w:pPr>
                  <w:r>
                    <w:rPr>
                      <w:b/>
                      <w:u w:val="single"/>
                    </w:rPr>
                    <w:t>外购</w:t>
                  </w:r>
                  <w:r>
                    <w:rPr>
                      <w:rFonts w:hint="eastAsia"/>
                      <w:b/>
                      <w:u w:val="single"/>
                    </w:rPr>
                    <w:t>，</w:t>
                  </w:r>
                  <w:r>
                    <w:rPr>
                      <w:b/>
                      <w:u w:val="single"/>
                    </w:rPr>
                    <w:t>原料</w:t>
                  </w:r>
                </w:p>
              </w:tc>
            </w:tr>
            <w:tr w14:paraId="058CA6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jc w:val="center"/>
              </w:trPr>
              <w:tc>
                <w:tcPr>
                  <w:tcW w:w="369" w:type="pct"/>
                  <w:tcBorders>
                    <w:top w:val="single" w:color="000000" w:sz="4" w:space="0"/>
                    <w:left w:val="single" w:color="000000" w:sz="4" w:space="0"/>
                    <w:right w:val="single" w:color="000000" w:sz="4" w:space="0"/>
                  </w:tcBorders>
                  <w:vAlign w:val="center"/>
                </w:tcPr>
                <w:p w14:paraId="5F720A7E">
                  <w:pPr>
                    <w:jc w:val="center"/>
                    <w:rPr>
                      <w:b/>
                      <w:u w:val="single"/>
                    </w:rPr>
                  </w:pPr>
                  <w:r>
                    <w:rPr>
                      <w:b/>
                      <w:u w:val="single"/>
                    </w:rPr>
                    <w:t>2</w:t>
                  </w:r>
                </w:p>
              </w:tc>
              <w:tc>
                <w:tcPr>
                  <w:tcW w:w="695" w:type="pct"/>
                  <w:tcBorders>
                    <w:left w:val="single" w:color="000000" w:sz="4" w:space="0"/>
                    <w:right w:val="single" w:color="000000" w:sz="4" w:space="0"/>
                  </w:tcBorders>
                  <w:vAlign w:val="center"/>
                </w:tcPr>
                <w:p w14:paraId="45696FE6">
                  <w:pPr>
                    <w:jc w:val="center"/>
                    <w:rPr>
                      <w:b/>
                      <w:u w:val="single"/>
                    </w:rPr>
                  </w:pPr>
                  <w:r>
                    <w:rPr>
                      <w:b/>
                      <w:u w:val="single"/>
                    </w:rPr>
                    <w:t>PET</w:t>
                  </w:r>
                </w:p>
              </w:tc>
              <w:tc>
                <w:tcPr>
                  <w:tcW w:w="1040" w:type="pct"/>
                  <w:tcBorders>
                    <w:top w:val="single" w:color="000000" w:sz="4" w:space="0"/>
                    <w:left w:val="single" w:color="000000" w:sz="4" w:space="0"/>
                    <w:bottom w:val="single" w:color="000000" w:sz="4" w:space="0"/>
                    <w:right w:val="single" w:color="000000" w:sz="4" w:space="0"/>
                  </w:tcBorders>
                  <w:vAlign w:val="center"/>
                </w:tcPr>
                <w:p w14:paraId="2595A94A">
                  <w:pPr>
                    <w:jc w:val="center"/>
                    <w:rPr>
                      <w:b/>
                      <w:u w:val="single"/>
                    </w:rPr>
                  </w:pPr>
                  <w:r>
                    <w:rPr>
                      <w:b/>
                      <w:u w:val="single"/>
                    </w:rPr>
                    <w:t>1t/包，1-3mm</w:t>
                  </w:r>
                </w:p>
              </w:tc>
              <w:tc>
                <w:tcPr>
                  <w:tcW w:w="645" w:type="pct"/>
                  <w:vMerge w:val="continue"/>
                  <w:tcBorders>
                    <w:left w:val="single" w:color="000000" w:sz="4" w:space="0"/>
                    <w:right w:val="single" w:color="000000" w:sz="4" w:space="0"/>
                  </w:tcBorders>
                  <w:vAlign w:val="center"/>
                </w:tcPr>
                <w:p w14:paraId="3F8C0867">
                  <w:pPr>
                    <w:jc w:val="center"/>
                    <w:rPr>
                      <w:b/>
                      <w:u w:val="single"/>
                    </w:rPr>
                  </w:pPr>
                </w:p>
              </w:tc>
              <w:tc>
                <w:tcPr>
                  <w:tcW w:w="369" w:type="pct"/>
                  <w:tcBorders>
                    <w:top w:val="single" w:color="000000" w:sz="4" w:space="0"/>
                    <w:left w:val="single" w:color="000000" w:sz="4" w:space="0"/>
                    <w:bottom w:val="single" w:color="000000" w:sz="4" w:space="0"/>
                    <w:right w:val="single" w:color="000000" w:sz="4" w:space="0"/>
                  </w:tcBorders>
                  <w:vAlign w:val="center"/>
                </w:tcPr>
                <w:p w14:paraId="59C6B5CA">
                  <w:pPr>
                    <w:jc w:val="center"/>
                    <w:rPr>
                      <w:b/>
                      <w:u w:val="single"/>
                    </w:rPr>
                  </w:pPr>
                  <w:r>
                    <w:rPr>
                      <w:b/>
                      <w:u w:val="single"/>
                    </w:rPr>
                    <w:t>2505</w:t>
                  </w:r>
                </w:p>
              </w:tc>
              <w:tc>
                <w:tcPr>
                  <w:tcW w:w="465" w:type="pct"/>
                  <w:tcBorders>
                    <w:top w:val="single" w:color="000000" w:sz="4" w:space="0"/>
                    <w:left w:val="single" w:color="000000" w:sz="4" w:space="0"/>
                    <w:bottom w:val="single" w:color="000000" w:sz="4" w:space="0"/>
                    <w:right w:val="single" w:color="000000" w:sz="4" w:space="0"/>
                  </w:tcBorders>
                </w:tcPr>
                <w:p w14:paraId="1CDA18AF">
                  <w:pPr>
                    <w:jc w:val="center"/>
                    <w:rPr>
                      <w:b/>
                      <w:u w:val="single"/>
                    </w:rPr>
                  </w:pPr>
                  <w:r>
                    <w:rPr>
                      <w:rFonts w:hint="eastAsia"/>
                      <w:b/>
                      <w:u w:val="single"/>
                    </w:rPr>
                    <w:t>2</w:t>
                  </w:r>
                  <w:r>
                    <w:rPr>
                      <w:b/>
                      <w:u w:val="single"/>
                    </w:rPr>
                    <w:t>50</w:t>
                  </w:r>
                </w:p>
              </w:tc>
              <w:tc>
                <w:tcPr>
                  <w:tcW w:w="1418" w:type="pct"/>
                  <w:tcBorders>
                    <w:top w:val="single" w:color="000000" w:sz="4" w:space="0"/>
                    <w:left w:val="single" w:color="000000" w:sz="4" w:space="0"/>
                    <w:bottom w:val="single" w:color="000000" w:sz="4" w:space="0"/>
                    <w:right w:val="single" w:color="000000" w:sz="4" w:space="0"/>
                  </w:tcBorders>
                  <w:vAlign w:val="center"/>
                </w:tcPr>
                <w:p w14:paraId="4C279EED">
                  <w:pPr>
                    <w:jc w:val="center"/>
                    <w:rPr>
                      <w:b/>
                      <w:u w:val="single"/>
                    </w:rPr>
                  </w:pPr>
                  <w:r>
                    <w:rPr>
                      <w:b/>
                      <w:u w:val="single"/>
                    </w:rPr>
                    <w:t>外购</w:t>
                  </w:r>
                  <w:r>
                    <w:rPr>
                      <w:rFonts w:hint="eastAsia"/>
                      <w:b/>
                      <w:u w:val="single"/>
                    </w:rPr>
                    <w:t>，</w:t>
                  </w:r>
                  <w:r>
                    <w:rPr>
                      <w:b/>
                      <w:u w:val="single"/>
                    </w:rPr>
                    <w:t>原料</w:t>
                  </w:r>
                </w:p>
              </w:tc>
            </w:tr>
            <w:tr w14:paraId="400282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jc w:val="center"/>
              </w:trPr>
              <w:tc>
                <w:tcPr>
                  <w:tcW w:w="369" w:type="pct"/>
                  <w:tcBorders>
                    <w:top w:val="single" w:color="000000" w:sz="4" w:space="0"/>
                    <w:left w:val="single" w:color="000000" w:sz="4" w:space="0"/>
                    <w:right w:val="single" w:color="000000" w:sz="4" w:space="0"/>
                  </w:tcBorders>
                  <w:vAlign w:val="center"/>
                </w:tcPr>
                <w:p w14:paraId="42268D57">
                  <w:pPr>
                    <w:jc w:val="center"/>
                    <w:rPr>
                      <w:b/>
                      <w:u w:val="single"/>
                    </w:rPr>
                  </w:pPr>
                  <w:r>
                    <w:rPr>
                      <w:b/>
                      <w:u w:val="single"/>
                    </w:rPr>
                    <w:t>3</w:t>
                  </w:r>
                </w:p>
              </w:tc>
              <w:tc>
                <w:tcPr>
                  <w:tcW w:w="695" w:type="pct"/>
                  <w:tcBorders>
                    <w:left w:val="single" w:color="000000" w:sz="4" w:space="0"/>
                    <w:right w:val="single" w:color="000000" w:sz="4" w:space="0"/>
                  </w:tcBorders>
                  <w:vAlign w:val="center"/>
                </w:tcPr>
                <w:p w14:paraId="613946EF">
                  <w:pPr>
                    <w:jc w:val="center"/>
                    <w:rPr>
                      <w:b/>
                      <w:u w:val="single"/>
                    </w:rPr>
                  </w:pPr>
                  <w:r>
                    <w:rPr>
                      <w:b/>
                      <w:u w:val="single"/>
                    </w:rPr>
                    <w:t>PE薄膜</w:t>
                  </w:r>
                </w:p>
              </w:tc>
              <w:tc>
                <w:tcPr>
                  <w:tcW w:w="1040" w:type="pct"/>
                  <w:tcBorders>
                    <w:top w:val="single" w:color="000000" w:sz="4" w:space="0"/>
                    <w:left w:val="single" w:color="000000" w:sz="4" w:space="0"/>
                    <w:bottom w:val="single" w:color="000000" w:sz="4" w:space="0"/>
                    <w:right w:val="single" w:color="000000" w:sz="4" w:space="0"/>
                  </w:tcBorders>
                  <w:vAlign w:val="center"/>
                </w:tcPr>
                <w:p w14:paraId="30B1114E">
                  <w:pPr>
                    <w:jc w:val="center"/>
                    <w:rPr>
                      <w:b/>
                      <w:u w:val="single"/>
                    </w:rPr>
                  </w:pPr>
                  <w:r>
                    <w:rPr>
                      <w:b/>
                      <w:u w:val="single"/>
                    </w:rPr>
                    <w:t>20kg/卷</w:t>
                  </w:r>
                </w:p>
              </w:tc>
              <w:tc>
                <w:tcPr>
                  <w:tcW w:w="645" w:type="pct"/>
                  <w:vMerge w:val="continue"/>
                  <w:tcBorders>
                    <w:left w:val="single" w:color="000000" w:sz="4" w:space="0"/>
                    <w:right w:val="single" w:color="000000" w:sz="4" w:space="0"/>
                  </w:tcBorders>
                  <w:vAlign w:val="center"/>
                </w:tcPr>
                <w:p w14:paraId="33D7E975">
                  <w:pPr>
                    <w:jc w:val="center"/>
                    <w:rPr>
                      <w:b/>
                      <w:u w:val="single"/>
                    </w:rPr>
                  </w:pPr>
                </w:p>
              </w:tc>
              <w:tc>
                <w:tcPr>
                  <w:tcW w:w="369" w:type="pct"/>
                  <w:tcBorders>
                    <w:top w:val="single" w:color="000000" w:sz="4" w:space="0"/>
                    <w:left w:val="single" w:color="000000" w:sz="4" w:space="0"/>
                    <w:bottom w:val="single" w:color="000000" w:sz="4" w:space="0"/>
                    <w:right w:val="single" w:color="000000" w:sz="4" w:space="0"/>
                  </w:tcBorders>
                  <w:vAlign w:val="center"/>
                </w:tcPr>
                <w:p w14:paraId="1ECEABC3">
                  <w:pPr>
                    <w:jc w:val="center"/>
                    <w:rPr>
                      <w:b/>
                      <w:u w:val="single"/>
                    </w:rPr>
                  </w:pPr>
                  <w:r>
                    <w:rPr>
                      <w:b/>
                      <w:u w:val="single"/>
                    </w:rPr>
                    <w:t>0.4</w:t>
                  </w:r>
                </w:p>
              </w:tc>
              <w:tc>
                <w:tcPr>
                  <w:tcW w:w="465" w:type="pct"/>
                  <w:tcBorders>
                    <w:top w:val="single" w:color="000000" w:sz="4" w:space="0"/>
                    <w:left w:val="single" w:color="000000" w:sz="4" w:space="0"/>
                    <w:bottom w:val="single" w:color="000000" w:sz="4" w:space="0"/>
                    <w:right w:val="single" w:color="000000" w:sz="4" w:space="0"/>
                  </w:tcBorders>
                </w:tcPr>
                <w:p w14:paraId="7960BE45">
                  <w:pPr>
                    <w:jc w:val="center"/>
                    <w:rPr>
                      <w:b/>
                      <w:u w:val="single"/>
                    </w:rPr>
                  </w:pPr>
                  <w:r>
                    <w:rPr>
                      <w:rFonts w:hint="eastAsia"/>
                      <w:b/>
                      <w:u w:val="single"/>
                    </w:rPr>
                    <w:t>0</w:t>
                  </w:r>
                  <w:r>
                    <w:rPr>
                      <w:b/>
                      <w:u w:val="single"/>
                    </w:rPr>
                    <w:t>.05</w:t>
                  </w:r>
                </w:p>
              </w:tc>
              <w:tc>
                <w:tcPr>
                  <w:tcW w:w="1418" w:type="pct"/>
                  <w:tcBorders>
                    <w:top w:val="single" w:color="000000" w:sz="4" w:space="0"/>
                    <w:left w:val="single" w:color="000000" w:sz="4" w:space="0"/>
                    <w:bottom w:val="single" w:color="000000" w:sz="4" w:space="0"/>
                    <w:right w:val="single" w:color="000000" w:sz="4" w:space="0"/>
                  </w:tcBorders>
                  <w:vAlign w:val="center"/>
                </w:tcPr>
                <w:p w14:paraId="21DC23DB">
                  <w:pPr>
                    <w:jc w:val="center"/>
                    <w:rPr>
                      <w:b/>
                      <w:u w:val="single"/>
                    </w:rPr>
                  </w:pPr>
                  <w:r>
                    <w:rPr>
                      <w:b/>
                      <w:u w:val="single"/>
                    </w:rPr>
                    <w:t>外购</w:t>
                  </w:r>
                  <w:r>
                    <w:rPr>
                      <w:rFonts w:hint="eastAsia"/>
                      <w:b/>
                      <w:u w:val="single"/>
                    </w:rPr>
                    <w:t>，</w:t>
                  </w:r>
                  <w:r>
                    <w:rPr>
                      <w:b/>
                      <w:u w:val="single"/>
                    </w:rPr>
                    <w:t>产品</w:t>
                  </w:r>
                  <w:r>
                    <w:rPr>
                      <w:rFonts w:hint="eastAsia"/>
                      <w:b/>
                      <w:u w:val="single"/>
                    </w:rPr>
                    <w:t>缠绕</w:t>
                  </w:r>
                  <w:r>
                    <w:rPr>
                      <w:b/>
                      <w:u w:val="single"/>
                    </w:rPr>
                    <w:t>打捆</w:t>
                  </w:r>
                </w:p>
              </w:tc>
            </w:tr>
            <w:tr w14:paraId="06716F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jc w:val="center"/>
              </w:trPr>
              <w:tc>
                <w:tcPr>
                  <w:tcW w:w="369" w:type="pct"/>
                  <w:tcBorders>
                    <w:left w:val="single" w:color="000000" w:sz="4" w:space="0"/>
                    <w:bottom w:val="single" w:color="000000" w:sz="4" w:space="0"/>
                    <w:right w:val="single" w:color="000000" w:sz="4" w:space="0"/>
                  </w:tcBorders>
                  <w:vAlign w:val="center"/>
                </w:tcPr>
                <w:p w14:paraId="167C935A">
                  <w:pPr>
                    <w:jc w:val="center"/>
                    <w:rPr>
                      <w:b/>
                      <w:u w:val="single"/>
                    </w:rPr>
                  </w:pPr>
                  <w:r>
                    <w:rPr>
                      <w:b/>
                      <w:u w:val="single"/>
                    </w:rPr>
                    <w:t>4</w:t>
                  </w:r>
                </w:p>
              </w:tc>
              <w:tc>
                <w:tcPr>
                  <w:tcW w:w="695" w:type="pct"/>
                  <w:tcBorders>
                    <w:left w:val="single" w:color="000000" w:sz="4" w:space="0"/>
                    <w:right w:val="single" w:color="000000" w:sz="4" w:space="0"/>
                  </w:tcBorders>
                  <w:vAlign w:val="center"/>
                </w:tcPr>
                <w:p w14:paraId="41660AFC">
                  <w:pPr>
                    <w:jc w:val="center"/>
                    <w:rPr>
                      <w:b/>
                      <w:u w:val="single"/>
                    </w:rPr>
                  </w:pPr>
                  <w:r>
                    <w:rPr>
                      <w:b/>
                      <w:u w:val="single"/>
                    </w:rPr>
                    <w:t>包装箱</w:t>
                  </w:r>
                </w:p>
              </w:tc>
              <w:tc>
                <w:tcPr>
                  <w:tcW w:w="1040" w:type="pct"/>
                  <w:tcBorders>
                    <w:top w:val="single" w:color="000000" w:sz="4" w:space="0"/>
                    <w:left w:val="single" w:color="000000" w:sz="4" w:space="0"/>
                    <w:bottom w:val="single" w:color="000000" w:sz="4" w:space="0"/>
                    <w:right w:val="single" w:color="000000" w:sz="4" w:space="0"/>
                  </w:tcBorders>
                  <w:vAlign w:val="center"/>
                </w:tcPr>
                <w:p w14:paraId="147B0913">
                  <w:pPr>
                    <w:jc w:val="center"/>
                    <w:rPr>
                      <w:b/>
                      <w:u w:val="single"/>
                    </w:rPr>
                  </w:pPr>
                  <w:r>
                    <w:rPr>
                      <w:b/>
                      <w:u w:val="single"/>
                    </w:rPr>
                    <w:t>50*30*20cm</w:t>
                  </w:r>
                </w:p>
              </w:tc>
              <w:tc>
                <w:tcPr>
                  <w:tcW w:w="645" w:type="pct"/>
                  <w:tcBorders>
                    <w:left w:val="single" w:color="000000" w:sz="4" w:space="0"/>
                    <w:bottom w:val="single" w:color="000000" w:sz="4" w:space="0"/>
                    <w:right w:val="single" w:color="000000" w:sz="4" w:space="0"/>
                  </w:tcBorders>
                  <w:vAlign w:val="center"/>
                </w:tcPr>
                <w:p w14:paraId="4D5FCCE9">
                  <w:pPr>
                    <w:jc w:val="center"/>
                    <w:rPr>
                      <w:b/>
                      <w:u w:val="single"/>
                    </w:rPr>
                  </w:pPr>
                  <w:r>
                    <w:rPr>
                      <w:b/>
                      <w:u w:val="single"/>
                    </w:rPr>
                    <w:t>只/a</w:t>
                  </w:r>
                </w:p>
              </w:tc>
              <w:tc>
                <w:tcPr>
                  <w:tcW w:w="369" w:type="pct"/>
                  <w:tcBorders>
                    <w:top w:val="single" w:color="000000" w:sz="4" w:space="0"/>
                    <w:left w:val="single" w:color="000000" w:sz="4" w:space="0"/>
                    <w:bottom w:val="single" w:color="000000" w:sz="4" w:space="0"/>
                    <w:right w:val="single" w:color="000000" w:sz="4" w:space="0"/>
                  </w:tcBorders>
                  <w:vAlign w:val="center"/>
                </w:tcPr>
                <w:p w14:paraId="1C53B0D8">
                  <w:pPr>
                    <w:jc w:val="center"/>
                    <w:rPr>
                      <w:b/>
                      <w:u w:val="single"/>
                    </w:rPr>
                  </w:pPr>
                  <w:r>
                    <w:rPr>
                      <w:b/>
                      <w:u w:val="single"/>
                    </w:rPr>
                    <w:t>300</w:t>
                  </w:r>
                </w:p>
              </w:tc>
              <w:tc>
                <w:tcPr>
                  <w:tcW w:w="465" w:type="pct"/>
                  <w:tcBorders>
                    <w:top w:val="single" w:color="000000" w:sz="4" w:space="0"/>
                    <w:left w:val="single" w:color="000000" w:sz="4" w:space="0"/>
                    <w:bottom w:val="single" w:color="000000" w:sz="4" w:space="0"/>
                    <w:right w:val="single" w:color="000000" w:sz="4" w:space="0"/>
                  </w:tcBorders>
                </w:tcPr>
                <w:p w14:paraId="0B5AC5F0">
                  <w:pPr>
                    <w:jc w:val="center"/>
                    <w:rPr>
                      <w:b/>
                      <w:u w:val="single"/>
                    </w:rPr>
                  </w:pPr>
                  <w:r>
                    <w:rPr>
                      <w:b/>
                      <w:u w:val="single"/>
                    </w:rPr>
                    <w:t>30</w:t>
                  </w:r>
                </w:p>
              </w:tc>
              <w:tc>
                <w:tcPr>
                  <w:tcW w:w="1418" w:type="pct"/>
                  <w:tcBorders>
                    <w:top w:val="single" w:color="000000" w:sz="4" w:space="0"/>
                    <w:left w:val="single" w:color="000000" w:sz="4" w:space="0"/>
                    <w:bottom w:val="single" w:color="000000" w:sz="4" w:space="0"/>
                    <w:right w:val="single" w:color="000000" w:sz="4" w:space="0"/>
                  </w:tcBorders>
                  <w:vAlign w:val="center"/>
                </w:tcPr>
                <w:p w14:paraId="4FBECAE9">
                  <w:pPr>
                    <w:jc w:val="center"/>
                    <w:rPr>
                      <w:b/>
                      <w:u w:val="single"/>
                    </w:rPr>
                  </w:pPr>
                  <w:r>
                    <w:rPr>
                      <w:b/>
                      <w:u w:val="single"/>
                    </w:rPr>
                    <w:t>外购</w:t>
                  </w:r>
                  <w:r>
                    <w:rPr>
                      <w:rFonts w:hint="eastAsia"/>
                      <w:b/>
                      <w:u w:val="single"/>
                    </w:rPr>
                    <w:t>，</w:t>
                  </w:r>
                  <w:r>
                    <w:rPr>
                      <w:b/>
                      <w:u w:val="single"/>
                    </w:rPr>
                    <w:t>产品包装</w:t>
                  </w:r>
                </w:p>
              </w:tc>
            </w:tr>
            <w:tr w14:paraId="5BF075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jc w:val="center"/>
              </w:trPr>
              <w:tc>
                <w:tcPr>
                  <w:tcW w:w="369" w:type="pct"/>
                  <w:tcBorders>
                    <w:left w:val="single" w:color="000000" w:sz="4" w:space="0"/>
                    <w:bottom w:val="single" w:color="000000" w:sz="4" w:space="0"/>
                    <w:right w:val="single" w:color="000000" w:sz="4" w:space="0"/>
                  </w:tcBorders>
                  <w:vAlign w:val="center"/>
                </w:tcPr>
                <w:p w14:paraId="7F300313">
                  <w:pPr>
                    <w:jc w:val="center"/>
                    <w:rPr>
                      <w:b/>
                      <w:u w:val="single"/>
                    </w:rPr>
                  </w:pPr>
                  <w:r>
                    <w:rPr>
                      <w:b/>
                      <w:u w:val="single"/>
                    </w:rPr>
                    <w:t>5</w:t>
                  </w:r>
                </w:p>
              </w:tc>
              <w:tc>
                <w:tcPr>
                  <w:tcW w:w="695" w:type="pct"/>
                  <w:tcBorders>
                    <w:left w:val="single" w:color="000000" w:sz="4" w:space="0"/>
                    <w:right w:val="single" w:color="000000" w:sz="4" w:space="0"/>
                  </w:tcBorders>
                  <w:vAlign w:val="center"/>
                </w:tcPr>
                <w:p w14:paraId="1D55F6A2">
                  <w:pPr>
                    <w:jc w:val="center"/>
                    <w:rPr>
                      <w:b/>
                      <w:u w:val="single"/>
                    </w:rPr>
                  </w:pPr>
                  <w:r>
                    <w:rPr>
                      <w:rFonts w:hint="eastAsia"/>
                      <w:b/>
                      <w:u w:val="single"/>
                    </w:rPr>
                    <w:t>润滑油</w:t>
                  </w:r>
                </w:p>
              </w:tc>
              <w:tc>
                <w:tcPr>
                  <w:tcW w:w="1040" w:type="pct"/>
                  <w:tcBorders>
                    <w:top w:val="single" w:color="000000" w:sz="4" w:space="0"/>
                    <w:left w:val="single" w:color="000000" w:sz="4" w:space="0"/>
                    <w:bottom w:val="single" w:color="000000" w:sz="4" w:space="0"/>
                    <w:right w:val="single" w:color="000000" w:sz="4" w:space="0"/>
                  </w:tcBorders>
                  <w:vAlign w:val="center"/>
                </w:tcPr>
                <w:p w14:paraId="664A556F">
                  <w:pPr>
                    <w:jc w:val="center"/>
                    <w:rPr>
                      <w:b/>
                      <w:u w:val="single"/>
                    </w:rPr>
                  </w:pPr>
                  <w:r>
                    <w:rPr>
                      <w:b/>
                      <w:u w:val="single"/>
                    </w:rPr>
                    <w:t>10kg</w:t>
                  </w:r>
                  <w:r>
                    <w:rPr>
                      <w:rFonts w:hint="eastAsia"/>
                      <w:b/>
                      <w:u w:val="single"/>
                    </w:rPr>
                    <w:t>/桶</w:t>
                  </w:r>
                </w:p>
              </w:tc>
              <w:tc>
                <w:tcPr>
                  <w:tcW w:w="645" w:type="pct"/>
                  <w:tcBorders>
                    <w:left w:val="single" w:color="000000" w:sz="4" w:space="0"/>
                    <w:bottom w:val="single" w:color="000000" w:sz="4" w:space="0"/>
                    <w:right w:val="single" w:color="000000" w:sz="4" w:space="0"/>
                  </w:tcBorders>
                  <w:vAlign w:val="center"/>
                </w:tcPr>
                <w:p w14:paraId="22C3C6D8">
                  <w:pPr>
                    <w:jc w:val="center"/>
                    <w:rPr>
                      <w:b/>
                      <w:u w:val="single"/>
                    </w:rPr>
                  </w:pPr>
                  <w:r>
                    <w:rPr>
                      <w:b/>
                      <w:u w:val="single"/>
                    </w:rPr>
                    <w:t>t/a</w:t>
                  </w:r>
                </w:p>
              </w:tc>
              <w:tc>
                <w:tcPr>
                  <w:tcW w:w="369" w:type="pct"/>
                  <w:tcBorders>
                    <w:top w:val="single" w:color="000000" w:sz="4" w:space="0"/>
                    <w:left w:val="single" w:color="000000" w:sz="4" w:space="0"/>
                    <w:bottom w:val="single" w:color="000000" w:sz="4" w:space="0"/>
                    <w:right w:val="single" w:color="000000" w:sz="4" w:space="0"/>
                  </w:tcBorders>
                  <w:vAlign w:val="center"/>
                </w:tcPr>
                <w:p w14:paraId="6BCE084B">
                  <w:pPr>
                    <w:jc w:val="center"/>
                    <w:rPr>
                      <w:b/>
                      <w:u w:val="single"/>
                    </w:rPr>
                  </w:pPr>
                  <w:r>
                    <w:rPr>
                      <w:rFonts w:hint="eastAsia"/>
                      <w:b/>
                      <w:u w:val="single"/>
                    </w:rPr>
                    <w:t>0.1</w:t>
                  </w:r>
                </w:p>
              </w:tc>
              <w:tc>
                <w:tcPr>
                  <w:tcW w:w="465" w:type="pct"/>
                  <w:tcBorders>
                    <w:top w:val="single" w:color="000000" w:sz="4" w:space="0"/>
                    <w:left w:val="single" w:color="000000" w:sz="4" w:space="0"/>
                    <w:bottom w:val="single" w:color="000000" w:sz="4" w:space="0"/>
                    <w:right w:val="single" w:color="000000" w:sz="4" w:space="0"/>
                  </w:tcBorders>
                </w:tcPr>
                <w:p w14:paraId="0269580A">
                  <w:pPr>
                    <w:jc w:val="center"/>
                    <w:rPr>
                      <w:rFonts w:hint="eastAsia"/>
                      <w:b/>
                      <w:u w:val="single"/>
                    </w:rPr>
                  </w:pPr>
                  <w:r>
                    <w:rPr>
                      <w:rFonts w:hint="eastAsia"/>
                      <w:b/>
                      <w:u w:val="single"/>
                    </w:rPr>
                    <w:t>0</w:t>
                  </w:r>
                  <w:r>
                    <w:rPr>
                      <w:b/>
                      <w:u w:val="single"/>
                    </w:rPr>
                    <w:t>.1</w:t>
                  </w:r>
                </w:p>
              </w:tc>
              <w:tc>
                <w:tcPr>
                  <w:tcW w:w="1418" w:type="pct"/>
                  <w:tcBorders>
                    <w:top w:val="single" w:color="000000" w:sz="4" w:space="0"/>
                    <w:left w:val="single" w:color="000000" w:sz="4" w:space="0"/>
                    <w:bottom w:val="single" w:color="000000" w:sz="4" w:space="0"/>
                    <w:right w:val="single" w:color="000000" w:sz="4" w:space="0"/>
                  </w:tcBorders>
                  <w:vAlign w:val="center"/>
                </w:tcPr>
                <w:p w14:paraId="5B01ADF2">
                  <w:pPr>
                    <w:jc w:val="center"/>
                    <w:rPr>
                      <w:b/>
                      <w:u w:val="single"/>
                    </w:rPr>
                  </w:pPr>
                  <w:r>
                    <w:rPr>
                      <w:rFonts w:hint="eastAsia"/>
                      <w:b/>
                      <w:u w:val="single"/>
                    </w:rPr>
                    <w:t>外购</w:t>
                  </w:r>
                  <w:r>
                    <w:rPr>
                      <w:b/>
                      <w:u w:val="single"/>
                    </w:rPr>
                    <w:t>，设备维护用</w:t>
                  </w:r>
                </w:p>
              </w:tc>
            </w:tr>
            <w:tr w14:paraId="438EAD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jc w:val="center"/>
              </w:trPr>
              <w:tc>
                <w:tcPr>
                  <w:tcW w:w="369" w:type="pct"/>
                  <w:tcBorders>
                    <w:left w:val="single" w:color="000000" w:sz="4" w:space="0"/>
                    <w:bottom w:val="single" w:color="000000" w:sz="4" w:space="0"/>
                    <w:right w:val="single" w:color="000000" w:sz="4" w:space="0"/>
                  </w:tcBorders>
                  <w:vAlign w:val="center"/>
                </w:tcPr>
                <w:p w14:paraId="75D013CE">
                  <w:pPr>
                    <w:jc w:val="center"/>
                    <w:rPr>
                      <w:b/>
                      <w:u w:val="single"/>
                    </w:rPr>
                  </w:pPr>
                  <w:r>
                    <w:rPr>
                      <w:b/>
                      <w:u w:val="single"/>
                    </w:rPr>
                    <w:t>6</w:t>
                  </w:r>
                </w:p>
              </w:tc>
              <w:tc>
                <w:tcPr>
                  <w:tcW w:w="695" w:type="pct"/>
                  <w:tcBorders>
                    <w:left w:val="single" w:color="000000" w:sz="4" w:space="0"/>
                    <w:right w:val="single" w:color="000000" w:sz="4" w:space="0"/>
                  </w:tcBorders>
                  <w:vAlign w:val="center"/>
                </w:tcPr>
                <w:p w14:paraId="793C48F5">
                  <w:pPr>
                    <w:jc w:val="center"/>
                    <w:rPr>
                      <w:b/>
                      <w:u w:val="single"/>
                    </w:rPr>
                  </w:pPr>
                  <w:r>
                    <w:rPr>
                      <w:b/>
                      <w:u w:val="single"/>
                    </w:rPr>
                    <w:t>水</w:t>
                  </w:r>
                </w:p>
              </w:tc>
              <w:tc>
                <w:tcPr>
                  <w:tcW w:w="1040" w:type="pct"/>
                  <w:tcBorders>
                    <w:top w:val="single" w:color="000000" w:sz="4" w:space="0"/>
                    <w:left w:val="single" w:color="000000" w:sz="4" w:space="0"/>
                    <w:bottom w:val="single" w:color="000000" w:sz="4" w:space="0"/>
                    <w:right w:val="single" w:color="000000" w:sz="4" w:space="0"/>
                  </w:tcBorders>
                  <w:vAlign w:val="center"/>
                </w:tcPr>
                <w:p w14:paraId="49C7C8A7">
                  <w:pPr>
                    <w:jc w:val="center"/>
                    <w:rPr>
                      <w:b/>
                      <w:u w:val="single"/>
                    </w:rPr>
                  </w:pPr>
                  <w:r>
                    <w:rPr>
                      <w:b/>
                      <w:u w:val="single"/>
                    </w:rPr>
                    <w:t>/</w:t>
                  </w:r>
                </w:p>
              </w:tc>
              <w:tc>
                <w:tcPr>
                  <w:tcW w:w="645" w:type="pct"/>
                  <w:tcBorders>
                    <w:left w:val="single" w:color="000000" w:sz="4" w:space="0"/>
                    <w:bottom w:val="single" w:color="000000" w:sz="4" w:space="0"/>
                    <w:right w:val="single" w:color="000000" w:sz="4" w:space="0"/>
                  </w:tcBorders>
                  <w:vAlign w:val="center"/>
                </w:tcPr>
                <w:p w14:paraId="03503A7A">
                  <w:pPr>
                    <w:pStyle w:val="56"/>
                    <w:spacing w:before="24" w:after="24"/>
                    <w:rPr>
                      <w:rFonts w:ascii="Times New Roman"/>
                      <w:b/>
                      <w:u w:val="single"/>
                    </w:rPr>
                  </w:pPr>
                  <w:r>
                    <w:rPr>
                      <w:rFonts w:ascii="Times New Roman"/>
                      <w:b/>
                      <w:u w:val="single"/>
                    </w:rPr>
                    <w:t>t/a</w:t>
                  </w:r>
                </w:p>
              </w:tc>
              <w:tc>
                <w:tcPr>
                  <w:tcW w:w="369" w:type="pct"/>
                  <w:tcBorders>
                    <w:top w:val="single" w:color="000000" w:sz="4" w:space="0"/>
                    <w:left w:val="single" w:color="000000" w:sz="4" w:space="0"/>
                    <w:bottom w:val="single" w:color="000000" w:sz="4" w:space="0"/>
                    <w:right w:val="single" w:color="000000" w:sz="4" w:space="0"/>
                  </w:tcBorders>
                  <w:vAlign w:val="center"/>
                </w:tcPr>
                <w:p w14:paraId="1884DF25">
                  <w:pPr>
                    <w:jc w:val="center"/>
                    <w:rPr>
                      <w:b/>
                      <w:u w:val="single"/>
                    </w:rPr>
                  </w:pPr>
                  <w:r>
                    <w:rPr>
                      <w:b/>
                      <w:u w:val="single"/>
                    </w:rPr>
                    <w:t>2658</w:t>
                  </w:r>
                </w:p>
              </w:tc>
              <w:tc>
                <w:tcPr>
                  <w:tcW w:w="465" w:type="pct"/>
                  <w:tcBorders>
                    <w:top w:val="single" w:color="000000" w:sz="4" w:space="0"/>
                    <w:left w:val="single" w:color="000000" w:sz="4" w:space="0"/>
                    <w:bottom w:val="single" w:color="000000" w:sz="4" w:space="0"/>
                    <w:right w:val="single" w:color="000000" w:sz="4" w:space="0"/>
                  </w:tcBorders>
                </w:tcPr>
                <w:p w14:paraId="7E20E6EE">
                  <w:pPr>
                    <w:pStyle w:val="56"/>
                    <w:spacing w:before="24" w:after="24"/>
                    <w:rPr>
                      <w:rFonts w:ascii="Times New Roman"/>
                      <w:b/>
                      <w:u w:val="single"/>
                    </w:rPr>
                  </w:pPr>
                  <w:r>
                    <w:rPr>
                      <w:rFonts w:hint="eastAsia" w:ascii="Times New Roman"/>
                      <w:b/>
                      <w:u w:val="single"/>
                    </w:rPr>
                    <w:t>/</w:t>
                  </w:r>
                </w:p>
              </w:tc>
              <w:tc>
                <w:tcPr>
                  <w:tcW w:w="1418" w:type="pct"/>
                  <w:tcBorders>
                    <w:top w:val="single" w:color="000000" w:sz="4" w:space="0"/>
                    <w:left w:val="single" w:color="000000" w:sz="4" w:space="0"/>
                    <w:bottom w:val="single" w:color="000000" w:sz="4" w:space="0"/>
                    <w:right w:val="single" w:color="000000" w:sz="4" w:space="0"/>
                  </w:tcBorders>
                  <w:vAlign w:val="center"/>
                </w:tcPr>
                <w:p w14:paraId="33BCA128">
                  <w:pPr>
                    <w:pStyle w:val="56"/>
                    <w:spacing w:before="24" w:after="24"/>
                    <w:rPr>
                      <w:rFonts w:ascii="Times New Roman"/>
                      <w:b/>
                      <w:u w:val="single"/>
                    </w:rPr>
                  </w:pPr>
                  <w:r>
                    <w:rPr>
                      <w:rFonts w:ascii="Times New Roman"/>
                      <w:b/>
                      <w:u w:val="single"/>
                    </w:rPr>
                    <w:t>北关镇集中供水管网供给</w:t>
                  </w:r>
                </w:p>
              </w:tc>
            </w:tr>
            <w:tr w14:paraId="092AE9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jc w:val="center"/>
              </w:trPr>
              <w:tc>
                <w:tcPr>
                  <w:tcW w:w="369" w:type="pct"/>
                  <w:tcBorders>
                    <w:left w:val="single" w:color="000000" w:sz="4" w:space="0"/>
                    <w:bottom w:val="single" w:color="000000" w:sz="4" w:space="0"/>
                    <w:right w:val="single" w:color="000000" w:sz="4" w:space="0"/>
                  </w:tcBorders>
                  <w:vAlign w:val="center"/>
                </w:tcPr>
                <w:p w14:paraId="20F334ED">
                  <w:pPr>
                    <w:jc w:val="center"/>
                    <w:rPr>
                      <w:b/>
                      <w:u w:val="single"/>
                    </w:rPr>
                  </w:pPr>
                  <w:r>
                    <w:rPr>
                      <w:rFonts w:hint="eastAsia"/>
                      <w:b/>
                      <w:u w:val="single"/>
                    </w:rPr>
                    <w:t>7</w:t>
                  </w:r>
                </w:p>
              </w:tc>
              <w:tc>
                <w:tcPr>
                  <w:tcW w:w="695" w:type="pct"/>
                  <w:tcBorders>
                    <w:left w:val="single" w:color="000000" w:sz="4" w:space="0"/>
                    <w:right w:val="single" w:color="000000" w:sz="4" w:space="0"/>
                  </w:tcBorders>
                  <w:vAlign w:val="center"/>
                </w:tcPr>
                <w:p w14:paraId="6FDA3ACF">
                  <w:pPr>
                    <w:jc w:val="center"/>
                    <w:rPr>
                      <w:b/>
                      <w:u w:val="single"/>
                    </w:rPr>
                  </w:pPr>
                  <w:r>
                    <w:rPr>
                      <w:b/>
                      <w:u w:val="single"/>
                    </w:rPr>
                    <w:t>电</w:t>
                  </w:r>
                </w:p>
              </w:tc>
              <w:tc>
                <w:tcPr>
                  <w:tcW w:w="1040" w:type="pct"/>
                  <w:tcBorders>
                    <w:top w:val="single" w:color="000000" w:sz="4" w:space="0"/>
                    <w:left w:val="single" w:color="000000" w:sz="4" w:space="0"/>
                    <w:bottom w:val="single" w:color="000000" w:sz="4" w:space="0"/>
                    <w:right w:val="single" w:color="000000" w:sz="4" w:space="0"/>
                  </w:tcBorders>
                  <w:vAlign w:val="center"/>
                </w:tcPr>
                <w:p w14:paraId="17EB33AE">
                  <w:pPr>
                    <w:jc w:val="center"/>
                    <w:rPr>
                      <w:b/>
                      <w:u w:val="single"/>
                    </w:rPr>
                  </w:pPr>
                  <w:r>
                    <w:rPr>
                      <w:b/>
                      <w:u w:val="single"/>
                    </w:rPr>
                    <w:t>/</w:t>
                  </w:r>
                </w:p>
              </w:tc>
              <w:tc>
                <w:tcPr>
                  <w:tcW w:w="645" w:type="pct"/>
                  <w:tcBorders>
                    <w:top w:val="single" w:color="000000" w:sz="4" w:space="0"/>
                    <w:left w:val="single" w:color="000000" w:sz="4" w:space="0"/>
                    <w:bottom w:val="single" w:color="000000" w:sz="4" w:space="0"/>
                    <w:right w:val="single" w:color="000000" w:sz="4" w:space="0"/>
                  </w:tcBorders>
                  <w:vAlign w:val="center"/>
                </w:tcPr>
                <w:p w14:paraId="68A1FFE5">
                  <w:pPr>
                    <w:pStyle w:val="56"/>
                    <w:spacing w:before="24" w:after="24"/>
                    <w:rPr>
                      <w:rFonts w:ascii="Times New Roman"/>
                      <w:b/>
                      <w:u w:val="single"/>
                    </w:rPr>
                  </w:pPr>
                  <w:r>
                    <w:rPr>
                      <w:rFonts w:ascii="Times New Roman"/>
                      <w:b/>
                      <w:u w:val="single"/>
                    </w:rPr>
                    <w:t>万kwh/a</w:t>
                  </w:r>
                </w:p>
              </w:tc>
              <w:tc>
                <w:tcPr>
                  <w:tcW w:w="369" w:type="pct"/>
                  <w:tcBorders>
                    <w:top w:val="single" w:color="000000" w:sz="4" w:space="0"/>
                    <w:left w:val="single" w:color="000000" w:sz="4" w:space="0"/>
                    <w:bottom w:val="single" w:color="000000" w:sz="4" w:space="0"/>
                    <w:right w:val="single" w:color="000000" w:sz="4" w:space="0"/>
                  </w:tcBorders>
                  <w:vAlign w:val="center"/>
                </w:tcPr>
                <w:p w14:paraId="2849C876">
                  <w:pPr>
                    <w:jc w:val="center"/>
                    <w:rPr>
                      <w:b/>
                      <w:u w:val="single"/>
                    </w:rPr>
                  </w:pPr>
                  <w:r>
                    <w:rPr>
                      <w:b/>
                      <w:u w:val="single"/>
                    </w:rPr>
                    <w:t>50</w:t>
                  </w:r>
                </w:p>
              </w:tc>
              <w:tc>
                <w:tcPr>
                  <w:tcW w:w="465" w:type="pct"/>
                  <w:tcBorders>
                    <w:top w:val="single" w:color="000000" w:sz="4" w:space="0"/>
                    <w:left w:val="single" w:color="000000" w:sz="4" w:space="0"/>
                    <w:bottom w:val="single" w:color="000000" w:sz="4" w:space="0"/>
                    <w:right w:val="single" w:color="000000" w:sz="4" w:space="0"/>
                  </w:tcBorders>
                </w:tcPr>
                <w:p w14:paraId="3A4E084C">
                  <w:pPr>
                    <w:pStyle w:val="56"/>
                    <w:spacing w:before="24" w:after="24"/>
                    <w:rPr>
                      <w:rFonts w:ascii="Times New Roman"/>
                      <w:b/>
                      <w:u w:val="single"/>
                    </w:rPr>
                  </w:pPr>
                  <w:r>
                    <w:rPr>
                      <w:rFonts w:hint="eastAsia" w:ascii="Times New Roman"/>
                      <w:b/>
                      <w:u w:val="single"/>
                    </w:rPr>
                    <w:t>/</w:t>
                  </w:r>
                </w:p>
              </w:tc>
              <w:tc>
                <w:tcPr>
                  <w:tcW w:w="1418" w:type="pct"/>
                  <w:tcBorders>
                    <w:top w:val="single" w:color="000000" w:sz="4" w:space="0"/>
                    <w:left w:val="single" w:color="000000" w:sz="4" w:space="0"/>
                    <w:bottom w:val="single" w:color="000000" w:sz="4" w:space="0"/>
                    <w:right w:val="single" w:color="000000" w:sz="4" w:space="0"/>
                  </w:tcBorders>
                  <w:vAlign w:val="center"/>
                </w:tcPr>
                <w:p w14:paraId="243663C8">
                  <w:pPr>
                    <w:pStyle w:val="56"/>
                    <w:spacing w:before="24" w:after="24"/>
                    <w:rPr>
                      <w:rFonts w:ascii="Times New Roman"/>
                      <w:b/>
                      <w:u w:val="single"/>
                    </w:rPr>
                  </w:pPr>
                  <w:r>
                    <w:rPr>
                      <w:rFonts w:ascii="Times New Roman"/>
                      <w:b/>
                      <w:u w:val="single"/>
                    </w:rPr>
                    <w:t>北关镇集中供电</w:t>
                  </w:r>
                </w:p>
              </w:tc>
            </w:tr>
          </w:tbl>
          <w:p w14:paraId="0DAFA068">
            <w:pPr>
              <w:pStyle w:val="11"/>
              <w:spacing w:line="360" w:lineRule="auto"/>
              <w:ind w:firstLine="482"/>
              <w:rPr>
                <w:sz w:val="24"/>
              </w:rPr>
            </w:pPr>
            <w:r>
              <w:rPr>
                <w:rFonts w:hint="eastAsia"/>
                <w:b/>
                <w:sz w:val="24"/>
              </w:rPr>
              <w:t>（</w:t>
            </w:r>
            <w:r>
              <w:rPr>
                <w:b/>
                <w:sz w:val="24"/>
              </w:rPr>
              <w:t>2</w:t>
            </w:r>
            <w:r>
              <w:rPr>
                <w:rFonts w:hint="eastAsia"/>
                <w:b/>
                <w:sz w:val="24"/>
              </w:rPr>
              <w:t>）</w:t>
            </w:r>
            <w:r>
              <w:rPr>
                <w:rFonts w:hint="eastAsia"/>
                <w:b/>
                <w:iCs/>
                <w:sz w:val="24"/>
              </w:rPr>
              <w:t>原</w:t>
            </w:r>
            <w:r>
              <w:rPr>
                <w:b/>
                <w:iCs/>
                <w:sz w:val="24"/>
              </w:rPr>
              <w:t>辅材料理化性质</w:t>
            </w:r>
          </w:p>
          <w:p w14:paraId="0C1C23ED">
            <w:pPr>
              <w:spacing w:line="360" w:lineRule="auto"/>
              <w:ind w:firstLine="480" w:firstLineChars="200"/>
              <w:jc w:val="left"/>
              <w:rPr>
                <w:rFonts w:ascii="宋体" w:hAnsi="宋体" w:eastAsia="MS Mincho" w:cs="宋体"/>
                <w:sz w:val="24"/>
                <w:lang w:eastAsia="ja-JP"/>
              </w:rPr>
            </w:pPr>
            <w:r>
              <w:rPr>
                <w:sz w:val="24"/>
              </w:rPr>
              <w:t>PBT</w:t>
            </w:r>
            <w:r>
              <w:rPr>
                <w:rFonts w:hint="eastAsia"/>
                <w:sz w:val="24"/>
              </w:rPr>
              <w:t>（聚</w:t>
            </w:r>
            <w:r>
              <w:rPr>
                <w:sz w:val="24"/>
              </w:rPr>
              <w:t>对苯二甲酸丁二酯</w:t>
            </w:r>
            <w:r>
              <w:rPr>
                <w:rFonts w:hint="eastAsia"/>
                <w:sz w:val="24"/>
              </w:rPr>
              <w:t>）：</w:t>
            </w:r>
            <w:r>
              <w:rPr>
                <w:sz w:val="24"/>
              </w:rPr>
              <w:t>聚对苯二甲酸丁二酯为乳白色</w:t>
            </w:r>
            <w:r>
              <w:fldChar w:fldCharType="begin"/>
            </w:r>
            <w:r>
              <w:instrText xml:space="preserve"> HYPERLINK "https://baike.baidu.com/item/%E5%8D%8A%E9%80%8F%E6%98%8E/13630050?fromModule=lemma_inlink" \t "_blank" </w:instrText>
            </w:r>
            <w:r>
              <w:fldChar w:fldCharType="separate"/>
            </w:r>
            <w:r>
              <w:rPr>
                <w:sz w:val="24"/>
              </w:rPr>
              <w:t>半透明</w:t>
            </w:r>
            <w:r>
              <w:rPr>
                <w:sz w:val="24"/>
              </w:rPr>
              <w:fldChar w:fldCharType="end"/>
            </w:r>
            <w:r>
              <w:rPr>
                <w:sz w:val="24"/>
              </w:rPr>
              <w:t>到</w:t>
            </w:r>
            <w:r>
              <w:fldChar w:fldCharType="begin"/>
            </w:r>
            <w:r>
              <w:instrText xml:space="preserve"> HYPERLINK "https://baike.baidu.com/item/%E4%B8%8D%E9%80%8F%E6%98%8E/53181950?fromModule=lemma_inlink" \t "_blank" </w:instrText>
            </w:r>
            <w:r>
              <w:fldChar w:fldCharType="separate"/>
            </w:r>
            <w:r>
              <w:rPr>
                <w:sz w:val="24"/>
              </w:rPr>
              <w:t>不透明</w:t>
            </w:r>
            <w:r>
              <w:rPr>
                <w:sz w:val="24"/>
              </w:rPr>
              <w:fldChar w:fldCharType="end"/>
            </w:r>
            <w:r>
              <w:rPr>
                <w:sz w:val="24"/>
              </w:rPr>
              <w:t>、半结晶型热塑性聚酯，具有高</w:t>
            </w:r>
            <w:r>
              <w:fldChar w:fldCharType="begin"/>
            </w:r>
            <w:r>
              <w:instrText xml:space="preserve"> HYPERLINK "https://baike.baidu.com/item/%E8%80%90%E7%83%AD%E6%80%A7/9397486?fromModule=lemma_inlink" \t "_blank" </w:instrText>
            </w:r>
            <w:r>
              <w:fldChar w:fldCharType="separate"/>
            </w:r>
            <w:r>
              <w:rPr>
                <w:sz w:val="24"/>
              </w:rPr>
              <w:t>耐热性</w:t>
            </w:r>
            <w:r>
              <w:rPr>
                <w:sz w:val="24"/>
              </w:rPr>
              <w:fldChar w:fldCharType="end"/>
            </w:r>
            <w:r>
              <w:rPr>
                <w:sz w:val="24"/>
              </w:rPr>
              <w:t>。不耐</w:t>
            </w:r>
            <w:r>
              <w:fldChar w:fldCharType="begin"/>
            </w:r>
            <w:r>
              <w:instrText xml:space="preserve"> HYPERLINK "https://baike.baidu.com/item/%E5%BC%BA%E9%85%B8/10424255?fromModule=lemma_inlink" \t "_blank" </w:instrText>
            </w:r>
            <w:r>
              <w:fldChar w:fldCharType="separate"/>
            </w:r>
            <w:r>
              <w:rPr>
                <w:sz w:val="24"/>
              </w:rPr>
              <w:t>强酸</w:t>
            </w:r>
            <w:r>
              <w:rPr>
                <w:sz w:val="24"/>
              </w:rPr>
              <w:fldChar w:fldCharType="end"/>
            </w:r>
            <w:r>
              <w:rPr>
                <w:sz w:val="24"/>
              </w:rPr>
              <w:t>、强碱，能耐</w:t>
            </w:r>
            <w:r>
              <w:fldChar w:fldCharType="begin"/>
            </w:r>
            <w:r>
              <w:instrText xml:space="preserve"> HYPERLINK "https://baike.baidu.com/item/%E6%9C%89%E6%9C%BA%E6%BA%B6%E5%89%82/7921016?fromModule=lemma_inlink" \t "_blank" </w:instrText>
            </w:r>
            <w:r>
              <w:fldChar w:fldCharType="separate"/>
            </w:r>
            <w:r>
              <w:rPr>
                <w:sz w:val="24"/>
              </w:rPr>
              <w:t>有机溶剂</w:t>
            </w:r>
            <w:r>
              <w:rPr>
                <w:sz w:val="24"/>
              </w:rPr>
              <w:fldChar w:fldCharType="end"/>
            </w:r>
            <w:r>
              <w:rPr>
                <w:sz w:val="24"/>
              </w:rPr>
              <w:t>，可燃，高温下分解。</w:t>
            </w:r>
            <w:r>
              <w:rPr>
                <w:rFonts w:hint="eastAsia"/>
                <w:sz w:val="24"/>
              </w:rPr>
              <w:t>PBT的软化</w:t>
            </w:r>
            <w:r>
              <w:rPr>
                <w:sz w:val="24"/>
              </w:rPr>
              <w:t>温度170</w:t>
            </w:r>
            <w:r>
              <w:rPr>
                <w:rFonts w:hint="eastAsia" w:ascii="宋体" w:hAnsi="宋体" w:cs="宋体"/>
                <w:sz w:val="24"/>
                <w:lang w:eastAsia="ja-JP"/>
              </w:rPr>
              <w:t>℃</w:t>
            </w:r>
            <w:r>
              <w:rPr>
                <w:rFonts w:ascii="宋体" w:hAnsi="宋体" w:eastAsia="MS Mincho" w:cs="宋体"/>
                <w:sz w:val="24"/>
                <w:lang w:eastAsia="ja-JP"/>
              </w:rPr>
              <w:t>，</w:t>
            </w:r>
            <w:r>
              <w:rPr>
                <w:sz w:val="24"/>
              </w:rPr>
              <w:t>熔点为</w:t>
            </w:r>
            <w:r>
              <w:rPr>
                <w:rFonts w:hint="eastAsia"/>
                <w:sz w:val="24"/>
              </w:rPr>
              <w:t>233℃</w:t>
            </w:r>
            <w:r>
              <w:rPr>
                <w:sz w:val="24"/>
              </w:rPr>
              <w:t>，</w:t>
            </w:r>
            <w:r>
              <w:rPr>
                <w:rFonts w:hint="eastAsia"/>
                <w:sz w:val="24"/>
              </w:rPr>
              <w:t>260</w:t>
            </w:r>
            <w:r>
              <w:rPr>
                <w:sz w:val="24"/>
              </w:rPr>
              <w:t>~280</w:t>
            </w:r>
            <w:r>
              <w:rPr>
                <w:rFonts w:hint="eastAsia" w:ascii="宋体" w:hAnsi="宋体" w:cs="宋体"/>
                <w:sz w:val="24"/>
                <w:lang w:eastAsia="ja-JP"/>
              </w:rPr>
              <w:t>℃</w:t>
            </w:r>
            <w:r>
              <w:rPr>
                <w:rFonts w:ascii="宋体" w:hAnsi="宋体" w:eastAsia="MS Mincho" w:cs="宋体"/>
                <w:sz w:val="24"/>
                <w:lang w:eastAsia="ja-JP"/>
              </w:rPr>
              <w:t>左右开始分解。</w:t>
            </w:r>
          </w:p>
          <w:p w14:paraId="4FF5A706">
            <w:pPr>
              <w:spacing w:line="360" w:lineRule="auto"/>
              <w:ind w:firstLine="480" w:firstLineChars="200"/>
              <w:jc w:val="left"/>
              <w:rPr>
                <w:sz w:val="24"/>
              </w:rPr>
            </w:pPr>
            <w:r>
              <w:rPr>
                <w:sz w:val="24"/>
              </w:rPr>
              <w:t>PET</w:t>
            </w:r>
            <w:r>
              <w:rPr>
                <w:rFonts w:hint="eastAsia"/>
                <w:sz w:val="24"/>
              </w:rPr>
              <w:t>（聚</w:t>
            </w:r>
            <w:r>
              <w:rPr>
                <w:sz w:val="24"/>
              </w:rPr>
              <w:t>对苯二甲酸</w:t>
            </w:r>
            <w:r>
              <w:rPr>
                <w:rFonts w:hint="eastAsia"/>
                <w:sz w:val="24"/>
              </w:rPr>
              <w:t>乙二醇</w:t>
            </w:r>
            <w:r>
              <w:rPr>
                <w:sz w:val="24"/>
              </w:rPr>
              <w:t>酯</w:t>
            </w:r>
            <w:r>
              <w:rPr>
                <w:rFonts w:hint="eastAsia"/>
                <w:sz w:val="24"/>
              </w:rPr>
              <w:t>）：</w:t>
            </w:r>
            <w:r>
              <w:rPr>
                <w:sz w:val="24"/>
              </w:rPr>
              <w:t>为乳白色或浅黄色、高度结晶的</w:t>
            </w:r>
            <w:r>
              <w:fldChar w:fldCharType="begin"/>
            </w:r>
            <w:r>
              <w:instrText xml:space="preserve"> HYPERLINK "https://baike.baidu.com/item/%E8%81%9A%E5%90%88%E7%89%A9/6252844?fromModule=lemma_inlink" \t "_blank" </w:instrText>
            </w:r>
            <w:r>
              <w:fldChar w:fldCharType="separate"/>
            </w:r>
            <w:r>
              <w:rPr>
                <w:sz w:val="24"/>
              </w:rPr>
              <w:t>聚合物</w:t>
            </w:r>
            <w:r>
              <w:rPr>
                <w:sz w:val="24"/>
              </w:rPr>
              <w:fldChar w:fldCharType="end"/>
            </w:r>
            <w:r>
              <w:rPr>
                <w:sz w:val="24"/>
              </w:rPr>
              <w:t>，表面平滑有光泽，是生活中常见的一种</w:t>
            </w:r>
            <w:r>
              <w:fldChar w:fldCharType="begin"/>
            </w:r>
            <w:r>
              <w:instrText xml:space="preserve"> HYPERLINK "https://baike.baidu.com/item/%E6%A0%91%E8%84%82/281282?fromModule=lemma_inlink" \t "_blank" </w:instrText>
            </w:r>
            <w:r>
              <w:fldChar w:fldCharType="separate"/>
            </w:r>
            <w:r>
              <w:rPr>
                <w:sz w:val="24"/>
              </w:rPr>
              <w:t>树脂</w:t>
            </w:r>
            <w:r>
              <w:rPr>
                <w:sz w:val="24"/>
              </w:rPr>
              <w:fldChar w:fldCharType="end"/>
            </w:r>
            <w:r>
              <w:rPr>
                <w:sz w:val="24"/>
              </w:rPr>
              <w:t>，在较宽的温度范围内具有优良的物理机械性能，使用温度可达120</w:t>
            </w:r>
            <w:r>
              <w:rPr>
                <w:rFonts w:hint="eastAsia"/>
                <w:sz w:val="24"/>
              </w:rPr>
              <w:t>℃</w:t>
            </w:r>
            <w:r>
              <w:rPr>
                <w:sz w:val="24"/>
              </w:rPr>
              <w:t>，电绝缘性优良，甚至在高温高频下，其电性能仍较好，但耐电晕性较差，抗蠕变性，耐疲劳性，耐摩擦性、尺寸稳定性都很好。</w:t>
            </w:r>
            <w:r>
              <w:rPr>
                <w:rFonts w:hint="eastAsia"/>
                <w:sz w:val="24"/>
              </w:rPr>
              <w:t>P</w:t>
            </w:r>
            <w:r>
              <w:rPr>
                <w:sz w:val="24"/>
              </w:rPr>
              <w:t>E</w:t>
            </w:r>
            <w:r>
              <w:rPr>
                <w:rFonts w:hint="eastAsia"/>
                <w:sz w:val="24"/>
              </w:rPr>
              <w:t>T的软化</w:t>
            </w:r>
            <w:r>
              <w:rPr>
                <w:sz w:val="24"/>
              </w:rPr>
              <w:t>温度</w:t>
            </w:r>
            <w:r>
              <w:rPr>
                <w:rFonts w:hint="eastAsia"/>
                <w:sz w:val="24"/>
              </w:rPr>
              <w:t>230</w:t>
            </w:r>
            <w:r>
              <w:rPr>
                <w:sz w:val="24"/>
              </w:rPr>
              <w:t>~240</w:t>
            </w:r>
            <w:r>
              <w:rPr>
                <w:rFonts w:hint="eastAsia"/>
                <w:sz w:val="24"/>
              </w:rPr>
              <w:t>℃</w:t>
            </w:r>
            <w:r>
              <w:rPr>
                <w:sz w:val="24"/>
              </w:rPr>
              <w:t>，熔点为</w:t>
            </w:r>
            <w:r>
              <w:rPr>
                <w:rFonts w:hint="eastAsia"/>
                <w:sz w:val="24"/>
              </w:rPr>
              <w:t>2</w:t>
            </w:r>
            <w:r>
              <w:rPr>
                <w:sz w:val="24"/>
              </w:rPr>
              <w:t>50~255</w:t>
            </w:r>
            <w:r>
              <w:rPr>
                <w:rFonts w:hint="eastAsia"/>
                <w:sz w:val="24"/>
              </w:rPr>
              <w:t>℃</w:t>
            </w:r>
            <w:r>
              <w:rPr>
                <w:sz w:val="24"/>
              </w:rPr>
              <w:t>，分解</w:t>
            </w:r>
            <w:r>
              <w:rPr>
                <w:rFonts w:hint="eastAsia"/>
                <w:sz w:val="24"/>
              </w:rPr>
              <w:t>温度</w:t>
            </w:r>
            <w:r>
              <w:rPr>
                <w:sz w:val="24"/>
              </w:rPr>
              <w:t>427</w:t>
            </w:r>
            <w:r>
              <w:rPr>
                <w:rFonts w:hint="eastAsia"/>
                <w:sz w:val="24"/>
              </w:rPr>
              <w:t>℃</w:t>
            </w:r>
            <w:r>
              <w:rPr>
                <w:sz w:val="24"/>
              </w:rPr>
              <w:t>。</w:t>
            </w:r>
          </w:p>
          <w:p w14:paraId="6EEA9C58">
            <w:pPr>
              <w:spacing w:line="360" w:lineRule="auto"/>
              <w:ind w:firstLine="480" w:firstLineChars="200"/>
              <w:jc w:val="left"/>
              <w:rPr>
                <w:b/>
                <w:sz w:val="24"/>
              </w:rPr>
            </w:pPr>
            <w:r>
              <w:rPr>
                <w:rFonts w:hint="eastAsia"/>
                <w:sz w:val="24"/>
              </w:rPr>
              <w:t>P</w:t>
            </w:r>
            <w:r>
              <w:rPr>
                <w:sz w:val="24"/>
              </w:rPr>
              <w:t>E</w:t>
            </w:r>
            <w:r>
              <w:rPr>
                <w:rFonts w:hint="eastAsia"/>
                <w:sz w:val="24"/>
              </w:rPr>
              <w:t>薄膜</w:t>
            </w:r>
            <w:r>
              <w:rPr>
                <w:sz w:val="24"/>
              </w:rPr>
              <w:t>：</w:t>
            </w:r>
            <w:r>
              <w:rPr>
                <w:rFonts w:hint="eastAsia"/>
                <w:iCs/>
                <w:sz w:val="24"/>
              </w:rPr>
              <w:t>是以乙烯为单体而成的聚合物经吹塑</w:t>
            </w:r>
            <w:r>
              <w:rPr>
                <w:iCs/>
                <w:sz w:val="24"/>
              </w:rPr>
              <w:t>得到的薄膜</w:t>
            </w:r>
            <w:r>
              <w:rPr>
                <w:rFonts w:hint="eastAsia"/>
                <w:iCs/>
                <w:sz w:val="24"/>
              </w:rPr>
              <w:t>，软化点为12</w:t>
            </w:r>
            <w:r>
              <w:rPr>
                <w:iCs/>
                <w:sz w:val="24"/>
              </w:rPr>
              <w:t>0</w:t>
            </w:r>
            <w:r>
              <w:rPr>
                <w:rFonts w:hint="eastAsia"/>
                <w:iCs/>
                <w:sz w:val="24"/>
              </w:rPr>
              <w:t>～l</w:t>
            </w:r>
            <w:r>
              <w:rPr>
                <w:iCs/>
                <w:sz w:val="24"/>
              </w:rPr>
              <w:t>2</w:t>
            </w:r>
            <w:r>
              <w:rPr>
                <w:rFonts w:hint="eastAsia"/>
                <w:iCs/>
                <w:sz w:val="24"/>
              </w:rPr>
              <w:t>5℃，使用温度可达100℃；硬度、拉伸强度和蠕变性优于低密度聚乙烯；耐磨性、电绝缘性、韧性及耐寒性较好；化学稳定性好，在室温条件下，不溶于任何有机溶剂，耐酸、碱和各种盐类的腐蚀；薄膜对水蒸气和空气的渗透性小，吸水性低；耐老化性能差，耐环境应力开裂性不如低密度聚乙烯，特别是热氧化作用会使其性能下降，所以树脂中须加入抗氧剂和紫外线吸收剂等来改善这方面的不足。常温下不溶于一般溶剂，具有优异的化学稳定性，室温下耐盐酸、氢氟酸、磷酸、甲酸、胺类、氢氧化钠、氢氧化钾等各种化学物质，硝酸和硫酸对聚乙烯、高密度聚乙烯有较强的破坏作用</w:t>
            </w:r>
            <w:r>
              <w:rPr>
                <w:rFonts w:hint="eastAsia"/>
                <w:sz w:val="24"/>
              </w:rPr>
              <w:t>。</w:t>
            </w:r>
          </w:p>
          <w:p w14:paraId="40B53D24">
            <w:pPr>
              <w:spacing w:line="360" w:lineRule="auto"/>
              <w:ind w:firstLine="482" w:firstLineChars="200"/>
              <w:jc w:val="left"/>
              <w:rPr>
                <w:rFonts w:hAnsi="宋体"/>
                <w:sz w:val="24"/>
              </w:rPr>
            </w:pPr>
            <w:r>
              <w:rPr>
                <w:rFonts w:hint="eastAsia"/>
                <w:b/>
                <w:iCs/>
                <w:sz w:val="24"/>
              </w:rPr>
              <w:t>6、公用工程</w:t>
            </w:r>
          </w:p>
          <w:p w14:paraId="7F8023F8">
            <w:pPr>
              <w:adjustRightInd w:val="0"/>
              <w:snapToGrid w:val="0"/>
              <w:spacing w:line="360" w:lineRule="auto"/>
              <w:ind w:firstLine="480" w:firstLineChars="200"/>
              <w:jc w:val="left"/>
              <w:rPr>
                <w:sz w:val="24"/>
              </w:rPr>
            </w:pPr>
            <w:r>
              <w:rPr>
                <w:rFonts w:hint="eastAsia"/>
                <w:sz w:val="24"/>
              </w:rPr>
              <w:t>（</w:t>
            </w:r>
            <w:r>
              <w:rPr>
                <w:sz w:val="24"/>
              </w:rPr>
              <w:t>1</w:t>
            </w:r>
            <w:r>
              <w:rPr>
                <w:rFonts w:hint="eastAsia"/>
                <w:sz w:val="24"/>
              </w:rPr>
              <w:t>）</w:t>
            </w:r>
            <w:r>
              <w:rPr>
                <w:rFonts w:hint="eastAsia"/>
                <w:bCs/>
                <w:sz w:val="24"/>
              </w:rPr>
              <w:t>给排水</w:t>
            </w:r>
          </w:p>
          <w:p w14:paraId="390F1413">
            <w:pPr>
              <w:autoSpaceDE w:val="0"/>
              <w:autoSpaceDN w:val="0"/>
              <w:spacing w:line="360" w:lineRule="auto"/>
              <w:ind w:firstLine="480" w:firstLineChars="200"/>
              <w:jc w:val="left"/>
              <w:rPr>
                <w:b/>
                <w:bCs/>
                <w:sz w:val="24"/>
              </w:rPr>
            </w:pPr>
            <w:r>
              <w:rPr>
                <w:rFonts w:hint="eastAsia"/>
                <w:bCs/>
                <w:sz w:val="24"/>
              </w:rPr>
              <w:t>项目</w:t>
            </w:r>
            <w:r>
              <w:rPr>
                <w:rFonts w:hint="eastAsia"/>
                <w:sz w:val="24"/>
              </w:rPr>
              <w:t>用水由北关镇供水管网供给</w:t>
            </w:r>
            <w:r>
              <w:rPr>
                <w:rFonts w:hint="eastAsia"/>
                <w:b/>
                <w:sz w:val="24"/>
              </w:rPr>
              <w:t>，</w:t>
            </w:r>
            <w:r>
              <w:rPr>
                <w:rFonts w:hint="eastAsia"/>
                <w:sz w:val="24"/>
                <w:lang w:val="en-GB"/>
              </w:rPr>
              <w:t>主要为循环冷却</w:t>
            </w:r>
            <w:r>
              <w:rPr>
                <w:sz w:val="24"/>
                <w:lang w:val="en-GB"/>
              </w:rPr>
              <w:t>用水、</w:t>
            </w:r>
            <w:r>
              <w:rPr>
                <w:rFonts w:hint="eastAsia"/>
                <w:sz w:val="24"/>
                <w:lang w:val="en-GB"/>
              </w:rPr>
              <w:t>产品清洗</w:t>
            </w:r>
            <w:r>
              <w:rPr>
                <w:sz w:val="24"/>
                <w:lang w:val="en-GB"/>
              </w:rPr>
              <w:t>用水</w:t>
            </w:r>
            <w:r>
              <w:rPr>
                <w:rFonts w:hint="eastAsia"/>
                <w:sz w:val="24"/>
                <w:lang w:val="en-GB"/>
              </w:rPr>
              <w:t>以及生活用水。</w:t>
            </w:r>
          </w:p>
          <w:p w14:paraId="2EFDEEB0">
            <w:pPr>
              <w:adjustRightInd w:val="0"/>
              <w:snapToGrid w:val="0"/>
              <w:spacing w:line="360" w:lineRule="auto"/>
              <w:ind w:firstLine="480" w:firstLineChars="200"/>
              <w:rPr>
                <w:sz w:val="24"/>
                <w:szCs w:val="20"/>
              </w:rPr>
            </w:pPr>
            <w:r>
              <w:rPr>
                <w:rFonts w:hint="eastAsia" w:ascii="宋体" w:hAnsi="宋体"/>
                <w:sz w:val="24"/>
                <w:szCs w:val="20"/>
              </w:rPr>
              <w:t>①生活</w:t>
            </w:r>
            <w:r>
              <w:rPr>
                <w:rFonts w:ascii="宋体" w:hAnsi="宋体"/>
                <w:sz w:val="24"/>
                <w:szCs w:val="20"/>
              </w:rPr>
              <w:t>用水：</w:t>
            </w:r>
            <w:r>
              <w:rPr>
                <w:rFonts w:hint="eastAsia"/>
                <w:sz w:val="24"/>
                <w:lang w:val="en-GB"/>
              </w:rPr>
              <w:t>项目</w:t>
            </w:r>
            <w:r>
              <w:rPr>
                <w:rFonts w:hint="eastAsia"/>
                <w:bCs/>
                <w:sz w:val="24"/>
              </w:rPr>
              <w:t>劳动定员</w:t>
            </w:r>
            <w:r>
              <w:rPr>
                <w:bCs/>
                <w:sz w:val="24"/>
              </w:rPr>
              <w:t>50</w:t>
            </w:r>
            <w:r>
              <w:rPr>
                <w:rFonts w:hint="eastAsia"/>
                <w:bCs/>
                <w:sz w:val="24"/>
              </w:rPr>
              <w:t>人，均</w:t>
            </w:r>
            <w:r>
              <w:rPr>
                <w:sz w:val="24"/>
              </w:rPr>
              <w:t>不在厂内食宿，</w:t>
            </w:r>
            <w:r>
              <w:rPr>
                <w:rFonts w:hint="eastAsia"/>
                <w:sz w:val="24"/>
              </w:rPr>
              <w:t>厂区设置厕所，结合</w:t>
            </w:r>
            <w:r>
              <w:rPr>
                <w:sz w:val="24"/>
                <w:szCs w:val="32"/>
              </w:rPr>
              <w:t>《河南省地方标准工业与城镇生活用水定额》（DB41/T385-2020）</w:t>
            </w:r>
            <w:r>
              <w:rPr>
                <w:rFonts w:hint="eastAsia"/>
                <w:sz w:val="24"/>
              </w:rPr>
              <w:t>，</w:t>
            </w:r>
            <w:r>
              <w:rPr>
                <w:sz w:val="24"/>
              </w:rPr>
              <w:t>人员生活用水量按4</w:t>
            </w:r>
            <w:r>
              <w:rPr>
                <w:rFonts w:hint="eastAsia"/>
                <w:sz w:val="24"/>
              </w:rPr>
              <w:t>0</w:t>
            </w:r>
            <w:r>
              <w:rPr>
                <w:sz w:val="24"/>
              </w:rPr>
              <w:t>L/</w:t>
            </w:r>
            <w:r>
              <w:rPr>
                <w:rFonts w:hint="eastAsia"/>
                <w:sz w:val="24"/>
              </w:rPr>
              <w:t>人</w:t>
            </w:r>
            <w:r>
              <w:rPr>
                <w:sz w:val="24"/>
              </w:rPr>
              <w:t>•d</w:t>
            </w:r>
            <w:r>
              <w:rPr>
                <w:rFonts w:hint="eastAsia"/>
                <w:sz w:val="24"/>
              </w:rPr>
              <w:t>计，则</w:t>
            </w:r>
            <w:r>
              <w:rPr>
                <w:rFonts w:hint="eastAsia"/>
                <w:bCs/>
                <w:sz w:val="24"/>
                <w:lang w:val="en-GB"/>
              </w:rPr>
              <w:t>生活</w:t>
            </w:r>
            <w:r>
              <w:rPr>
                <w:rFonts w:hint="eastAsia"/>
                <w:sz w:val="24"/>
              </w:rPr>
              <w:t>用水量合计为</w:t>
            </w:r>
            <w:r>
              <w:rPr>
                <w:sz w:val="24"/>
              </w:rPr>
              <w:t>2</w:t>
            </w:r>
            <w:r>
              <w:rPr>
                <w:bCs/>
                <w:sz w:val="24"/>
                <w:lang w:val="en-GB"/>
              </w:rPr>
              <w:t>m</w:t>
            </w:r>
            <w:r>
              <w:rPr>
                <w:bCs/>
                <w:sz w:val="24"/>
                <w:vertAlign w:val="superscript"/>
                <w:lang w:val="en-GB"/>
              </w:rPr>
              <w:t>3</w:t>
            </w:r>
            <w:r>
              <w:rPr>
                <w:bCs/>
                <w:sz w:val="24"/>
                <w:lang w:val="en-GB"/>
              </w:rPr>
              <w:t>/d</w:t>
            </w:r>
            <w:r>
              <w:rPr>
                <w:rFonts w:hint="eastAsia"/>
                <w:bCs/>
                <w:sz w:val="24"/>
              </w:rPr>
              <w:t>，</w:t>
            </w:r>
            <w:r>
              <w:rPr>
                <w:bCs/>
                <w:sz w:val="24"/>
              </w:rPr>
              <w:t>600m</w:t>
            </w:r>
            <w:r>
              <w:rPr>
                <w:bCs/>
                <w:sz w:val="24"/>
                <w:vertAlign w:val="superscript"/>
              </w:rPr>
              <w:t>3</w:t>
            </w:r>
            <w:r>
              <w:rPr>
                <w:bCs/>
                <w:sz w:val="24"/>
              </w:rPr>
              <w:t>/a</w:t>
            </w:r>
            <w:r>
              <w:rPr>
                <w:rFonts w:hint="eastAsia"/>
                <w:bCs/>
                <w:sz w:val="24"/>
              </w:rPr>
              <w:t>，排放系数按</w:t>
            </w:r>
            <w:r>
              <w:rPr>
                <w:bCs/>
                <w:sz w:val="24"/>
              </w:rPr>
              <w:t>0.8</w:t>
            </w:r>
            <w:r>
              <w:rPr>
                <w:rFonts w:hint="eastAsia"/>
                <w:bCs/>
                <w:sz w:val="24"/>
              </w:rPr>
              <w:t>计，则生活污水产生量为</w:t>
            </w:r>
            <w:r>
              <w:rPr>
                <w:bCs/>
                <w:sz w:val="24"/>
              </w:rPr>
              <w:t>1.6</w:t>
            </w:r>
            <w:r>
              <w:rPr>
                <w:bCs/>
                <w:sz w:val="24"/>
                <w:lang w:val="en-GB"/>
              </w:rPr>
              <w:t>m</w:t>
            </w:r>
            <w:r>
              <w:rPr>
                <w:bCs/>
                <w:sz w:val="24"/>
                <w:vertAlign w:val="superscript"/>
                <w:lang w:val="en-GB"/>
              </w:rPr>
              <w:t>3</w:t>
            </w:r>
            <w:r>
              <w:rPr>
                <w:bCs/>
                <w:sz w:val="24"/>
                <w:lang w:val="en-GB"/>
              </w:rPr>
              <w:t>/d</w:t>
            </w:r>
            <w:r>
              <w:rPr>
                <w:rFonts w:hint="eastAsia"/>
                <w:bCs/>
                <w:sz w:val="24"/>
              </w:rPr>
              <w:t>，</w:t>
            </w:r>
            <w:r>
              <w:rPr>
                <w:bCs/>
                <w:sz w:val="24"/>
              </w:rPr>
              <w:t>480m</w:t>
            </w:r>
            <w:r>
              <w:rPr>
                <w:bCs/>
                <w:sz w:val="24"/>
                <w:vertAlign w:val="superscript"/>
              </w:rPr>
              <w:t>3</w:t>
            </w:r>
            <w:r>
              <w:rPr>
                <w:bCs/>
                <w:sz w:val="24"/>
              </w:rPr>
              <w:t>/a</w:t>
            </w:r>
            <w:r>
              <w:rPr>
                <w:rFonts w:hint="eastAsia"/>
                <w:bCs/>
                <w:sz w:val="24"/>
              </w:rPr>
              <w:t>。经罐车</w:t>
            </w:r>
            <w:r>
              <w:rPr>
                <w:bCs/>
                <w:sz w:val="24"/>
              </w:rPr>
              <w:t>运至</w:t>
            </w:r>
            <w:r>
              <w:rPr>
                <w:sz w:val="24"/>
              </w:rPr>
              <w:t>北关镇污水处理厂处理后达标排放</w:t>
            </w:r>
            <w:r>
              <w:rPr>
                <w:rFonts w:hint="eastAsia"/>
                <w:sz w:val="24"/>
              </w:rPr>
              <w:t>。</w:t>
            </w:r>
          </w:p>
          <w:p w14:paraId="011C8570">
            <w:pPr>
              <w:adjustRightInd w:val="0"/>
              <w:snapToGrid w:val="0"/>
              <w:spacing w:line="360" w:lineRule="auto"/>
              <w:ind w:firstLine="480" w:firstLineChars="200"/>
              <w:rPr>
                <w:rFonts w:ascii="宋体" w:hAnsi="宋体" w:cs="宋体"/>
                <w:sz w:val="24"/>
                <w:szCs w:val="20"/>
              </w:rPr>
            </w:pPr>
            <w:r>
              <w:rPr>
                <w:rFonts w:hint="eastAsia" w:ascii="宋体" w:hAnsi="宋体" w:cs="宋体"/>
                <w:sz w:val="24"/>
                <w:szCs w:val="20"/>
              </w:rPr>
              <w:t>②磨尖</w:t>
            </w:r>
            <w:r>
              <w:rPr>
                <w:rFonts w:ascii="宋体" w:hAnsi="宋体" w:cs="宋体"/>
                <w:sz w:val="24"/>
                <w:szCs w:val="20"/>
              </w:rPr>
              <w:t>用水</w:t>
            </w:r>
          </w:p>
          <w:p w14:paraId="5EE4A1DA">
            <w:pPr>
              <w:adjustRightInd w:val="0"/>
              <w:snapToGrid w:val="0"/>
              <w:spacing w:line="360" w:lineRule="auto"/>
              <w:ind w:firstLine="480" w:firstLineChars="200"/>
              <w:rPr>
                <w:rFonts w:ascii="宋体" w:hAnsi="宋体" w:cs="宋体"/>
                <w:sz w:val="24"/>
              </w:rPr>
            </w:pPr>
            <w:r>
              <w:rPr>
                <w:rFonts w:hAnsi="宋体"/>
                <w:kern w:val="0"/>
                <w:sz w:val="24"/>
              </w:rPr>
              <w:t>本项目</w:t>
            </w:r>
            <w:r>
              <w:rPr>
                <w:rFonts w:hint="eastAsia" w:hAnsi="宋体"/>
                <w:kern w:val="0"/>
                <w:sz w:val="24"/>
              </w:rPr>
              <w:t>磨尖</w:t>
            </w:r>
            <w:r>
              <w:rPr>
                <w:rFonts w:hAnsi="宋体"/>
                <w:kern w:val="0"/>
                <w:sz w:val="24"/>
              </w:rPr>
              <w:t>采用湿法</w:t>
            </w:r>
            <w:r>
              <w:rPr>
                <w:rFonts w:hint="eastAsia" w:hAnsi="宋体"/>
                <w:kern w:val="0"/>
                <w:sz w:val="24"/>
              </w:rPr>
              <w:t>工艺</w:t>
            </w:r>
            <w:r>
              <w:rPr>
                <w:rFonts w:hAnsi="宋体"/>
                <w:kern w:val="0"/>
                <w:sz w:val="24"/>
              </w:rPr>
              <w:t>，在</w:t>
            </w:r>
            <w:r>
              <w:rPr>
                <w:rFonts w:hint="eastAsia" w:hAnsi="宋体"/>
                <w:kern w:val="0"/>
                <w:sz w:val="24"/>
              </w:rPr>
              <w:t>磨尖</w:t>
            </w:r>
            <w:r>
              <w:rPr>
                <w:rFonts w:hAnsi="宋体"/>
                <w:kern w:val="0"/>
                <w:sz w:val="24"/>
              </w:rPr>
              <w:t>机</w:t>
            </w:r>
            <w:r>
              <w:rPr>
                <w:rFonts w:hint="eastAsia" w:hAnsi="宋体"/>
                <w:kern w:val="0"/>
                <w:sz w:val="24"/>
              </w:rPr>
              <w:t>上方</w:t>
            </w:r>
            <w:r>
              <w:rPr>
                <w:rFonts w:hAnsi="宋体"/>
                <w:kern w:val="0"/>
                <w:sz w:val="24"/>
              </w:rPr>
              <w:t>设置水喷淋装置，可以有效减少颗粒物的产生和</w:t>
            </w:r>
            <w:r>
              <w:rPr>
                <w:rFonts w:hint="eastAsia" w:hAnsi="宋体"/>
                <w:kern w:val="0"/>
                <w:sz w:val="24"/>
              </w:rPr>
              <w:t>磨尖粉末</w:t>
            </w:r>
            <w:r>
              <w:rPr>
                <w:rFonts w:hAnsi="宋体"/>
                <w:kern w:val="0"/>
                <w:sz w:val="24"/>
              </w:rPr>
              <w:t>的飞溅。根据建设单位提供资料，项目共设置</w:t>
            </w:r>
            <w:r>
              <w:rPr>
                <w:kern w:val="0"/>
                <w:sz w:val="24"/>
              </w:rPr>
              <w:t>2</w:t>
            </w:r>
            <w:r>
              <w:rPr>
                <w:rFonts w:hAnsi="宋体"/>
                <w:kern w:val="0"/>
                <w:sz w:val="24"/>
              </w:rPr>
              <w:t>台</w:t>
            </w:r>
            <w:r>
              <w:rPr>
                <w:rFonts w:hint="eastAsia" w:hAnsi="宋体"/>
                <w:kern w:val="0"/>
                <w:sz w:val="24"/>
              </w:rPr>
              <w:t>磨尖</w:t>
            </w:r>
            <w:r>
              <w:rPr>
                <w:rFonts w:hAnsi="宋体"/>
                <w:kern w:val="0"/>
                <w:sz w:val="24"/>
              </w:rPr>
              <w:t>机，每台</w:t>
            </w:r>
            <w:r>
              <w:rPr>
                <w:rFonts w:hint="eastAsia" w:hAnsi="宋体"/>
                <w:kern w:val="0"/>
                <w:sz w:val="24"/>
              </w:rPr>
              <w:t>磨尖</w:t>
            </w:r>
            <w:r>
              <w:rPr>
                <w:rFonts w:hAnsi="宋体"/>
                <w:kern w:val="0"/>
                <w:sz w:val="24"/>
              </w:rPr>
              <w:t>机喷头流量约</w:t>
            </w:r>
            <w:r>
              <w:rPr>
                <w:kern w:val="0"/>
                <w:sz w:val="24"/>
              </w:rPr>
              <w:t>0.2</w:t>
            </w:r>
            <w:r>
              <w:rPr>
                <w:bCs/>
                <w:sz w:val="24"/>
                <w:lang w:val="en-GB"/>
              </w:rPr>
              <w:t>m</w:t>
            </w:r>
            <w:r>
              <w:rPr>
                <w:bCs/>
                <w:sz w:val="24"/>
                <w:vertAlign w:val="superscript"/>
                <w:lang w:val="en-GB"/>
              </w:rPr>
              <w:t>3</w:t>
            </w:r>
            <w:r>
              <w:rPr>
                <w:kern w:val="0"/>
                <w:sz w:val="24"/>
              </w:rPr>
              <w:t>/h</w:t>
            </w:r>
            <w:r>
              <w:rPr>
                <w:rFonts w:hAnsi="宋体"/>
                <w:kern w:val="0"/>
                <w:sz w:val="24"/>
              </w:rPr>
              <w:t>，</w:t>
            </w:r>
            <w:r>
              <w:rPr>
                <w:rFonts w:hint="eastAsia" w:hAnsi="宋体"/>
                <w:kern w:val="0"/>
                <w:sz w:val="24"/>
              </w:rPr>
              <w:t>磨尖</w:t>
            </w:r>
            <w:r>
              <w:rPr>
                <w:rFonts w:hAnsi="宋体"/>
                <w:kern w:val="0"/>
                <w:sz w:val="24"/>
              </w:rPr>
              <w:t>工序运行时长约</w:t>
            </w:r>
            <w:r>
              <w:rPr>
                <w:rFonts w:hint="eastAsia" w:hAnsi="宋体"/>
                <w:kern w:val="0"/>
                <w:sz w:val="24"/>
              </w:rPr>
              <w:t>15</w:t>
            </w:r>
            <w:r>
              <w:rPr>
                <w:rFonts w:hAnsi="宋体"/>
                <w:kern w:val="0"/>
                <w:sz w:val="24"/>
              </w:rPr>
              <w:t>h</w:t>
            </w:r>
            <w:r>
              <w:rPr>
                <w:rFonts w:hint="eastAsia" w:hAnsi="宋体"/>
                <w:kern w:val="0"/>
                <w:sz w:val="24"/>
              </w:rPr>
              <w:t>/d，</w:t>
            </w:r>
            <w:r>
              <w:rPr>
                <w:rFonts w:hAnsi="宋体"/>
                <w:kern w:val="0"/>
                <w:sz w:val="24"/>
              </w:rPr>
              <w:t>则项目</w:t>
            </w:r>
            <w:r>
              <w:rPr>
                <w:rFonts w:hint="eastAsia" w:hAnsi="宋体"/>
                <w:kern w:val="0"/>
                <w:sz w:val="24"/>
              </w:rPr>
              <w:t>磨尖工序用水</w:t>
            </w:r>
            <w:r>
              <w:rPr>
                <w:rFonts w:hAnsi="宋体"/>
                <w:kern w:val="0"/>
                <w:sz w:val="24"/>
              </w:rPr>
              <w:t>量为6</w:t>
            </w:r>
            <w:r>
              <w:rPr>
                <w:bCs/>
                <w:sz w:val="24"/>
                <w:lang w:val="en-GB"/>
              </w:rPr>
              <w:t>m</w:t>
            </w:r>
            <w:r>
              <w:rPr>
                <w:bCs/>
                <w:sz w:val="24"/>
                <w:vertAlign w:val="superscript"/>
                <w:lang w:val="en-GB"/>
              </w:rPr>
              <w:t>3</w:t>
            </w:r>
            <w:r>
              <w:rPr>
                <w:kern w:val="0"/>
                <w:sz w:val="24"/>
              </w:rPr>
              <w:t>/d</w:t>
            </w:r>
            <w:r>
              <w:rPr>
                <w:rFonts w:hint="eastAsia"/>
                <w:kern w:val="0"/>
                <w:sz w:val="24"/>
              </w:rPr>
              <w:t>、</w:t>
            </w:r>
            <w:r>
              <w:rPr>
                <w:kern w:val="0"/>
                <w:sz w:val="24"/>
              </w:rPr>
              <w:t>1800</w:t>
            </w:r>
            <w:r>
              <w:rPr>
                <w:rFonts w:hint="eastAsia"/>
                <w:kern w:val="0"/>
                <w:sz w:val="24"/>
              </w:rPr>
              <w:t>m</w:t>
            </w:r>
            <w:r>
              <w:rPr>
                <w:rFonts w:hint="eastAsia"/>
                <w:kern w:val="0"/>
                <w:sz w:val="24"/>
                <w:vertAlign w:val="superscript"/>
              </w:rPr>
              <w:t>3</w:t>
            </w:r>
            <w:r>
              <w:rPr>
                <w:rFonts w:hint="eastAsia"/>
                <w:kern w:val="0"/>
                <w:sz w:val="24"/>
              </w:rPr>
              <w:t>/a，</w:t>
            </w:r>
            <w:r>
              <w:rPr>
                <w:kern w:val="0"/>
                <w:sz w:val="24"/>
              </w:rPr>
              <w:t>采用三级沉淀池</w:t>
            </w:r>
            <w:r>
              <w:rPr>
                <w:rFonts w:hint="eastAsia"/>
                <w:kern w:val="0"/>
                <w:sz w:val="24"/>
              </w:rPr>
              <w:t>处理</w:t>
            </w:r>
            <w:r>
              <w:rPr>
                <w:kern w:val="0"/>
                <w:sz w:val="24"/>
              </w:rPr>
              <w:t>后的回用水</w:t>
            </w:r>
            <w:r>
              <w:rPr>
                <w:rFonts w:hAnsi="宋体"/>
                <w:kern w:val="0"/>
                <w:sz w:val="24"/>
              </w:rPr>
              <w:t>。</w:t>
            </w:r>
            <w:r>
              <w:rPr>
                <w:rFonts w:hint="eastAsia" w:hAnsi="宋体"/>
                <w:kern w:val="0"/>
                <w:sz w:val="24"/>
              </w:rPr>
              <w:t>磨尖</w:t>
            </w:r>
            <w:r>
              <w:rPr>
                <w:rFonts w:hAnsi="宋体"/>
                <w:kern w:val="0"/>
                <w:sz w:val="24"/>
              </w:rPr>
              <w:t>用水</w:t>
            </w:r>
            <w:r>
              <w:rPr>
                <w:rFonts w:hint="eastAsia" w:hAnsi="宋体"/>
                <w:kern w:val="0"/>
                <w:sz w:val="24"/>
              </w:rPr>
              <w:t>一方面起到</w:t>
            </w:r>
            <w:r>
              <w:rPr>
                <w:rFonts w:hAnsi="宋体"/>
                <w:kern w:val="0"/>
                <w:sz w:val="24"/>
              </w:rPr>
              <w:t>降尘的</w:t>
            </w:r>
            <w:r>
              <w:rPr>
                <w:rFonts w:hint="eastAsia" w:hAnsi="宋体"/>
                <w:kern w:val="0"/>
                <w:sz w:val="24"/>
              </w:rPr>
              <w:t>作用</w:t>
            </w:r>
            <w:r>
              <w:rPr>
                <w:rFonts w:hAnsi="宋体"/>
                <w:kern w:val="0"/>
                <w:sz w:val="24"/>
              </w:rPr>
              <w:t>，一方面可以降</w:t>
            </w:r>
            <w:r>
              <w:rPr>
                <w:rFonts w:hint="eastAsia" w:hAnsi="宋体"/>
                <w:kern w:val="0"/>
                <w:sz w:val="24"/>
              </w:rPr>
              <w:t>温</w:t>
            </w:r>
            <w:r>
              <w:rPr>
                <w:rFonts w:hAnsi="宋体"/>
                <w:kern w:val="0"/>
                <w:sz w:val="24"/>
              </w:rPr>
              <w:t>，</w:t>
            </w:r>
            <w:r>
              <w:rPr>
                <w:rFonts w:hint="eastAsia" w:hAnsi="宋体"/>
                <w:kern w:val="0"/>
                <w:sz w:val="24"/>
              </w:rPr>
              <w:t>磨尖后</w:t>
            </w:r>
            <w:r>
              <w:rPr>
                <w:rFonts w:hAnsi="宋体"/>
                <w:kern w:val="0"/>
                <w:sz w:val="24"/>
              </w:rPr>
              <w:t>的废水进入三级沉淀池沉淀处理</w:t>
            </w:r>
            <w:r>
              <w:rPr>
                <w:rFonts w:hint="eastAsia" w:hAnsi="宋体"/>
                <w:kern w:val="0"/>
                <w:sz w:val="24"/>
              </w:rPr>
              <w:t>后</w:t>
            </w:r>
            <w:r>
              <w:rPr>
                <w:rFonts w:hAnsi="宋体"/>
                <w:kern w:val="0"/>
                <w:sz w:val="24"/>
              </w:rPr>
              <w:t>循环使用，</w:t>
            </w:r>
            <w:r>
              <w:rPr>
                <w:rFonts w:hint="eastAsia" w:hAnsi="宋体"/>
                <w:kern w:val="0"/>
                <w:sz w:val="24"/>
              </w:rPr>
              <w:t>3天</w:t>
            </w:r>
            <w:r>
              <w:rPr>
                <w:rFonts w:hAnsi="宋体"/>
                <w:kern w:val="0"/>
                <w:sz w:val="24"/>
              </w:rPr>
              <w:t>排放一次，</w:t>
            </w:r>
            <w:r>
              <w:rPr>
                <w:rFonts w:hint="eastAsia" w:hAnsi="宋体"/>
                <w:kern w:val="0"/>
                <w:sz w:val="24"/>
              </w:rPr>
              <w:t>由民权县洁</w:t>
            </w:r>
            <w:r>
              <w:rPr>
                <w:rFonts w:hAnsi="宋体"/>
                <w:kern w:val="0"/>
                <w:sz w:val="24"/>
              </w:rPr>
              <w:t>农水务有限公司</w:t>
            </w:r>
            <w:r>
              <w:rPr>
                <w:rFonts w:hint="eastAsia" w:hAnsi="宋体"/>
                <w:kern w:val="0"/>
                <w:sz w:val="24"/>
              </w:rPr>
              <w:t>通过</w:t>
            </w:r>
            <w:r>
              <w:rPr>
                <w:rFonts w:hAnsi="宋体"/>
                <w:kern w:val="0"/>
                <w:sz w:val="24"/>
              </w:rPr>
              <w:t>罐车运至</w:t>
            </w:r>
            <w:r>
              <w:rPr>
                <w:rFonts w:hint="eastAsia"/>
                <w:sz w:val="24"/>
              </w:rPr>
              <w:t>民权县北关镇污水处理厂处理。</w:t>
            </w:r>
          </w:p>
          <w:p w14:paraId="6EA92AB4">
            <w:pPr>
              <w:adjustRightInd w:val="0"/>
              <w:snapToGrid w:val="0"/>
              <w:spacing w:line="360" w:lineRule="auto"/>
              <w:ind w:firstLine="480" w:firstLineChars="200"/>
              <w:rPr>
                <w:rFonts w:ascii="宋体" w:hAnsi="宋体"/>
                <w:sz w:val="24"/>
                <w:szCs w:val="20"/>
              </w:rPr>
            </w:pPr>
            <w:r>
              <w:rPr>
                <w:rFonts w:hint="eastAsia" w:ascii="宋体" w:hAnsi="宋体"/>
                <w:sz w:val="24"/>
                <w:szCs w:val="20"/>
              </w:rPr>
              <w:t>③</w:t>
            </w:r>
            <w:r>
              <w:rPr>
                <w:sz w:val="24"/>
                <w:szCs w:val="20"/>
              </w:rPr>
              <w:t>产品清洗用水：项目产品磨尖后为了去除表面的粉末，需采用水进行一级漂洗，共设置10个漂洗池，每个池子水装填量</w:t>
            </w:r>
            <w:r>
              <w:rPr>
                <w:rFonts w:hint="eastAsia"/>
                <w:sz w:val="24"/>
                <w:szCs w:val="20"/>
              </w:rPr>
              <w:t>为1</w:t>
            </w:r>
            <w:r>
              <w:rPr>
                <w:sz w:val="24"/>
                <w:szCs w:val="20"/>
              </w:rPr>
              <w:t>m</w:t>
            </w:r>
            <w:r>
              <w:rPr>
                <w:sz w:val="24"/>
                <w:szCs w:val="20"/>
                <w:vertAlign w:val="superscript"/>
              </w:rPr>
              <w:t>3</w:t>
            </w:r>
            <w:r>
              <w:rPr>
                <w:sz w:val="24"/>
                <w:szCs w:val="20"/>
              </w:rPr>
              <w:t>，</w:t>
            </w:r>
            <w:r>
              <w:rPr>
                <w:rFonts w:hint="eastAsia"/>
                <w:sz w:val="24"/>
                <w:szCs w:val="20"/>
              </w:rPr>
              <w:t>产品</w:t>
            </w:r>
            <w:r>
              <w:rPr>
                <w:sz w:val="24"/>
                <w:szCs w:val="20"/>
              </w:rPr>
              <w:t>经漂洗后</w:t>
            </w:r>
            <w:r>
              <w:rPr>
                <w:rFonts w:hint="eastAsia"/>
                <w:sz w:val="24"/>
                <w:szCs w:val="20"/>
              </w:rPr>
              <w:t>进入</w:t>
            </w:r>
            <w:r>
              <w:rPr>
                <w:sz w:val="24"/>
                <w:szCs w:val="20"/>
              </w:rPr>
              <w:t>晾干间自然晾干，水损耗主要考虑的是蒸发损耗及产品带走的损耗，损耗量按</w:t>
            </w:r>
            <w:r>
              <w:rPr>
                <w:rFonts w:hint="eastAsia"/>
                <w:sz w:val="24"/>
                <w:szCs w:val="20"/>
              </w:rPr>
              <w:t>漂洗池</w:t>
            </w:r>
            <w:r>
              <w:rPr>
                <w:sz w:val="24"/>
                <w:szCs w:val="20"/>
              </w:rPr>
              <w:t>中在线水量的</w:t>
            </w:r>
            <w:r>
              <w:rPr>
                <w:rFonts w:hint="eastAsia"/>
                <w:sz w:val="24"/>
                <w:szCs w:val="20"/>
              </w:rPr>
              <w:t>10%计</w:t>
            </w:r>
            <w:r>
              <w:rPr>
                <w:sz w:val="24"/>
                <w:szCs w:val="20"/>
              </w:rPr>
              <w:t>，约1m</w:t>
            </w:r>
            <w:r>
              <w:rPr>
                <w:sz w:val="24"/>
                <w:szCs w:val="20"/>
                <w:vertAlign w:val="superscript"/>
              </w:rPr>
              <w:t>3</w:t>
            </w:r>
            <w:r>
              <w:rPr>
                <w:rFonts w:hint="eastAsia"/>
                <w:sz w:val="24"/>
                <w:szCs w:val="20"/>
              </w:rPr>
              <w:t>/d，剩余</w:t>
            </w:r>
            <w:r>
              <w:rPr>
                <w:sz w:val="24"/>
                <w:szCs w:val="20"/>
              </w:rPr>
              <w:t>部分排入三级沉淀池沉淀后循环使用，</w:t>
            </w:r>
            <w:r>
              <w:rPr>
                <w:rFonts w:hint="eastAsia"/>
                <w:sz w:val="24"/>
                <w:szCs w:val="20"/>
              </w:rPr>
              <w:t>每日清洗废水</w:t>
            </w:r>
            <w:r>
              <w:rPr>
                <w:sz w:val="24"/>
                <w:szCs w:val="20"/>
              </w:rPr>
              <w:t>去三级沉淀池处理一次</w:t>
            </w:r>
            <w:r>
              <w:rPr>
                <w:rFonts w:hint="eastAsia"/>
                <w:sz w:val="24"/>
                <w:szCs w:val="20"/>
              </w:rPr>
              <w:t>后</w:t>
            </w:r>
            <w:r>
              <w:rPr>
                <w:sz w:val="24"/>
                <w:szCs w:val="20"/>
              </w:rPr>
              <w:t>回用于</w:t>
            </w:r>
            <w:r>
              <w:rPr>
                <w:rFonts w:hint="eastAsia"/>
                <w:sz w:val="24"/>
                <w:szCs w:val="20"/>
              </w:rPr>
              <w:t>生产</w:t>
            </w:r>
            <w:r>
              <w:rPr>
                <w:sz w:val="24"/>
                <w:szCs w:val="20"/>
              </w:rPr>
              <w:t>，</w:t>
            </w:r>
            <w:r>
              <w:rPr>
                <w:rFonts w:hint="eastAsia"/>
                <w:sz w:val="24"/>
                <w:szCs w:val="20"/>
              </w:rPr>
              <w:t>三级</w:t>
            </w:r>
            <w:r>
              <w:rPr>
                <w:sz w:val="24"/>
                <w:szCs w:val="20"/>
              </w:rPr>
              <w:t>沉淀</w:t>
            </w:r>
            <w:r>
              <w:rPr>
                <w:rFonts w:hint="eastAsia"/>
                <w:sz w:val="24"/>
                <w:szCs w:val="20"/>
              </w:rPr>
              <w:t>中的沉渣</w:t>
            </w:r>
            <w:r>
              <w:rPr>
                <w:sz w:val="24"/>
                <w:szCs w:val="20"/>
              </w:rPr>
              <w:t>带走少量废水，</w:t>
            </w:r>
            <w:r>
              <w:rPr>
                <w:rFonts w:hint="eastAsia"/>
                <w:sz w:val="24"/>
                <w:szCs w:val="20"/>
              </w:rPr>
              <w:t>约0.05</w:t>
            </w:r>
            <w:r>
              <w:rPr>
                <w:sz w:val="24"/>
                <w:szCs w:val="20"/>
              </w:rPr>
              <w:t>m</w:t>
            </w:r>
            <w:r>
              <w:rPr>
                <w:sz w:val="24"/>
                <w:szCs w:val="20"/>
                <w:vertAlign w:val="superscript"/>
              </w:rPr>
              <w:t>3</w:t>
            </w:r>
            <w:r>
              <w:rPr>
                <w:rFonts w:hint="eastAsia"/>
                <w:sz w:val="24"/>
                <w:szCs w:val="20"/>
              </w:rPr>
              <w:t>/d，产品</w:t>
            </w:r>
            <w:r>
              <w:rPr>
                <w:sz w:val="24"/>
                <w:szCs w:val="20"/>
              </w:rPr>
              <w:t>清洗工序</w:t>
            </w:r>
            <w:r>
              <w:rPr>
                <w:rFonts w:hint="eastAsia"/>
                <w:sz w:val="24"/>
                <w:szCs w:val="20"/>
              </w:rPr>
              <w:t>每日</w:t>
            </w:r>
            <w:r>
              <w:rPr>
                <w:sz w:val="24"/>
                <w:szCs w:val="20"/>
              </w:rPr>
              <w:t>补充损耗</w:t>
            </w:r>
            <w:r>
              <w:rPr>
                <w:rFonts w:hint="eastAsia"/>
                <w:sz w:val="24"/>
                <w:szCs w:val="20"/>
              </w:rPr>
              <w:t>量</w:t>
            </w:r>
            <w:r>
              <w:rPr>
                <w:sz w:val="24"/>
                <w:szCs w:val="20"/>
              </w:rPr>
              <w:t>即可，</w:t>
            </w:r>
            <w:r>
              <w:rPr>
                <w:rFonts w:hint="eastAsia"/>
                <w:sz w:val="24"/>
                <w:szCs w:val="20"/>
              </w:rPr>
              <w:t>沉淀</w:t>
            </w:r>
            <w:r>
              <w:rPr>
                <w:sz w:val="24"/>
                <w:szCs w:val="20"/>
              </w:rPr>
              <w:t>池处理后的水</w:t>
            </w:r>
            <w:r>
              <w:rPr>
                <w:rFonts w:hint="eastAsia"/>
                <w:sz w:val="24"/>
                <w:szCs w:val="20"/>
              </w:rPr>
              <w:t>3天</w:t>
            </w:r>
            <w:r>
              <w:rPr>
                <w:sz w:val="24"/>
                <w:szCs w:val="20"/>
              </w:rPr>
              <w:t>排放一次，</w:t>
            </w:r>
            <w:r>
              <w:rPr>
                <w:rFonts w:hint="eastAsia"/>
                <w:sz w:val="24"/>
                <w:szCs w:val="20"/>
              </w:rPr>
              <w:t>每次</w:t>
            </w:r>
            <w:r>
              <w:rPr>
                <w:sz w:val="24"/>
                <w:szCs w:val="20"/>
              </w:rPr>
              <w:t>排水量为</w:t>
            </w:r>
            <w:r>
              <w:rPr>
                <w:rFonts w:hint="eastAsia"/>
                <w:sz w:val="24"/>
                <w:szCs w:val="20"/>
              </w:rPr>
              <w:t>14.34</w:t>
            </w:r>
            <w:r>
              <w:rPr>
                <w:sz w:val="24"/>
                <w:szCs w:val="20"/>
              </w:rPr>
              <w:t>m</w:t>
            </w:r>
            <w:r>
              <w:rPr>
                <w:sz w:val="24"/>
                <w:szCs w:val="20"/>
                <w:vertAlign w:val="superscript"/>
              </w:rPr>
              <w:t>3</w:t>
            </w:r>
            <w:r>
              <w:rPr>
                <w:rFonts w:hint="eastAsia"/>
                <w:sz w:val="24"/>
                <w:szCs w:val="20"/>
              </w:rPr>
              <w:t>/次（含</w:t>
            </w:r>
            <w:r>
              <w:rPr>
                <w:sz w:val="24"/>
                <w:szCs w:val="20"/>
              </w:rPr>
              <w:t>磨尖废水）</w:t>
            </w:r>
            <w:r>
              <w:rPr>
                <w:rFonts w:hint="eastAsia"/>
                <w:sz w:val="24"/>
                <w:szCs w:val="20"/>
              </w:rPr>
              <w:t>，折合</w:t>
            </w:r>
            <w:r>
              <w:rPr>
                <w:sz w:val="24"/>
                <w:szCs w:val="20"/>
              </w:rPr>
              <w:t>为</w:t>
            </w:r>
            <w:r>
              <w:rPr>
                <w:rFonts w:hint="eastAsia"/>
                <w:sz w:val="24"/>
                <w:szCs w:val="20"/>
              </w:rPr>
              <w:t>4.78</w:t>
            </w:r>
            <w:r>
              <w:rPr>
                <w:sz w:val="24"/>
                <w:szCs w:val="20"/>
              </w:rPr>
              <w:t>m</w:t>
            </w:r>
            <w:r>
              <w:rPr>
                <w:sz w:val="24"/>
                <w:szCs w:val="20"/>
                <w:vertAlign w:val="superscript"/>
              </w:rPr>
              <w:t>3</w:t>
            </w:r>
            <w:r>
              <w:rPr>
                <w:rFonts w:hint="eastAsia"/>
                <w:sz w:val="24"/>
                <w:szCs w:val="20"/>
              </w:rPr>
              <w:t>/d，</w:t>
            </w:r>
            <w:r>
              <w:rPr>
                <w:sz w:val="24"/>
                <w:szCs w:val="20"/>
              </w:rPr>
              <w:t>则</w:t>
            </w:r>
            <w:r>
              <w:rPr>
                <w:rFonts w:hint="eastAsia"/>
                <w:sz w:val="24"/>
                <w:szCs w:val="20"/>
              </w:rPr>
              <w:t>清洗</w:t>
            </w:r>
            <w:r>
              <w:rPr>
                <w:sz w:val="24"/>
                <w:szCs w:val="20"/>
              </w:rPr>
              <w:t>工序每日</w:t>
            </w:r>
            <w:r>
              <w:rPr>
                <w:rFonts w:hint="eastAsia"/>
                <w:sz w:val="24"/>
                <w:szCs w:val="20"/>
              </w:rPr>
              <w:t>用</w:t>
            </w:r>
            <w:r>
              <w:rPr>
                <w:sz w:val="24"/>
                <w:szCs w:val="20"/>
              </w:rPr>
              <w:t>水量为6.44m</w:t>
            </w:r>
            <w:r>
              <w:rPr>
                <w:sz w:val="24"/>
                <w:szCs w:val="20"/>
                <w:vertAlign w:val="superscript"/>
              </w:rPr>
              <w:t>3</w:t>
            </w:r>
            <w:r>
              <w:rPr>
                <w:rFonts w:hint="eastAsia"/>
                <w:sz w:val="24"/>
                <w:szCs w:val="20"/>
              </w:rPr>
              <w:t>/d</w:t>
            </w:r>
            <w:r>
              <w:rPr>
                <w:sz w:val="24"/>
                <w:szCs w:val="20"/>
              </w:rPr>
              <w:t>。</w:t>
            </w:r>
          </w:p>
          <w:p w14:paraId="3EDEDF62">
            <w:pPr>
              <w:adjustRightInd w:val="0"/>
              <w:snapToGrid w:val="0"/>
              <w:spacing w:line="360" w:lineRule="auto"/>
              <w:ind w:firstLine="480" w:firstLineChars="200"/>
              <w:rPr>
                <w:sz w:val="24"/>
                <w:szCs w:val="20"/>
              </w:rPr>
            </w:pPr>
            <w:r>
              <w:rPr>
                <w:rFonts w:hint="eastAsia" w:ascii="宋体" w:hAnsi="宋体"/>
                <w:sz w:val="24"/>
                <w:szCs w:val="20"/>
              </w:rPr>
              <w:t>④循环</w:t>
            </w:r>
            <w:r>
              <w:rPr>
                <w:rFonts w:ascii="宋体" w:hAnsi="宋体"/>
                <w:sz w:val="24"/>
                <w:szCs w:val="20"/>
              </w:rPr>
              <w:t>冷却系统用水：</w:t>
            </w:r>
            <w:r>
              <w:rPr>
                <w:rFonts w:hint="eastAsia" w:ascii="宋体" w:hAnsi="宋体"/>
                <w:sz w:val="24"/>
                <w:szCs w:val="20"/>
              </w:rPr>
              <w:t>本项目挤出的</w:t>
            </w:r>
            <w:r>
              <w:rPr>
                <w:rFonts w:ascii="宋体" w:hAnsi="宋体"/>
                <w:sz w:val="24"/>
                <w:szCs w:val="20"/>
              </w:rPr>
              <w:t>产品需要进行冷却，</w:t>
            </w:r>
            <w:r>
              <w:rPr>
                <w:rFonts w:hint="eastAsia" w:ascii="宋体" w:hAnsi="宋体"/>
                <w:sz w:val="24"/>
                <w:szCs w:val="20"/>
              </w:rPr>
              <w:t>单台</w:t>
            </w:r>
            <w:r>
              <w:rPr>
                <w:rFonts w:ascii="宋体" w:hAnsi="宋体"/>
                <w:sz w:val="24"/>
                <w:szCs w:val="20"/>
              </w:rPr>
              <w:t>设备</w:t>
            </w:r>
            <w:r>
              <w:rPr>
                <w:rFonts w:hint="eastAsia" w:ascii="宋体" w:hAnsi="宋体"/>
                <w:sz w:val="24"/>
                <w:szCs w:val="20"/>
              </w:rPr>
              <w:t>冷却水循环</w:t>
            </w:r>
            <w:r>
              <w:rPr>
                <w:rFonts w:ascii="宋体" w:hAnsi="宋体"/>
                <w:sz w:val="24"/>
                <w:szCs w:val="20"/>
              </w:rPr>
              <w:t>量约</w:t>
            </w:r>
            <w:r>
              <w:rPr>
                <w:sz w:val="24"/>
                <w:szCs w:val="20"/>
              </w:rPr>
              <w:t>0.6t/h</w:t>
            </w:r>
            <w:r>
              <w:rPr>
                <w:rFonts w:hint="eastAsia"/>
                <w:sz w:val="24"/>
                <w:szCs w:val="20"/>
              </w:rPr>
              <w:t>，</w:t>
            </w:r>
            <w:r>
              <w:rPr>
                <w:sz w:val="24"/>
                <w:szCs w:val="20"/>
              </w:rPr>
              <w:t>建设单位拟配置一个6m</w:t>
            </w:r>
            <w:r>
              <w:rPr>
                <w:sz w:val="24"/>
                <w:szCs w:val="20"/>
                <w:vertAlign w:val="superscript"/>
              </w:rPr>
              <w:t>3</w:t>
            </w:r>
            <w:r>
              <w:rPr>
                <w:sz w:val="24"/>
                <w:szCs w:val="20"/>
              </w:rPr>
              <w:t>循</w:t>
            </w:r>
            <w:r>
              <w:rPr>
                <w:rFonts w:hint="eastAsia" w:ascii="宋体" w:hAnsi="宋体"/>
                <w:sz w:val="24"/>
                <w:szCs w:val="20"/>
              </w:rPr>
              <w:t>环</w:t>
            </w:r>
            <w:r>
              <w:rPr>
                <w:rFonts w:ascii="宋体" w:hAnsi="宋体"/>
                <w:sz w:val="24"/>
                <w:szCs w:val="20"/>
              </w:rPr>
              <w:t>冷却水池，用于</w:t>
            </w:r>
            <w:r>
              <w:rPr>
                <w:rFonts w:hint="eastAsia" w:ascii="宋体" w:hAnsi="宋体"/>
                <w:sz w:val="24"/>
                <w:szCs w:val="20"/>
              </w:rPr>
              <w:t>水冷工序</w:t>
            </w:r>
            <w:r>
              <w:rPr>
                <w:rFonts w:ascii="宋体" w:hAnsi="宋体"/>
                <w:sz w:val="24"/>
                <w:szCs w:val="20"/>
              </w:rPr>
              <w:t>循环用水，该水采用自来水，定期对系统补水，循环水损</w:t>
            </w:r>
            <w:r>
              <w:rPr>
                <w:rFonts w:hint="eastAsia" w:ascii="宋体" w:hAnsi="宋体"/>
                <w:sz w:val="24"/>
                <w:szCs w:val="20"/>
              </w:rPr>
              <w:t>耗</w:t>
            </w:r>
            <w:r>
              <w:rPr>
                <w:rFonts w:ascii="宋体" w:hAnsi="宋体"/>
                <w:sz w:val="24"/>
                <w:szCs w:val="20"/>
              </w:rPr>
              <w:t>率约</w:t>
            </w:r>
            <w:r>
              <w:rPr>
                <w:sz w:val="24"/>
                <w:szCs w:val="20"/>
              </w:rPr>
              <w:t>5%</w:t>
            </w:r>
            <w:r>
              <w:rPr>
                <w:rFonts w:ascii="宋体" w:hAnsi="宋体"/>
                <w:sz w:val="24"/>
                <w:szCs w:val="20"/>
              </w:rPr>
              <w:t>，则补水量约</w:t>
            </w:r>
            <w:r>
              <w:rPr>
                <w:sz w:val="24"/>
                <w:szCs w:val="20"/>
              </w:rPr>
              <w:t>0.42m</w:t>
            </w:r>
            <w:r>
              <w:rPr>
                <w:sz w:val="24"/>
                <w:szCs w:val="20"/>
                <w:vertAlign w:val="superscript"/>
              </w:rPr>
              <w:t>3</w:t>
            </w:r>
            <w:r>
              <w:rPr>
                <w:sz w:val="24"/>
                <w:szCs w:val="20"/>
              </w:rPr>
              <w:t>/d，126m</w:t>
            </w:r>
            <w:r>
              <w:rPr>
                <w:sz w:val="24"/>
                <w:szCs w:val="20"/>
                <w:vertAlign w:val="superscript"/>
              </w:rPr>
              <w:t>3</w:t>
            </w:r>
            <w:r>
              <w:rPr>
                <w:sz w:val="24"/>
                <w:szCs w:val="20"/>
              </w:rPr>
              <w:t>/a</w:t>
            </w:r>
            <w:r>
              <w:rPr>
                <w:rFonts w:hint="eastAsia"/>
                <w:sz w:val="24"/>
                <w:szCs w:val="20"/>
              </w:rPr>
              <w:t>。</w:t>
            </w:r>
          </w:p>
          <w:p w14:paraId="2A68A8ED">
            <w:pPr>
              <w:spacing w:line="360" w:lineRule="auto"/>
              <w:ind w:firstLine="480" w:firstLineChars="200"/>
              <w:jc w:val="left"/>
              <w:rPr>
                <w:bCs/>
                <w:sz w:val="24"/>
              </w:rPr>
            </w:pPr>
            <w:r>
              <w:rPr>
                <w:bCs/>
                <w:sz w:val="24"/>
              </w:rPr>
              <mc:AlternateContent>
                <mc:Choice Requires="wps">
                  <w:drawing>
                    <wp:anchor distT="0" distB="0" distL="114300" distR="114300" simplePos="0" relativeHeight="251659264" behindDoc="0" locked="0" layoutInCell="1" allowOverlap="1">
                      <wp:simplePos x="0" y="0"/>
                      <wp:positionH relativeFrom="column">
                        <wp:posOffset>-211455</wp:posOffset>
                      </wp:positionH>
                      <wp:positionV relativeFrom="paragraph">
                        <wp:posOffset>-1015759335</wp:posOffset>
                      </wp:positionV>
                      <wp:extent cx="520065" cy="286385"/>
                      <wp:effectExtent l="0" t="0" r="0" b="0"/>
                      <wp:wrapNone/>
                      <wp:docPr id="40" name="文本框 15"/>
                      <wp:cNvGraphicFramePr/>
                      <a:graphic xmlns:a="http://schemas.openxmlformats.org/drawingml/2006/main">
                        <a:graphicData uri="http://schemas.microsoft.com/office/word/2010/wordprocessingShape">
                          <wps:wsp>
                            <wps:cNvSpPr txBox="1">
                              <a:spLocks noChangeArrowheads="1"/>
                            </wps:cNvSpPr>
                            <wps:spPr bwMode="auto">
                              <a:xfrm>
                                <a:off x="0" y="0"/>
                                <a:ext cx="520065" cy="286385"/>
                              </a:xfrm>
                              <a:prstGeom prst="rect">
                                <a:avLst/>
                              </a:prstGeom>
                              <a:solidFill>
                                <a:srgbClr val="FFFFFF">
                                  <a:alpha val="0"/>
                                </a:srgbClr>
                              </a:solidFill>
                              <a:ln>
                                <a:noFill/>
                              </a:ln>
                            </wps:spPr>
                            <wps:txbx>
                              <w:txbxContent>
                                <w:p w14:paraId="4B442297">
                                  <w:pPr>
                                    <w:rPr>
                                      <w:b/>
                                    </w:rPr>
                                  </w:pPr>
                                  <w:r>
                                    <w:rPr>
                                      <w:b/>
                                    </w:rPr>
                                    <w:t>83.28</w:t>
                                  </w:r>
                                </w:p>
                              </w:txbxContent>
                            </wps:txbx>
                            <wps:bodyPr rot="0" vert="horz" wrap="square" lIns="91440" tIns="45720" rIns="91440" bIns="45720" anchor="t" anchorCtr="0" upright="1">
                              <a:noAutofit/>
                            </wps:bodyPr>
                          </wps:wsp>
                        </a:graphicData>
                      </a:graphic>
                    </wp:anchor>
                  </w:drawing>
                </mc:Choice>
                <mc:Fallback>
                  <w:pict>
                    <v:shape id="文本框 15" o:spid="_x0000_s1026" o:spt="202" type="#_x0000_t202" style="position:absolute;left:0pt;margin-left:-16.65pt;margin-top:-79981.05pt;height:22.55pt;width:40.95pt;z-index:251659264;mso-width-relative:page;mso-height-relative:page;" fillcolor="#FFFFFF" filled="t" stroked="f" coordsize="21600,21600" o:gfxdata="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HXtHcN4AAAASAQAADwAAAAAAAAABACAAAAAiAAAAZHJz&#10;L2Rvd25yZXYueG1sUEsBAhQAFAAAAAgAh07iQOQjfnc3AgAAXAQAAA4AAAAAAAAAAQAgAAAALQEA&#10;AGRycy9lMm9Eb2MueG1sUEsFBgAAAAAGAAYAWQEAANYFAAAAAA==&#10;">
                      <v:fill on="t" opacity="0f" focussize="0,0"/>
                      <v:stroke on="f"/>
                      <v:imagedata o:title=""/>
                      <o:lock v:ext="edit" aspectratio="f"/>
                      <v:textbox>
                        <w:txbxContent>
                          <w:p w14:paraId="4B442297">
                            <w:pPr>
                              <w:rPr>
                                <w:b/>
                              </w:rPr>
                            </w:pPr>
                            <w:r>
                              <w:rPr>
                                <w:b/>
                              </w:rPr>
                              <w:t>83.28</w:t>
                            </w:r>
                          </w:p>
                        </w:txbxContent>
                      </v:textbox>
                    </v:shape>
                  </w:pict>
                </mc:Fallback>
              </mc:AlternateContent>
            </w:r>
            <w:r>
              <w:rPr>
                <w:rFonts w:hint="eastAsia"/>
                <w:bCs/>
                <w:sz w:val="24"/>
              </w:rPr>
              <w:t>项目水平衡图见下图。</w:t>
            </w:r>
          </w:p>
          <w:p w14:paraId="16187E6F">
            <w:pPr>
              <w:spacing w:line="360" w:lineRule="auto"/>
              <w:ind w:firstLine="482" w:firstLineChars="200"/>
              <w:jc w:val="left"/>
              <w:rPr>
                <w:bCs/>
                <w:sz w:val="24"/>
              </w:rPr>
            </w:pPr>
            <w:r>
              <w:rPr>
                <w:rFonts w:eastAsia="黑体"/>
                <w:b/>
                <w:iCs/>
                <w:sz w:val="24"/>
              </w:rPr>
              <mc:AlternateContent>
                <mc:Choice Requires="wps">
                  <w:drawing>
                    <wp:anchor distT="0" distB="0" distL="114300" distR="114300" simplePos="0" relativeHeight="251687936" behindDoc="0" locked="0" layoutInCell="1" allowOverlap="1">
                      <wp:simplePos x="0" y="0"/>
                      <wp:positionH relativeFrom="column">
                        <wp:posOffset>2377440</wp:posOffset>
                      </wp:positionH>
                      <wp:positionV relativeFrom="paragraph">
                        <wp:posOffset>33655</wp:posOffset>
                      </wp:positionV>
                      <wp:extent cx="571500" cy="317500"/>
                      <wp:effectExtent l="11430" t="7620" r="121920" b="103505"/>
                      <wp:wrapNone/>
                      <wp:docPr id="39" name="AutoShape 263"/>
                      <wp:cNvGraphicFramePr/>
                      <a:graphic xmlns:a="http://schemas.openxmlformats.org/drawingml/2006/main">
                        <a:graphicData uri="http://schemas.microsoft.com/office/word/2010/wordprocessingShape">
                          <wps:wsp>
                            <wps:cNvSpPr>
                              <a:spLocks noChangeArrowheads="1"/>
                            </wps:cNvSpPr>
                            <wps:spPr bwMode="auto">
                              <a:xfrm>
                                <a:off x="0" y="0"/>
                                <a:ext cx="571500" cy="317500"/>
                              </a:xfrm>
                              <a:prstGeom prst="cloudCallout">
                                <a:avLst>
                                  <a:gd name="adj1" fmla="val 66222"/>
                                  <a:gd name="adj2" fmla="val 76398"/>
                                </a:avLst>
                              </a:prstGeom>
                              <a:solidFill>
                                <a:srgbClr val="FFFFFF"/>
                              </a:solidFill>
                              <a:ln w="9525">
                                <a:solidFill>
                                  <a:srgbClr val="000000"/>
                                </a:solidFill>
                                <a:round/>
                              </a:ln>
                            </wps:spPr>
                            <wps:txbx>
                              <w:txbxContent>
                                <w:p w14:paraId="752869FC">
                                  <w:pPr>
                                    <w:snapToGrid w:val="0"/>
                                    <w:jc w:val="center"/>
                                    <w:rPr>
                                      <w:b/>
                                    </w:rPr>
                                  </w:pPr>
                                  <w:r>
                                    <w:rPr>
                                      <w:b/>
                                    </w:rPr>
                                    <w:t>0.06</w:t>
                                  </w:r>
                                </w:p>
                              </w:txbxContent>
                            </wps:txbx>
                            <wps:bodyPr rot="0" vert="horz" wrap="square" lIns="36000" tIns="0" rIns="36000" bIns="0" anchor="ctr" anchorCtr="0" upright="1">
                              <a:noAutofit/>
                            </wps:bodyPr>
                          </wps:wsp>
                        </a:graphicData>
                      </a:graphic>
                    </wp:anchor>
                  </w:drawing>
                </mc:Choice>
                <mc:Fallback>
                  <w:pict>
                    <v:shape id="AutoShape 263" o:spid="_x0000_s1026" o:spt="106" type="#_x0000_t106" style="position:absolute;left:0pt;margin-left:187.2pt;margin-top:2.65pt;height:25pt;width:45pt;z-index:251687936;v-text-anchor:middle;mso-width-relative:page;mso-height-relative:page;" fillcolor="#FFFFFF" filled="t" stroked="t" coordsize="21600,21600" o:gfxdata="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Kh3GGHWAAAACAEAAA8AAAAAAAAA&#10;AQAgAAAAIgAAAGRycy9kb3ducmV2LnhtbFBLAQIUABQAAAAIAIdO4kC6X3BXTAIAAMUEAAAOAAAA&#10;AAAAAAEAIAAAACUBAABkcnMvZTJvRG9jLnhtbFBLBQYAAAAABgAGAFkBAADjBQAAAAA=&#10;" adj="25104,27302">
                      <v:fill on="t" focussize="0,0"/>
                      <v:stroke color="#000000" joinstyle="round"/>
                      <v:imagedata o:title=""/>
                      <o:lock v:ext="edit" aspectratio="f"/>
                      <v:textbox inset="1mm,0mm,1mm,0mm">
                        <w:txbxContent>
                          <w:p w14:paraId="752869FC">
                            <w:pPr>
                              <w:snapToGrid w:val="0"/>
                              <w:jc w:val="center"/>
                              <w:rPr>
                                <w:b/>
                              </w:rPr>
                            </w:pPr>
                            <w:r>
                              <w:rPr>
                                <w:b/>
                              </w:rPr>
                              <w:t>0.06</w:t>
                            </w:r>
                          </w:p>
                        </w:txbxContent>
                      </v:textbox>
                    </v:shape>
                  </w:pict>
                </mc:Fallback>
              </mc:AlternateContent>
            </w:r>
            <w:r>
              <w:rPr>
                <w:bCs/>
                <w:sz w:val="24"/>
              </w:rPr>
              <mc:AlternateContent>
                <mc:Choice Requires="wps">
                  <w:drawing>
                    <wp:anchor distT="0" distB="0" distL="114300" distR="114300" simplePos="0" relativeHeight="251675648" behindDoc="0" locked="0" layoutInCell="1" allowOverlap="1">
                      <wp:simplePos x="0" y="0"/>
                      <wp:positionH relativeFrom="column">
                        <wp:posOffset>883285</wp:posOffset>
                      </wp:positionH>
                      <wp:positionV relativeFrom="paragraph">
                        <wp:posOffset>42545</wp:posOffset>
                      </wp:positionV>
                      <wp:extent cx="571500" cy="317500"/>
                      <wp:effectExtent l="12700" t="6985" r="120650" b="104140"/>
                      <wp:wrapNone/>
                      <wp:docPr id="38" name="AutoShape 248"/>
                      <wp:cNvGraphicFramePr/>
                      <a:graphic xmlns:a="http://schemas.openxmlformats.org/drawingml/2006/main">
                        <a:graphicData uri="http://schemas.microsoft.com/office/word/2010/wordprocessingShape">
                          <wps:wsp>
                            <wps:cNvSpPr>
                              <a:spLocks noChangeArrowheads="1"/>
                            </wps:cNvSpPr>
                            <wps:spPr bwMode="auto">
                              <a:xfrm>
                                <a:off x="0" y="0"/>
                                <a:ext cx="571500" cy="317500"/>
                              </a:xfrm>
                              <a:prstGeom prst="cloudCallout">
                                <a:avLst>
                                  <a:gd name="adj1" fmla="val 66222"/>
                                  <a:gd name="adj2" fmla="val 76398"/>
                                </a:avLst>
                              </a:prstGeom>
                              <a:solidFill>
                                <a:srgbClr val="FFFFFF"/>
                              </a:solidFill>
                              <a:ln w="9525">
                                <a:solidFill>
                                  <a:srgbClr val="000000"/>
                                </a:solidFill>
                                <a:round/>
                              </a:ln>
                            </wps:spPr>
                            <wps:txbx>
                              <w:txbxContent>
                                <w:p w14:paraId="7EDB6B92">
                                  <w:pPr>
                                    <w:snapToGrid w:val="0"/>
                                    <w:jc w:val="center"/>
                                    <w:rPr>
                                      <w:b/>
                                    </w:rPr>
                                  </w:pPr>
                                  <w:r>
                                    <w:rPr>
                                      <w:b/>
                                    </w:rPr>
                                    <w:t>1</w:t>
                                  </w:r>
                                </w:p>
                              </w:txbxContent>
                            </wps:txbx>
                            <wps:bodyPr rot="0" vert="horz" wrap="square" lIns="36000" tIns="0" rIns="36000" bIns="0" anchor="ctr" anchorCtr="0" upright="1">
                              <a:noAutofit/>
                            </wps:bodyPr>
                          </wps:wsp>
                        </a:graphicData>
                      </a:graphic>
                    </wp:anchor>
                  </w:drawing>
                </mc:Choice>
                <mc:Fallback>
                  <w:pict>
                    <v:shape id="AutoShape 248" o:spid="_x0000_s1026" o:spt="106" type="#_x0000_t106" style="position:absolute;left:0pt;margin-left:69.55pt;margin-top:3.35pt;height:25pt;width:45pt;z-index:251675648;v-text-anchor:middle;mso-width-relative:page;mso-height-relative:page;" fillcolor="#FFFFFF" filled="t" stroked="t" coordsize="21600,21600" o:gfxdata="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K0IJCtUAAAAIAQAADwAAAAAAAAAB&#10;ACAAAAAiAAAAZHJzL2Rvd25yZXYueG1sUEsBAhQAFAAAAAgAh07iQOW7ICxMAgAAxQQAAA4AAAAA&#10;AAAAAQAgAAAAJAEAAGRycy9lMm9Eb2MueG1sUEsFBgAAAAAGAAYAWQEAAOIFAAAAAA==&#10;" adj="25104,27302">
                      <v:fill on="t" focussize="0,0"/>
                      <v:stroke color="#000000" joinstyle="round"/>
                      <v:imagedata o:title=""/>
                      <o:lock v:ext="edit" aspectratio="f"/>
                      <v:textbox inset="1mm,0mm,1mm,0mm">
                        <w:txbxContent>
                          <w:p w14:paraId="7EDB6B92">
                            <w:pPr>
                              <w:snapToGrid w:val="0"/>
                              <w:jc w:val="center"/>
                              <w:rPr>
                                <w:b/>
                              </w:rPr>
                            </w:pPr>
                            <w:r>
                              <w:rPr>
                                <w:b/>
                              </w:rPr>
                              <w:t>1</w:t>
                            </w:r>
                          </w:p>
                        </w:txbxContent>
                      </v:textbox>
                    </v:shape>
                  </w:pict>
                </mc:Fallback>
              </mc:AlternateContent>
            </w:r>
            <w:r>
              <w:rPr>
                <w:bCs/>
                <w:sz w:val="24"/>
              </w:rPr>
              <mc:AlternateContent>
                <mc:Choice Requires="wps">
                  <w:drawing>
                    <wp:anchor distT="0" distB="0" distL="114300" distR="114300" simplePos="0" relativeHeight="251678720" behindDoc="0" locked="0" layoutInCell="1" allowOverlap="1">
                      <wp:simplePos x="0" y="0"/>
                      <wp:positionH relativeFrom="column">
                        <wp:posOffset>2317115</wp:posOffset>
                      </wp:positionH>
                      <wp:positionV relativeFrom="paragraph">
                        <wp:posOffset>454660</wp:posOffset>
                      </wp:positionV>
                      <wp:extent cx="998220" cy="267335"/>
                      <wp:effectExtent l="8255" t="9525" r="12700" b="8890"/>
                      <wp:wrapNone/>
                      <wp:docPr id="35" name="Text Box 251"/>
                      <wp:cNvGraphicFramePr/>
                      <a:graphic xmlns:a="http://schemas.openxmlformats.org/drawingml/2006/main">
                        <a:graphicData uri="http://schemas.microsoft.com/office/word/2010/wordprocessingShape">
                          <wps:wsp>
                            <wps:cNvSpPr txBox="1">
                              <a:spLocks noChangeArrowheads="1"/>
                            </wps:cNvSpPr>
                            <wps:spPr bwMode="auto">
                              <a:xfrm>
                                <a:off x="0" y="0"/>
                                <a:ext cx="998220" cy="267335"/>
                              </a:xfrm>
                              <a:prstGeom prst="rect">
                                <a:avLst/>
                              </a:prstGeom>
                              <a:solidFill>
                                <a:srgbClr val="FFFFFF"/>
                              </a:solidFill>
                              <a:ln w="9525">
                                <a:solidFill>
                                  <a:srgbClr val="000000"/>
                                </a:solidFill>
                                <a:miter lim="800000"/>
                              </a:ln>
                            </wps:spPr>
                            <wps:txbx>
                              <w:txbxContent>
                                <w:p w14:paraId="137D1421">
                                  <w:pPr>
                                    <w:jc w:val="center"/>
                                  </w:pPr>
                                  <w:r>
                                    <w:rPr>
                                      <w:rFonts w:hint="eastAsia"/>
                                      <w:b/>
                                      <w:bCs/>
                                    </w:rPr>
                                    <w:t>三级沉淀</w:t>
                                  </w:r>
                                </w:p>
                              </w:txbxContent>
                            </wps:txbx>
                            <wps:bodyPr rot="0" vert="horz" wrap="square" lIns="0" tIns="36000" rIns="0" bIns="45720" anchor="t" anchorCtr="0" upright="1">
                              <a:noAutofit/>
                            </wps:bodyPr>
                          </wps:wsp>
                        </a:graphicData>
                      </a:graphic>
                    </wp:anchor>
                  </w:drawing>
                </mc:Choice>
                <mc:Fallback>
                  <w:pict>
                    <v:shape id="Text Box 251" o:spid="_x0000_s1026" o:spt="202" type="#_x0000_t202" style="position:absolute;left:0pt;margin-left:182.45pt;margin-top:35.8pt;height:21.05pt;width:78.6pt;z-index:251678720;mso-width-relative:page;mso-height-relative:page;" fillcolor="#FFFFFF" filled="t" stroked="t" coordsize="21600,21600" o:gfxdata="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FPi6IjZAAAACgEAAA8AAAAAAAAAAQAgAAAAIgAAAGRycy9kb3ducmV2Lnht&#10;bFBLAQIUABQAAAAIAIdO4kDfkmtBMQIAAIAEAAAOAAAAAAAAAAEAIAAAACgBAABkcnMvZTJvRG9j&#10;LnhtbFBLBQYAAAAABgAGAFkBAADLBQAAAAA=&#10;">
                      <v:fill on="t" focussize="0,0"/>
                      <v:stroke color="#000000" miterlimit="8" joinstyle="miter"/>
                      <v:imagedata o:title=""/>
                      <o:lock v:ext="edit" aspectratio="f"/>
                      <v:textbox inset="0mm,1mm,0mm,1.27mm">
                        <w:txbxContent>
                          <w:p w14:paraId="137D1421">
                            <w:pPr>
                              <w:jc w:val="center"/>
                            </w:pPr>
                            <w:r>
                              <w:rPr>
                                <w:rFonts w:hint="eastAsia"/>
                                <w:b/>
                                <w:bCs/>
                              </w:rPr>
                              <w:t>三级沉淀</w:t>
                            </w:r>
                          </w:p>
                        </w:txbxContent>
                      </v:textbox>
                    </v:shape>
                  </w:pict>
                </mc:Fallback>
              </mc:AlternateContent>
            </w:r>
            <w:r>
              <w:rPr>
                <w:bCs/>
                <w:sz w:val="24"/>
              </w:rPr>
              <mc:AlternateContent>
                <mc:Choice Requires="wps">
                  <w:drawing>
                    <wp:anchor distT="0" distB="0" distL="114300" distR="114300" simplePos="0" relativeHeight="251677696" behindDoc="0" locked="0" layoutInCell="1" allowOverlap="1">
                      <wp:simplePos x="0" y="0"/>
                      <wp:positionH relativeFrom="column">
                        <wp:posOffset>1263650</wp:posOffset>
                      </wp:positionH>
                      <wp:positionV relativeFrom="paragraph">
                        <wp:posOffset>447675</wp:posOffset>
                      </wp:positionV>
                      <wp:extent cx="701675" cy="267335"/>
                      <wp:effectExtent l="12065" t="12065" r="10160" b="6350"/>
                      <wp:wrapNone/>
                      <wp:docPr id="34" name="Text Box 250"/>
                      <wp:cNvGraphicFramePr/>
                      <a:graphic xmlns:a="http://schemas.openxmlformats.org/drawingml/2006/main">
                        <a:graphicData uri="http://schemas.microsoft.com/office/word/2010/wordprocessingShape">
                          <wps:wsp>
                            <wps:cNvSpPr txBox="1">
                              <a:spLocks noChangeArrowheads="1"/>
                            </wps:cNvSpPr>
                            <wps:spPr bwMode="auto">
                              <a:xfrm>
                                <a:off x="0" y="0"/>
                                <a:ext cx="701675" cy="267335"/>
                              </a:xfrm>
                              <a:prstGeom prst="rect">
                                <a:avLst/>
                              </a:prstGeom>
                              <a:solidFill>
                                <a:srgbClr val="FFFFFF"/>
                              </a:solidFill>
                              <a:ln w="9525">
                                <a:solidFill>
                                  <a:srgbClr val="000000"/>
                                </a:solidFill>
                                <a:miter lim="800000"/>
                              </a:ln>
                            </wps:spPr>
                            <wps:txbx>
                              <w:txbxContent>
                                <w:p w14:paraId="0ED840F0">
                                  <w:pPr>
                                    <w:jc w:val="center"/>
                                  </w:pPr>
                                  <w:r>
                                    <w:rPr>
                                      <w:rFonts w:hint="eastAsia"/>
                                      <w:b/>
                                      <w:bCs/>
                                    </w:rPr>
                                    <w:t>清洗</w:t>
                                  </w:r>
                                  <w:r>
                                    <w:rPr>
                                      <w:b/>
                                      <w:bCs/>
                                    </w:rPr>
                                    <w:t>用水</w:t>
                                  </w:r>
                                </w:p>
                              </w:txbxContent>
                            </wps:txbx>
                            <wps:bodyPr rot="0" vert="horz" wrap="square" lIns="0" tIns="36000" rIns="0" bIns="45720" anchor="t" anchorCtr="0" upright="1">
                              <a:noAutofit/>
                            </wps:bodyPr>
                          </wps:wsp>
                        </a:graphicData>
                      </a:graphic>
                    </wp:anchor>
                  </w:drawing>
                </mc:Choice>
                <mc:Fallback>
                  <w:pict>
                    <v:shape id="Text Box 250" o:spid="_x0000_s1026" o:spt="202" type="#_x0000_t202" style="position:absolute;left:0pt;margin-left:99.5pt;margin-top:35.25pt;height:21.05pt;width:55.25pt;z-index:251677696;mso-width-relative:page;mso-height-relative:page;" fillcolor="#FFFFFF" filled="t" stroked="t" coordsize="21600,21600" o:gfxdata="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hJcBUdgAAAAKAQAADwAAAAAAAAABACAAAAAiAAAAZHJzL2Rvd25yZXYu&#10;eG1sUEsBAhQAFAAAAAgAh07iQMkizVw0AgAAgAQAAA4AAAAAAAAAAQAgAAAAJwEAAGRycy9lMm9E&#10;b2MueG1sUEsFBgAAAAAGAAYAWQEAAM0FAAAAAA==&#10;">
                      <v:fill on="t" focussize="0,0"/>
                      <v:stroke color="#000000" miterlimit="8" joinstyle="miter"/>
                      <v:imagedata o:title=""/>
                      <o:lock v:ext="edit" aspectratio="f"/>
                      <v:textbox inset="0mm,1mm,0mm,1.27mm">
                        <w:txbxContent>
                          <w:p w14:paraId="0ED840F0">
                            <w:pPr>
                              <w:jc w:val="center"/>
                            </w:pPr>
                            <w:r>
                              <w:rPr>
                                <w:rFonts w:hint="eastAsia"/>
                                <w:b/>
                                <w:bCs/>
                              </w:rPr>
                              <w:t>清洗</w:t>
                            </w:r>
                            <w:r>
                              <w:rPr>
                                <w:b/>
                                <w:bCs/>
                              </w:rPr>
                              <w:t>用水</w:t>
                            </w:r>
                          </w:p>
                        </w:txbxContent>
                      </v:textbox>
                    </v:shape>
                  </w:pict>
                </mc:Fallback>
              </mc:AlternateContent>
            </w:r>
            <w:r>
              <w:rPr>
                <w:bCs/>
                <w:sz w:val="24"/>
              </w:rPr>
              <mc:AlternateContent>
                <mc:Choice Requires="wps">
                  <w:drawing>
                    <wp:anchor distT="0" distB="0" distL="114300" distR="114300" simplePos="0" relativeHeight="251676672" behindDoc="0" locked="0" layoutInCell="1" allowOverlap="1">
                      <wp:simplePos x="0" y="0"/>
                      <wp:positionH relativeFrom="column">
                        <wp:posOffset>1943100</wp:posOffset>
                      </wp:positionH>
                      <wp:positionV relativeFrom="paragraph">
                        <wp:posOffset>666115</wp:posOffset>
                      </wp:positionV>
                      <wp:extent cx="608965" cy="299720"/>
                      <wp:effectExtent l="5715" t="1905" r="4445" b="3175"/>
                      <wp:wrapNone/>
                      <wp:docPr id="32" name="Text Box 249"/>
                      <wp:cNvGraphicFramePr/>
                      <a:graphic xmlns:a="http://schemas.openxmlformats.org/drawingml/2006/main">
                        <a:graphicData uri="http://schemas.microsoft.com/office/word/2010/wordprocessingShape">
                          <wps:wsp>
                            <wps:cNvSpPr txBox="1">
                              <a:spLocks noChangeArrowheads="1"/>
                            </wps:cNvSpPr>
                            <wps:spPr bwMode="auto">
                              <a:xfrm>
                                <a:off x="0" y="0"/>
                                <a:ext cx="608965" cy="299720"/>
                              </a:xfrm>
                              <a:prstGeom prst="rect">
                                <a:avLst/>
                              </a:prstGeom>
                              <a:solidFill>
                                <a:srgbClr val="FFFFFF">
                                  <a:alpha val="0"/>
                                </a:srgbClr>
                              </a:solidFill>
                              <a:ln>
                                <a:noFill/>
                              </a:ln>
                            </wps:spPr>
                            <wps:txbx>
                              <w:txbxContent>
                                <w:p w14:paraId="0C59B5C2">
                                  <w:pPr>
                                    <w:rPr>
                                      <w:b/>
                                    </w:rPr>
                                  </w:pPr>
                                  <w:r>
                                    <w:rPr>
                                      <w:b/>
                                    </w:rPr>
                                    <w:t>3.56</w:t>
                                  </w:r>
                                </w:p>
                              </w:txbxContent>
                            </wps:txbx>
                            <wps:bodyPr rot="0" vert="horz" wrap="square" lIns="91440" tIns="45720" rIns="91440" bIns="45720" anchor="t" anchorCtr="0" upright="1">
                              <a:noAutofit/>
                            </wps:bodyPr>
                          </wps:wsp>
                        </a:graphicData>
                      </a:graphic>
                    </wp:anchor>
                  </w:drawing>
                </mc:Choice>
                <mc:Fallback>
                  <w:pict>
                    <v:shape id="Text Box 249" o:spid="_x0000_s1026" o:spt="202" type="#_x0000_t202" style="position:absolute;left:0pt;margin-left:153pt;margin-top:52.45pt;height:23.6pt;width:47.95pt;z-index:251676672;mso-width-relative:page;mso-height-relative:page;" fillcolor="#FFFFFF" filled="t" stroked="f" coordsize="21600,21600" o:gfxdata="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BW3YUdgAAAALAQAADwAAAAAAAAABACAAAAAiAAAAZHJzL2Rvd25yZXYueG1sUEsBAhQAFAAA&#10;AAgAh07iQO7iR5YoAgAAXAQAAA4AAAAAAAAAAQAgAAAAJwEAAGRycy9lMm9Eb2MueG1sUEsFBgAA&#10;AAAGAAYAWQEAAMEFAAAAAA==&#10;">
                      <v:fill on="t" opacity="0f" focussize="0,0"/>
                      <v:stroke on="f"/>
                      <v:imagedata o:title=""/>
                      <o:lock v:ext="edit" aspectratio="f"/>
                      <v:textbox>
                        <w:txbxContent>
                          <w:p w14:paraId="0C59B5C2">
                            <w:pPr>
                              <w:rPr>
                                <w:b/>
                              </w:rPr>
                            </w:pPr>
                            <w:r>
                              <w:rPr>
                                <w:b/>
                              </w:rPr>
                              <w:t>3.56</w:t>
                            </w:r>
                          </w:p>
                        </w:txbxContent>
                      </v:textbox>
                    </v:shape>
                  </w:pict>
                </mc:Fallback>
              </mc:AlternateContent>
            </w:r>
            <w:r>
              <w:rPr>
                <w:bCs/>
                <w:sz w:val="24"/>
              </w:rPr>
              <mc:AlternateContent>
                <mc:Choice Requires="wps">
                  <w:drawing>
                    <wp:anchor distT="0" distB="0" distL="114300" distR="114300" simplePos="0" relativeHeight="251674624" behindDoc="0" locked="0" layoutInCell="1" allowOverlap="1">
                      <wp:simplePos x="0" y="0"/>
                      <wp:positionH relativeFrom="column">
                        <wp:posOffset>1971040</wp:posOffset>
                      </wp:positionH>
                      <wp:positionV relativeFrom="paragraph">
                        <wp:posOffset>577850</wp:posOffset>
                      </wp:positionV>
                      <wp:extent cx="352425" cy="0"/>
                      <wp:effectExtent l="5080" t="56515" r="23495" b="57785"/>
                      <wp:wrapNone/>
                      <wp:docPr id="31" name="AutoShape 247"/>
                      <wp:cNvGraphicFramePr/>
                      <a:graphic xmlns:a="http://schemas.openxmlformats.org/drawingml/2006/main">
                        <a:graphicData uri="http://schemas.microsoft.com/office/word/2010/wordprocessingShape">
                          <wps:wsp>
                            <wps:cNvCnPr>
                              <a:cxnSpLocks noChangeShapeType="1"/>
                            </wps:cNvCnPr>
                            <wps:spPr bwMode="auto">
                              <a:xfrm>
                                <a:off x="0" y="0"/>
                                <a:ext cx="352425" cy="0"/>
                              </a:xfrm>
                              <a:prstGeom prst="straightConnector1">
                                <a:avLst/>
                              </a:prstGeom>
                              <a:noFill/>
                              <a:ln w="9525">
                                <a:solidFill>
                                  <a:srgbClr val="000000"/>
                                </a:solidFill>
                                <a:round/>
                                <a:tailEnd type="triangle" w="med" len="med"/>
                              </a:ln>
                            </wps:spPr>
                            <wps:bodyPr/>
                          </wps:wsp>
                        </a:graphicData>
                      </a:graphic>
                    </wp:anchor>
                  </w:drawing>
                </mc:Choice>
                <mc:Fallback>
                  <w:pict>
                    <v:shape id="AutoShape 247" o:spid="_x0000_s1026" o:spt="32" type="#_x0000_t32" style="position:absolute;left:0pt;margin-left:155.2pt;margin-top:45.5pt;height:0pt;width:27.75pt;z-index:251674624;mso-width-relative:page;mso-height-relative:page;" filled="f" stroked="t" coordsize="21600,21600" o:gfxdata="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SbXfidgAAAAJAQAADwAAAAAAAAABACAAAAAiAAAAZHJzL2Rvd25yZXYueG1sUEsBAhQAFAAA&#10;AAgAh07iQIApS5XvAQAA4gMAAA4AAAAAAAAAAQAgAAAAJwEAAGRycy9lMm9Eb2MueG1sUEsFBgAA&#10;AAAGAAYAWQEAAIgFAAAAAA==&#10;">
                      <v:fill on="f" focussize="0,0"/>
                      <v:stroke color="#000000" joinstyle="round" endarrow="block"/>
                      <v:imagedata o:title=""/>
                      <o:lock v:ext="edit" aspectratio="f"/>
                    </v:shape>
                  </w:pict>
                </mc:Fallback>
              </mc:AlternateContent>
            </w:r>
            <w:r>
              <w:rPr>
                <w:bCs/>
                <w:sz w:val="24"/>
              </w:rPr>
              <mc:AlternateContent>
                <mc:Choice Requires="wps">
                  <w:drawing>
                    <wp:anchor distT="0" distB="0" distL="114300" distR="114300" simplePos="0" relativeHeight="251673600" behindDoc="0" locked="0" layoutInCell="1" allowOverlap="1">
                      <wp:simplePos x="0" y="0"/>
                      <wp:positionH relativeFrom="column">
                        <wp:posOffset>1612900</wp:posOffset>
                      </wp:positionH>
                      <wp:positionV relativeFrom="paragraph">
                        <wp:posOffset>721995</wp:posOffset>
                      </wp:positionV>
                      <wp:extent cx="1188085" cy="156845"/>
                      <wp:effectExtent l="46990" t="19685" r="12700" b="13970"/>
                      <wp:wrapNone/>
                      <wp:docPr id="30" name="Freeform 246"/>
                      <wp:cNvGraphicFramePr/>
                      <a:graphic xmlns:a="http://schemas.openxmlformats.org/drawingml/2006/main">
                        <a:graphicData uri="http://schemas.microsoft.com/office/word/2010/wordprocessingShape">
                          <wps:wsp>
                            <wps:cNvSpPr/>
                            <wps:spPr bwMode="auto">
                              <a:xfrm>
                                <a:off x="0" y="0"/>
                                <a:ext cx="1188085" cy="156845"/>
                              </a:xfrm>
                              <a:custGeom>
                                <a:avLst/>
                                <a:gdLst>
                                  <a:gd name="T0" fmla="*/ 1606 w 1613"/>
                                  <a:gd name="T1" fmla="*/ 0 h 590"/>
                                  <a:gd name="T2" fmla="*/ 1613 w 1613"/>
                                  <a:gd name="T3" fmla="*/ 590 h 590"/>
                                  <a:gd name="T4" fmla="*/ 0 w 1613"/>
                                  <a:gd name="T5" fmla="*/ 590 h 590"/>
                                  <a:gd name="T6" fmla="*/ 9 w 1613"/>
                                  <a:gd name="T7" fmla="*/ 10 h 590"/>
                                </a:gdLst>
                                <a:ahLst/>
                                <a:cxnLst>
                                  <a:cxn ang="0">
                                    <a:pos x="T0" y="T1"/>
                                  </a:cxn>
                                  <a:cxn ang="0">
                                    <a:pos x="T2" y="T3"/>
                                  </a:cxn>
                                  <a:cxn ang="0">
                                    <a:pos x="T4" y="T5"/>
                                  </a:cxn>
                                  <a:cxn ang="0">
                                    <a:pos x="T6" y="T7"/>
                                  </a:cxn>
                                </a:cxnLst>
                                <a:rect l="0" t="0" r="r" b="b"/>
                                <a:pathLst>
                                  <a:path w="1613" h="590">
                                    <a:moveTo>
                                      <a:pt x="1606" y="0"/>
                                    </a:moveTo>
                                    <a:lnTo>
                                      <a:pt x="1613" y="590"/>
                                    </a:lnTo>
                                    <a:lnTo>
                                      <a:pt x="0" y="590"/>
                                    </a:lnTo>
                                    <a:lnTo>
                                      <a:pt x="9" y="10"/>
                                    </a:lnTo>
                                  </a:path>
                                </a:pathLst>
                              </a:custGeom>
                              <a:noFill/>
                              <a:ln w="9525">
                                <a:solidFill>
                                  <a:srgbClr val="000000"/>
                                </a:solidFill>
                                <a:prstDash val="dash"/>
                                <a:round/>
                                <a:tailEnd type="triangle" w="med" len="med"/>
                              </a:ln>
                            </wps:spPr>
                            <wps:bodyPr rot="0" vert="horz" wrap="square" lIns="91440" tIns="45720" rIns="91440" bIns="45720" anchor="t" anchorCtr="0" upright="1">
                              <a:noAutofit/>
                            </wps:bodyPr>
                          </wps:wsp>
                        </a:graphicData>
                      </a:graphic>
                    </wp:anchor>
                  </w:drawing>
                </mc:Choice>
                <mc:Fallback>
                  <w:pict>
                    <v:shape id="Freeform 246" o:spid="_x0000_s1026" o:spt="100" style="position:absolute;left:0pt;margin-left:127pt;margin-top:56.85pt;height:12.35pt;width:93.55pt;z-index:251673600;mso-width-relative:page;mso-height-relative:page;" filled="f" stroked="t" coordsize="1613,590" o:gfxdata="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" path="m1606,0l1613,590,0,590,9,10e">
                      <v:path o:connectlocs="1182929,0;1188085,156845;0,156845;6629,2658" o:connectangles="0,0,0,0"/>
                      <v:fill on="f" focussize="0,0"/>
                      <v:stroke color="#000000" joinstyle="round" dashstyle="dash" endarrow="block"/>
                      <v:imagedata o:title=""/>
                      <o:lock v:ext="edit" aspectratio="f"/>
                    </v:shape>
                  </w:pict>
                </mc:Fallback>
              </mc:AlternateContent>
            </w:r>
          </w:p>
          <w:p w14:paraId="2EEF7AD2">
            <w:pPr>
              <w:spacing w:line="360" w:lineRule="auto"/>
              <w:ind w:firstLine="480" w:firstLineChars="200"/>
              <w:jc w:val="left"/>
              <w:rPr>
                <w:bCs/>
                <w:sz w:val="24"/>
              </w:rPr>
            </w:pPr>
            <w:r>
              <w:rPr>
                <w:bCs/>
                <w:sz w:val="24"/>
              </w:rPr>
              <mc:AlternateContent>
                <mc:Choice Requires="wps">
                  <w:drawing>
                    <wp:anchor distT="0" distB="0" distL="114300" distR="114300" simplePos="0" relativeHeight="251701248" behindDoc="0" locked="0" layoutInCell="1" allowOverlap="1">
                      <wp:simplePos x="0" y="0"/>
                      <wp:positionH relativeFrom="column">
                        <wp:posOffset>3445510</wp:posOffset>
                      </wp:positionH>
                      <wp:positionV relativeFrom="paragraph">
                        <wp:posOffset>89535</wp:posOffset>
                      </wp:positionV>
                      <wp:extent cx="594995" cy="299720"/>
                      <wp:effectExtent l="2540" t="8255" r="2540" b="6350"/>
                      <wp:wrapNone/>
                      <wp:docPr id="55" name="Text Box 252"/>
                      <wp:cNvGraphicFramePr/>
                      <a:graphic xmlns:a="http://schemas.openxmlformats.org/drawingml/2006/main">
                        <a:graphicData uri="http://schemas.microsoft.com/office/word/2010/wordprocessingShape">
                          <wps:wsp>
                            <wps:cNvSpPr txBox="1">
                              <a:spLocks noChangeArrowheads="1"/>
                            </wps:cNvSpPr>
                            <wps:spPr bwMode="auto">
                              <a:xfrm>
                                <a:off x="0" y="0"/>
                                <a:ext cx="594995" cy="299720"/>
                              </a:xfrm>
                              <a:prstGeom prst="rect">
                                <a:avLst/>
                              </a:prstGeom>
                              <a:solidFill>
                                <a:srgbClr val="FFFFFF">
                                  <a:alpha val="0"/>
                                </a:srgbClr>
                              </a:solidFill>
                              <a:ln>
                                <a:noFill/>
                              </a:ln>
                            </wps:spPr>
                            <wps:txbx>
                              <w:txbxContent>
                                <w:p w14:paraId="7ACF9EBC">
                                  <w:pPr>
                                    <w:rPr>
                                      <w:b/>
                                    </w:rPr>
                                  </w:pPr>
                                  <w:r>
                                    <w:rPr>
                                      <w:b/>
                                    </w:rPr>
                                    <w:t>4.78</w:t>
                                  </w:r>
                                </w:p>
                              </w:txbxContent>
                            </wps:txbx>
                            <wps:bodyPr rot="0" vert="horz" wrap="square" lIns="91440" tIns="45720" rIns="91440" bIns="45720" anchor="t" anchorCtr="0" upright="1">
                              <a:noAutofit/>
                            </wps:bodyPr>
                          </wps:wsp>
                        </a:graphicData>
                      </a:graphic>
                    </wp:anchor>
                  </w:drawing>
                </mc:Choice>
                <mc:Fallback>
                  <w:pict>
                    <v:shape id="Text Box 252" o:spid="_x0000_s1026" o:spt="202" type="#_x0000_t202" style="position:absolute;left:0pt;margin-left:271.3pt;margin-top:7.05pt;height:23.6pt;width:46.85pt;z-index:251701248;mso-width-relative:page;mso-height-relative:page;" fillcolor="#FFFFFF" filled="t" stroked="f" coordsize="21600,21600" o:gfxdata="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NO+ml/XAAAACQEAAA8AAAAAAAAAAQAgAAAAIgAAAGRycy9kb3ducmV2LnhtbFBLAQIUABQAAAAI&#10;AIdO4kAiUx65JwIAAFwEAAAOAAAAAAAAAAEAIAAAACYBAABkcnMvZTJvRG9jLnhtbFBLBQYAAAAA&#10;BgAGAFkBAAC/BQAAAAA=&#10;">
                      <v:fill on="t" opacity="0f" focussize="0,0"/>
                      <v:stroke on="f"/>
                      <v:imagedata o:title=""/>
                      <o:lock v:ext="edit" aspectratio="f"/>
                      <v:textbox>
                        <w:txbxContent>
                          <w:p w14:paraId="7ACF9EBC">
                            <w:pPr>
                              <w:rPr>
                                <w:b/>
                              </w:rPr>
                            </w:pPr>
                            <w:r>
                              <w:rPr>
                                <w:b/>
                              </w:rPr>
                              <w:t>4.78</w:t>
                            </w:r>
                          </w:p>
                        </w:txbxContent>
                      </v:textbox>
                    </v:shape>
                  </w:pict>
                </mc:Fallback>
              </mc:AlternateContent>
            </w:r>
            <w:r>
              <w:rPr>
                <w:bCs/>
                <w:sz w:val="24"/>
              </w:rPr>
              <mc:AlternateContent>
                <mc:Choice Requires="wps">
                  <w:drawing>
                    <wp:anchor distT="0" distB="0" distL="114300" distR="114300" simplePos="0" relativeHeight="251700224" behindDoc="0" locked="0" layoutInCell="1" allowOverlap="1">
                      <wp:simplePos x="0" y="0"/>
                      <wp:positionH relativeFrom="column">
                        <wp:posOffset>3749675</wp:posOffset>
                      </wp:positionH>
                      <wp:positionV relativeFrom="paragraph">
                        <wp:posOffset>120650</wp:posOffset>
                      </wp:positionV>
                      <wp:extent cx="1513840" cy="477520"/>
                      <wp:effectExtent l="0" t="0" r="0" b="0"/>
                      <wp:wrapNone/>
                      <wp:docPr id="54" name="Text Box 233"/>
                      <wp:cNvGraphicFramePr/>
                      <a:graphic xmlns:a="http://schemas.openxmlformats.org/drawingml/2006/main">
                        <a:graphicData uri="http://schemas.microsoft.com/office/word/2010/wordprocessingShape">
                          <wps:wsp>
                            <wps:cNvSpPr txBox="1">
                              <a:spLocks noChangeArrowheads="1"/>
                            </wps:cNvSpPr>
                            <wps:spPr bwMode="auto">
                              <a:xfrm>
                                <a:off x="0" y="0"/>
                                <a:ext cx="1513840" cy="477520"/>
                              </a:xfrm>
                              <a:prstGeom prst="rect">
                                <a:avLst/>
                              </a:prstGeom>
                              <a:solidFill>
                                <a:srgbClr val="FFFFFF">
                                  <a:alpha val="0"/>
                                </a:srgbClr>
                              </a:solidFill>
                              <a:ln>
                                <a:noFill/>
                              </a:ln>
                            </wps:spPr>
                            <wps:txbx>
                              <w:txbxContent>
                                <w:p w14:paraId="253C5EF0">
                                  <w:pPr>
                                    <w:jc w:val="center"/>
                                  </w:pPr>
                                  <w:r>
                                    <w:rPr>
                                      <w:b/>
                                      <w:bCs/>
                                    </w:rPr>
                                    <w:t>经</w:t>
                                  </w:r>
                                  <w:r>
                                    <w:rPr>
                                      <w:rFonts w:hint="eastAsia"/>
                                      <w:b/>
                                      <w:bCs/>
                                    </w:rPr>
                                    <w:t>罐车运至民权县北关镇污水处理厂</w:t>
                                  </w:r>
                                </w:p>
                              </w:txbxContent>
                            </wps:txbx>
                            <wps:bodyPr rot="0" vert="horz" wrap="square" lIns="91440" tIns="45720" rIns="91440" bIns="45720" anchor="t" anchorCtr="0" upright="1">
                              <a:noAutofit/>
                            </wps:bodyPr>
                          </wps:wsp>
                        </a:graphicData>
                      </a:graphic>
                    </wp:anchor>
                  </w:drawing>
                </mc:Choice>
                <mc:Fallback>
                  <w:pict>
                    <v:shape id="Text Box 233" o:spid="_x0000_s1026" o:spt="202" type="#_x0000_t202" style="position:absolute;left:0pt;margin-left:295.25pt;margin-top:9.5pt;height:37.6pt;width:119.2pt;z-index:251700224;mso-width-relative:page;mso-height-relative:page;" fillcolor="#FFFFFF" filled="t" stroked="f" coordsize="21600,21600" o:gfxdata="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x7z181wAAAAkBAAAPAAAAAAAAAAEAIAAAACIAAABkcnMvZG93bnJldi54bWxQSwECFAAUAAAA&#10;CACHTuJA9/Gb5CgCAABdBAAADgAAAAAAAAABACAAAAAmAQAAZHJzL2Uyb0RvYy54bWxQSwUGAAAA&#10;AAYABgBZAQAAwAUAAAAA&#10;">
                      <v:fill on="t" opacity="0f" focussize="0,0"/>
                      <v:stroke on="f"/>
                      <v:imagedata o:title=""/>
                      <o:lock v:ext="edit" aspectratio="f"/>
                      <v:textbox>
                        <w:txbxContent>
                          <w:p w14:paraId="253C5EF0">
                            <w:pPr>
                              <w:jc w:val="center"/>
                            </w:pPr>
                            <w:r>
                              <w:rPr>
                                <w:b/>
                                <w:bCs/>
                              </w:rPr>
                              <w:t>经</w:t>
                            </w:r>
                            <w:r>
                              <w:rPr>
                                <w:rFonts w:hint="eastAsia"/>
                                <w:b/>
                                <w:bCs/>
                              </w:rPr>
                              <w:t>罐车运至民权县北关镇污水处理厂</w:t>
                            </w:r>
                          </w:p>
                        </w:txbxContent>
                      </v:textbox>
                    </v:shape>
                  </w:pict>
                </mc:Fallback>
              </mc:AlternateContent>
            </w:r>
            <w:r>
              <w:rPr>
                <w:bCs/>
                <w:sz w:val="24"/>
              </w:rPr>
              <mc:AlternateContent>
                <mc:Choice Requires="wps">
                  <w:drawing>
                    <wp:anchor distT="0" distB="0" distL="114300" distR="114300" simplePos="0" relativeHeight="251679744" behindDoc="0" locked="0" layoutInCell="1" allowOverlap="1">
                      <wp:simplePos x="0" y="0"/>
                      <wp:positionH relativeFrom="column">
                        <wp:posOffset>1951990</wp:posOffset>
                      </wp:positionH>
                      <wp:positionV relativeFrom="paragraph">
                        <wp:posOffset>125095</wp:posOffset>
                      </wp:positionV>
                      <wp:extent cx="594995" cy="299720"/>
                      <wp:effectExtent l="2540" t="8255" r="2540" b="6350"/>
                      <wp:wrapNone/>
                      <wp:docPr id="37" name="Text Box 252"/>
                      <wp:cNvGraphicFramePr/>
                      <a:graphic xmlns:a="http://schemas.openxmlformats.org/drawingml/2006/main">
                        <a:graphicData uri="http://schemas.microsoft.com/office/word/2010/wordprocessingShape">
                          <wps:wsp>
                            <wps:cNvSpPr txBox="1">
                              <a:spLocks noChangeArrowheads="1"/>
                            </wps:cNvSpPr>
                            <wps:spPr bwMode="auto">
                              <a:xfrm>
                                <a:off x="0" y="0"/>
                                <a:ext cx="594995" cy="299720"/>
                              </a:xfrm>
                              <a:prstGeom prst="rect">
                                <a:avLst/>
                              </a:prstGeom>
                              <a:solidFill>
                                <a:srgbClr val="FFFFFF">
                                  <a:alpha val="0"/>
                                </a:srgbClr>
                              </a:solidFill>
                              <a:ln>
                                <a:noFill/>
                              </a:ln>
                            </wps:spPr>
                            <wps:txbx>
                              <w:txbxContent>
                                <w:p w14:paraId="6DB6A066">
                                  <w:pPr>
                                    <w:rPr>
                                      <w:b/>
                                    </w:rPr>
                                  </w:pPr>
                                  <w:r>
                                    <w:rPr>
                                      <w:b/>
                                    </w:rPr>
                                    <w:t>9</w:t>
                                  </w:r>
                                </w:p>
                              </w:txbxContent>
                            </wps:txbx>
                            <wps:bodyPr rot="0" vert="horz" wrap="square" lIns="91440" tIns="45720" rIns="91440" bIns="45720" anchor="t" anchorCtr="0" upright="1">
                              <a:noAutofit/>
                            </wps:bodyPr>
                          </wps:wsp>
                        </a:graphicData>
                      </a:graphic>
                    </wp:anchor>
                  </w:drawing>
                </mc:Choice>
                <mc:Fallback>
                  <w:pict>
                    <v:shape id="Text Box 252" o:spid="_x0000_s1026" o:spt="202" type="#_x0000_t202" style="position:absolute;left:0pt;margin-left:153.7pt;margin-top:9.85pt;height:23.6pt;width:46.85pt;z-index:251679744;mso-width-relative:page;mso-height-relative:page;" fillcolor="#FFFFFF" filled="t" stroked="f" coordsize="21600,21600" o:gfxdata="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0tbroNgAAAAJAQAADwAAAAAAAAABACAAAAAiAAAAZHJzL2Rvd25yZXYueG1sUEsBAhQAFAAA&#10;AAgAh07iQJzgM2IoAgAAXAQAAA4AAAAAAAAAAQAgAAAAJwEAAGRycy9lMm9Eb2MueG1sUEsFBgAA&#10;AAAGAAYAWQEAAMEFAAAAAA==&#10;">
                      <v:fill on="t" opacity="0f" focussize="0,0"/>
                      <v:stroke on="f"/>
                      <v:imagedata o:title=""/>
                      <o:lock v:ext="edit" aspectratio="f"/>
                      <v:textbox>
                        <w:txbxContent>
                          <w:p w14:paraId="6DB6A066">
                            <w:pPr>
                              <w:rPr>
                                <w:b/>
                              </w:rPr>
                            </w:pPr>
                            <w:r>
                              <w:rPr>
                                <w:b/>
                              </w:rPr>
                              <w:t>9</w:t>
                            </w:r>
                          </w:p>
                        </w:txbxContent>
                      </v:textbox>
                    </v:shape>
                  </w:pict>
                </mc:Fallback>
              </mc:AlternateContent>
            </w:r>
            <w:r>
              <w:rPr>
                <w:bCs/>
                <w:sz w:val="24"/>
              </w:rPr>
              <mc:AlternateContent>
                <mc:Choice Requires="wps">
                  <w:drawing>
                    <wp:anchor distT="0" distB="0" distL="114300" distR="114300" simplePos="0" relativeHeight="251672576" behindDoc="0" locked="0" layoutInCell="1" allowOverlap="1">
                      <wp:simplePos x="0" y="0"/>
                      <wp:positionH relativeFrom="column">
                        <wp:posOffset>760730</wp:posOffset>
                      </wp:positionH>
                      <wp:positionV relativeFrom="paragraph">
                        <wp:posOffset>127000</wp:posOffset>
                      </wp:positionV>
                      <wp:extent cx="536575" cy="224790"/>
                      <wp:effectExtent l="0" t="0" r="0" b="0"/>
                      <wp:wrapNone/>
                      <wp:docPr id="36" name="Text Box 242"/>
                      <wp:cNvGraphicFramePr/>
                      <a:graphic xmlns:a="http://schemas.openxmlformats.org/drawingml/2006/main">
                        <a:graphicData uri="http://schemas.microsoft.com/office/word/2010/wordprocessingShape">
                          <wps:wsp>
                            <wps:cNvSpPr txBox="1">
                              <a:spLocks noChangeArrowheads="1"/>
                            </wps:cNvSpPr>
                            <wps:spPr bwMode="auto">
                              <a:xfrm>
                                <a:off x="0" y="0"/>
                                <a:ext cx="536575" cy="224589"/>
                              </a:xfrm>
                              <a:prstGeom prst="rect">
                                <a:avLst/>
                              </a:prstGeom>
                              <a:solidFill>
                                <a:srgbClr val="FFFFFF">
                                  <a:alpha val="0"/>
                                </a:srgbClr>
                              </a:solidFill>
                              <a:ln>
                                <a:noFill/>
                              </a:ln>
                            </wps:spPr>
                            <wps:txbx>
                              <w:txbxContent>
                                <w:p w14:paraId="002EB3D0">
                                  <w:pPr>
                                    <w:rPr>
                                      <w:b/>
                                    </w:rPr>
                                  </w:pPr>
                                  <w:r>
                                    <w:rPr>
                                      <w:b/>
                                    </w:rPr>
                                    <w:t>6.44</w:t>
                                  </w:r>
                                </w:p>
                              </w:txbxContent>
                            </wps:txbx>
                            <wps:bodyPr rot="0" vert="horz" wrap="square" lIns="91440" tIns="45720" rIns="91440" bIns="45720" anchor="t" anchorCtr="0" upright="1">
                              <a:noAutofit/>
                            </wps:bodyPr>
                          </wps:wsp>
                        </a:graphicData>
                      </a:graphic>
                    </wp:anchor>
                  </w:drawing>
                </mc:Choice>
                <mc:Fallback>
                  <w:pict>
                    <v:shape id="Text Box 242" o:spid="_x0000_s1026" o:spt="202" type="#_x0000_t202" style="position:absolute;left:0pt;margin-left:59.9pt;margin-top:10pt;height:17.7pt;width:42.25pt;z-index:251672576;mso-width-relative:page;mso-height-relative:page;" fillcolor="#FFFFFF" filled="t" stroked="f" coordsize="21600,21600" o:gfxdata="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H1gmrHXAAAACQEAAA8AAAAAAAAAAQAgAAAAIgAAAGRycy9kb3ducmV2LnhtbFBLAQIUABQA&#10;AAAIAIdO4kCVuktcKgIAAFwEAAAOAAAAAAAAAAEAIAAAACYBAABkcnMvZTJvRG9jLnhtbFBLBQYA&#10;AAAABgAGAFkBAADCBQAAAAA=&#10;">
                      <v:fill on="t" opacity="0f" focussize="0,0"/>
                      <v:stroke on="f"/>
                      <v:imagedata o:title=""/>
                      <o:lock v:ext="edit" aspectratio="f"/>
                      <v:textbox>
                        <w:txbxContent>
                          <w:p w14:paraId="002EB3D0">
                            <w:pPr>
                              <w:rPr>
                                <w:b/>
                              </w:rPr>
                            </w:pPr>
                            <w:r>
                              <w:rPr>
                                <w:b/>
                              </w:rPr>
                              <w:t>6.44</w:t>
                            </w:r>
                          </w:p>
                        </w:txbxContent>
                      </v:textbox>
                    </v:shape>
                  </w:pict>
                </mc:Fallback>
              </mc:AlternateContent>
            </w:r>
            <w:r>
              <w:rPr>
                <w:bCs/>
                <w:sz w:val="24"/>
              </w:rPr>
              <mc:AlternateContent>
                <mc:Choice Requires="wps">
                  <w:drawing>
                    <wp:anchor distT="0" distB="0" distL="114300" distR="114300" simplePos="0" relativeHeight="251662336" behindDoc="0" locked="0" layoutInCell="1" allowOverlap="1">
                      <wp:simplePos x="0" y="0"/>
                      <wp:positionH relativeFrom="column">
                        <wp:posOffset>-211455</wp:posOffset>
                      </wp:positionH>
                      <wp:positionV relativeFrom="paragraph">
                        <wp:posOffset>-1015759335</wp:posOffset>
                      </wp:positionV>
                      <wp:extent cx="520065" cy="286385"/>
                      <wp:effectExtent l="0" t="0" r="0" b="0"/>
                      <wp:wrapNone/>
                      <wp:docPr id="42" name="文本框 15"/>
                      <wp:cNvGraphicFramePr/>
                      <a:graphic xmlns:a="http://schemas.openxmlformats.org/drawingml/2006/main">
                        <a:graphicData uri="http://schemas.microsoft.com/office/word/2010/wordprocessingShape">
                          <wps:wsp>
                            <wps:cNvSpPr txBox="1">
                              <a:spLocks noChangeArrowheads="1"/>
                            </wps:cNvSpPr>
                            <wps:spPr bwMode="auto">
                              <a:xfrm>
                                <a:off x="0" y="0"/>
                                <a:ext cx="520065" cy="286385"/>
                              </a:xfrm>
                              <a:prstGeom prst="rect">
                                <a:avLst/>
                              </a:prstGeom>
                              <a:solidFill>
                                <a:srgbClr val="FFFFFF">
                                  <a:alpha val="0"/>
                                </a:srgbClr>
                              </a:solidFill>
                              <a:ln>
                                <a:noFill/>
                              </a:ln>
                            </wps:spPr>
                            <wps:txbx>
                              <w:txbxContent>
                                <w:p w14:paraId="7FB219D4">
                                  <w:pPr>
                                    <w:rPr>
                                      <w:b/>
                                    </w:rPr>
                                  </w:pPr>
                                  <w:r>
                                    <w:rPr>
                                      <w:b/>
                                    </w:rPr>
                                    <w:t>83.28</w:t>
                                  </w:r>
                                </w:p>
                              </w:txbxContent>
                            </wps:txbx>
                            <wps:bodyPr rot="0" vert="horz" wrap="square" lIns="91440" tIns="45720" rIns="91440" bIns="45720" anchor="t" anchorCtr="0" upright="1">
                              <a:noAutofit/>
                            </wps:bodyPr>
                          </wps:wsp>
                        </a:graphicData>
                      </a:graphic>
                    </wp:anchor>
                  </w:drawing>
                </mc:Choice>
                <mc:Fallback>
                  <w:pict>
                    <v:shape id="文本框 15" o:spid="_x0000_s1026" o:spt="202" type="#_x0000_t202" style="position:absolute;left:0pt;margin-left:-16.65pt;margin-top:-79981.05pt;height:22.55pt;width:40.95pt;z-index:251662336;mso-width-relative:page;mso-height-relative:page;" fillcolor="#FFFFFF" filled="t" stroked="f" coordsize="21600,21600" o:gfxdata="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&#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B17R3DeAAAAEgEAAA8AAAAAAAAAAQAgAAAAIgAAAGRy&#10;cy9kb3ducmV2LnhtbFBLAQIUABQAAAAIAIdO4kDubj9WOAIAAFwEAAAOAAAAAAAAAAEAIAAAAC0B&#10;AABkcnMvZTJvRG9jLnhtbFBLBQYAAAAABgAGAFkBAADXBQAAAAA=&#10;">
                      <v:fill on="t" opacity="0f" focussize="0,0"/>
                      <v:stroke on="f"/>
                      <v:imagedata o:title=""/>
                      <o:lock v:ext="edit" aspectratio="f"/>
                      <v:textbox>
                        <w:txbxContent>
                          <w:p w14:paraId="7FB219D4">
                            <w:pPr>
                              <w:rPr>
                                <w:b/>
                              </w:rPr>
                            </w:pPr>
                            <w:r>
                              <w:rPr>
                                <w:b/>
                              </w:rPr>
                              <w:t>83.28</w:t>
                            </w:r>
                          </w:p>
                        </w:txbxContent>
                      </v:textbox>
                    </v:shape>
                  </w:pict>
                </mc:Fallback>
              </mc:AlternateContent>
            </w:r>
          </w:p>
          <w:p w14:paraId="71F2B409">
            <w:pPr>
              <w:spacing w:line="360" w:lineRule="auto"/>
              <w:ind w:firstLine="480" w:firstLineChars="200"/>
              <w:jc w:val="left"/>
              <w:rPr>
                <w:bCs/>
                <w:sz w:val="24"/>
              </w:rPr>
            </w:pPr>
            <w:r>
              <w:rPr>
                <w:bCs/>
                <w:sz w:val="24"/>
              </w:rPr>
              <mc:AlternateContent>
                <mc:Choice Requires="wps">
                  <w:drawing>
                    <wp:anchor distT="0" distB="0" distL="114300" distR="114300" simplePos="0" relativeHeight="251699200" behindDoc="0" locked="0" layoutInCell="1" allowOverlap="1">
                      <wp:simplePos x="0" y="0"/>
                      <wp:positionH relativeFrom="column">
                        <wp:posOffset>3314065</wp:posOffset>
                      </wp:positionH>
                      <wp:positionV relativeFrom="paragraph">
                        <wp:posOffset>60325</wp:posOffset>
                      </wp:positionV>
                      <wp:extent cx="549910" cy="1270"/>
                      <wp:effectExtent l="0" t="76200" r="21590" b="93980"/>
                      <wp:wrapNone/>
                      <wp:docPr id="53" name="AutoShape 232"/>
                      <wp:cNvGraphicFramePr/>
                      <a:graphic xmlns:a="http://schemas.openxmlformats.org/drawingml/2006/main">
                        <a:graphicData uri="http://schemas.microsoft.com/office/word/2010/wordprocessingShape">
                          <wps:wsp>
                            <wps:cNvCnPr>
                              <a:cxnSpLocks noChangeShapeType="1"/>
                            </wps:cNvCnPr>
                            <wps:spPr bwMode="auto">
                              <a:xfrm>
                                <a:off x="0" y="0"/>
                                <a:ext cx="549910" cy="1270"/>
                              </a:xfrm>
                              <a:prstGeom prst="straightConnector1">
                                <a:avLst/>
                              </a:prstGeom>
                              <a:noFill/>
                              <a:ln w="9525">
                                <a:solidFill>
                                  <a:srgbClr val="000000"/>
                                </a:solidFill>
                                <a:round/>
                                <a:tailEnd type="triangle" w="med" len="med"/>
                              </a:ln>
                            </wps:spPr>
                            <wps:bodyPr/>
                          </wps:wsp>
                        </a:graphicData>
                      </a:graphic>
                    </wp:anchor>
                  </w:drawing>
                </mc:Choice>
                <mc:Fallback>
                  <w:pict>
                    <v:shape id="AutoShape 232" o:spid="_x0000_s1026" o:spt="32" type="#_x0000_t32" style="position:absolute;left:0pt;margin-left:260.95pt;margin-top:4.75pt;height:0.1pt;width:43.3pt;z-index:251699200;mso-width-relative:page;mso-height-relative:page;" filled="f" stroked="t" coordsize="21600,21600" o:gfxdata="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XP2xy1gAAAAcBAAAPAAAAAAAAAAEAIAAAACIAAABkcnMvZG93bnJldi54bWxQSwEC&#10;FAAUAAAACACHTuJAgCRtbfYBAADlAwAADgAAAAAAAAABACAAAAAlAQAAZHJzL2Uyb0RvYy54bWxQ&#10;SwUGAAAAAAYABgBZAQAAjQUAAAAA&#10;">
                      <v:fill on="f" focussize="0,0"/>
                      <v:stroke color="#000000" joinstyle="round" endarrow="block"/>
                      <v:imagedata o:title=""/>
                      <o:lock v:ext="edit" aspectratio="f"/>
                    </v:shape>
                  </w:pict>
                </mc:Fallback>
              </mc:AlternateContent>
            </w:r>
            <w:r>
              <w:rPr>
                <w:bCs/>
                <w:sz w:val="24"/>
              </w:rPr>
              <mc:AlternateContent>
                <mc:Choice Requires="wps">
                  <w:drawing>
                    <wp:anchor distT="0" distB="0" distL="114300" distR="114300" simplePos="0" relativeHeight="251695104" behindDoc="0" locked="0" layoutInCell="1" allowOverlap="1">
                      <wp:simplePos x="0" y="0"/>
                      <wp:positionH relativeFrom="column">
                        <wp:posOffset>1963420</wp:posOffset>
                      </wp:positionH>
                      <wp:positionV relativeFrom="paragraph">
                        <wp:posOffset>205105</wp:posOffset>
                      </wp:positionV>
                      <wp:extent cx="1199515" cy="589280"/>
                      <wp:effectExtent l="0" t="38100" r="77470" b="20320"/>
                      <wp:wrapNone/>
                      <wp:docPr id="49" name="肘形连接符 49"/>
                      <wp:cNvGraphicFramePr/>
                      <a:graphic xmlns:a="http://schemas.openxmlformats.org/drawingml/2006/main">
                        <a:graphicData uri="http://schemas.microsoft.com/office/word/2010/wordprocessingShape">
                          <wps:wsp>
                            <wps:cNvCnPr/>
                            <wps:spPr>
                              <a:xfrm flipV="1">
                                <a:off x="0" y="0"/>
                                <a:ext cx="1199314" cy="589548"/>
                              </a:xfrm>
                              <a:prstGeom prst="bentConnector3">
                                <a:avLst>
                                  <a:gd name="adj1" fmla="val 100142"/>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4" type="#_x0000_t34" style="position:absolute;left:0pt;flip:y;margin-left:154.6pt;margin-top:16.15pt;height:46.4pt;width:94.45pt;z-index:251695104;mso-width-relative:page;mso-height-relative:page;" filled="f" stroked="t" coordsize="21600,21600" o:gfxdata="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YQ7/q9oAAAAK&#10;AQAADwAAAAAAAAABACAAAAAiAAAAZHJzL2Rvd25yZXYueG1sUEsBAhQAFAAAAAgAh07iQEAnNlYa&#10;AgAA/wMAAA4AAAAAAAAAAQAgAAAAKQEAAGRycy9lMm9Eb2MueG1sUEsFBgAAAAAGAAYAWQEAALUF&#10;AAAAAA==&#10;" adj="21631">
                      <v:fill on="f" focussize="0,0"/>
                      <v:stroke color="#000000 [3213]" joinstyle="round" endarrow="block"/>
                      <v:imagedata o:title=""/>
                      <o:lock v:ext="edit" aspectratio="f"/>
                    </v:shape>
                  </w:pict>
                </mc:Fallback>
              </mc:AlternateContent>
            </w:r>
            <w:r>
              <w:rPr>
                <w:bCs/>
                <w:sz w:val="24"/>
              </w:rPr>
              <mc:AlternateContent>
                <mc:Choice Requires="wps">
                  <w:drawing>
                    <wp:anchor distT="0" distB="0" distL="114300" distR="114300" simplePos="0" relativeHeight="251694080" behindDoc="0" locked="0" layoutInCell="1" allowOverlap="1">
                      <wp:simplePos x="0" y="0"/>
                      <wp:positionH relativeFrom="column">
                        <wp:posOffset>894715</wp:posOffset>
                      </wp:positionH>
                      <wp:positionV relativeFrom="paragraph">
                        <wp:posOffset>254635</wp:posOffset>
                      </wp:positionV>
                      <wp:extent cx="571500" cy="317500"/>
                      <wp:effectExtent l="12700" t="6985" r="120650" b="104140"/>
                      <wp:wrapNone/>
                      <wp:docPr id="48" name="AutoShape 248"/>
                      <wp:cNvGraphicFramePr/>
                      <a:graphic xmlns:a="http://schemas.openxmlformats.org/drawingml/2006/main">
                        <a:graphicData uri="http://schemas.microsoft.com/office/word/2010/wordprocessingShape">
                          <wps:wsp>
                            <wps:cNvSpPr>
                              <a:spLocks noChangeArrowheads="1"/>
                            </wps:cNvSpPr>
                            <wps:spPr bwMode="auto">
                              <a:xfrm>
                                <a:off x="0" y="0"/>
                                <a:ext cx="571500" cy="317500"/>
                              </a:xfrm>
                              <a:prstGeom prst="cloudCallout">
                                <a:avLst>
                                  <a:gd name="adj1" fmla="val 66222"/>
                                  <a:gd name="adj2" fmla="val 76398"/>
                                </a:avLst>
                              </a:prstGeom>
                              <a:solidFill>
                                <a:srgbClr val="FFFFFF"/>
                              </a:solidFill>
                              <a:ln w="9525">
                                <a:solidFill>
                                  <a:srgbClr val="000000"/>
                                </a:solidFill>
                                <a:round/>
                              </a:ln>
                            </wps:spPr>
                            <wps:txbx>
                              <w:txbxContent>
                                <w:p w14:paraId="4E389D2F">
                                  <w:pPr>
                                    <w:snapToGrid w:val="0"/>
                                    <w:jc w:val="center"/>
                                    <w:rPr>
                                      <w:b/>
                                    </w:rPr>
                                  </w:pPr>
                                  <w:r>
                                    <w:rPr>
                                      <w:b/>
                                    </w:rPr>
                                    <w:t>0.6</w:t>
                                  </w:r>
                                </w:p>
                              </w:txbxContent>
                            </wps:txbx>
                            <wps:bodyPr rot="0" vert="horz" wrap="square" lIns="36000" tIns="0" rIns="36000" bIns="0" anchor="ctr" anchorCtr="0" upright="1">
                              <a:noAutofit/>
                            </wps:bodyPr>
                          </wps:wsp>
                        </a:graphicData>
                      </a:graphic>
                    </wp:anchor>
                  </w:drawing>
                </mc:Choice>
                <mc:Fallback>
                  <w:pict>
                    <v:shape id="AutoShape 248" o:spid="_x0000_s1026" o:spt="106" type="#_x0000_t106" style="position:absolute;left:0pt;margin-left:70.45pt;margin-top:20.05pt;height:25pt;width:45pt;z-index:251694080;v-text-anchor:middle;mso-width-relative:page;mso-height-relative:page;" fillcolor="#FFFFFF" filled="t" stroked="t" coordsize="21600,21600" o:gfxdata="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25VofNYAAAAJAQAADwAAAAAAAAAB&#10;ACAAAAAiAAAAZHJzL2Rvd25yZXYueG1sUEsBAhQAFAAAAAgAh07iQGJCRl9LAgAAxQQAAA4AAAAA&#10;AAAAAQAgAAAAJQEAAGRycy9lMm9Eb2MueG1sUEsFBgAAAAAGAAYAWQEAAOIFAAAAAA==&#10;" adj="25104,27302">
                      <v:fill on="t" focussize="0,0"/>
                      <v:stroke color="#000000" joinstyle="round"/>
                      <v:imagedata o:title=""/>
                      <o:lock v:ext="edit" aspectratio="f"/>
                      <v:textbox inset="1mm,0mm,1mm,0mm">
                        <w:txbxContent>
                          <w:p w14:paraId="4E389D2F">
                            <w:pPr>
                              <w:snapToGrid w:val="0"/>
                              <w:jc w:val="center"/>
                              <w:rPr>
                                <w:b/>
                              </w:rPr>
                            </w:pPr>
                            <w:r>
                              <w:rPr>
                                <w:b/>
                              </w:rPr>
                              <w:t>0.6</w:t>
                            </w:r>
                          </w:p>
                        </w:txbxContent>
                      </v:textbox>
                    </v:shape>
                  </w:pict>
                </mc:Fallback>
              </mc:AlternateContent>
            </w:r>
            <w:r>
              <w:rPr>
                <w:bCs/>
                <w:sz w:val="24"/>
              </w:rPr>
              <mc:AlternateContent>
                <mc:Choice Requires="wps">
                  <w:drawing>
                    <wp:anchor distT="0" distB="0" distL="114300" distR="114300" simplePos="0" relativeHeight="251692032" behindDoc="0" locked="0" layoutInCell="1" allowOverlap="1">
                      <wp:simplePos x="0" y="0"/>
                      <wp:positionH relativeFrom="column">
                        <wp:posOffset>1249680</wp:posOffset>
                      </wp:positionH>
                      <wp:positionV relativeFrom="paragraph">
                        <wp:posOffset>32385</wp:posOffset>
                      </wp:positionV>
                      <wp:extent cx="340995" cy="2370455"/>
                      <wp:effectExtent l="457200" t="76200" r="21590" b="87630"/>
                      <wp:wrapNone/>
                      <wp:docPr id="46" name="肘形连接符 46"/>
                      <wp:cNvGraphicFramePr/>
                      <a:graphic xmlns:a="http://schemas.openxmlformats.org/drawingml/2006/main">
                        <a:graphicData uri="http://schemas.microsoft.com/office/word/2010/wordprocessingShape">
                          <wps:wsp>
                            <wps:cNvCnPr/>
                            <wps:spPr>
                              <a:xfrm>
                                <a:off x="0" y="0"/>
                                <a:ext cx="340895" cy="2370221"/>
                              </a:xfrm>
                              <a:prstGeom prst="bentConnector3">
                                <a:avLst>
                                  <a:gd name="adj1" fmla="val -133608"/>
                                </a:avLst>
                              </a:prstGeom>
                              <a:ln>
                                <a:solidFill>
                                  <a:schemeClr val="tx1"/>
                                </a:solidFill>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4" type="#_x0000_t34" style="position:absolute;left:0pt;margin-left:98.4pt;margin-top:2.55pt;height:186.65pt;width:26.85pt;z-index:251692032;mso-width-relative:page;mso-height-relative:page;" filled="f" stroked="t" coordsize="21600,21600" o:gfxdata="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Gib&#10;MjzWAAAACQEAAA8AAAAAAAAAAQAgAAAAIgAAAGRycy9kb3ducmV2LnhtbFBLAQIUABQAAAAIAIdO&#10;4kDoRSAHJQIAADYEAAAOAAAAAAAAAAEAIAAAACUBAABkcnMvZTJvRG9jLnhtbFBLBQYAAAAABgAG&#10;AFkBAAC8BQAAAAA=&#10;" adj="-28859">
                      <v:fill on="f" focussize="0,0"/>
                      <v:stroke color="#000000 [3213]" joinstyle="round" startarrow="block" endarrow="block"/>
                      <v:imagedata o:title=""/>
                      <o:lock v:ext="edit" aspectratio="f"/>
                    </v:shape>
                  </w:pict>
                </mc:Fallback>
              </mc:AlternateContent>
            </w:r>
          </w:p>
          <w:p w14:paraId="6AED8E62">
            <w:pPr>
              <w:spacing w:line="360" w:lineRule="auto"/>
              <w:ind w:firstLine="480" w:firstLineChars="200"/>
              <w:jc w:val="left"/>
              <w:rPr>
                <w:bCs/>
                <w:sz w:val="24"/>
              </w:rPr>
            </w:pPr>
            <w:r>
              <w:rPr>
                <w:bCs/>
                <w:sz w:val="24"/>
              </w:rPr>
              <mc:AlternateContent>
                <mc:Choice Requires="wps">
                  <w:drawing>
                    <wp:anchor distT="0" distB="0" distL="114300" distR="114300" simplePos="0" relativeHeight="251698176" behindDoc="0" locked="0" layoutInCell="1" allowOverlap="1">
                      <wp:simplePos x="0" y="0"/>
                      <wp:positionH relativeFrom="column">
                        <wp:posOffset>2210435</wp:posOffset>
                      </wp:positionH>
                      <wp:positionV relativeFrom="paragraph">
                        <wp:posOffset>97790</wp:posOffset>
                      </wp:positionV>
                      <wp:extent cx="608965" cy="299720"/>
                      <wp:effectExtent l="5715" t="1905" r="4445" b="3175"/>
                      <wp:wrapNone/>
                      <wp:docPr id="52" name="Text Box 249"/>
                      <wp:cNvGraphicFramePr/>
                      <a:graphic xmlns:a="http://schemas.openxmlformats.org/drawingml/2006/main">
                        <a:graphicData uri="http://schemas.microsoft.com/office/word/2010/wordprocessingShape">
                          <wps:wsp>
                            <wps:cNvSpPr txBox="1">
                              <a:spLocks noChangeArrowheads="1"/>
                            </wps:cNvSpPr>
                            <wps:spPr bwMode="auto">
                              <a:xfrm>
                                <a:off x="0" y="0"/>
                                <a:ext cx="608965" cy="299720"/>
                              </a:xfrm>
                              <a:prstGeom prst="rect">
                                <a:avLst/>
                              </a:prstGeom>
                              <a:solidFill>
                                <a:srgbClr val="FFFFFF">
                                  <a:alpha val="0"/>
                                </a:srgbClr>
                              </a:solidFill>
                              <a:ln>
                                <a:noFill/>
                              </a:ln>
                            </wps:spPr>
                            <wps:txbx>
                              <w:txbxContent>
                                <w:p w14:paraId="578C58AB">
                                  <w:pPr>
                                    <w:rPr>
                                      <w:b/>
                                    </w:rPr>
                                  </w:pPr>
                                  <w:r>
                                    <w:rPr>
                                      <w:b/>
                                    </w:rPr>
                                    <w:t>6</w:t>
                                  </w:r>
                                </w:p>
                              </w:txbxContent>
                            </wps:txbx>
                            <wps:bodyPr rot="0" vert="horz" wrap="square" lIns="91440" tIns="45720" rIns="91440" bIns="45720" anchor="t" anchorCtr="0" upright="1">
                              <a:noAutofit/>
                            </wps:bodyPr>
                          </wps:wsp>
                        </a:graphicData>
                      </a:graphic>
                    </wp:anchor>
                  </w:drawing>
                </mc:Choice>
                <mc:Fallback>
                  <w:pict>
                    <v:shape id="Text Box 249" o:spid="_x0000_s1026" o:spt="202" type="#_x0000_t202" style="position:absolute;left:0pt;margin-left:174.05pt;margin-top:7.7pt;height:23.6pt;width:47.95pt;z-index:251698176;mso-width-relative:page;mso-height-relative:page;" fillcolor="#FFFFFF" filled="t" stroked="f" coordsize="21600,21600" o:gfxdata="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lbjUj1wAAAAkBAAAPAAAAAAAAAAEAIAAAACIAAABkcnMvZG93bnJldi54bWxQSwECFAAUAAAA&#10;CACHTuJAWhwrbCgCAABcBAAADgAAAAAAAAABACAAAAAmAQAAZHJzL2Uyb0RvYy54bWxQSwUGAAAA&#10;AAYABgBZAQAAwAUAAAAA&#10;">
                      <v:fill on="t" opacity="0f" focussize="0,0"/>
                      <v:stroke on="f"/>
                      <v:imagedata o:title=""/>
                      <o:lock v:ext="edit" aspectratio="f"/>
                      <v:textbox>
                        <w:txbxContent>
                          <w:p w14:paraId="578C58AB">
                            <w:pPr>
                              <w:rPr>
                                <w:b/>
                              </w:rPr>
                            </w:pPr>
                            <w:r>
                              <w:rPr>
                                <w:b/>
                              </w:rPr>
                              <w:t>6</w:t>
                            </w:r>
                          </w:p>
                        </w:txbxContent>
                      </v:textbox>
                    </v:shape>
                  </w:pict>
                </mc:Fallback>
              </mc:AlternateContent>
            </w:r>
            <w:r>
              <w:rPr>
                <w:bCs/>
                <w:sz w:val="24"/>
              </w:rPr>
              <mc:AlternateContent>
                <mc:Choice Requires="wps">
                  <w:drawing>
                    <wp:anchor distT="0" distB="0" distL="114300" distR="114300" simplePos="0" relativeHeight="251697152" behindDoc="0" locked="0" layoutInCell="1" allowOverlap="1">
                      <wp:simplePos x="0" y="0"/>
                      <wp:positionH relativeFrom="column">
                        <wp:posOffset>1939290</wp:posOffset>
                      </wp:positionH>
                      <wp:positionV relativeFrom="paragraph">
                        <wp:posOffset>69215</wp:posOffset>
                      </wp:positionV>
                      <wp:extent cx="863600" cy="327660"/>
                      <wp:effectExtent l="76200" t="0" r="12700" b="53340"/>
                      <wp:wrapNone/>
                      <wp:docPr id="51" name="Freeform 246"/>
                      <wp:cNvGraphicFramePr/>
                      <a:graphic xmlns:a="http://schemas.openxmlformats.org/drawingml/2006/main">
                        <a:graphicData uri="http://schemas.microsoft.com/office/word/2010/wordprocessingShape">
                          <wps:wsp>
                            <wps:cNvSpPr/>
                            <wps:spPr bwMode="auto">
                              <a:xfrm flipV="1">
                                <a:off x="0" y="0"/>
                                <a:ext cx="863600" cy="327660"/>
                              </a:xfrm>
                              <a:custGeom>
                                <a:avLst/>
                                <a:gdLst>
                                  <a:gd name="T0" fmla="*/ 1606 w 1613"/>
                                  <a:gd name="T1" fmla="*/ 0 h 590"/>
                                  <a:gd name="T2" fmla="*/ 1613 w 1613"/>
                                  <a:gd name="T3" fmla="*/ 590 h 590"/>
                                  <a:gd name="T4" fmla="*/ 0 w 1613"/>
                                  <a:gd name="T5" fmla="*/ 590 h 590"/>
                                  <a:gd name="T6" fmla="*/ 9 w 1613"/>
                                  <a:gd name="T7" fmla="*/ 10 h 590"/>
                                  <a:gd name="connsiteX0" fmla="*/ 10010 w 10010"/>
                                  <a:gd name="connsiteY0" fmla="*/ 24850 h 24850"/>
                                  <a:gd name="connsiteX1" fmla="*/ 10000 w 10010"/>
                                  <a:gd name="connsiteY1" fmla="*/ 9831 h 24850"/>
                                  <a:gd name="connsiteX2" fmla="*/ 0 w 10010"/>
                                  <a:gd name="connsiteY2" fmla="*/ 9831 h 24850"/>
                                  <a:gd name="connsiteX3" fmla="*/ 56 w 10010"/>
                                  <a:gd name="connsiteY3" fmla="*/ 0 h 24850"/>
                                </a:gdLst>
                                <a:ahLst/>
                                <a:cxnLst>
                                  <a:cxn ang="0">
                                    <a:pos x="connsiteX0" y="connsiteY0"/>
                                  </a:cxn>
                                  <a:cxn ang="0">
                                    <a:pos x="connsiteX1" y="connsiteY1"/>
                                  </a:cxn>
                                  <a:cxn ang="0">
                                    <a:pos x="connsiteX2" y="connsiteY2"/>
                                  </a:cxn>
                                  <a:cxn ang="0">
                                    <a:pos x="connsiteX3" y="connsiteY3"/>
                                  </a:cxn>
                                </a:cxnLst>
                                <a:rect l="l" t="t" r="r" b="b"/>
                                <a:pathLst>
                                  <a:path w="10010" h="24850">
                                    <a:moveTo>
                                      <a:pt x="10010" y="24850"/>
                                    </a:moveTo>
                                    <a:cubicBezTo>
                                      <a:pt x="10007" y="19844"/>
                                      <a:pt x="10003" y="14837"/>
                                      <a:pt x="10000" y="9831"/>
                                    </a:cubicBezTo>
                                    <a:lnTo>
                                      <a:pt x="0" y="9831"/>
                                    </a:lnTo>
                                    <a:cubicBezTo>
                                      <a:pt x="19" y="6554"/>
                                      <a:pt x="37" y="3277"/>
                                      <a:pt x="56" y="0"/>
                                    </a:cubicBezTo>
                                  </a:path>
                                </a:pathLst>
                              </a:custGeom>
                              <a:noFill/>
                              <a:ln w="9525">
                                <a:solidFill>
                                  <a:srgbClr val="000000"/>
                                </a:solidFill>
                                <a:prstDash val="dash"/>
                                <a:round/>
                                <a:tailEnd type="triangle" w="med" len="med"/>
                              </a:ln>
                            </wps:spPr>
                            <wps:bodyPr rot="0" vert="horz" wrap="square" lIns="91440" tIns="45720" rIns="91440" bIns="45720" anchor="t" anchorCtr="0" upright="1">
                              <a:noAutofit/>
                            </wps:bodyPr>
                          </wps:wsp>
                        </a:graphicData>
                      </a:graphic>
                    </wp:anchor>
                  </w:drawing>
                </mc:Choice>
                <mc:Fallback>
                  <w:pict>
                    <v:shape id="Freeform 246" o:spid="_x0000_s1026" o:spt="100" style="position:absolute;left:0pt;flip:y;margin-left:152.7pt;margin-top:5.45pt;height:25.8pt;width:68pt;z-index:251697152;mso-width-relative:page;mso-height-relative:page;" filled="f" stroked="t" coordsize="10010,24850" o:gfxdata="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" path="m10010,24850c10007,19844,10003,14837,10000,9831l0,9831c19,6554,37,3277,56,0e">
                      <v:path o:connectlocs="863600,327660;862737,129626;0,129626;4831,0" o:connectangles="0,0,0,0"/>
                      <v:fill on="f" focussize="0,0"/>
                      <v:stroke color="#000000" joinstyle="round" dashstyle="dash" endarrow="block"/>
                      <v:imagedata o:title=""/>
                      <o:lock v:ext="edit" aspectratio="f"/>
                    </v:shape>
                  </w:pict>
                </mc:Fallback>
              </mc:AlternateContent>
            </w:r>
          </w:p>
          <w:p w14:paraId="1A3CD91E">
            <w:pPr>
              <w:spacing w:line="360" w:lineRule="auto"/>
              <w:ind w:firstLine="480" w:firstLineChars="200"/>
              <w:jc w:val="left"/>
              <w:rPr>
                <w:bCs/>
                <w:sz w:val="24"/>
              </w:rPr>
            </w:pPr>
            <w:r>
              <w:rPr>
                <w:bCs/>
                <w:sz w:val="24"/>
              </w:rPr>
              <mc:AlternateContent>
                <mc:Choice Requires="wps">
                  <w:drawing>
                    <wp:anchor distT="0" distB="0" distL="114300" distR="114300" simplePos="0" relativeHeight="251696128" behindDoc="0" locked="0" layoutInCell="1" allowOverlap="1">
                      <wp:simplePos x="0" y="0"/>
                      <wp:positionH relativeFrom="column">
                        <wp:posOffset>2692400</wp:posOffset>
                      </wp:positionH>
                      <wp:positionV relativeFrom="paragraph">
                        <wp:posOffset>63500</wp:posOffset>
                      </wp:positionV>
                      <wp:extent cx="608965" cy="299720"/>
                      <wp:effectExtent l="5715" t="1905" r="4445" b="3175"/>
                      <wp:wrapNone/>
                      <wp:docPr id="50" name="Text Box 249"/>
                      <wp:cNvGraphicFramePr/>
                      <a:graphic xmlns:a="http://schemas.openxmlformats.org/drawingml/2006/main">
                        <a:graphicData uri="http://schemas.microsoft.com/office/word/2010/wordprocessingShape">
                          <wps:wsp>
                            <wps:cNvSpPr txBox="1">
                              <a:spLocks noChangeArrowheads="1"/>
                            </wps:cNvSpPr>
                            <wps:spPr bwMode="auto">
                              <a:xfrm>
                                <a:off x="0" y="0"/>
                                <a:ext cx="608965" cy="299720"/>
                              </a:xfrm>
                              <a:prstGeom prst="rect">
                                <a:avLst/>
                              </a:prstGeom>
                              <a:solidFill>
                                <a:srgbClr val="FFFFFF">
                                  <a:alpha val="0"/>
                                </a:srgbClr>
                              </a:solidFill>
                              <a:ln>
                                <a:noFill/>
                              </a:ln>
                            </wps:spPr>
                            <wps:txbx>
                              <w:txbxContent>
                                <w:p w14:paraId="28C96192">
                                  <w:pPr>
                                    <w:rPr>
                                      <w:b/>
                                    </w:rPr>
                                  </w:pPr>
                                  <w:r>
                                    <w:rPr>
                                      <w:b/>
                                    </w:rPr>
                                    <w:t>5.4</w:t>
                                  </w:r>
                                </w:p>
                              </w:txbxContent>
                            </wps:txbx>
                            <wps:bodyPr rot="0" vert="horz" wrap="square" lIns="91440" tIns="45720" rIns="91440" bIns="45720" anchor="t" anchorCtr="0" upright="1">
                              <a:noAutofit/>
                            </wps:bodyPr>
                          </wps:wsp>
                        </a:graphicData>
                      </a:graphic>
                    </wp:anchor>
                  </w:drawing>
                </mc:Choice>
                <mc:Fallback>
                  <w:pict>
                    <v:shape id="Text Box 249" o:spid="_x0000_s1026" o:spt="202" type="#_x0000_t202" style="position:absolute;left:0pt;margin-left:212pt;margin-top:5pt;height:23.6pt;width:47.95pt;z-index:251696128;mso-width-relative:page;mso-height-relative:page;" fillcolor="#FFFFFF" filled="t" stroked="f" coordsize="21600,21600" o:gfxdata="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c9y8p1wAAAAkBAAAPAAAAAAAAAAEAIAAAACIAAABkcnMvZG93bnJldi54bWxQSwECFAAUAAAA&#10;CACHTuJAUFFqTSgCAABcBAAADgAAAAAAAAABACAAAAAmAQAAZHJzL2Uyb0RvYy54bWxQSwUGAAAA&#10;AAYABgBZAQAAwAUAAAAA&#10;">
                      <v:fill on="t" opacity="0f" focussize="0,0"/>
                      <v:stroke on="f"/>
                      <v:imagedata o:title=""/>
                      <o:lock v:ext="edit" aspectratio="f"/>
                      <v:textbox>
                        <w:txbxContent>
                          <w:p w14:paraId="28C96192">
                            <w:pPr>
                              <w:rPr>
                                <w:b/>
                              </w:rPr>
                            </w:pPr>
                            <w:r>
                              <w:rPr>
                                <w:b/>
                              </w:rPr>
                              <w:t>5.4</w:t>
                            </w:r>
                          </w:p>
                        </w:txbxContent>
                      </v:textbox>
                    </v:shape>
                  </w:pict>
                </mc:Fallback>
              </mc:AlternateContent>
            </w:r>
            <w:r>
              <w:rPr>
                <w:bCs/>
                <w:sz w:val="24"/>
              </w:rPr>
              <mc:AlternateContent>
                <mc:Choice Requires="wps">
                  <w:drawing>
                    <wp:anchor distT="0" distB="0" distL="114300" distR="114300" simplePos="0" relativeHeight="251693056" behindDoc="0" locked="0" layoutInCell="1" allowOverlap="1">
                      <wp:simplePos x="0" y="0"/>
                      <wp:positionH relativeFrom="column">
                        <wp:posOffset>1255395</wp:posOffset>
                      </wp:positionH>
                      <wp:positionV relativeFrom="paragraph">
                        <wp:posOffset>137160</wp:posOffset>
                      </wp:positionV>
                      <wp:extent cx="701675" cy="267335"/>
                      <wp:effectExtent l="12065" t="12065" r="10160" b="6350"/>
                      <wp:wrapNone/>
                      <wp:docPr id="47" name="Text Box 250"/>
                      <wp:cNvGraphicFramePr/>
                      <a:graphic xmlns:a="http://schemas.openxmlformats.org/drawingml/2006/main">
                        <a:graphicData uri="http://schemas.microsoft.com/office/word/2010/wordprocessingShape">
                          <wps:wsp>
                            <wps:cNvSpPr txBox="1">
                              <a:spLocks noChangeArrowheads="1"/>
                            </wps:cNvSpPr>
                            <wps:spPr bwMode="auto">
                              <a:xfrm>
                                <a:off x="0" y="0"/>
                                <a:ext cx="701675" cy="267335"/>
                              </a:xfrm>
                              <a:prstGeom prst="rect">
                                <a:avLst/>
                              </a:prstGeom>
                              <a:solidFill>
                                <a:srgbClr val="FFFFFF"/>
                              </a:solidFill>
                              <a:ln w="9525">
                                <a:solidFill>
                                  <a:srgbClr val="000000"/>
                                </a:solidFill>
                                <a:miter lim="800000"/>
                              </a:ln>
                            </wps:spPr>
                            <wps:txbx>
                              <w:txbxContent>
                                <w:p w14:paraId="4F110244">
                                  <w:pPr>
                                    <w:jc w:val="center"/>
                                  </w:pPr>
                                  <w:r>
                                    <w:rPr>
                                      <w:rFonts w:hint="eastAsia"/>
                                      <w:b/>
                                      <w:bCs/>
                                    </w:rPr>
                                    <w:t>磨尖</w:t>
                                  </w:r>
                                  <w:r>
                                    <w:rPr>
                                      <w:b/>
                                      <w:bCs/>
                                    </w:rPr>
                                    <w:t>用水</w:t>
                                  </w:r>
                                </w:p>
                              </w:txbxContent>
                            </wps:txbx>
                            <wps:bodyPr rot="0" vert="horz" wrap="square" lIns="0" tIns="36000" rIns="0" bIns="45720" anchor="t" anchorCtr="0" upright="1">
                              <a:noAutofit/>
                            </wps:bodyPr>
                          </wps:wsp>
                        </a:graphicData>
                      </a:graphic>
                    </wp:anchor>
                  </w:drawing>
                </mc:Choice>
                <mc:Fallback>
                  <w:pict>
                    <v:shape id="Text Box 250" o:spid="_x0000_s1026" o:spt="202" type="#_x0000_t202" style="position:absolute;left:0pt;margin-left:98.85pt;margin-top:10.8pt;height:21.05pt;width:55.25pt;z-index:251693056;mso-width-relative:page;mso-height-relative:page;" fillcolor="#FFFFFF" filled="t" stroked="t" coordsize="21600,21600" o:gfxdata="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fVgd8NgAAAAJAQAADwAAAAAAAAABACAAAAAiAAAAZHJzL2Rvd25yZXYu&#10;eG1sUEsBAhQAFAAAAAgAh07iQA0GZc80AgAAgAQAAA4AAAAAAAAAAQAgAAAAJwEAAGRycy9lMm9E&#10;b2MueG1sUEsFBgAAAAAGAAYAWQEAAM0FAAAAAA==&#10;">
                      <v:fill on="t" focussize="0,0"/>
                      <v:stroke color="#000000" miterlimit="8" joinstyle="miter"/>
                      <v:imagedata o:title=""/>
                      <o:lock v:ext="edit" aspectratio="f"/>
                      <v:textbox inset="0mm,1mm,0mm,1.27mm">
                        <w:txbxContent>
                          <w:p w14:paraId="4F110244">
                            <w:pPr>
                              <w:jc w:val="center"/>
                            </w:pPr>
                            <w:r>
                              <w:rPr>
                                <w:rFonts w:hint="eastAsia"/>
                                <w:b/>
                                <w:bCs/>
                              </w:rPr>
                              <w:t>磨尖</w:t>
                            </w:r>
                            <w:r>
                              <w:rPr>
                                <w:b/>
                                <w:bCs/>
                              </w:rPr>
                              <w:t>用水</w:t>
                            </w:r>
                          </w:p>
                        </w:txbxContent>
                      </v:textbox>
                    </v:shape>
                  </w:pict>
                </mc:Fallback>
              </mc:AlternateContent>
            </w:r>
          </w:p>
          <w:p w14:paraId="258FB977">
            <w:pPr>
              <w:spacing w:line="360" w:lineRule="auto"/>
              <w:ind w:firstLine="480" w:firstLineChars="200"/>
              <w:jc w:val="left"/>
              <w:rPr>
                <w:bCs/>
                <w:sz w:val="24"/>
              </w:rPr>
            </w:pPr>
            <w:r>
              <w:rPr>
                <w:bCs/>
                <w:sz w:val="24"/>
              </w:rPr>
              <mc:AlternateContent>
                <mc:Choice Requires="wps">
                  <w:drawing>
                    <wp:anchor distT="0" distB="0" distL="114300" distR="114300" simplePos="0" relativeHeight="251671552" behindDoc="0" locked="0" layoutInCell="1" allowOverlap="1">
                      <wp:simplePos x="0" y="0"/>
                      <wp:positionH relativeFrom="column">
                        <wp:posOffset>161290</wp:posOffset>
                      </wp:positionH>
                      <wp:positionV relativeFrom="paragraph">
                        <wp:posOffset>603250</wp:posOffset>
                      </wp:positionV>
                      <wp:extent cx="595630" cy="240030"/>
                      <wp:effectExtent l="0" t="0" r="0" b="0"/>
                      <wp:wrapNone/>
                      <wp:docPr id="14" name="Text Box 239"/>
                      <wp:cNvGraphicFramePr/>
                      <a:graphic xmlns:a="http://schemas.openxmlformats.org/drawingml/2006/main">
                        <a:graphicData uri="http://schemas.microsoft.com/office/word/2010/wordprocessingShape">
                          <wps:wsp>
                            <wps:cNvSpPr txBox="1">
                              <a:spLocks noChangeArrowheads="1"/>
                            </wps:cNvSpPr>
                            <wps:spPr bwMode="auto">
                              <a:xfrm>
                                <a:off x="0" y="0"/>
                                <a:ext cx="595630" cy="240030"/>
                              </a:xfrm>
                              <a:prstGeom prst="rect">
                                <a:avLst/>
                              </a:prstGeom>
                              <a:solidFill>
                                <a:srgbClr val="FFFFFF">
                                  <a:alpha val="0"/>
                                </a:srgbClr>
                              </a:solidFill>
                              <a:ln>
                                <a:noFill/>
                              </a:ln>
                            </wps:spPr>
                            <wps:txbx>
                              <w:txbxContent>
                                <w:p w14:paraId="4476C6CD">
                                  <w:pPr>
                                    <w:rPr>
                                      <w:b/>
                                    </w:rPr>
                                  </w:pPr>
                                  <w:r>
                                    <w:rPr>
                                      <w:b/>
                                    </w:rPr>
                                    <w:t>新鲜水</w:t>
                                  </w:r>
                                </w:p>
                              </w:txbxContent>
                            </wps:txbx>
                            <wps:bodyPr rot="0" vert="horz" wrap="square" lIns="91440" tIns="45720" rIns="91440" bIns="45720" anchor="t" anchorCtr="0" upright="1">
                              <a:noAutofit/>
                            </wps:bodyPr>
                          </wps:wsp>
                        </a:graphicData>
                      </a:graphic>
                    </wp:anchor>
                  </w:drawing>
                </mc:Choice>
                <mc:Fallback>
                  <w:pict>
                    <v:shape id="Text Box 239" o:spid="_x0000_s1026" o:spt="202" type="#_x0000_t202" style="position:absolute;left:0pt;margin-left:12.7pt;margin-top:47.5pt;height:18.9pt;width:46.9pt;z-index:251671552;mso-width-relative:page;mso-height-relative:page;" fillcolor="#FFFFFF" filled="t" stroked="f" coordsize="21600,21600" o:gfxdata="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ZwaztdgAAAAJAQAADwAAAAAAAAABACAAAAAiAAAAZHJzL2Rvd25yZXYueG1sUEsBAhQAFAAAAAgA&#10;h07iQE64y34lAgAAXAQAAA4AAAAAAAAAAQAgAAAAJwEAAGRycy9lMm9Eb2MueG1sUEsFBgAAAAAG&#10;AAYAWQEAAL4FAAAAAA==&#10;">
                      <v:fill on="t" opacity="0f" focussize="0,0"/>
                      <v:stroke on="f"/>
                      <v:imagedata o:title=""/>
                      <o:lock v:ext="edit" aspectratio="f"/>
                      <v:textbox>
                        <w:txbxContent>
                          <w:p w14:paraId="4476C6CD">
                            <w:pPr>
                              <w:rPr>
                                <w:b/>
                              </w:rPr>
                            </w:pPr>
                            <w:r>
                              <w:rPr>
                                <w:b/>
                              </w:rPr>
                              <w:t>新鲜水</w:t>
                            </w:r>
                          </w:p>
                        </w:txbxContent>
                      </v:textbox>
                    </v:shape>
                  </w:pict>
                </mc:Fallback>
              </mc:AlternateContent>
            </w:r>
            <w:r>
              <w:rPr>
                <w:rFonts w:eastAsia="黑体"/>
                <w:b/>
                <w:iCs/>
                <w:sz w:val="24"/>
              </w:rPr>
              <mc:AlternateContent>
                <mc:Choice Requires="wps">
                  <w:drawing>
                    <wp:anchor distT="0" distB="0" distL="114300" distR="114300" simplePos="0" relativeHeight="251688960" behindDoc="0" locked="0" layoutInCell="1" allowOverlap="1">
                      <wp:simplePos x="0" y="0"/>
                      <wp:positionH relativeFrom="column">
                        <wp:posOffset>792480</wp:posOffset>
                      </wp:positionH>
                      <wp:positionV relativeFrom="paragraph">
                        <wp:posOffset>1737360</wp:posOffset>
                      </wp:positionV>
                      <wp:extent cx="372110" cy="220345"/>
                      <wp:effectExtent l="19050" t="0" r="256540" b="160655"/>
                      <wp:wrapNone/>
                      <wp:docPr id="11" name="AutoShape 264"/>
                      <wp:cNvGraphicFramePr/>
                      <a:graphic xmlns:a="http://schemas.openxmlformats.org/drawingml/2006/main">
                        <a:graphicData uri="http://schemas.microsoft.com/office/word/2010/wordprocessingShape">
                          <wps:wsp>
                            <wps:cNvSpPr>
                              <a:spLocks noChangeArrowheads="1"/>
                            </wps:cNvSpPr>
                            <wps:spPr bwMode="auto">
                              <a:xfrm>
                                <a:off x="0" y="0"/>
                                <a:ext cx="372110" cy="220345"/>
                              </a:xfrm>
                              <a:prstGeom prst="cloudCallout">
                                <a:avLst>
                                  <a:gd name="adj1" fmla="val 107338"/>
                                  <a:gd name="adj2" fmla="val 100722"/>
                                </a:avLst>
                              </a:prstGeom>
                              <a:solidFill>
                                <a:srgbClr val="FFFFFF"/>
                              </a:solidFill>
                              <a:ln w="9525">
                                <a:solidFill>
                                  <a:srgbClr val="000000"/>
                                </a:solidFill>
                                <a:round/>
                              </a:ln>
                            </wps:spPr>
                            <wps:txbx>
                              <w:txbxContent>
                                <w:p w14:paraId="7AC99F22">
                                  <w:pPr>
                                    <w:snapToGrid w:val="0"/>
                                    <w:jc w:val="center"/>
                                    <w:rPr>
                                      <w:b/>
                                    </w:rPr>
                                  </w:pPr>
                                </w:p>
                              </w:txbxContent>
                            </wps:txbx>
                            <wps:bodyPr rot="0" vert="horz" wrap="square" lIns="36000" tIns="0" rIns="36000" bIns="0" anchor="ctr" anchorCtr="0" upright="1">
                              <a:noAutofit/>
                            </wps:bodyPr>
                          </wps:wsp>
                        </a:graphicData>
                      </a:graphic>
                    </wp:anchor>
                  </w:drawing>
                </mc:Choice>
                <mc:Fallback>
                  <w:pict>
                    <v:shape id="AutoShape 264" o:spid="_x0000_s1026" o:spt="106" type="#_x0000_t106" style="position:absolute;left:0pt;margin-left:62.4pt;margin-top:136.8pt;height:17.35pt;width:29.3pt;z-index:251688960;v-text-anchor:middle;mso-width-relative:page;mso-height-relative:page;" fillcolor="#FFFFFF" filled="t" stroked="t" coordsize="21600,21600" o:gfxdata="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docu4tcAAAALAQAADwAAAAAA&#10;AAABACAAAAAiAAAAZHJzL2Rvd25yZXYueG1sUEsBAhQAFAAAAAgAh07iQJ4ADuVNAgAAxwQAAA4A&#10;AAAAAAAAAQAgAAAAJgEAAGRycy9lMm9Eb2MueG1sUEsFBgAAAAAGAAYAWQEAAOUFAAAAAA==&#10;" adj="33985,32556">
                      <v:fill on="t" focussize="0,0"/>
                      <v:stroke color="#000000" joinstyle="round"/>
                      <v:imagedata o:title=""/>
                      <o:lock v:ext="edit" aspectratio="f"/>
                      <v:textbox inset="1mm,0mm,1mm,0mm">
                        <w:txbxContent>
                          <w:p w14:paraId="7AC99F22">
                            <w:pPr>
                              <w:snapToGrid w:val="0"/>
                              <w:jc w:val="center"/>
                              <w:rPr>
                                <w:b/>
                              </w:rPr>
                            </w:pPr>
                          </w:p>
                        </w:txbxContent>
                      </v:textbox>
                    </v:shape>
                  </w:pict>
                </mc:Fallback>
              </mc:AlternateContent>
            </w:r>
            <w:r>
              <w:rPr>
                <w:bCs/>
                <w:sz w:val="24"/>
              </w:rPr>
              <mc:AlternateContent>
                <mc:Choice Requires="wps">
                  <w:drawing>
                    <wp:anchor distT="0" distB="0" distL="114300" distR="114300" simplePos="0" relativeHeight="251670528" behindDoc="0" locked="0" layoutInCell="1" allowOverlap="1">
                      <wp:simplePos x="0" y="0"/>
                      <wp:positionH relativeFrom="column">
                        <wp:posOffset>196850</wp:posOffset>
                      </wp:positionH>
                      <wp:positionV relativeFrom="paragraph">
                        <wp:posOffset>617220</wp:posOffset>
                      </wp:positionV>
                      <wp:extent cx="595630" cy="635"/>
                      <wp:effectExtent l="0" t="76200" r="13970" b="94615"/>
                      <wp:wrapNone/>
                      <wp:docPr id="13" name="AutoShape 238"/>
                      <wp:cNvGraphicFramePr/>
                      <a:graphic xmlns:a="http://schemas.openxmlformats.org/drawingml/2006/main">
                        <a:graphicData uri="http://schemas.microsoft.com/office/word/2010/wordprocessingShape">
                          <wps:wsp>
                            <wps:cNvCnPr>
                              <a:cxnSpLocks noChangeShapeType="1"/>
                            </wps:cNvCnPr>
                            <wps:spPr bwMode="auto">
                              <a:xfrm>
                                <a:off x="0" y="0"/>
                                <a:ext cx="595630" cy="635"/>
                              </a:xfrm>
                              <a:prstGeom prst="straightConnector1">
                                <a:avLst/>
                              </a:prstGeom>
                              <a:noFill/>
                              <a:ln w="9525">
                                <a:solidFill>
                                  <a:srgbClr val="000000"/>
                                </a:solidFill>
                                <a:round/>
                                <a:tailEnd type="triangle" w="med" len="med"/>
                              </a:ln>
                            </wps:spPr>
                            <wps:bodyPr/>
                          </wps:wsp>
                        </a:graphicData>
                      </a:graphic>
                    </wp:anchor>
                  </w:drawing>
                </mc:Choice>
                <mc:Fallback>
                  <w:pict>
                    <v:shape id="AutoShape 238" o:spid="_x0000_s1026" o:spt="32" type="#_x0000_t32" style="position:absolute;left:0pt;margin-left:15.5pt;margin-top:48.6pt;height:0.05pt;width:46.9pt;z-index:251670528;mso-width-relative:page;mso-height-relative:page;" filled="f" stroked="t" coordsize="21600,21600" o:gfxdata="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HUCl7XYAAAACAEAAA8AAAAAAAAAAQAgAAAAIgAAAGRycy9kb3ducmV2LnhtbFBLAQIU&#10;ABQAAAAIAIdO4kDa0Vbm8wEAAOQDAAAOAAAAAAAAAAEAIAAAACcBAABkcnMvZTJvRG9jLnhtbFBL&#10;BQYAAAAABgAGAFkBAACMBQAAAAA=&#10;">
                      <v:fill on="f" focussize="0,0"/>
                      <v:stroke color="#000000" joinstyle="round" endarrow="block"/>
                      <v:imagedata o:title=""/>
                      <o:lock v:ext="edit" aspectratio="f"/>
                    </v:shape>
                  </w:pict>
                </mc:Fallback>
              </mc:AlternateContent>
            </w:r>
            <w:r>
              <w:rPr>
                <w:rFonts w:eastAsia="黑体"/>
                <w:b/>
                <w:iCs/>
                <w:sz w:val="24"/>
              </w:rPr>
              <mc:AlternateContent>
                <mc:Choice Requires="wps">
                  <w:drawing>
                    <wp:anchor distT="0" distB="0" distL="114300" distR="114300" simplePos="0" relativeHeight="251683840" behindDoc="0" locked="0" layoutInCell="1" allowOverlap="1">
                      <wp:simplePos x="0" y="0"/>
                      <wp:positionH relativeFrom="column">
                        <wp:posOffset>1298575</wp:posOffset>
                      </wp:positionH>
                      <wp:positionV relativeFrom="paragraph">
                        <wp:posOffset>210820</wp:posOffset>
                      </wp:positionV>
                      <wp:extent cx="554990" cy="267970"/>
                      <wp:effectExtent l="19050" t="0" r="207010" b="113030"/>
                      <wp:wrapNone/>
                      <wp:docPr id="28" name="AutoShape 259"/>
                      <wp:cNvGraphicFramePr/>
                      <a:graphic xmlns:a="http://schemas.openxmlformats.org/drawingml/2006/main">
                        <a:graphicData uri="http://schemas.microsoft.com/office/word/2010/wordprocessingShape">
                          <wps:wsp>
                            <wps:cNvSpPr>
                              <a:spLocks noChangeArrowheads="1"/>
                            </wps:cNvSpPr>
                            <wps:spPr bwMode="auto">
                              <a:xfrm>
                                <a:off x="0" y="0"/>
                                <a:ext cx="554990" cy="267970"/>
                              </a:xfrm>
                              <a:prstGeom prst="cloudCallout">
                                <a:avLst>
                                  <a:gd name="adj1" fmla="val 83019"/>
                                  <a:gd name="adj2" fmla="val 81519"/>
                                </a:avLst>
                              </a:prstGeom>
                              <a:solidFill>
                                <a:srgbClr val="FFFFFF"/>
                              </a:solidFill>
                              <a:ln w="9525">
                                <a:solidFill>
                                  <a:srgbClr val="000000"/>
                                </a:solidFill>
                                <a:round/>
                              </a:ln>
                            </wps:spPr>
                            <wps:txbx>
                              <w:txbxContent>
                                <w:p w14:paraId="214BAA4E">
                                  <w:pPr>
                                    <w:jc w:val="center"/>
                                    <w:rPr>
                                      <w:b/>
                                    </w:rPr>
                                  </w:pPr>
                                  <w:r>
                                    <w:rPr>
                                      <w:b/>
                                    </w:rPr>
                                    <w:t>0.42</w:t>
                                  </w:r>
                                </w:p>
                              </w:txbxContent>
                            </wps:txbx>
                            <wps:bodyPr rot="0" vert="horz" wrap="square" lIns="36000" tIns="0" rIns="36000" bIns="0" anchor="ctr" anchorCtr="0" upright="1">
                              <a:noAutofit/>
                            </wps:bodyPr>
                          </wps:wsp>
                        </a:graphicData>
                      </a:graphic>
                    </wp:anchor>
                  </w:drawing>
                </mc:Choice>
                <mc:Fallback>
                  <w:pict>
                    <v:shape id="AutoShape 259" o:spid="_x0000_s1026" o:spt="106" type="#_x0000_t106" style="position:absolute;left:0pt;margin-left:102.25pt;margin-top:16.6pt;height:21.1pt;width:43.7pt;z-index:251683840;v-text-anchor:middle;mso-width-relative:page;mso-height-relative:page;" fillcolor="#FFFFFF" filled="t" stroked="t" coordsize="21600,21600" o:gfxdata="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N1rJjXXAAAACQEAAA8AAAAA&#10;AAAAAQAgAAAAIgAAAGRycy9kb3ducmV2LnhtbFBLAQIUABQAAAAIAIdO4kB3OfRVTgIAAMUEAAAO&#10;AAAAAAAAAAEAIAAAACYBAABkcnMvZTJvRG9jLnhtbFBLBQYAAAAABgAGAFkBAADmBQAAAAA=&#10;" adj="28732,28408">
                      <v:fill on="t" focussize="0,0"/>
                      <v:stroke color="#000000" joinstyle="round"/>
                      <v:imagedata o:title=""/>
                      <o:lock v:ext="edit" aspectratio="f"/>
                      <v:textbox inset="1mm,0mm,1mm,0mm">
                        <w:txbxContent>
                          <w:p w14:paraId="214BAA4E">
                            <w:pPr>
                              <w:jc w:val="center"/>
                              <w:rPr>
                                <w:b/>
                              </w:rPr>
                            </w:pPr>
                            <w:r>
                              <w:rPr>
                                <w:b/>
                              </w:rPr>
                              <w:t>0.42</w:t>
                            </w:r>
                          </w:p>
                        </w:txbxContent>
                      </v:textbox>
                    </v:shape>
                  </w:pict>
                </mc:Fallback>
              </mc:AlternateContent>
            </w:r>
            <w:r>
              <w:rPr>
                <w:rFonts w:eastAsia="黑体"/>
                <w:b/>
                <w:iCs/>
                <w:sz w:val="24"/>
              </w:rPr>
              <mc:AlternateContent>
                <mc:Choice Requires="wps">
                  <w:drawing>
                    <wp:anchor distT="0" distB="0" distL="114300" distR="114300" simplePos="0" relativeHeight="251684864" behindDoc="0" locked="0" layoutInCell="1" allowOverlap="1">
                      <wp:simplePos x="0" y="0"/>
                      <wp:positionH relativeFrom="column">
                        <wp:posOffset>880110</wp:posOffset>
                      </wp:positionH>
                      <wp:positionV relativeFrom="paragraph">
                        <wp:posOffset>483870</wp:posOffset>
                      </wp:positionV>
                      <wp:extent cx="488315" cy="300990"/>
                      <wp:effectExtent l="0" t="0" r="0" b="0"/>
                      <wp:wrapNone/>
                      <wp:docPr id="15" name="Text Box 260"/>
                      <wp:cNvGraphicFramePr/>
                      <a:graphic xmlns:a="http://schemas.openxmlformats.org/drawingml/2006/main">
                        <a:graphicData uri="http://schemas.microsoft.com/office/word/2010/wordprocessingShape">
                          <wps:wsp>
                            <wps:cNvSpPr txBox="1">
                              <a:spLocks noChangeArrowheads="1"/>
                            </wps:cNvSpPr>
                            <wps:spPr bwMode="auto">
                              <a:xfrm>
                                <a:off x="0" y="0"/>
                                <a:ext cx="488315" cy="300990"/>
                              </a:xfrm>
                              <a:prstGeom prst="rect">
                                <a:avLst/>
                              </a:prstGeom>
                              <a:solidFill>
                                <a:srgbClr val="FFFFFF">
                                  <a:alpha val="0"/>
                                </a:srgbClr>
                              </a:solidFill>
                              <a:ln>
                                <a:noFill/>
                              </a:ln>
                            </wps:spPr>
                            <wps:txbx>
                              <w:txbxContent>
                                <w:p w14:paraId="57376B35">
                                  <w:pPr>
                                    <w:rPr>
                                      <w:b/>
                                    </w:rPr>
                                  </w:pPr>
                                  <w:r>
                                    <w:rPr>
                                      <w:b/>
                                    </w:rPr>
                                    <w:t>0.42</w:t>
                                  </w:r>
                                </w:p>
                              </w:txbxContent>
                            </wps:txbx>
                            <wps:bodyPr rot="0" vert="horz" wrap="square" lIns="91440" tIns="45720" rIns="91440" bIns="45720" anchor="t" anchorCtr="0" upright="1">
                              <a:noAutofit/>
                            </wps:bodyPr>
                          </wps:wsp>
                        </a:graphicData>
                      </a:graphic>
                    </wp:anchor>
                  </w:drawing>
                </mc:Choice>
                <mc:Fallback>
                  <w:pict>
                    <v:shape id="Text Box 260" o:spid="_x0000_s1026" o:spt="202" type="#_x0000_t202" style="position:absolute;left:0pt;margin-left:69.3pt;margin-top:38.1pt;height:23.7pt;width:38.45pt;z-index:251684864;mso-width-relative:page;mso-height-relative:page;" fillcolor="#FFFFFF" filled="t" stroked="f" coordsize="21600,21600" o:gfxdata="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8MOJBdgAAAAKAQAADwAAAAAAAAABACAAAAAiAAAAZHJzL2Rvd25yZXYueG1sUEsBAhQAFAAA&#10;AAgAh07iQNdR6JwoAgAAXAQAAA4AAAAAAAAAAQAgAAAAJwEAAGRycy9lMm9Eb2MueG1sUEsFBgAA&#10;AAAGAAYAWQEAAMEFAAAAAA==&#10;">
                      <v:fill on="t" opacity="0f" focussize="0,0"/>
                      <v:stroke on="f"/>
                      <v:imagedata o:title=""/>
                      <o:lock v:ext="edit" aspectratio="f"/>
                      <v:textbox>
                        <w:txbxContent>
                          <w:p w14:paraId="57376B35">
                            <w:pPr>
                              <w:rPr>
                                <w:b/>
                              </w:rPr>
                            </w:pPr>
                            <w:r>
                              <w:rPr>
                                <w:b/>
                              </w:rPr>
                              <w:t>0.42</w:t>
                            </w:r>
                          </w:p>
                        </w:txbxContent>
                      </v:textbox>
                    </v:shape>
                  </w:pict>
                </mc:Fallback>
              </mc:AlternateContent>
            </w:r>
            <w:r>
              <w:rPr>
                <w:bCs/>
                <w:sz w:val="24"/>
              </w:rPr>
              <mc:AlternateContent>
                <mc:Choice Requires="wps">
                  <w:drawing>
                    <wp:anchor distT="0" distB="0" distL="114300" distR="114300" simplePos="0" relativeHeight="251664384" behindDoc="0" locked="0" layoutInCell="1" allowOverlap="1">
                      <wp:simplePos x="0" y="0"/>
                      <wp:positionH relativeFrom="column">
                        <wp:posOffset>1593850</wp:posOffset>
                      </wp:positionH>
                      <wp:positionV relativeFrom="paragraph">
                        <wp:posOffset>1461770</wp:posOffset>
                      </wp:positionV>
                      <wp:extent cx="730885" cy="275590"/>
                      <wp:effectExtent l="0" t="0" r="12065" b="10160"/>
                      <wp:wrapNone/>
                      <wp:docPr id="19" name="Text Box 231"/>
                      <wp:cNvGraphicFramePr/>
                      <a:graphic xmlns:a="http://schemas.openxmlformats.org/drawingml/2006/main">
                        <a:graphicData uri="http://schemas.microsoft.com/office/word/2010/wordprocessingShape">
                          <wps:wsp>
                            <wps:cNvSpPr txBox="1">
                              <a:spLocks noChangeArrowheads="1"/>
                            </wps:cNvSpPr>
                            <wps:spPr bwMode="auto">
                              <a:xfrm>
                                <a:off x="0" y="0"/>
                                <a:ext cx="730885" cy="275590"/>
                              </a:xfrm>
                              <a:prstGeom prst="rect">
                                <a:avLst/>
                              </a:prstGeom>
                              <a:solidFill>
                                <a:srgbClr val="FFFFFF"/>
                              </a:solidFill>
                              <a:ln w="9525">
                                <a:solidFill>
                                  <a:srgbClr val="000000"/>
                                </a:solidFill>
                                <a:miter lim="800000"/>
                              </a:ln>
                            </wps:spPr>
                            <wps:txbx>
                              <w:txbxContent>
                                <w:p w14:paraId="6C81051F">
                                  <w:pPr>
                                    <w:rPr>
                                      <w:b/>
                                    </w:rPr>
                                  </w:pPr>
                                  <w:r>
                                    <w:rPr>
                                      <w:b/>
                                    </w:rPr>
                                    <w:t>生活用水</w:t>
                                  </w:r>
                                </w:p>
                              </w:txbxContent>
                            </wps:txbx>
                            <wps:bodyPr rot="0" vert="horz" wrap="square" lIns="91440" tIns="36000" rIns="91440" bIns="0" anchor="t" anchorCtr="0" upright="1">
                              <a:noAutofit/>
                            </wps:bodyPr>
                          </wps:wsp>
                        </a:graphicData>
                      </a:graphic>
                    </wp:anchor>
                  </w:drawing>
                </mc:Choice>
                <mc:Fallback>
                  <w:pict>
                    <v:shape id="Text Box 231" o:spid="_x0000_s1026" o:spt="202" type="#_x0000_t202" style="position:absolute;left:0pt;margin-left:125.5pt;margin-top:115.1pt;height:21.7pt;width:57.55pt;z-index:251664384;mso-width-relative:page;mso-height-relative:page;" fillcolor="#FFFFFF" filled="t" stroked="t" coordsize="21600,21600" o:gfxdata="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J5qgO2QAAAAsBAAAPAAAAAAAAAAEAIAAAACIAAABkcnMvZG93bnJl&#10;di54bWxQSwECFAAUAAAACACHTuJAjLEwIjUCAACEBAAADgAAAAAAAAABACAAAAAoAQAAZHJzL2Uy&#10;b0RvYy54bWxQSwUGAAAAAAYABgBZAQAAzwUAAAAA&#10;">
                      <v:fill on="t" focussize="0,0"/>
                      <v:stroke color="#000000" miterlimit="8" joinstyle="miter"/>
                      <v:imagedata o:title=""/>
                      <o:lock v:ext="edit" aspectratio="f"/>
                      <v:textbox inset="2.54mm,1mm,2.54mm,0mm">
                        <w:txbxContent>
                          <w:p w14:paraId="6C81051F">
                            <w:pPr>
                              <w:rPr>
                                <w:b/>
                              </w:rPr>
                            </w:pPr>
                            <w:r>
                              <w:rPr>
                                <w:b/>
                              </w:rPr>
                              <w:t>生活用水</w:t>
                            </w:r>
                          </w:p>
                        </w:txbxContent>
                      </v:textbox>
                    </v:shape>
                  </w:pict>
                </mc:Fallback>
              </mc:AlternateContent>
            </w:r>
            <w:r>
              <w:rPr>
                <w:bCs/>
                <w:sz w:val="24"/>
              </w:rPr>
              <mc:AlternateContent>
                <mc:Choice Requires="wps">
                  <w:drawing>
                    <wp:anchor distT="0" distB="0" distL="114300" distR="114300" simplePos="0" relativeHeight="251668480" behindDoc="0" locked="0" layoutInCell="1" allowOverlap="1">
                      <wp:simplePos x="0" y="0"/>
                      <wp:positionH relativeFrom="column">
                        <wp:posOffset>881380</wp:posOffset>
                      </wp:positionH>
                      <wp:positionV relativeFrom="paragraph">
                        <wp:posOffset>1342390</wp:posOffset>
                      </wp:positionV>
                      <wp:extent cx="488315" cy="300990"/>
                      <wp:effectExtent l="0" t="0" r="0" b="0"/>
                      <wp:wrapNone/>
                      <wp:docPr id="20" name="Text Box 236"/>
                      <wp:cNvGraphicFramePr/>
                      <a:graphic xmlns:a="http://schemas.openxmlformats.org/drawingml/2006/main">
                        <a:graphicData uri="http://schemas.microsoft.com/office/word/2010/wordprocessingShape">
                          <wps:wsp>
                            <wps:cNvSpPr txBox="1">
                              <a:spLocks noChangeArrowheads="1"/>
                            </wps:cNvSpPr>
                            <wps:spPr bwMode="auto">
                              <a:xfrm>
                                <a:off x="0" y="0"/>
                                <a:ext cx="488315" cy="300990"/>
                              </a:xfrm>
                              <a:prstGeom prst="rect">
                                <a:avLst/>
                              </a:prstGeom>
                              <a:solidFill>
                                <a:srgbClr val="FFFFFF">
                                  <a:alpha val="0"/>
                                </a:srgbClr>
                              </a:solidFill>
                              <a:ln>
                                <a:noFill/>
                              </a:ln>
                            </wps:spPr>
                            <wps:txbx>
                              <w:txbxContent>
                                <w:p w14:paraId="5E4274C7">
                                  <w:pPr>
                                    <w:rPr>
                                      <w:b/>
                                    </w:rPr>
                                  </w:pPr>
                                  <w:r>
                                    <w:rPr>
                                      <w:b/>
                                    </w:rPr>
                                    <w:t>2</w:t>
                                  </w:r>
                                </w:p>
                              </w:txbxContent>
                            </wps:txbx>
                            <wps:bodyPr rot="0" vert="horz" wrap="square" lIns="91440" tIns="45720" rIns="91440" bIns="45720" anchor="t" anchorCtr="0" upright="1">
                              <a:noAutofit/>
                            </wps:bodyPr>
                          </wps:wsp>
                        </a:graphicData>
                      </a:graphic>
                    </wp:anchor>
                  </w:drawing>
                </mc:Choice>
                <mc:Fallback>
                  <w:pict>
                    <v:shape id="Text Box 236" o:spid="_x0000_s1026" o:spt="202" type="#_x0000_t202" style="position:absolute;left:0pt;margin-left:69.4pt;margin-top:105.7pt;height:23.7pt;width:38.45pt;z-index:251668480;mso-width-relative:page;mso-height-relative:page;" fillcolor="#FFFFFF" filled="t" stroked="f" coordsize="21600,21600" o:gfxdata="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xWhDvtgAAAALAQAADwAAAAAAAAABACAAAAAiAAAAZHJzL2Rvd25yZXYueG1sUEsBAhQAFAAA&#10;AAgAh07iQB3WrOooAgAAXAQAAA4AAAAAAAAAAQAgAAAAJwEAAGRycy9lMm9Eb2MueG1sUEsFBgAA&#10;AAAGAAYAWQEAAMEFAAAAAA==&#10;">
                      <v:fill on="t" opacity="0f" focussize="0,0"/>
                      <v:stroke on="f"/>
                      <v:imagedata o:title=""/>
                      <o:lock v:ext="edit" aspectratio="f"/>
                      <v:textbox>
                        <w:txbxContent>
                          <w:p w14:paraId="5E4274C7">
                            <w:pPr>
                              <w:rPr>
                                <w:b/>
                              </w:rPr>
                            </w:pPr>
                            <w:r>
                              <w:rPr>
                                <w:b/>
                              </w:rPr>
                              <w:t>2</w:t>
                            </w:r>
                          </w:p>
                        </w:txbxContent>
                      </v:textbox>
                    </v:shape>
                  </w:pict>
                </mc:Fallback>
              </mc:AlternateContent>
            </w:r>
            <w:r>
              <w:rPr>
                <w:bCs/>
                <w:sz w:val="24"/>
              </w:rPr>
              <mc:AlternateContent>
                <mc:Choice Requires="wps">
                  <w:drawing>
                    <wp:anchor distT="0" distB="0" distL="114300" distR="114300" simplePos="0" relativeHeight="251665408" behindDoc="0" locked="0" layoutInCell="1" allowOverlap="1">
                      <wp:simplePos x="0" y="0"/>
                      <wp:positionH relativeFrom="column">
                        <wp:posOffset>2341245</wp:posOffset>
                      </wp:positionH>
                      <wp:positionV relativeFrom="paragraph">
                        <wp:posOffset>1594485</wp:posOffset>
                      </wp:positionV>
                      <wp:extent cx="549910" cy="1270"/>
                      <wp:effectExtent l="0" t="76200" r="21590" b="93980"/>
                      <wp:wrapNone/>
                      <wp:docPr id="21" name="AutoShape 232"/>
                      <wp:cNvGraphicFramePr/>
                      <a:graphic xmlns:a="http://schemas.openxmlformats.org/drawingml/2006/main">
                        <a:graphicData uri="http://schemas.microsoft.com/office/word/2010/wordprocessingShape">
                          <wps:wsp>
                            <wps:cNvCnPr>
                              <a:cxnSpLocks noChangeShapeType="1"/>
                            </wps:cNvCnPr>
                            <wps:spPr bwMode="auto">
                              <a:xfrm>
                                <a:off x="0" y="0"/>
                                <a:ext cx="549910" cy="1270"/>
                              </a:xfrm>
                              <a:prstGeom prst="straightConnector1">
                                <a:avLst/>
                              </a:prstGeom>
                              <a:noFill/>
                              <a:ln w="9525">
                                <a:solidFill>
                                  <a:srgbClr val="000000"/>
                                </a:solidFill>
                                <a:round/>
                                <a:tailEnd type="triangle" w="med" len="med"/>
                              </a:ln>
                            </wps:spPr>
                            <wps:bodyPr/>
                          </wps:wsp>
                        </a:graphicData>
                      </a:graphic>
                    </wp:anchor>
                  </w:drawing>
                </mc:Choice>
                <mc:Fallback>
                  <w:pict>
                    <v:shape id="AutoShape 232" o:spid="_x0000_s1026" o:spt="32" type="#_x0000_t32" style="position:absolute;left:0pt;margin-left:184.35pt;margin-top:125.55pt;height:0.1pt;width:43.3pt;z-index:251665408;mso-width-relative:page;mso-height-relative:page;" filled="f" stroked="t" coordsize="21600,21600" o:gfxdata="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q5PUc9sAAAALAQAADwAAAAAAAAABACAAAAAiAAAAZHJzL2Rvd25yZXYueG1s&#10;UEsBAhQAFAAAAAgAh07iQDSfN/L1AQAA5QMAAA4AAAAAAAAAAQAgAAAAKgEAAGRycy9lMm9Eb2Mu&#10;eG1sUEsFBgAAAAAGAAYAWQEAAJEFAAAAAA==&#10;">
                      <v:fill on="f" focussize="0,0"/>
                      <v:stroke color="#000000" joinstyle="round" endarrow="block"/>
                      <v:imagedata o:title=""/>
                      <o:lock v:ext="edit" aspectratio="f"/>
                    </v:shape>
                  </w:pict>
                </mc:Fallback>
              </mc:AlternateContent>
            </w:r>
            <w:r>
              <w:rPr>
                <w:rFonts w:eastAsia="黑体"/>
                <w:b/>
                <w:iCs/>
                <w:sz w:val="24"/>
              </w:rPr>
              <mc:AlternateContent>
                <mc:Choice Requires="wps">
                  <w:drawing>
                    <wp:anchor distT="0" distB="0" distL="114300" distR="114300" simplePos="0" relativeHeight="251685888" behindDoc="0" locked="0" layoutInCell="1" allowOverlap="1">
                      <wp:simplePos x="0" y="0"/>
                      <wp:positionH relativeFrom="column">
                        <wp:posOffset>2175510</wp:posOffset>
                      </wp:positionH>
                      <wp:positionV relativeFrom="paragraph">
                        <wp:posOffset>868045</wp:posOffset>
                      </wp:positionV>
                      <wp:extent cx="1193800" cy="167640"/>
                      <wp:effectExtent l="76200" t="38100" r="25400" b="22860"/>
                      <wp:wrapNone/>
                      <wp:docPr id="23" name="Freeform 261"/>
                      <wp:cNvGraphicFramePr/>
                      <a:graphic xmlns:a="http://schemas.openxmlformats.org/drawingml/2006/main">
                        <a:graphicData uri="http://schemas.microsoft.com/office/word/2010/wordprocessingShape">
                          <wps:wsp>
                            <wps:cNvSpPr/>
                            <wps:spPr bwMode="auto">
                              <a:xfrm>
                                <a:off x="0" y="0"/>
                                <a:ext cx="1193800" cy="167640"/>
                              </a:xfrm>
                              <a:custGeom>
                                <a:avLst/>
                                <a:gdLst>
                                  <a:gd name="T0" fmla="*/ 1606 w 1613"/>
                                  <a:gd name="T1" fmla="*/ 0 h 590"/>
                                  <a:gd name="T2" fmla="*/ 1613 w 1613"/>
                                  <a:gd name="T3" fmla="*/ 590 h 590"/>
                                  <a:gd name="T4" fmla="*/ 0 w 1613"/>
                                  <a:gd name="T5" fmla="*/ 590 h 590"/>
                                  <a:gd name="T6" fmla="*/ 9 w 1613"/>
                                  <a:gd name="T7" fmla="*/ 10 h 590"/>
                                </a:gdLst>
                                <a:ahLst/>
                                <a:cxnLst>
                                  <a:cxn ang="0">
                                    <a:pos x="T0" y="T1"/>
                                  </a:cxn>
                                  <a:cxn ang="0">
                                    <a:pos x="T2" y="T3"/>
                                  </a:cxn>
                                  <a:cxn ang="0">
                                    <a:pos x="T4" y="T5"/>
                                  </a:cxn>
                                  <a:cxn ang="0">
                                    <a:pos x="T6" y="T7"/>
                                  </a:cxn>
                                </a:cxnLst>
                                <a:rect l="0" t="0" r="r" b="b"/>
                                <a:pathLst>
                                  <a:path w="1613" h="590">
                                    <a:moveTo>
                                      <a:pt x="1606" y="0"/>
                                    </a:moveTo>
                                    <a:lnTo>
                                      <a:pt x="1613" y="590"/>
                                    </a:lnTo>
                                    <a:lnTo>
                                      <a:pt x="0" y="590"/>
                                    </a:lnTo>
                                    <a:lnTo>
                                      <a:pt x="9" y="10"/>
                                    </a:lnTo>
                                  </a:path>
                                </a:pathLst>
                              </a:custGeom>
                              <a:noFill/>
                              <a:ln w="9525">
                                <a:solidFill>
                                  <a:srgbClr val="000000"/>
                                </a:solidFill>
                                <a:prstDash val="dash"/>
                                <a:round/>
                                <a:tailEnd type="triangle" w="med" len="med"/>
                              </a:ln>
                            </wps:spPr>
                            <wps:bodyPr rot="0" vert="horz" wrap="square" lIns="91440" tIns="45720" rIns="91440" bIns="45720" anchor="t" anchorCtr="0" upright="1">
                              <a:noAutofit/>
                            </wps:bodyPr>
                          </wps:wsp>
                        </a:graphicData>
                      </a:graphic>
                    </wp:anchor>
                  </w:drawing>
                </mc:Choice>
                <mc:Fallback>
                  <w:pict>
                    <v:shape id="Freeform 261" o:spid="_x0000_s1026" o:spt="100" style="position:absolute;left:0pt;margin-left:171.3pt;margin-top:68.35pt;height:13.2pt;width:94pt;z-index:251685888;mso-width-relative:page;mso-height-relative:page;" filled="f" stroked="t" coordsize="1613,590" o:gfxdata="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" path="m1606,0l1613,590,0,590,9,10e">
                      <v:path o:connectlocs="1188619,0;1193800,167640;0,167640;6661,2841" o:connectangles="0,0,0,0"/>
                      <v:fill on="f" focussize="0,0"/>
                      <v:stroke color="#000000" joinstyle="round" dashstyle="dash" endarrow="block"/>
                      <v:imagedata o:title=""/>
                      <o:lock v:ext="edit" aspectratio="f"/>
                    </v:shape>
                  </w:pict>
                </mc:Fallback>
              </mc:AlternateContent>
            </w:r>
            <w:r>
              <w:rPr>
                <w:rFonts w:eastAsia="黑体"/>
                <w:b/>
                <w:iCs/>
                <w:sz w:val="24"/>
              </w:rPr>
              <mc:AlternateContent>
                <mc:Choice Requires="wps">
                  <w:drawing>
                    <wp:anchor distT="0" distB="0" distL="114300" distR="114300" simplePos="0" relativeHeight="251682816" behindDoc="0" locked="0" layoutInCell="1" allowOverlap="1">
                      <wp:simplePos x="0" y="0"/>
                      <wp:positionH relativeFrom="column">
                        <wp:posOffset>2514600</wp:posOffset>
                      </wp:positionH>
                      <wp:positionV relativeFrom="paragraph">
                        <wp:posOffset>856615</wp:posOffset>
                      </wp:positionV>
                      <wp:extent cx="530860" cy="243840"/>
                      <wp:effectExtent l="0" t="0" r="0" b="0"/>
                      <wp:wrapNone/>
                      <wp:docPr id="25" name="Text Box 258"/>
                      <wp:cNvGraphicFramePr/>
                      <a:graphic xmlns:a="http://schemas.openxmlformats.org/drawingml/2006/main">
                        <a:graphicData uri="http://schemas.microsoft.com/office/word/2010/wordprocessingShape">
                          <wps:wsp>
                            <wps:cNvSpPr txBox="1">
                              <a:spLocks noChangeArrowheads="1"/>
                            </wps:cNvSpPr>
                            <wps:spPr bwMode="auto">
                              <a:xfrm>
                                <a:off x="0" y="0"/>
                                <a:ext cx="530860" cy="243840"/>
                              </a:xfrm>
                              <a:prstGeom prst="rect">
                                <a:avLst/>
                              </a:prstGeom>
                              <a:solidFill>
                                <a:srgbClr val="FFFFFF">
                                  <a:alpha val="0"/>
                                </a:srgbClr>
                              </a:solidFill>
                              <a:ln>
                                <a:noFill/>
                              </a:ln>
                            </wps:spPr>
                            <wps:txbx>
                              <w:txbxContent>
                                <w:p w14:paraId="5F40D00E">
                                  <w:pPr>
                                    <w:rPr>
                                      <w:b/>
                                    </w:rPr>
                                  </w:pPr>
                                  <w:r>
                                    <w:rPr>
                                      <w:b/>
                                    </w:rPr>
                                    <w:t>8.4</w:t>
                                  </w:r>
                                </w:p>
                              </w:txbxContent>
                            </wps:txbx>
                            <wps:bodyPr rot="0" vert="horz" wrap="square" lIns="91440" tIns="45720" rIns="91440" bIns="45720" anchor="t" anchorCtr="0" upright="1">
                              <a:noAutofit/>
                            </wps:bodyPr>
                          </wps:wsp>
                        </a:graphicData>
                      </a:graphic>
                    </wp:anchor>
                  </w:drawing>
                </mc:Choice>
                <mc:Fallback>
                  <w:pict>
                    <v:shape id="Text Box 258" o:spid="_x0000_s1026" o:spt="202" type="#_x0000_t202" style="position:absolute;left:0pt;margin-left:198pt;margin-top:67.45pt;height:19.2pt;width:41.8pt;z-index:251682816;mso-width-relative:page;mso-height-relative:page;" fillcolor="#FFFFFF" filled="t" stroked="f" coordsize="21600,21600" o:gfxdata="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otkNu2gAAAAsBAAAPAAAAAAAAAAEAIAAAACIAAABkcnMvZG93bnJldi54bWxQSwECFAAU&#10;AAAACACHTuJA4dftbCgCAABcBAAADgAAAAAAAAABACAAAAApAQAAZHJzL2Uyb0RvYy54bWxQSwUG&#10;AAAAAAYABgBZAQAAwwUAAAAA&#10;">
                      <v:fill on="t" opacity="0f" focussize="0,0"/>
                      <v:stroke on="f"/>
                      <v:imagedata o:title=""/>
                      <o:lock v:ext="edit" aspectratio="f"/>
                      <v:textbox>
                        <w:txbxContent>
                          <w:p w14:paraId="5F40D00E">
                            <w:pPr>
                              <w:rPr>
                                <w:b/>
                              </w:rPr>
                            </w:pPr>
                            <w:r>
                              <w:rPr>
                                <w:b/>
                              </w:rPr>
                              <w:t>8.4</w:t>
                            </w:r>
                          </w:p>
                        </w:txbxContent>
                      </v:textbox>
                    </v:shape>
                  </w:pict>
                </mc:Fallback>
              </mc:AlternateContent>
            </w:r>
            <w:r>
              <w:rPr>
                <w:rFonts w:eastAsia="黑体"/>
                <w:b/>
                <w:iCs/>
                <w:sz w:val="24"/>
              </w:rPr>
              <mc:AlternateContent>
                <mc:Choice Requires="wps">
                  <w:drawing>
                    <wp:anchor distT="0" distB="0" distL="114300" distR="114300" simplePos="0" relativeHeight="251681792" behindDoc="0" locked="0" layoutInCell="1" allowOverlap="1">
                      <wp:simplePos x="0" y="0"/>
                      <wp:positionH relativeFrom="column">
                        <wp:posOffset>1592580</wp:posOffset>
                      </wp:positionH>
                      <wp:positionV relativeFrom="paragraph">
                        <wp:posOffset>603250</wp:posOffset>
                      </wp:positionV>
                      <wp:extent cx="1375410" cy="275590"/>
                      <wp:effectExtent l="0" t="0" r="15240" b="10160"/>
                      <wp:wrapNone/>
                      <wp:docPr id="26" name="Text Box 257"/>
                      <wp:cNvGraphicFramePr/>
                      <a:graphic xmlns:a="http://schemas.openxmlformats.org/drawingml/2006/main">
                        <a:graphicData uri="http://schemas.microsoft.com/office/word/2010/wordprocessingShape">
                          <wps:wsp>
                            <wps:cNvSpPr txBox="1">
                              <a:spLocks noChangeArrowheads="1"/>
                            </wps:cNvSpPr>
                            <wps:spPr bwMode="auto">
                              <a:xfrm>
                                <a:off x="0" y="0"/>
                                <a:ext cx="1375410" cy="275590"/>
                              </a:xfrm>
                              <a:prstGeom prst="rect">
                                <a:avLst/>
                              </a:prstGeom>
                              <a:solidFill>
                                <a:srgbClr val="FFFFFF"/>
                              </a:solidFill>
                              <a:ln w="9525">
                                <a:solidFill>
                                  <a:srgbClr val="000000"/>
                                </a:solidFill>
                                <a:miter lim="800000"/>
                              </a:ln>
                            </wps:spPr>
                            <wps:txbx>
                              <w:txbxContent>
                                <w:p w14:paraId="6E71E2E6">
                                  <w:pPr>
                                    <w:jc w:val="center"/>
                                    <w:rPr>
                                      <w:b/>
                                    </w:rPr>
                                  </w:pPr>
                                  <w:r>
                                    <w:rPr>
                                      <w:rFonts w:hint="eastAsia"/>
                                      <w:b/>
                                    </w:rPr>
                                    <w:t>循环冷却</w:t>
                                  </w:r>
                                  <w:r>
                                    <w:rPr>
                                      <w:b/>
                                    </w:rPr>
                                    <w:t>用水</w:t>
                                  </w:r>
                                </w:p>
                              </w:txbxContent>
                            </wps:txbx>
                            <wps:bodyPr rot="0" vert="horz" wrap="square" lIns="91440" tIns="36000" rIns="91440" bIns="0" anchor="t" anchorCtr="0" upright="1">
                              <a:noAutofit/>
                            </wps:bodyPr>
                          </wps:wsp>
                        </a:graphicData>
                      </a:graphic>
                    </wp:anchor>
                  </w:drawing>
                </mc:Choice>
                <mc:Fallback>
                  <w:pict>
                    <v:shape id="Text Box 257" o:spid="_x0000_s1026" o:spt="202" type="#_x0000_t202" style="position:absolute;left:0pt;margin-left:125.4pt;margin-top:47.5pt;height:21.7pt;width:108.3pt;z-index:251681792;mso-width-relative:page;mso-height-relative:page;" fillcolor="#FFFFFF" filled="t" stroked="t" coordsize="21600,21600" o:gfxdata="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kdM0wdkAAAAKAQAADwAAAAAAAAABACAAAAAiAAAAZHJzL2Rvd25yZXYu&#10;eG1sUEsBAhQAFAAAAAgAh07iQMlEv4EzAgAAhQQAAA4AAAAAAAAAAQAgAAAAKAEAAGRycy9lMm9E&#10;b2MueG1sUEsFBgAAAAAGAAYAWQEAAM0FAAAAAA==&#10;">
                      <v:fill on="t" focussize="0,0"/>
                      <v:stroke color="#000000" miterlimit="8" joinstyle="miter"/>
                      <v:imagedata o:title=""/>
                      <o:lock v:ext="edit" aspectratio="f"/>
                      <v:textbox inset="2.54mm,1mm,2.54mm,0mm">
                        <w:txbxContent>
                          <w:p w14:paraId="6E71E2E6">
                            <w:pPr>
                              <w:jc w:val="center"/>
                              <w:rPr>
                                <w:b/>
                              </w:rPr>
                            </w:pPr>
                            <w:r>
                              <w:rPr>
                                <w:rFonts w:hint="eastAsia"/>
                                <w:b/>
                              </w:rPr>
                              <w:t>循环冷却</w:t>
                            </w:r>
                            <w:r>
                              <w:rPr>
                                <w:b/>
                              </w:rPr>
                              <w:t>用水</w:t>
                            </w:r>
                          </w:p>
                        </w:txbxContent>
                      </v:textbox>
                    </v:shape>
                  </w:pict>
                </mc:Fallback>
              </mc:AlternateContent>
            </w:r>
            <w:r>
              <w:rPr>
                <w:bCs/>
                <w:sz w:val="24"/>
              </w:rPr>
              <mc:AlternateContent>
                <mc:Choice Requires="wps">
                  <w:drawing>
                    <wp:anchor distT="0" distB="0" distL="114300" distR="114300" simplePos="0" relativeHeight="251669504" behindDoc="0" locked="0" layoutInCell="1" allowOverlap="1">
                      <wp:simplePos x="0" y="0"/>
                      <wp:positionH relativeFrom="column">
                        <wp:posOffset>190500</wp:posOffset>
                      </wp:positionH>
                      <wp:positionV relativeFrom="paragraph">
                        <wp:posOffset>406400</wp:posOffset>
                      </wp:positionV>
                      <wp:extent cx="568325" cy="231775"/>
                      <wp:effectExtent l="0" t="0" r="0" b="0"/>
                      <wp:wrapNone/>
                      <wp:docPr id="16" name="Text Box 237"/>
                      <wp:cNvGraphicFramePr/>
                      <a:graphic xmlns:a="http://schemas.openxmlformats.org/drawingml/2006/main">
                        <a:graphicData uri="http://schemas.microsoft.com/office/word/2010/wordprocessingShape">
                          <wps:wsp>
                            <wps:cNvSpPr txBox="1">
                              <a:spLocks noChangeArrowheads="1"/>
                            </wps:cNvSpPr>
                            <wps:spPr bwMode="auto">
                              <a:xfrm>
                                <a:off x="0" y="0"/>
                                <a:ext cx="568325" cy="231775"/>
                              </a:xfrm>
                              <a:prstGeom prst="rect">
                                <a:avLst/>
                              </a:prstGeom>
                              <a:solidFill>
                                <a:srgbClr val="FFFFFF">
                                  <a:alpha val="0"/>
                                </a:srgbClr>
                              </a:solidFill>
                              <a:ln>
                                <a:noFill/>
                              </a:ln>
                            </wps:spPr>
                            <wps:txbx>
                              <w:txbxContent>
                                <w:p w14:paraId="288FB86D">
                                  <w:pPr>
                                    <w:rPr>
                                      <w:b/>
                                    </w:rPr>
                                  </w:pPr>
                                  <w:r>
                                    <w:rPr>
                                      <w:b/>
                                    </w:rPr>
                                    <w:t>8.86</w:t>
                                  </w:r>
                                </w:p>
                              </w:txbxContent>
                            </wps:txbx>
                            <wps:bodyPr rot="0" vert="horz" wrap="square" lIns="91440" tIns="45720" rIns="91440" bIns="45720" anchor="t" anchorCtr="0" upright="1">
                              <a:noAutofit/>
                            </wps:bodyPr>
                          </wps:wsp>
                        </a:graphicData>
                      </a:graphic>
                    </wp:anchor>
                  </w:drawing>
                </mc:Choice>
                <mc:Fallback>
                  <w:pict>
                    <v:shape id="Text Box 237" o:spid="_x0000_s1026" o:spt="202" type="#_x0000_t202" style="position:absolute;left:0pt;margin-left:15pt;margin-top:32pt;height:18.25pt;width:44.75pt;z-index:251669504;mso-width-relative:page;mso-height-relative:page;" fillcolor="#FFFFFF" filled="t" stroked="f" coordsize="21600,21600" o:gfxdata="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Btc8EDYAAAACQEAAA8AAAAAAAAAAQAgAAAAIgAAAGRycy9kb3ducmV2LnhtbFBLAQIUABQA&#10;AAAIAIdO4kCLT/BYKQIAAFwEAAAOAAAAAAAAAAEAIAAAACcBAABkcnMvZTJvRG9jLnhtbFBLBQYA&#10;AAAABgAGAFkBAADCBQAAAAA=&#10;">
                      <v:fill on="t" opacity="0f" focussize="0,0"/>
                      <v:stroke on="f"/>
                      <v:imagedata o:title=""/>
                      <o:lock v:ext="edit" aspectratio="f"/>
                      <v:textbox>
                        <w:txbxContent>
                          <w:p w14:paraId="288FB86D">
                            <w:pPr>
                              <w:rPr>
                                <w:b/>
                              </w:rPr>
                            </w:pPr>
                            <w:r>
                              <w:rPr>
                                <w:b/>
                              </w:rPr>
                              <w:t>8.86</w:t>
                            </w:r>
                          </w:p>
                        </w:txbxContent>
                      </v:textbox>
                    </v:shape>
                  </w:pict>
                </mc:Fallback>
              </mc:AlternateContent>
            </w:r>
            <w:r>
              <w:rPr>
                <w:bCs/>
                <w:sz w:val="24"/>
              </w:rPr>
              <mc:AlternateContent>
                <mc:Choice Requires="wps">
                  <w:drawing>
                    <wp:anchor distT="0" distB="0" distL="114300" distR="114300" simplePos="0" relativeHeight="251667456" behindDoc="0" locked="0" layoutInCell="1" allowOverlap="1">
                      <wp:simplePos x="0" y="0"/>
                      <wp:positionH relativeFrom="column">
                        <wp:posOffset>1299210</wp:posOffset>
                      </wp:positionH>
                      <wp:positionV relativeFrom="paragraph">
                        <wp:posOffset>1068705</wp:posOffset>
                      </wp:positionV>
                      <wp:extent cx="554990" cy="267970"/>
                      <wp:effectExtent l="19050" t="0" r="207010" b="113030"/>
                      <wp:wrapNone/>
                      <wp:docPr id="22" name="AutoShape 235"/>
                      <wp:cNvGraphicFramePr/>
                      <a:graphic xmlns:a="http://schemas.openxmlformats.org/drawingml/2006/main">
                        <a:graphicData uri="http://schemas.microsoft.com/office/word/2010/wordprocessingShape">
                          <wps:wsp>
                            <wps:cNvSpPr>
                              <a:spLocks noChangeArrowheads="1"/>
                            </wps:cNvSpPr>
                            <wps:spPr bwMode="auto">
                              <a:xfrm>
                                <a:off x="0" y="0"/>
                                <a:ext cx="554990" cy="267970"/>
                              </a:xfrm>
                              <a:prstGeom prst="cloudCallout">
                                <a:avLst>
                                  <a:gd name="adj1" fmla="val 83019"/>
                                  <a:gd name="adj2" fmla="val 81519"/>
                                </a:avLst>
                              </a:prstGeom>
                              <a:solidFill>
                                <a:srgbClr val="FFFFFF"/>
                              </a:solidFill>
                              <a:ln w="9525">
                                <a:solidFill>
                                  <a:srgbClr val="000000"/>
                                </a:solidFill>
                                <a:round/>
                              </a:ln>
                            </wps:spPr>
                            <wps:txbx>
                              <w:txbxContent>
                                <w:p w14:paraId="16FDE9ED">
                                  <w:pPr>
                                    <w:jc w:val="center"/>
                                    <w:rPr>
                                      <w:b/>
                                    </w:rPr>
                                  </w:pPr>
                                  <w:r>
                                    <w:rPr>
                                      <w:b/>
                                    </w:rPr>
                                    <w:t>0.4</w:t>
                                  </w:r>
                                </w:p>
                              </w:txbxContent>
                            </wps:txbx>
                            <wps:bodyPr rot="0" vert="horz" wrap="square" lIns="36000" tIns="0" rIns="36000" bIns="0" anchor="ctr" anchorCtr="0" upright="1">
                              <a:noAutofit/>
                            </wps:bodyPr>
                          </wps:wsp>
                        </a:graphicData>
                      </a:graphic>
                    </wp:anchor>
                  </w:drawing>
                </mc:Choice>
                <mc:Fallback>
                  <w:pict>
                    <v:shape id="AutoShape 235" o:spid="_x0000_s1026" o:spt="106" type="#_x0000_t106" style="position:absolute;left:0pt;margin-left:102.3pt;margin-top:84.15pt;height:21.1pt;width:43.7pt;z-index:251667456;v-text-anchor:middle;mso-width-relative:page;mso-height-relative:page;" fillcolor="#FFFFFF" filled="t" stroked="t" coordsize="21600,21600" o:gfxdata="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Dfra741wAAAAsBAAAPAAAA&#10;AAAAAAEAIAAAACIAAABkcnMvZG93bnJldi54bWxQSwECFAAUAAAACACHTuJAmWSF208CAADFBAAA&#10;DgAAAAAAAAABACAAAAAmAQAAZHJzL2Uyb0RvYy54bWxQSwUGAAAAAAYABgBZAQAA5wUAAAAA&#10;" adj="28732,28408">
                      <v:fill on="t" focussize="0,0"/>
                      <v:stroke color="#000000" joinstyle="round"/>
                      <v:imagedata o:title=""/>
                      <o:lock v:ext="edit" aspectratio="f"/>
                      <v:textbox inset="1mm,0mm,1mm,0mm">
                        <w:txbxContent>
                          <w:p w14:paraId="16FDE9ED">
                            <w:pPr>
                              <w:jc w:val="center"/>
                              <w:rPr>
                                <w:b/>
                              </w:rPr>
                            </w:pPr>
                            <w:r>
                              <w:rPr>
                                <w:b/>
                              </w:rPr>
                              <w:t>0.4</w:t>
                            </w:r>
                          </w:p>
                        </w:txbxContent>
                      </v:textbox>
                    </v:shape>
                  </w:pict>
                </mc:Fallback>
              </mc:AlternateContent>
            </w:r>
          </w:p>
          <w:p w14:paraId="20580241">
            <w:pPr>
              <w:spacing w:line="360" w:lineRule="auto"/>
              <w:ind w:firstLine="480" w:firstLineChars="200"/>
              <w:jc w:val="left"/>
              <w:rPr>
                <w:bCs/>
                <w:sz w:val="24"/>
              </w:rPr>
            </w:pPr>
          </w:p>
          <w:p w14:paraId="537CC5B8">
            <w:pPr>
              <w:spacing w:line="360" w:lineRule="auto"/>
              <w:ind w:firstLine="482" w:firstLineChars="200"/>
              <w:jc w:val="left"/>
              <w:rPr>
                <w:bCs/>
                <w:sz w:val="24"/>
              </w:rPr>
            </w:pPr>
            <w:r>
              <w:rPr>
                <w:rFonts w:eastAsia="黑体"/>
                <w:b/>
                <w:iCs/>
                <w:sz w:val="24"/>
              </w:rPr>
              <mc:AlternateContent>
                <mc:Choice Requires="wps">
                  <w:drawing>
                    <wp:anchor distT="0" distB="0" distL="114300" distR="114300" simplePos="0" relativeHeight="251680768" behindDoc="0" locked="0" layoutInCell="1" allowOverlap="1">
                      <wp:simplePos x="0" y="0"/>
                      <wp:positionH relativeFrom="column">
                        <wp:posOffset>794385</wp:posOffset>
                      </wp:positionH>
                      <wp:positionV relativeFrom="paragraph">
                        <wp:posOffset>215265</wp:posOffset>
                      </wp:positionV>
                      <wp:extent cx="820420" cy="0"/>
                      <wp:effectExtent l="13335" t="55245" r="23495" b="59055"/>
                      <wp:wrapNone/>
                      <wp:docPr id="27" name="AutoShape 256"/>
                      <wp:cNvGraphicFramePr/>
                      <a:graphic xmlns:a="http://schemas.openxmlformats.org/drawingml/2006/main">
                        <a:graphicData uri="http://schemas.microsoft.com/office/word/2010/wordprocessingShape">
                          <wps:wsp>
                            <wps:cNvCnPr>
                              <a:cxnSpLocks noChangeShapeType="1"/>
                            </wps:cNvCnPr>
                            <wps:spPr bwMode="auto">
                              <a:xfrm>
                                <a:off x="0" y="0"/>
                                <a:ext cx="820420" cy="0"/>
                              </a:xfrm>
                              <a:prstGeom prst="straightConnector1">
                                <a:avLst/>
                              </a:prstGeom>
                              <a:noFill/>
                              <a:ln w="9525">
                                <a:solidFill>
                                  <a:srgbClr val="000000"/>
                                </a:solidFill>
                                <a:round/>
                                <a:tailEnd type="triangle" w="med" len="med"/>
                              </a:ln>
                            </wps:spPr>
                            <wps:bodyPr/>
                          </wps:wsp>
                        </a:graphicData>
                      </a:graphic>
                    </wp:anchor>
                  </w:drawing>
                </mc:Choice>
                <mc:Fallback>
                  <w:pict>
                    <v:shape id="AutoShape 256" o:spid="_x0000_s1026" o:spt="32" type="#_x0000_t32" style="position:absolute;left:0pt;margin-left:62.55pt;margin-top:16.95pt;height:0pt;width:64.6pt;z-index:251680768;mso-width-relative:page;mso-height-relative:page;" filled="f" stroked="t" coordsize="21600,21600" o:gfxdata="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faR4D2AAAAAkBAAAPAAAAAAAAAAEAIAAAACIAAABkcnMvZG93bnJldi54bWxQSwECFAAU&#10;AAAACACHTuJA7BmjV/EBAADiAwAADgAAAAAAAAABACAAAAAnAQAAZHJzL2Uyb0RvYy54bWxQSwUG&#10;AAAAAAYABgBZAQAAigUAAAAA&#10;">
                      <v:fill on="f" focussize="0,0"/>
                      <v:stroke color="#000000" joinstyle="round" endarrow="block"/>
                      <v:imagedata o:title=""/>
                      <o:lock v:ext="edit" aspectratio="f"/>
                    </v:shape>
                  </w:pict>
                </mc:Fallback>
              </mc:AlternateContent>
            </w:r>
          </w:p>
          <w:p w14:paraId="3C9150B4">
            <w:pPr>
              <w:spacing w:line="360" w:lineRule="auto"/>
              <w:ind w:firstLine="482" w:firstLineChars="200"/>
              <w:jc w:val="left"/>
              <w:rPr>
                <w:bCs/>
                <w:sz w:val="24"/>
              </w:rPr>
            </w:pPr>
            <w:r>
              <w:rPr>
                <w:rFonts w:eastAsia="黑体"/>
                <w:b/>
                <w:iCs/>
                <w:sz w:val="24"/>
              </w:rPr>
              <mc:AlternateContent>
                <mc:Choice Requires="wps">
                  <w:drawing>
                    <wp:anchor distT="0" distB="0" distL="114300" distR="114300" simplePos="0" relativeHeight="251686912" behindDoc="0" locked="0" layoutInCell="1" allowOverlap="1">
                      <wp:simplePos x="0" y="0"/>
                      <wp:positionH relativeFrom="column">
                        <wp:posOffset>2977515</wp:posOffset>
                      </wp:positionH>
                      <wp:positionV relativeFrom="paragraph">
                        <wp:posOffset>40005</wp:posOffset>
                      </wp:positionV>
                      <wp:extent cx="393700" cy="0"/>
                      <wp:effectExtent l="9525" t="12065" r="6350" b="6985"/>
                      <wp:wrapNone/>
                      <wp:docPr id="24" name="AutoShape 262"/>
                      <wp:cNvGraphicFramePr/>
                      <a:graphic xmlns:a="http://schemas.openxmlformats.org/drawingml/2006/main">
                        <a:graphicData uri="http://schemas.microsoft.com/office/word/2010/wordprocessingShape">
                          <wps:wsp>
                            <wps:cNvCnPr>
                              <a:cxnSpLocks noChangeShapeType="1"/>
                            </wps:cNvCnPr>
                            <wps:spPr bwMode="auto">
                              <a:xfrm>
                                <a:off x="0" y="0"/>
                                <a:ext cx="393700" cy="0"/>
                              </a:xfrm>
                              <a:prstGeom prst="straightConnector1">
                                <a:avLst/>
                              </a:prstGeom>
                              <a:noFill/>
                              <a:ln w="9525">
                                <a:solidFill>
                                  <a:srgbClr val="000000"/>
                                </a:solidFill>
                                <a:prstDash val="dash"/>
                                <a:round/>
                              </a:ln>
                            </wps:spPr>
                            <wps:bodyPr/>
                          </wps:wsp>
                        </a:graphicData>
                      </a:graphic>
                    </wp:anchor>
                  </w:drawing>
                </mc:Choice>
                <mc:Fallback>
                  <w:pict>
                    <v:shape id="AutoShape 262" o:spid="_x0000_s1026" o:spt="32" type="#_x0000_t32" style="position:absolute;left:0pt;margin-left:234.45pt;margin-top:3.15pt;height:0pt;width:31pt;z-index:251686912;mso-width-relative:page;mso-height-relative:page;" filled="f" stroked="t" coordsize="21600,21600" o:gfxdata="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KhLsPjUAAAABwEAAA8A&#10;AAAAAAAAAQAgAAAAIgAAAGRycy9kb3ducmV2LnhtbFBLAQIUABQAAAAIAIdO4kANEbpc4gEAAMwD&#10;AAAOAAAAAAAAAAEAIAAAACMBAABkcnMvZTJvRG9jLnhtbFBLBQYAAAAABgAGAFkBAAB3BQAAAAA=&#10;">
                      <v:fill on="f" focussize="0,0"/>
                      <v:stroke color="#000000" joinstyle="round" dashstyle="dash"/>
                      <v:imagedata o:title=""/>
                      <o:lock v:ext="edit" aspectratio="f"/>
                    </v:shape>
                  </w:pict>
                </mc:Fallback>
              </mc:AlternateContent>
            </w:r>
          </w:p>
          <w:p w14:paraId="41FE12A8">
            <w:pPr>
              <w:spacing w:line="360" w:lineRule="auto"/>
              <w:ind w:firstLine="480" w:firstLineChars="200"/>
              <w:jc w:val="left"/>
              <w:rPr>
                <w:bCs/>
                <w:sz w:val="24"/>
              </w:rPr>
            </w:pPr>
          </w:p>
          <w:p w14:paraId="40E42ACE">
            <w:pPr>
              <w:spacing w:line="360" w:lineRule="auto"/>
              <w:ind w:firstLine="480" w:firstLineChars="200"/>
              <w:jc w:val="left"/>
              <w:rPr>
                <w:bCs/>
                <w:sz w:val="24"/>
              </w:rPr>
            </w:pPr>
            <w:r>
              <w:rPr>
                <w:bCs/>
                <w:sz w:val="24"/>
              </w:rPr>
              <mc:AlternateContent>
                <mc:Choice Requires="wps">
                  <w:drawing>
                    <wp:anchor distT="0" distB="0" distL="114300" distR="114300" simplePos="0" relativeHeight="251703296" behindDoc="0" locked="0" layoutInCell="1" allowOverlap="1">
                      <wp:simplePos x="0" y="0"/>
                      <wp:positionH relativeFrom="column">
                        <wp:posOffset>2801620</wp:posOffset>
                      </wp:positionH>
                      <wp:positionV relativeFrom="paragraph">
                        <wp:posOffset>62865</wp:posOffset>
                      </wp:positionV>
                      <wp:extent cx="1513840" cy="477520"/>
                      <wp:effectExtent l="0" t="0" r="0" b="0"/>
                      <wp:wrapNone/>
                      <wp:docPr id="57" name="Text Box 233"/>
                      <wp:cNvGraphicFramePr/>
                      <a:graphic xmlns:a="http://schemas.openxmlformats.org/drawingml/2006/main">
                        <a:graphicData uri="http://schemas.microsoft.com/office/word/2010/wordprocessingShape">
                          <wps:wsp>
                            <wps:cNvSpPr txBox="1">
                              <a:spLocks noChangeArrowheads="1"/>
                            </wps:cNvSpPr>
                            <wps:spPr bwMode="auto">
                              <a:xfrm>
                                <a:off x="0" y="0"/>
                                <a:ext cx="1513840" cy="477520"/>
                              </a:xfrm>
                              <a:prstGeom prst="rect">
                                <a:avLst/>
                              </a:prstGeom>
                              <a:solidFill>
                                <a:srgbClr val="FFFFFF">
                                  <a:alpha val="0"/>
                                </a:srgbClr>
                              </a:solidFill>
                              <a:ln>
                                <a:noFill/>
                              </a:ln>
                            </wps:spPr>
                            <wps:txbx>
                              <w:txbxContent>
                                <w:p w14:paraId="3EC5F668">
                                  <w:pPr>
                                    <w:jc w:val="center"/>
                                  </w:pPr>
                                  <w:r>
                                    <w:rPr>
                                      <w:b/>
                                      <w:bCs/>
                                    </w:rPr>
                                    <w:t>经</w:t>
                                  </w:r>
                                  <w:r>
                                    <w:rPr>
                                      <w:rFonts w:hint="eastAsia"/>
                                      <w:b/>
                                      <w:bCs/>
                                    </w:rPr>
                                    <w:t>罐车运至民权县北关镇污水处理厂</w:t>
                                  </w:r>
                                </w:p>
                              </w:txbxContent>
                            </wps:txbx>
                            <wps:bodyPr rot="0" vert="horz" wrap="square" lIns="91440" tIns="45720" rIns="91440" bIns="45720" anchor="t" anchorCtr="0" upright="1">
                              <a:noAutofit/>
                            </wps:bodyPr>
                          </wps:wsp>
                        </a:graphicData>
                      </a:graphic>
                    </wp:anchor>
                  </w:drawing>
                </mc:Choice>
                <mc:Fallback>
                  <w:pict>
                    <v:shape id="Text Box 233" o:spid="_x0000_s1026" o:spt="202" type="#_x0000_t202" style="position:absolute;left:0pt;margin-left:220.6pt;margin-top:4.95pt;height:37.6pt;width:119.2pt;z-index:251703296;mso-width-relative:page;mso-height-relative:page;" fillcolor="#FFFFFF" filled="t" stroked="f" coordsize="21600,21600" o:gfxdata="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qI6/wdgAAAAIAQAADwAAAAAAAAABACAAAAAiAAAAZHJzL2Rvd25yZXYueG1sUEsBAhQAFAAA&#10;AAgAh07iQK2OrZkoAgAAXQQAAA4AAAAAAAAAAQAgAAAAJwEAAGRycy9lMm9Eb2MueG1sUEsFBgAA&#10;AAAGAAYAWQEAAMEFAAAAAA==&#10;">
                      <v:fill on="t" opacity="0f" focussize="0,0"/>
                      <v:stroke on="f"/>
                      <v:imagedata o:title=""/>
                      <o:lock v:ext="edit" aspectratio="f"/>
                      <v:textbox>
                        <w:txbxContent>
                          <w:p w14:paraId="3EC5F668">
                            <w:pPr>
                              <w:jc w:val="center"/>
                            </w:pPr>
                            <w:r>
                              <w:rPr>
                                <w:b/>
                                <w:bCs/>
                              </w:rPr>
                              <w:t>经</w:t>
                            </w:r>
                            <w:r>
                              <w:rPr>
                                <w:rFonts w:hint="eastAsia"/>
                                <w:b/>
                                <w:bCs/>
                              </w:rPr>
                              <w:t>罐车运至民权县北关镇污水处理厂</w:t>
                            </w:r>
                          </w:p>
                        </w:txbxContent>
                      </v:textbox>
                    </v:shape>
                  </w:pict>
                </mc:Fallback>
              </mc:AlternateContent>
            </w:r>
            <w:r>
              <w:rPr>
                <w:bCs/>
                <w:sz w:val="24"/>
              </w:rPr>
              <mc:AlternateContent>
                <mc:Choice Requires="wps">
                  <w:drawing>
                    <wp:anchor distT="0" distB="0" distL="114300" distR="114300" simplePos="0" relativeHeight="251666432" behindDoc="0" locked="0" layoutInCell="1" allowOverlap="1">
                      <wp:simplePos x="0" y="0"/>
                      <wp:positionH relativeFrom="column">
                        <wp:posOffset>2339340</wp:posOffset>
                      </wp:positionH>
                      <wp:positionV relativeFrom="paragraph">
                        <wp:posOffset>78105</wp:posOffset>
                      </wp:positionV>
                      <wp:extent cx="426720" cy="243840"/>
                      <wp:effectExtent l="0" t="0" r="0" b="0"/>
                      <wp:wrapNone/>
                      <wp:docPr id="17" name="Text Box 234"/>
                      <wp:cNvGraphicFramePr/>
                      <a:graphic xmlns:a="http://schemas.openxmlformats.org/drawingml/2006/main">
                        <a:graphicData uri="http://schemas.microsoft.com/office/word/2010/wordprocessingShape">
                          <wps:wsp>
                            <wps:cNvSpPr txBox="1">
                              <a:spLocks noChangeArrowheads="1"/>
                            </wps:cNvSpPr>
                            <wps:spPr bwMode="auto">
                              <a:xfrm>
                                <a:off x="0" y="0"/>
                                <a:ext cx="426720" cy="243840"/>
                              </a:xfrm>
                              <a:prstGeom prst="rect">
                                <a:avLst/>
                              </a:prstGeom>
                              <a:solidFill>
                                <a:srgbClr val="FFFFFF">
                                  <a:alpha val="0"/>
                                </a:srgbClr>
                              </a:solidFill>
                              <a:ln>
                                <a:noFill/>
                              </a:ln>
                            </wps:spPr>
                            <wps:txbx>
                              <w:txbxContent>
                                <w:p w14:paraId="332370FE">
                                  <w:pPr>
                                    <w:rPr>
                                      <w:b/>
                                    </w:rPr>
                                  </w:pPr>
                                  <w:r>
                                    <w:rPr>
                                      <w:b/>
                                    </w:rPr>
                                    <w:t>1.6</w:t>
                                  </w:r>
                                </w:p>
                              </w:txbxContent>
                            </wps:txbx>
                            <wps:bodyPr rot="0" vert="horz" wrap="square" lIns="91440" tIns="45720" rIns="91440" bIns="45720" anchor="t" anchorCtr="0" upright="1">
                              <a:noAutofit/>
                            </wps:bodyPr>
                          </wps:wsp>
                        </a:graphicData>
                      </a:graphic>
                    </wp:anchor>
                  </w:drawing>
                </mc:Choice>
                <mc:Fallback>
                  <w:pict>
                    <v:shape id="Text Box 234" o:spid="_x0000_s1026" o:spt="202" type="#_x0000_t202" style="position:absolute;left:0pt;margin-left:184.2pt;margin-top:6.15pt;height:19.2pt;width:33.6pt;z-index:251666432;mso-width-relative:page;mso-height-relative:page;" fillcolor="#FFFFFF" filled="t" stroked="f" coordsize="21600,21600" o:gfxdata="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I8XFB/YAAAACQEAAA8AAAAAAAAAAQAgAAAAIgAAAGRycy9kb3ducmV2LnhtbFBLAQIUABQAAAAI&#10;AIdO4kC+Gkg0JgIAAFwEAAAOAAAAAAAAAAEAIAAAACcBAABkcnMvZTJvRG9jLnhtbFBLBQYAAAAA&#10;BgAGAFkBAAC/BQAAAAA=&#10;">
                      <v:fill on="t" opacity="0f" focussize="0,0"/>
                      <v:stroke on="f"/>
                      <v:imagedata o:title=""/>
                      <o:lock v:ext="edit" aspectratio="f"/>
                      <v:textbox>
                        <w:txbxContent>
                          <w:p w14:paraId="332370FE">
                            <w:pPr>
                              <w:rPr>
                                <w:b/>
                              </w:rPr>
                            </w:pPr>
                            <w:r>
                              <w:rPr>
                                <w:b/>
                              </w:rPr>
                              <w:t>1.6</w:t>
                            </w:r>
                          </w:p>
                        </w:txbxContent>
                      </v:textbox>
                    </v:shape>
                  </w:pict>
                </mc:Fallback>
              </mc:AlternateContent>
            </w:r>
          </w:p>
          <w:p w14:paraId="7A7CAEF5">
            <w:pPr>
              <w:spacing w:line="360" w:lineRule="auto"/>
              <w:ind w:firstLine="480" w:firstLineChars="200"/>
              <w:jc w:val="left"/>
              <w:rPr>
                <w:bCs/>
                <w:sz w:val="24"/>
              </w:rPr>
            </w:pPr>
          </w:p>
          <w:p w14:paraId="6F02C2DB">
            <w:pPr>
              <w:spacing w:line="360" w:lineRule="auto"/>
              <w:ind w:firstLine="480" w:firstLineChars="200"/>
              <w:jc w:val="left"/>
              <w:rPr>
                <w:bCs/>
                <w:sz w:val="24"/>
              </w:rPr>
            </w:pPr>
            <w:r>
              <w:rPr>
                <w:rFonts w:hint="eastAsia"/>
                <w:bCs/>
                <w:sz w:val="24"/>
              </w:rPr>
              <w:t>图例</w:t>
            </w:r>
            <w:r>
              <w:rPr>
                <w:bCs/>
                <w:sz w:val="24"/>
              </w:rPr>
              <w:t>：</w:t>
            </w:r>
            <w:r>
              <w:rPr>
                <w:rFonts w:hint="eastAsia"/>
                <w:bCs/>
                <w:sz w:val="24"/>
              </w:rPr>
              <w:t xml:space="preserve">          损耗</w:t>
            </w:r>
          </w:p>
          <w:p w14:paraId="6959FEA6">
            <w:pPr>
              <w:spacing w:line="360" w:lineRule="auto"/>
              <w:ind w:firstLine="480" w:firstLineChars="200"/>
              <w:jc w:val="left"/>
              <w:rPr>
                <w:sz w:val="24"/>
              </w:rPr>
            </w:pPr>
            <w:r>
              <w:rPr>
                <w:bCs/>
                <w:sz w:val="24"/>
              </w:rPr>
              <mc:AlternateContent>
                <mc:Choice Requires="wps">
                  <w:drawing>
                    <wp:anchor distT="0" distB="0" distL="114300" distR="114300" simplePos="0" relativeHeight="251663360" behindDoc="0" locked="0" layoutInCell="1" allowOverlap="1">
                      <wp:simplePos x="0" y="0"/>
                      <wp:positionH relativeFrom="column">
                        <wp:posOffset>416560</wp:posOffset>
                      </wp:positionH>
                      <wp:positionV relativeFrom="paragraph">
                        <wp:posOffset>46355</wp:posOffset>
                      </wp:positionV>
                      <wp:extent cx="4169410" cy="288925"/>
                      <wp:effectExtent l="0" t="0" r="0" b="0"/>
                      <wp:wrapNone/>
                      <wp:docPr id="41" name="文本框 875"/>
                      <wp:cNvGraphicFramePr/>
                      <a:graphic xmlns:a="http://schemas.openxmlformats.org/drawingml/2006/main">
                        <a:graphicData uri="http://schemas.microsoft.com/office/word/2010/wordprocessingShape">
                          <wps:wsp>
                            <wps:cNvSpPr txBox="1">
                              <a:spLocks noChangeArrowheads="1"/>
                            </wps:cNvSpPr>
                            <wps:spPr bwMode="auto">
                              <a:xfrm>
                                <a:off x="0" y="0"/>
                                <a:ext cx="4169410" cy="288925"/>
                              </a:xfrm>
                              <a:prstGeom prst="rect">
                                <a:avLst/>
                              </a:prstGeom>
                              <a:noFill/>
                              <a:ln>
                                <a:noFill/>
                              </a:ln>
                            </wps:spPr>
                            <wps:txbx>
                              <w:txbxContent>
                                <w:p w14:paraId="30D661B8">
                                  <w:pPr>
                                    <w:jc w:val="center"/>
                                    <w:rPr>
                                      <w:b/>
                                      <w:sz w:val="24"/>
                                    </w:rPr>
                                  </w:pPr>
                                  <w:r>
                                    <w:rPr>
                                      <w:b/>
                                      <w:sz w:val="24"/>
                                    </w:rPr>
                                    <w:t xml:space="preserve">图1      </w:t>
                                  </w:r>
                                  <w:r>
                                    <w:rPr>
                                      <w:rFonts w:hint="eastAsia"/>
                                      <w:b/>
                                      <w:sz w:val="24"/>
                                    </w:rPr>
                                    <w:t>项目</w:t>
                                  </w:r>
                                  <w:r>
                                    <w:rPr>
                                      <w:b/>
                                      <w:sz w:val="24"/>
                                    </w:rPr>
                                    <w:t>用水平衡图     单位：m</w:t>
                                  </w:r>
                                  <w:r>
                                    <w:rPr>
                                      <w:b/>
                                      <w:sz w:val="24"/>
                                      <w:vertAlign w:val="superscript"/>
                                    </w:rPr>
                                    <w:t>3</w:t>
                                  </w:r>
                                  <w:r>
                                    <w:rPr>
                                      <w:b/>
                                      <w:sz w:val="24"/>
                                    </w:rPr>
                                    <w:t>/d</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文本框 875" o:spid="_x0000_s1026" o:spt="202" type="#_x0000_t202" style="position:absolute;left:0pt;margin-left:32.8pt;margin-top:3.65pt;height:22.75pt;width:328.3pt;z-index:251663360;mso-width-relative:page;mso-height-relative:margin;mso-height-percent:200;" filled="f" stroked="f" coordsize="21600,21600" o:gfxdata="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RUBNFNUAAAAHAQAADwAA&#10;AAAAAAABACAAAAAiAAAAZHJzL2Rvd25yZXYueG1sUEsBAhQAFAAAAAgAh07iQIjn67EZAgAAGAQA&#10;AA4AAAAAAAAAAQAgAAAAJAEAAGRycy9lMm9Eb2MueG1sUEsFBgAAAAAGAAYAWQEAAK8FAAAAAA==&#10;">
                      <v:fill on="f" focussize="0,0"/>
                      <v:stroke on="f"/>
                      <v:imagedata o:title=""/>
                      <o:lock v:ext="edit" aspectratio="f"/>
                      <v:textbox style="mso-fit-shape-to-text:t;">
                        <w:txbxContent>
                          <w:p w14:paraId="30D661B8">
                            <w:pPr>
                              <w:jc w:val="center"/>
                              <w:rPr>
                                <w:b/>
                                <w:sz w:val="24"/>
                              </w:rPr>
                            </w:pPr>
                            <w:r>
                              <w:rPr>
                                <w:b/>
                                <w:sz w:val="24"/>
                              </w:rPr>
                              <w:t xml:space="preserve">图1      </w:t>
                            </w:r>
                            <w:r>
                              <w:rPr>
                                <w:rFonts w:hint="eastAsia"/>
                                <w:b/>
                                <w:sz w:val="24"/>
                              </w:rPr>
                              <w:t>项目</w:t>
                            </w:r>
                            <w:r>
                              <w:rPr>
                                <w:b/>
                                <w:sz w:val="24"/>
                              </w:rPr>
                              <w:t>用水平衡图     单位：m</w:t>
                            </w:r>
                            <w:r>
                              <w:rPr>
                                <w:b/>
                                <w:sz w:val="24"/>
                                <w:vertAlign w:val="superscript"/>
                              </w:rPr>
                              <w:t>3</w:t>
                            </w:r>
                            <w:r>
                              <w:rPr>
                                <w:b/>
                                <w:sz w:val="24"/>
                              </w:rPr>
                              <w:t>/d</w:t>
                            </w:r>
                          </w:p>
                        </w:txbxContent>
                      </v:textbox>
                    </v:shape>
                  </w:pict>
                </mc:Fallback>
              </mc:AlternateContent>
            </w:r>
          </w:p>
          <w:p w14:paraId="759AFC3B">
            <w:pPr>
              <w:spacing w:line="360" w:lineRule="auto"/>
              <w:ind w:firstLine="480" w:firstLineChars="200"/>
              <w:jc w:val="left"/>
              <w:rPr>
                <w:sz w:val="24"/>
              </w:rPr>
            </w:pPr>
          </w:p>
          <w:p w14:paraId="00FD7472">
            <w:pPr>
              <w:spacing w:line="360" w:lineRule="auto"/>
              <w:ind w:firstLine="480" w:firstLineChars="200"/>
              <w:jc w:val="left"/>
              <w:rPr>
                <w:bCs/>
                <w:sz w:val="24"/>
              </w:rPr>
            </w:pPr>
            <w:r>
              <w:rPr>
                <w:rFonts w:hint="eastAsia"/>
                <w:sz w:val="24"/>
              </w:rPr>
              <w:t>（</w:t>
            </w:r>
            <w:r>
              <w:rPr>
                <w:sz w:val="24"/>
              </w:rPr>
              <w:t>2</w:t>
            </w:r>
            <w:r>
              <w:rPr>
                <w:rFonts w:hint="eastAsia"/>
                <w:sz w:val="24"/>
              </w:rPr>
              <w:t>）供电</w:t>
            </w:r>
          </w:p>
          <w:p w14:paraId="733EF180">
            <w:pPr>
              <w:spacing w:line="360" w:lineRule="auto"/>
              <w:ind w:firstLine="464" w:firstLineChars="200"/>
              <w:jc w:val="left"/>
              <w:rPr>
                <w:bCs/>
                <w:sz w:val="24"/>
              </w:rPr>
            </w:pPr>
            <w:r>
              <w:rPr>
                <w:rFonts w:hint="eastAsia"/>
                <w:bCs/>
                <w:spacing w:val="-4"/>
                <w:sz w:val="24"/>
              </w:rPr>
              <w:t>本项目用电量约为</w:t>
            </w:r>
            <w:r>
              <w:rPr>
                <w:bCs/>
                <w:spacing w:val="-4"/>
                <w:sz w:val="24"/>
              </w:rPr>
              <w:t>50</w:t>
            </w:r>
            <w:r>
              <w:rPr>
                <w:rFonts w:hint="eastAsia"/>
                <w:bCs/>
                <w:spacing w:val="-4"/>
                <w:sz w:val="24"/>
              </w:rPr>
              <w:t>万</w:t>
            </w:r>
            <w:r>
              <w:rPr>
                <w:bCs/>
                <w:spacing w:val="-4"/>
                <w:sz w:val="24"/>
              </w:rPr>
              <w:t>kw·h/a</w:t>
            </w:r>
            <w:r>
              <w:rPr>
                <w:rFonts w:hint="eastAsia"/>
                <w:bCs/>
                <w:spacing w:val="-4"/>
                <w:sz w:val="24"/>
              </w:rPr>
              <w:t>，</w:t>
            </w:r>
            <w:r>
              <w:rPr>
                <w:rFonts w:hint="eastAsia"/>
                <w:bCs/>
                <w:sz w:val="24"/>
              </w:rPr>
              <w:t>由民权县北关镇电网供给，可以满足要求。</w:t>
            </w:r>
          </w:p>
          <w:p w14:paraId="249AEFC6">
            <w:pPr>
              <w:spacing w:line="360" w:lineRule="auto"/>
              <w:ind w:firstLine="482" w:firstLineChars="200"/>
              <w:jc w:val="left"/>
              <w:rPr>
                <w:b/>
                <w:iCs/>
                <w:sz w:val="24"/>
              </w:rPr>
            </w:pPr>
            <w:r>
              <w:rPr>
                <w:rFonts w:hint="eastAsia"/>
                <w:b/>
                <w:iCs/>
                <w:sz w:val="24"/>
              </w:rPr>
              <w:t>7、劳动人员及工作制度</w:t>
            </w:r>
          </w:p>
          <w:p w14:paraId="2B9E57B1">
            <w:pPr>
              <w:spacing w:line="360" w:lineRule="auto"/>
              <w:ind w:firstLine="480" w:firstLineChars="200"/>
              <w:jc w:val="left"/>
              <w:rPr>
                <w:bCs/>
                <w:sz w:val="24"/>
              </w:rPr>
            </w:pPr>
            <w:r>
              <w:rPr>
                <w:rFonts w:hint="eastAsia"/>
                <w:bCs/>
                <w:sz w:val="24"/>
              </w:rPr>
              <w:t>本项目劳动定员为</w:t>
            </w:r>
            <w:r>
              <w:rPr>
                <w:bCs/>
                <w:sz w:val="24"/>
              </w:rPr>
              <w:t>5</w:t>
            </w:r>
            <w:r>
              <w:rPr>
                <w:rFonts w:hint="eastAsia"/>
                <w:bCs/>
                <w:sz w:val="24"/>
              </w:rPr>
              <w:t>0人，厂内不提供食宿，实行单班制，每班工作时间为8h，年工作日300d。</w:t>
            </w:r>
          </w:p>
          <w:p w14:paraId="1FAB9312">
            <w:pPr>
              <w:adjustRightInd w:val="0"/>
              <w:snapToGrid w:val="0"/>
              <w:spacing w:line="360" w:lineRule="auto"/>
              <w:ind w:firstLine="482" w:firstLineChars="200"/>
              <w:rPr>
                <w:b/>
                <w:sz w:val="24"/>
              </w:rPr>
            </w:pPr>
            <w:r>
              <w:rPr>
                <w:rFonts w:hint="eastAsia"/>
                <w:b/>
                <w:sz w:val="24"/>
              </w:rPr>
              <w:t>8、</w:t>
            </w:r>
            <w:r>
              <w:rPr>
                <w:b/>
                <w:iCs/>
                <w:sz w:val="24"/>
              </w:rPr>
              <w:t>平面布置</w:t>
            </w:r>
          </w:p>
          <w:p w14:paraId="2E21F2DF">
            <w:pPr>
              <w:adjustRightInd w:val="0"/>
              <w:snapToGrid w:val="0"/>
              <w:spacing w:line="360" w:lineRule="auto"/>
              <w:ind w:firstLine="480" w:firstLineChars="200"/>
              <w:rPr>
                <w:iCs/>
                <w:sz w:val="24"/>
              </w:rPr>
            </w:pPr>
            <w:r>
              <w:rPr>
                <w:rFonts w:hint="eastAsia"/>
                <w:sz w:val="24"/>
              </w:rPr>
              <w:t>项目位于河南省商丘市民权县北关镇周翟庄村北民荷路东侧18号</w:t>
            </w:r>
            <w:r>
              <w:rPr>
                <w:rFonts w:hint="eastAsia"/>
                <w:bCs/>
                <w:kern w:val="0"/>
                <w:sz w:val="24"/>
              </w:rPr>
              <w:t>，</w:t>
            </w:r>
            <w:r>
              <w:rPr>
                <w:rFonts w:hint="eastAsia"/>
                <w:sz w:val="24"/>
              </w:rPr>
              <w:t>新建生产</w:t>
            </w:r>
            <w:r>
              <w:rPr>
                <w:sz w:val="24"/>
              </w:rPr>
              <w:t>车间</w:t>
            </w:r>
            <w:r>
              <w:rPr>
                <w:rFonts w:hint="eastAsia"/>
                <w:sz w:val="24"/>
              </w:rPr>
              <w:t>建设生产</w:t>
            </w:r>
            <w:r>
              <w:rPr>
                <w:rFonts w:hint="eastAsia"/>
                <w:bCs/>
                <w:sz w:val="24"/>
              </w:rPr>
              <w:t>。</w:t>
            </w:r>
            <w:r>
              <w:rPr>
                <w:rFonts w:hint="eastAsia"/>
                <w:iCs/>
                <w:sz w:val="24"/>
              </w:rPr>
              <w:t>本项目根据“分区合理、工艺流畅、物流短捷”的原则，结合场地的用地条件和服务流程需要，车间建设严格按规范进行，并满足工艺流程需要，平面布置力求功能分区合理。</w:t>
            </w:r>
          </w:p>
          <w:p w14:paraId="77E0FACA">
            <w:pPr>
              <w:adjustRightInd w:val="0"/>
              <w:snapToGrid w:val="0"/>
              <w:spacing w:line="360" w:lineRule="auto"/>
              <w:ind w:firstLine="472" w:firstLineChars="197"/>
              <w:jc w:val="left"/>
              <w:rPr>
                <w:iCs/>
                <w:sz w:val="24"/>
              </w:rPr>
            </w:pPr>
            <w:r>
              <w:rPr>
                <w:rFonts w:hint="eastAsia"/>
                <w:iCs/>
                <w:sz w:val="24"/>
              </w:rPr>
              <w:t>项目设置</w:t>
            </w:r>
            <w:r>
              <w:rPr>
                <w:iCs/>
                <w:sz w:val="24"/>
              </w:rPr>
              <w:t>2</w:t>
            </w:r>
            <w:r>
              <w:rPr>
                <w:rFonts w:hint="eastAsia"/>
                <w:iCs/>
                <w:sz w:val="24"/>
              </w:rPr>
              <w:t>个出入口，位于车间西侧，职工办公区位于车间西南侧。生产车间北侧从</w:t>
            </w:r>
            <w:r>
              <w:rPr>
                <w:iCs/>
                <w:sz w:val="24"/>
              </w:rPr>
              <w:t>西往东布置有原料烘干间</w:t>
            </w:r>
            <w:r>
              <w:rPr>
                <w:rFonts w:hint="eastAsia"/>
                <w:iCs/>
                <w:sz w:val="24"/>
              </w:rPr>
              <w:t>、</w:t>
            </w:r>
            <w:r>
              <w:rPr>
                <w:iCs/>
                <w:sz w:val="24"/>
              </w:rPr>
              <w:t>拉丝机、包丝机</w:t>
            </w:r>
            <w:r>
              <w:rPr>
                <w:rFonts w:hint="eastAsia"/>
                <w:iCs/>
                <w:sz w:val="24"/>
              </w:rPr>
              <w:t>，</w:t>
            </w:r>
            <w:r>
              <w:rPr>
                <w:iCs/>
                <w:sz w:val="24"/>
              </w:rPr>
              <w:t>车间东侧布置洗丝间，车间南侧从西往东布置有</w:t>
            </w:r>
            <w:r>
              <w:rPr>
                <w:rFonts w:hint="eastAsia"/>
                <w:iCs/>
                <w:sz w:val="24"/>
              </w:rPr>
              <w:t>仓库</w:t>
            </w:r>
            <w:r>
              <w:rPr>
                <w:iCs/>
                <w:sz w:val="24"/>
              </w:rPr>
              <w:t>（</w:t>
            </w:r>
            <w:r>
              <w:rPr>
                <w:rFonts w:hint="eastAsia"/>
                <w:iCs/>
                <w:sz w:val="24"/>
              </w:rPr>
              <w:t>成品</w:t>
            </w:r>
            <w:r>
              <w:rPr>
                <w:iCs/>
                <w:sz w:val="24"/>
              </w:rPr>
              <w:t>和原料</w:t>
            </w:r>
            <w:r>
              <w:rPr>
                <w:rFonts w:hint="eastAsia"/>
                <w:iCs/>
                <w:sz w:val="24"/>
              </w:rPr>
              <w:t>暂存</w:t>
            </w:r>
            <w:r>
              <w:rPr>
                <w:iCs/>
                <w:sz w:val="24"/>
              </w:rPr>
              <w:t>）</w:t>
            </w:r>
            <w:r>
              <w:rPr>
                <w:rFonts w:hint="eastAsia"/>
                <w:iCs/>
                <w:sz w:val="24"/>
              </w:rPr>
              <w:t>、</w:t>
            </w:r>
            <w:r>
              <w:rPr>
                <w:iCs/>
                <w:sz w:val="24"/>
              </w:rPr>
              <w:t>理丝间、晾丝间</w:t>
            </w:r>
            <w:r>
              <w:rPr>
                <w:rFonts w:hint="eastAsia"/>
                <w:iCs/>
                <w:sz w:val="24"/>
              </w:rPr>
              <w:t>，各生产区域互不交叉，</w:t>
            </w:r>
            <w:r>
              <w:rPr>
                <w:rFonts w:hint="eastAsia"/>
                <w:sz w:val="24"/>
              </w:rPr>
              <w:t>且生产工艺较为流畅。</w:t>
            </w:r>
          </w:p>
          <w:p w14:paraId="712C549D">
            <w:pPr>
              <w:adjustRightInd w:val="0"/>
              <w:snapToGrid w:val="0"/>
              <w:spacing w:line="360" w:lineRule="auto"/>
              <w:ind w:firstLine="472" w:firstLineChars="197"/>
              <w:jc w:val="left"/>
              <w:rPr>
                <w:iCs/>
                <w:sz w:val="24"/>
              </w:rPr>
            </w:pPr>
            <w:r>
              <w:rPr>
                <w:rFonts w:hint="eastAsia"/>
                <w:bCs/>
                <w:sz w:val="24"/>
              </w:rPr>
              <w:t>项目平面布置充分利用空间，具有功能分区明确，各级措施衔接紧凑的特点，布置相对合理，厂区平面布置见附图四。</w:t>
            </w:r>
          </w:p>
          <w:p w14:paraId="67875F8E">
            <w:pPr>
              <w:spacing w:line="360" w:lineRule="auto"/>
              <w:ind w:firstLine="482" w:firstLineChars="200"/>
              <w:rPr>
                <w:b/>
                <w:iCs/>
                <w:sz w:val="24"/>
                <w:u w:val="single"/>
              </w:rPr>
            </w:pPr>
            <w:r>
              <w:rPr>
                <w:rFonts w:hint="eastAsia"/>
                <w:b/>
                <w:iCs/>
                <w:sz w:val="24"/>
                <w:u w:val="single"/>
              </w:rPr>
              <w:t>9</w:t>
            </w:r>
            <w:r>
              <w:rPr>
                <w:rFonts w:hAnsi="宋体"/>
                <w:b/>
                <w:iCs/>
                <w:sz w:val="24"/>
                <w:u w:val="single"/>
              </w:rPr>
              <w:t>、与备案相符性分析</w:t>
            </w:r>
          </w:p>
          <w:p w14:paraId="7625E7EE">
            <w:pPr>
              <w:spacing w:line="360" w:lineRule="auto"/>
              <w:ind w:firstLine="442"/>
              <w:jc w:val="left"/>
              <w:rPr>
                <w:b/>
                <w:sz w:val="24"/>
                <w:u w:val="single"/>
              </w:rPr>
            </w:pPr>
            <w:r>
              <w:rPr>
                <w:rFonts w:hint="eastAsia"/>
                <w:b/>
                <w:bCs/>
                <w:sz w:val="24"/>
                <w:u w:val="single"/>
              </w:rPr>
              <w:t>本项目建设内容与发改委备案相符性分析见表11。</w:t>
            </w:r>
          </w:p>
          <w:p w14:paraId="3CC7A41C">
            <w:pPr>
              <w:jc w:val="center"/>
              <w:rPr>
                <w:rFonts w:hAnsi="黑体" w:eastAsia="黑体"/>
                <w:b/>
                <w:bCs/>
                <w:sz w:val="24"/>
                <w:u w:val="single"/>
              </w:rPr>
            </w:pPr>
            <w:r>
              <w:rPr>
                <w:rFonts w:hint="eastAsia" w:hAnsi="黑体"/>
                <w:b/>
                <w:sz w:val="24"/>
                <w:u w:val="single"/>
              </w:rPr>
              <w:t>表11   项目建设内容与发改委备案相符性分析一览表</w:t>
            </w:r>
          </w:p>
          <w:tbl>
            <w:tblPr>
              <w:tblStyle w:val="29"/>
              <w:tblW w:w="85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49"/>
              <w:gridCol w:w="3019"/>
              <w:gridCol w:w="3222"/>
              <w:gridCol w:w="1409"/>
            </w:tblGrid>
            <w:tr w14:paraId="5E718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52" w:type="pct"/>
                  <w:tcBorders>
                    <w:top w:val="single" w:color="auto" w:sz="4" w:space="0"/>
                    <w:left w:val="single" w:color="auto" w:sz="4" w:space="0"/>
                    <w:bottom w:val="single" w:color="auto" w:sz="4" w:space="0"/>
                    <w:right w:val="single" w:color="auto" w:sz="4" w:space="0"/>
                  </w:tcBorders>
                  <w:vAlign w:val="center"/>
                </w:tcPr>
                <w:p w14:paraId="5EE7B07E">
                  <w:pPr>
                    <w:snapToGrid w:val="0"/>
                    <w:jc w:val="center"/>
                    <w:rPr>
                      <w:bCs/>
                      <w:color w:val="000000"/>
                      <w:szCs w:val="21"/>
                    </w:rPr>
                  </w:pPr>
                  <w:r>
                    <w:rPr>
                      <w:rFonts w:hint="eastAsia" w:hAnsi="宋体"/>
                      <w:color w:val="000000"/>
                      <w:szCs w:val="21"/>
                    </w:rPr>
                    <w:t>名称</w:t>
                  </w:r>
                </w:p>
              </w:tc>
              <w:tc>
                <w:tcPr>
                  <w:tcW w:w="1755" w:type="pct"/>
                  <w:tcBorders>
                    <w:top w:val="single" w:color="auto" w:sz="4" w:space="0"/>
                    <w:left w:val="single" w:color="auto" w:sz="4" w:space="0"/>
                    <w:bottom w:val="single" w:color="auto" w:sz="4" w:space="0"/>
                    <w:right w:val="single" w:color="auto" w:sz="4" w:space="0"/>
                  </w:tcBorders>
                  <w:vAlign w:val="center"/>
                </w:tcPr>
                <w:p w14:paraId="6E8AE378">
                  <w:pPr>
                    <w:snapToGrid w:val="0"/>
                    <w:jc w:val="center"/>
                    <w:rPr>
                      <w:bCs/>
                      <w:color w:val="000000"/>
                      <w:szCs w:val="21"/>
                    </w:rPr>
                  </w:pPr>
                  <w:r>
                    <w:rPr>
                      <w:rFonts w:hint="eastAsia" w:hAnsi="宋体"/>
                      <w:color w:val="000000"/>
                      <w:szCs w:val="21"/>
                    </w:rPr>
                    <w:t>备案内容</w:t>
                  </w:r>
                </w:p>
              </w:tc>
              <w:tc>
                <w:tcPr>
                  <w:tcW w:w="1873" w:type="pct"/>
                  <w:tcBorders>
                    <w:top w:val="single" w:color="auto" w:sz="4" w:space="0"/>
                    <w:left w:val="single" w:color="auto" w:sz="4" w:space="0"/>
                    <w:bottom w:val="single" w:color="auto" w:sz="4" w:space="0"/>
                    <w:right w:val="single" w:color="auto" w:sz="4" w:space="0"/>
                  </w:tcBorders>
                  <w:vAlign w:val="center"/>
                </w:tcPr>
                <w:p w14:paraId="19ADFC3E">
                  <w:pPr>
                    <w:snapToGrid w:val="0"/>
                    <w:jc w:val="center"/>
                    <w:rPr>
                      <w:bCs/>
                      <w:color w:val="000000"/>
                      <w:szCs w:val="21"/>
                    </w:rPr>
                  </w:pPr>
                  <w:r>
                    <w:rPr>
                      <w:rFonts w:hint="eastAsia" w:hAnsi="宋体"/>
                      <w:color w:val="000000"/>
                      <w:szCs w:val="21"/>
                    </w:rPr>
                    <w:t>项目建设内容</w:t>
                  </w:r>
                </w:p>
              </w:tc>
              <w:tc>
                <w:tcPr>
                  <w:tcW w:w="819" w:type="pct"/>
                  <w:tcBorders>
                    <w:top w:val="single" w:color="auto" w:sz="4" w:space="0"/>
                    <w:left w:val="single" w:color="auto" w:sz="4" w:space="0"/>
                    <w:bottom w:val="single" w:color="auto" w:sz="4" w:space="0"/>
                    <w:right w:val="single" w:color="auto" w:sz="4" w:space="0"/>
                  </w:tcBorders>
                  <w:vAlign w:val="center"/>
                </w:tcPr>
                <w:p w14:paraId="6F6CC1D4">
                  <w:pPr>
                    <w:snapToGrid w:val="0"/>
                    <w:jc w:val="center"/>
                    <w:rPr>
                      <w:bCs/>
                      <w:color w:val="000000"/>
                      <w:szCs w:val="21"/>
                    </w:rPr>
                  </w:pPr>
                  <w:r>
                    <w:rPr>
                      <w:rFonts w:hint="eastAsia" w:hAnsi="宋体"/>
                      <w:color w:val="000000"/>
                      <w:szCs w:val="21"/>
                    </w:rPr>
                    <w:t>相符性</w:t>
                  </w:r>
                </w:p>
              </w:tc>
            </w:tr>
            <w:tr w14:paraId="28C6F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52" w:type="pct"/>
                  <w:tcBorders>
                    <w:top w:val="single" w:color="auto" w:sz="4" w:space="0"/>
                    <w:left w:val="single" w:color="auto" w:sz="4" w:space="0"/>
                    <w:bottom w:val="single" w:color="auto" w:sz="4" w:space="0"/>
                    <w:right w:val="single" w:color="auto" w:sz="4" w:space="0"/>
                  </w:tcBorders>
                  <w:vAlign w:val="center"/>
                </w:tcPr>
                <w:p w14:paraId="13AAA491">
                  <w:pPr>
                    <w:snapToGrid w:val="0"/>
                    <w:jc w:val="center"/>
                    <w:rPr>
                      <w:bCs/>
                      <w:color w:val="000000"/>
                      <w:szCs w:val="21"/>
                    </w:rPr>
                  </w:pPr>
                  <w:r>
                    <w:rPr>
                      <w:rFonts w:hint="eastAsia"/>
                      <w:color w:val="000000"/>
                      <w:szCs w:val="21"/>
                    </w:rPr>
                    <w:t>项目名称</w:t>
                  </w:r>
                </w:p>
              </w:tc>
              <w:tc>
                <w:tcPr>
                  <w:tcW w:w="1755" w:type="pct"/>
                  <w:tcBorders>
                    <w:top w:val="single" w:color="auto" w:sz="4" w:space="0"/>
                    <w:left w:val="single" w:color="auto" w:sz="4" w:space="0"/>
                    <w:bottom w:val="single" w:color="auto" w:sz="4" w:space="0"/>
                    <w:right w:val="single" w:color="auto" w:sz="4" w:space="0"/>
                  </w:tcBorders>
                  <w:vAlign w:val="center"/>
                </w:tcPr>
                <w:p w14:paraId="4D69E766">
                  <w:pPr>
                    <w:wordWrap w:val="0"/>
                    <w:autoSpaceDE w:val="0"/>
                    <w:autoSpaceDN w:val="0"/>
                    <w:snapToGrid w:val="0"/>
                    <w:jc w:val="center"/>
                    <w:rPr>
                      <w:bCs/>
                      <w:color w:val="000000"/>
                      <w:szCs w:val="21"/>
                    </w:rPr>
                  </w:pPr>
                  <w:r>
                    <w:rPr>
                      <w:rFonts w:hint="eastAsia"/>
                      <w:bCs/>
                      <w:color w:val="000000"/>
                      <w:szCs w:val="21"/>
                    </w:rPr>
                    <w:t>河南毛旺尼龙纤维科技有限公司年产5000吨牙刷丝建设项目</w:t>
                  </w:r>
                </w:p>
              </w:tc>
              <w:tc>
                <w:tcPr>
                  <w:tcW w:w="1873" w:type="pct"/>
                  <w:tcBorders>
                    <w:top w:val="single" w:color="auto" w:sz="4" w:space="0"/>
                    <w:left w:val="single" w:color="auto" w:sz="4" w:space="0"/>
                    <w:bottom w:val="single" w:color="auto" w:sz="4" w:space="0"/>
                    <w:right w:val="single" w:color="auto" w:sz="4" w:space="0"/>
                  </w:tcBorders>
                  <w:vAlign w:val="center"/>
                </w:tcPr>
                <w:p w14:paraId="3C4BD08C">
                  <w:pPr>
                    <w:snapToGrid w:val="0"/>
                    <w:jc w:val="center"/>
                    <w:rPr>
                      <w:bCs/>
                      <w:color w:val="000000"/>
                      <w:szCs w:val="21"/>
                    </w:rPr>
                  </w:pPr>
                  <w:r>
                    <w:rPr>
                      <w:rFonts w:hint="eastAsia"/>
                      <w:bCs/>
                      <w:color w:val="000000"/>
                      <w:szCs w:val="21"/>
                    </w:rPr>
                    <w:t>河南毛旺尼龙纤维科技有限公司年产5000吨牙刷丝建设项目</w:t>
                  </w:r>
                </w:p>
              </w:tc>
              <w:tc>
                <w:tcPr>
                  <w:tcW w:w="819" w:type="pct"/>
                  <w:tcBorders>
                    <w:top w:val="single" w:color="auto" w:sz="4" w:space="0"/>
                    <w:left w:val="single" w:color="auto" w:sz="4" w:space="0"/>
                    <w:bottom w:val="single" w:color="auto" w:sz="4" w:space="0"/>
                    <w:right w:val="single" w:color="auto" w:sz="4" w:space="0"/>
                  </w:tcBorders>
                  <w:vAlign w:val="center"/>
                </w:tcPr>
                <w:p w14:paraId="1AB865C1">
                  <w:pPr>
                    <w:snapToGrid w:val="0"/>
                    <w:jc w:val="center"/>
                    <w:rPr>
                      <w:bCs/>
                      <w:color w:val="000000"/>
                      <w:szCs w:val="21"/>
                    </w:rPr>
                  </w:pPr>
                  <w:r>
                    <w:rPr>
                      <w:rFonts w:hint="eastAsia"/>
                      <w:color w:val="000000"/>
                      <w:szCs w:val="21"/>
                    </w:rPr>
                    <w:t>相符</w:t>
                  </w:r>
                </w:p>
              </w:tc>
            </w:tr>
            <w:tr w14:paraId="0C087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52" w:type="pct"/>
                  <w:tcBorders>
                    <w:top w:val="single" w:color="auto" w:sz="4" w:space="0"/>
                    <w:left w:val="single" w:color="auto" w:sz="4" w:space="0"/>
                    <w:bottom w:val="single" w:color="auto" w:sz="4" w:space="0"/>
                    <w:right w:val="single" w:color="auto" w:sz="4" w:space="0"/>
                  </w:tcBorders>
                  <w:vAlign w:val="center"/>
                </w:tcPr>
                <w:p w14:paraId="5178A873">
                  <w:pPr>
                    <w:snapToGrid w:val="0"/>
                    <w:jc w:val="center"/>
                    <w:rPr>
                      <w:bCs/>
                      <w:color w:val="000000"/>
                      <w:szCs w:val="21"/>
                    </w:rPr>
                  </w:pPr>
                  <w:r>
                    <w:rPr>
                      <w:rFonts w:hint="eastAsia"/>
                      <w:color w:val="000000"/>
                      <w:szCs w:val="21"/>
                    </w:rPr>
                    <w:t>建设单位</w:t>
                  </w:r>
                </w:p>
              </w:tc>
              <w:tc>
                <w:tcPr>
                  <w:tcW w:w="1755" w:type="pct"/>
                  <w:tcBorders>
                    <w:top w:val="single" w:color="auto" w:sz="4" w:space="0"/>
                    <w:left w:val="single" w:color="auto" w:sz="4" w:space="0"/>
                    <w:bottom w:val="single" w:color="auto" w:sz="4" w:space="0"/>
                    <w:right w:val="single" w:color="auto" w:sz="4" w:space="0"/>
                  </w:tcBorders>
                  <w:vAlign w:val="center"/>
                </w:tcPr>
                <w:p w14:paraId="65E9A924">
                  <w:pPr>
                    <w:snapToGrid w:val="0"/>
                    <w:jc w:val="center"/>
                    <w:rPr>
                      <w:bCs/>
                      <w:color w:val="000000"/>
                      <w:szCs w:val="21"/>
                    </w:rPr>
                  </w:pPr>
                  <w:r>
                    <w:rPr>
                      <w:rFonts w:hint="eastAsia"/>
                      <w:bCs/>
                      <w:color w:val="000000"/>
                      <w:szCs w:val="21"/>
                    </w:rPr>
                    <w:t>河南毛旺尼龙纤维科技有限公司</w:t>
                  </w:r>
                </w:p>
              </w:tc>
              <w:tc>
                <w:tcPr>
                  <w:tcW w:w="1873" w:type="pct"/>
                  <w:tcBorders>
                    <w:top w:val="single" w:color="auto" w:sz="4" w:space="0"/>
                    <w:left w:val="single" w:color="auto" w:sz="4" w:space="0"/>
                    <w:bottom w:val="single" w:color="auto" w:sz="4" w:space="0"/>
                    <w:right w:val="single" w:color="auto" w:sz="4" w:space="0"/>
                  </w:tcBorders>
                  <w:vAlign w:val="center"/>
                </w:tcPr>
                <w:p w14:paraId="1640DAA2">
                  <w:pPr>
                    <w:snapToGrid w:val="0"/>
                    <w:jc w:val="center"/>
                    <w:rPr>
                      <w:bCs/>
                      <w:color w:val="000000"/>
                      <w:szCs w:val="21"/>
                    </w:rPr>
                  </w:pPr>
                  <w:r>
                    <w:rPr>
                      <w:rFonts w:hint="eastAsia"/>
                      <w:bCs/>
                      <w:color w:val="000000"/>
                      <w:szCs w:val="21"/>
                    </w:rPr>
                    <w:t>河南毛旺尼龙纤维科技有限公司</w:t>
                  </w:r>
                </w:p>
              </w:tc>
              <w:tc>
                <w:tcPr>
                  <w:tcW w:w="819" w:type="pct"/>
                  <w:tcBorders>
                    <w:top w:val="single" w:color="auto" w:sz="4" w:space="0"/>
                    <w:left w:val="single" w:color="auto" w:sz="4" w:space="0"/>
                    <w:bottom w:val="single" w:color="auto" w:sz="4" w:space="0"/>
                    <w:right w:val="single" w:color="auto" w:sz="4" w:space="0"/>
                  </w:tcBorders>
                  <w:vAlign w:val="center"/>
                </w:tcPr>
                <w:p w14:paraId="2D98FC79">
                  <w:pPr>
                    <w:snapToGrid w:val="0"/>
                    <w:jc w:val="center"/>
                    <w:rPr>
                      <w:bCs/>
                      <w:color w:val="000000"/>
                      <w:szCs w:val="21"/>
                    </w:rPr>
                  </w:pPr>
                  <w:r>
                    <w:rPr>
                      <w:rFonts w:hint="eastAsia"/>
                      <w:color w:val="000000"/>
                      <w:szCs w:val="21"/>
                    </w:rPr>
                    <w:t>相符</w:t>
                  </w:r>
                </w:p>
              </w:tc>
            </w:tr>
            <w:tr w14:paraId="70584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52" w:type="pct"/>
                  <w:tcBorders>
                    <w:top w:val="single" w:color="auto" w:sz="4" w:space="0"/>
                    <w:left w:val="single" w:color="auto" w:sz="4" w:space="0"/>
                    <w:bottom w:val="single" w:color="auto" w:sz="4" w:space="0"/>
                    <w:right w:val="single" w:color="auto" w:sz="4" w:space="0"/>
                  </w:tcBorders>
                  <w:vAlign w:val="center"/>
                </w:tcPr>
                <w:p w14:paraId="4E3A98DA">
                  <w:pPr>
                    <w:snapToGrid w:val="0"/>
                    <w:jc w:val="center"/>
                    <w:rPr>
                      <w:bCs/>
                      <w:color w:val="000000"/>
                      <w:szCs w:val="21"/>
                    </w:rPr>
                  </w:pPr>
                  <w:r>
                    <w:rPr>
                      <w:rFonts w:hint="eastAsia"/>
                      <w:color w:val="000000"/>
                      <w:szCs w:val="21"/>
                    </w:rPr>
                    <w:t>建设地点</w:t>
                  </w:r>
                </w:p>
              </w:tc>
              <w:tc>
                <w:tcPr>
                  <w:tcW w:w="1755" w:type="pct"/>
                  <w:tcBorders>
                    <w:top w:val="single" w:color="auto" w:sz="4" w:space="0"/>
                    <w:left w:val="single" w:color="auto" w:sz="4" w:space="0"/>
                    <w:bottom w:val="single" w:color="auto" w:sz="4" w:space="0"/>
                    <w:right w:val="single" w:color="auto" w:sz="4" w:space="0"/>
                  </w:tcBorders>
                  <w:vAlign w:val="center"/>
                </w:tcPr>
                <w:p w14:paraId="6C41A754">
                  <w:pPr>
                    <w:snapToGrid w:val="0"/>
                    <w:jc w:val="center"/>
                    <w:rPr>
                      <w:bCs/>
                      <w:color w:val="000000"/>
                      <w:szCs w:val="21"/>
                    </w:rPr>
                  </w:pPr>
                  <w:r>
                    <w:rPr>
                      <w:rFonts w:hint="eastAsia"/>
                      <w:szCs w:val="21"/>
                    </w:rPr>
                    <w:t>河南省商丘市民权县北关镇周翟庄村北民荷路东侧18号</w:t>
                  </w:r>
                </w:p>
              </w:tc>
              <w:tc>
                <w:tcPr>
                  <w:tcW w:w="1873" w:type="pct"/>
                  <w:tcBorders>
                    <w:top w:val="single" w:color="auto" w:sz="4" w:space="0"/>
                    <w:left w:val="single" w:color="auto" w:sz="4" w:space="0"/>
                    <w:bottom w:val="single" w:color="auto" w:sz="4" w:space="0"/>
                    <w:right w:val="single" w:color="auto" w:sz="4" w:space="0"/>
                  </w:tcBorders>
                  <w:vAlign w:val="center"/>
                </w:tcPr>
                <w:p w14:paraId="0CFCB00F">
                  <w:pPr>
                    <w:snapToGrid w:val="0"/>
                    <w:jc w:val="center"/>
                    <w:rPr>
                      <w:bCs/>
                      <w:color w:val="000000"/>
                      <w:szCs w:val="21"/>
                    </w:rPr>
                  </w:pPr>
                  <w:r>
                    <w:rPr>
                      <w:rFonts w:hint="eastAsia"/>
                      <w:szCs w:val="21"/>
                    </w:rPr>
                    <w:t>河南省商丘市民权县北关镇周翟庄村北民荷路东侧18号</w:t>
                  </w:r>
                </w:p>
              </w:tc>
              <w:tc>
                <w:tcPr>
                  <w:tcW w:w="819" w:type="pct"/>
                  <w:tcBorders>
                    <w:top w:val="single" w:color="auto" w:sz="4" w:space="0"/>
                    <w:left w:val="single" w:color="auto" w:sz="4" w:space="0"/>
                    <w:bottom w:val="single" w:color="auto" w:sz="4" w:space="0"/>
                    <w:right w:val="single" w:color="auto" w:sz="4" w:space="0"/>
                  </w:tcBorders>
                  <w:vAlign w:val="center"/>
                </w:tcPr>
                <w:p w14:paraId="002BC824">
                  <w:pPr>
                    <w:snapToGrid w:val="0"/>
                    <w:jc w:val="center"/>
                    <w:rPr>
                      <w:bCs/>
                      <w:color w:val="000000"/>
                      <w:szCs w:val="21"/>
                    </w:rPr>
                  </w:pPr>
                  <w:r>
                    <w:rPr>
                      <w:rFonts w:hint="eastAsia"/>
                      <w:color w:val="000000"/>
                      <w:szCs w:val="21"/>
                    </w:rPr>
                    <w:t>相符</w:t>
                  </w:r>
                </w:p>
              </w:tc>
            </w:tr>
            <w:tr w14:paraId="37E52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52" w:type="pct"/>
                  <w:tcBorders>
                    <w:top w:val="single" w:color="auto" w:sz="4" w:space="0"/>
                    <w:left w:val="single" w:color="auto" w:sz="4" w:space="0"/>
                    <w:bottom w:val="single" w:color="auto" w:sz="4" w:space="0"/>
                    <w:right w:val="single" w:color="auto" w:sz="4" w:space="0"/>
                  </w:tcBorders>
                  <w:vAlign w:val="center"/>
                </w:tcPr>
                <w:p w14:paraId="16A331E1">
                  <w:pPr>
                    <w:snapToGrid w:val="0"/>
                    <w:jc w:val="center"/>
                    <w:rPr>
                      <w:color w:val="000000"/>
                      <w:szCs w:val="21"/>
                    </w:rPr>
                  </w:pPr>
                  <w:r>
                    <w:rPr>
                      <w:rFonts w:hint="eastAsia"/>
                      <w:color w:val="000000"/>
                      <w:szCs w:val="21"/>
                    </w:rPr>
                    <w:t>建设性质</w:t>
                  </w:r>
                </w:p>
              </w:tc>
              <w:tc>
                <w:tcPr>
                  <w:tcW w:w="1755" w:type="pct"/>
                  <w:tcBorders>
                    <w:top w:val="single" w:color="auto" w:sz="4" w:space="0"/>
                    <w:left w:val="single" w:color="auto" w:sz="4" w:space="0"/>
                    <w:bottom w:val="single" w:color="auto" w:sz="4" w:space="0"/>
                    <w:right w:val="single" w:color="auto" w:sz="4" w:space="0"/>
                  </w:tcBorders>
                  <w:vAlign w:val="center"/>
                </w:tcPr>
                <w:p w14:paraId="0032A4D1">
                  <w:pPr>
                    <w:snapToGrid w:val="0"/>
                    <w:jc w:val="center"/>
                  </w:pPr>
                  <w:r>
                    <w:rPr>
                      <w:rFonts w:hint="eastAsia"/>
                    </w:rPr>
                    <w:t>新建</w:t>
                  </w:r>
                </w:p>
              </w:tc>
              <w:tc>
                <w:tcPr>
                  <w:tcW w:w="1873" w:type="pct"/>
                  <w:tcBorders>
                    <w:top w:val="single" w:color="auto" w:sz="4" w:space="0"/>
                    <w:left w:val="single" w:color="auto" w:sz="4" w:space="0"/>
                    <w:bottom w:val="single" w:color="auto" w:sz="4" w:space="0"/>
                    <w:right w:val="single" w:color="auto" w:sz="4" w:space="0"/>
                  </w:tcBorders>
                  <w:vAlign w:val="center"/>
                </w:tcPr>
                <w:p w14:paraId="3ADD5AF7">
                  <w:pPr>
                    <w:snapToGrid w:val="0"/>
                    <w:jc w:val="center"/>
                  </w:pPr>
                  <w:r>
                    <w:rPr>
                      <w:rFonts w:hint="eastAsia"/>
                    </w:rPr>
                    <w:t>新建</w:t>
                  </w:r>
                </w:p>
              </w:tc>
              <w:tc>
                <w:tcPr>
                  <w:tcW w:w="819" w:type="pct"/>
                  <w:tcBorders>
                    <w:top w:val="single" w:color="auto" w:sz="4" w:space="0"/>
                    <w:left w:val="single" w:color="auto" w:sz="4" w:space="0"/>
                    <w:bottom w:val="single" w:color="auto" w:sz="4" w:space="0"/>
                    <w:right w:val="single" w:color="auto" w:sz="4" w:space="0"/>
                  </w:tcBorders>
                  <w:vAlign w:val="center"/>
                </w:tcPr>
                <w:p w14:paraId="1C3E7521">
                  <w:pPr>
                    <w:snapToGrid w:val="0"/>
                    <w:jc w:val="center"/>
                    <w:rPr>
                      <w:rStyle w:val="35"/>
                    </w:rPr>
                  </w:pPr>
                  <w:r>
                    <w:rPr>
                      <w:rFonts w:hint="eastAsia"/>
                      <w:color w:val="000000"/>
                      <w:szCs w:val="21"/>
                    </w:rPr>
                    <w:t>相符</w:t>
                  </w:r>
                </w:p>
              </w:tc>
            </w:tr>
            <w:tr w14:paraId="30D5B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52" w:type="pct"/>
                  <w:tcBorders>
                    <w:top w:val="single" w:color="auto" w:sz="4" w:space="0"/>
                    <w:left w:val="single" w:color="auto" w:sz="4" w:space="0"/>
                    <w:bottom w:val="single" w:color="auto" w:sz="4" w:space="0"/>
                    <w:right w:val="single" w:color="auto" w:sz="4" w:space="0"/>
                  </w:tcBorders>
                  <w:vAlign w:val="center"/>
                </w:tcPr>
                <w:p w14:paraId="377A05DD">
                  <w:pPr>
                    <w:snapToGrid w:val="0"/>
                    <w:jc w:val="center"/>
                    <w:rPr>
                      <w:bCs/>
                      <w:color w:val="000000"/>
                      <w:szCs w:val="21"/>
                    </w:rPr>
                  </w:pPr>
                  <w:r>
                    <w:rPr>
                      <w:rFonts w:hint="eastAsia"/>
                      <w:color w:val="000000"/>
                      <w:szCs w:val="21"/>
                    </w:rPr>
                    <w:t>主要建设内容</w:t>
                  </w:r>
                </w:p>
              </w:tc>
              <w:tc>
                <w:tcPr>
                  <w:tcW w:w="1755" w:type="pct"/>
                  <w:tcBorders>
                    <w:top w:val="single" w:color="auto" w:sz="4" w:space="0"/>
                    <w:left w:val="single" w:color="auto" w:sz="4" w:space="0"/>
                    <w:bottom w:val="single" w:color="auto" w:sz="4" w:space="0"/>
                    <w:right w:val="single" w:color="auto" w:sz="4" w:space="0"/>
                  </w:tcBorders>
                  <w:vAlign w:val="center"/>
                </w:tcPr>
                <w:p w14:paraId="30268BFC">
                  <w:pPr>
                    <w:snapToGrid w:val="0"/>
                    <w:jc w:val="center"/>
                    <w:rPr>
                      <w:szCs w:val="21"/>
                    </w:rPr>
                  </w:pPr>
                  <w:r>
                    <w:rPr>
                      <w:rFonts w:hint="eastAsia"/>
                      <w:szCs w:val="21"/>
                    </w:rPr>
                    <w:t>该</w:t>
                  </w:r>
                  <w:r>
                    <w:rPr>
                      <w:szCs w:val="21"/>
                    </w:rPr>
                    <w:t>项目新建厂房</w:t>
                  </w:r>
                  <w:r>
                    <w:rPr>
                      <w:rFonts w:hint="eastAsia"/>
                      <w:szCs w:val="21"/>
                    </w:rPr>
                    <w:t>4500平方米</w:t>
                  </w:r>
                </w:p>
              </w:tc>
              <w:tc>
                <w:tcPr>
                  <w:tcW w:w="1873" w:type="pct"/>
                  <w:tcBorders>
                    <w:top w:val="single" w:color="auto" w:sz="4" w:space="0"/>
                    <w:left w:val="single" w:color="auto" w:sz="4" w:space="0"/>
                    <w:bottom w:val="single" w:color="auto" w:sz="4" w:space="0"/>
                    <w:right w:val="single" w:color="auto" w:sz="4" w:space="0"/>
                  </w:tcBorders>
                  <w:vAlign w:val="center"/>
                </w:tcPr>
                <w:p w14:paraId="256B4186">
                  <w:pPr>
                    <w:snapToGrid w:val="0"/>
                    <w:jc w:val="center"/>
                    <w:rPr>
                      <w:szCs w:val="21"/>
                    </w:rPr>
                  </w:pPr>
                  <w:r>
                    <w:rPr>
                      <w:rFonts w:hint="eastAsia"/>
                      <w:szCs w:val="21"/>
                    </w:rPr>
                    <w:t>该</w:t>
                  </w:r>
                  <w:r>
                    <w:rPr>
                      <w:szCs w:val="21"/>
                    </w:rPr>
                    <w:t>项目新建厂房</w:t>
                  </w:r>
                  <w:r>
                    <w:rPr>
                      <w:rFonts w:hint="eastAsia"/>
                      <w:szCs w:val="21"/>
                    </w:rPr>
                    <w:t>4500平方米</w:t>
                  </w:r>
                </w:p>
              </w:tc>
              <w:tc>
                <w:tcPr>
                  <w:tcW w:w="819" w:type="pct"/>
                  <w:tcBorders>
                    <w:top w:val="single" w:color="auto" w:sz="4" w:space="0"/>
                    <w:left w:val="single" w:color="auto" w:sz="4" w:space="0"/>
                    <w:bottom w:val="single" w:color="auto" w:sz="4" w:space="0"/>
                    <w:right w:val="single" w:color="auto" w:sz="4" w:space="0"/>
                  </w:tcBorders>
                  <w:vAlign w:val="center"/>
                </w:tcPr>
                <w:p w14:paraId="250B506D">
                  <w:pPr>
                    <w:snapToGrid w:val="0"/>
                    <w:jc w:val="center"/>
                  </w:pPr>
                  <w:r>
                    <w:rPr>
                      <w:rFonts w:hint="eastAsia"/>
                      <w:color w:val="000000"/>
                      <w:szCs w:val="21"/>
                    </w:rPr>
                    <w:t>相符</w:t>
                  </w:r>
                </w:p>
              </w:tc>
            </w:tr>
            <w:tr w14:paraId="355ED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52" w:type="pct"/>
                  <w:tcBorders>
                    <w:top w:val="single" w:color="auto" w:sz="4" w:space="0"/>
                    <w:left w:val="single" w:color="auto" w:sz="4" w:space="0"/>
                    <w:right w:val="single" w:color="auto" w:sz="4" w:space="0"/>
                  </w:tcBorders>
                  <w:vAlign w:val="center"/>
                </w:tcPr>
                <w:p w14:paraId="0EFF7E57">
                  <w:pPr>
                    <w:snapToGrid w:val="0"/>
                    <w:jc w:val="center"/>
                    <w:rPr>
                      <w:b/>
                      <w:bCs/>
                      <w:color w:val="000000"/>
                      <w:szCs w:val="21"/>
                      <w:u w:val="single"/>
                    </w:rPr>
                  </w:pPr>
                  <w:r>
                    <w:rPr>
                      <w:rFonts w:hint="eastAsia"/>
                      <w:b/>
                      <w:color w:val="000000"/>
                      <w:szCs w:val="21"/>
                      <w:u w:val="single"/>
                    </w:rPr>
                    <w:t>主要生产工艺</w:t>
                  </w:r>
                </w:p>
              </w:tc>
              <w:tc>
                <w:tcPr>
                  <w:tcW w:w="1755" w:type="pct"/>
                  <w:tcBorders>
                    <w:top w:val="single" w:color="auto" w:sz="4" w:space="0"/>
                    <w:left w:val="single" w:color="auto" w:sz="4" w:space="0"/>
                    <w:right w:val="single" w:color="auto" w:sz="4" w:space="0"/>
                  </w:tcBorders>
                  <w:vAlign w:val="center"/>
                </w:tcPr>
                <w:p w14:paraId="3EBEF657">
                  <w:pPr>
                    <w:snapToGrid w:val="0"/>
                    <w:jc w:val="center"/>
                    <w:rPr>
                      <w:b/>
                      <w:color w:val="000000"/>
                      <w:szCs w:val="21"/>
                      <w:u w:val="single"/>
                    </w:rPr>
                  </w:pPr>
                  <w:r>
                    <w:rPr>
                      <w:rFonts w:hint="eastAsia"/>
                      <w:b/>
                      <w:color w:val="000000"/>
                      <w:szCs w:val="21"/>
                      <w:u w:val="single"/>
                    </w:rPr>
                    <w:t>原料</w:t>
                  </w:r>
                  <w:r>
                    <w:rPr>
                      <w:b/>
                      <w:color w:val="000000"/>
                      <w:szCs w:val="21"/>
                      <w:u w:val="single"/>
                    </w:rPr>
                    <w:t>外购-烘干-拉丝-包丝-分切-磨尖-</w:t>
                  </w:r>
                  <w:r>
                    <w:rPr>
                      <w:rFonts w:hint="eastAsia"/>
                      <w:b/>
                      <w:color w:val="000000"/>
                      <w:szCs w:val="21"/>
                      <w:u w:val="single"/>
                    </w:rPr>
                    <w:t>清洗</w:t>
                  </w:r>
                  <w:r>
                    <w:rPr>
                      <w:b/>
                      <w:color w:val="000000"/>
                      <w:szCs w:val="21"/>
                      <w:u w:val="single"/>
                    </w:rPr>
                    <w:t>-晾晒-包装-成品</w:t>
                  </w:r>
                </w:p>
              </w:tc>
              <w:tc>
                <w:tcPr>
                  <w:tcW w:w="1873" w:type="pct"/>
                  <w:tcBorders>
                    <w:top w:val="single" w:color="auto" w:sz="4" w:space="0"/>
                    <w:left w:val="single" w:color="auto" w:sz="4" w:space="0"/>
                    <w:right w:val="single" w:color="auto" w:sz="4" w:space="0"/>
                  </w:tcBorders>
                  <w:vAlign w:val="center"/>
                </w:tcPr>
                <w:p w14:paraId="20CC6184">
                  <w:pPr>
                    <w:snapToGrid w:val="0"/>
                    <w:jc w:val="center"/>
                    <w:rPr>
                      <w:b/>
                      <w:bCs/>
                      <w:color w:val="000000"/>
                      <w:szCs w:val="21"/>
                      <w:u w:val="single"/>
                    </w:rPr>
                  </w:pPr>
                  <w:r>
                    <w:rPr>
                      <w:b/>
                      <w:color w:val="000000"/>
                      <w:szCs w:val="21"/>
                      <w:u w:val="single"/>
                    </w:rPr>
                    <w:t>外购</w:t>
                  </w:r>
                  <w:r>
                    <w:rPr>
                      <w:rFonts w:hint="eastAsia"/>
                      <w:b/>
                      <w:color w:val="000000"/>
                      <w:szCs w:val="21"/>
                      <w:u w:val="single"/>
                    </w:rPr>
                    <w:t>原料</w:t>
                  </w:r>
                  <w:r>
                    <w:rPr>
                      <w:b/>
                      <w:color w:val="000000"/>
                      <w:szCs w:val="21"/>
                      <w:u w:val="single"/>
                    </w:rPr>
                    <w:t>-</w:t>
                  </w:r>
                  <w:r>
                    <w:rPr>
                      <w:rFonts w:hint="eastAsia"/>
                      <w:b/>
                      <w:color w:val="000000"/>
                      <w:szCs w:val="21"/>
                      <w:u w:val="single"/>
                    </w:rPr>
                    <w:t>配料</w:t>
                  </w:r>
                  <w:r>
                    <w:rPr>
                      <w:b/>
                      <w:color w:val="000000"/>
                      <w:szCs w:val="21"/>
                      <w:u w:val="single"/>
                    </w:rPr>
                    <w:t>-烘干-拉丝-包丝-分切-磨尖-</w:t>
                  </w:r>
                  <w:r>
                    <w:rPr>
                      <w:rFonts w:hint="eastAsia"/>
                      <w:b/>
                      <w:color w:val="000000"/>
                      <w:szCs w:val="21"/>
                      <w:u w:val="single"/>
                    </w:rPr>
                    <w:t>清洗</w:t>
                  </w:r>
                  <w:r>
                    <w:rPr>
                      <w:b/>
                      <w:color w:val="000000"/>
                      <w:szCs w:val="21"/>
                      <w:u w:val="single"/>
                    </w:rPr>
                    <w:t>-晾晒-</w:t>
                  </w:r>
                  <w:r>
                    <w:rPr>
                      <w:rFonts w:hint="eastAsia"/>
                      <w:b/>
                      <w:color w:val="000000"/>
                      <w:szCs w:val="21"/>
                      <w:u w:val="single"/>
                    </w:rPr>
                    <w:t>理丝</w:t>
                  </w:r>
                  <w:r>
                    <w:rPr>
                      <w:b/>
                      <w:color w:val="000000"/>
                      <w:szCs w:val="21"/>
                      <w:u w:val="single"/>
                    </w:rPr>
                    <w:t>、包装-成品</w:t>
                  </w:r>
                  <w:r>
                    <w:rPr>
                      <w:rFonts w:hint="eastAsia"/>
                      <w:b/>
                      <w:color w:val="000000"/>
                      <w:szCs w:val="21"/>
                      <w:u w:val="single"/>
                    </w:rPr>
                    <w:t>，其中牙刷长丝无需磨尖，其他工艺均一致</w:t>
                  </w:r>
                </w:p>
              </w:tc>
              <w:tc>
                <w:tcPr>
                  <w:tcW w:w="819" w:type="pct"/>
                  <w:tcBorders>
                    <w:top w:val="single" w:color="auto" w:sz="4" w:space="0"/>
                    <w:left w:val="single" w:color="auto" w:sz="4" w:space="0"/>
                    <w:right w:val="single" w:color="auto" w:sz="4" w:space="0"/>
                  </w:tcBorders>
                  <w:vAlign w:val="center"/>
                </w:tcPr>
                <w:p w14:paraId="5710B1AA">
                  <w:pPr>
                    <w:snapToGrid w:val="0"/>
                    <w:jc w:val="center"/>
                    <w:rPr>
                      <w:b/>
                      <w:szCs w:val="21"/>
                      <w:u w:val="single"/>
                    </w:rPr>
                  </w:pPr>
                  <w:r>
                    <w:rPr>
                      <w:rFonts w:hint="eastAsia"/>
                      <w:b/>
                      <w:szCs w:val="21"/>
                      <w:u w:val="single"/>
                    </w:rPr>
                    <w:t>相符</w:t>
                  </w:r>
                  <w:r>
                    <w:rPr>
                      <w:b/>
                      <w:szCs w:val="21"/>
                      <w:u w:val="single"/>
                    </w:rPr>
                    <w:t>，根据实际生产需要对工艺进行细化</w:t>
                  </w:r>
                </w:p>
              </w:tc>
            </w:tr>
            <w:tr w14:paraId="4EFA5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52" w:type="pct"/>
                  <w:tcBorders>
                    <w:top w:val="single" w:color="auto" w:sz="4" w:space="0"/>
                    <w:left w:val="single" w:color="auto" w:sz="4" w:space="0"/>
                    <w:bottom w:val="single" w:color="auto" w:sz="4" w:space="0"/>
                    <w:right w:val="single" w:color="auto" w:sz="4" w:space="0"/>
                  </w:tcBorders>
                  <w:vAlign w:val="center"/>
                </w:tcPr>
                <w:p w14:paraId="6A694287">
                  <w:pPr>
                    <w:snapToGrid w:val="0"/>
                    <w:jc w:val="center"/>
                    <w:rPr>
                      <w:b/>
                      <w:bCs/>
                      <w:color w:val="000000"/>
                      <w:szCs w:val="21"/>
                      <w:u w:val="single"/>
                    </w:rPr>
                  </w:pPr>
                  <w:r>
                    <w:rPr>
                      <w:rFonts w:hint="eastAsia"/>
                      <w:b/>
                      <w:color w:val="000000"/>
                      <w:szCs w:val="21"/>
                      <w:u w:val="single"/>
                    </w:rPr>
                    <w:t>主要设备</w:t>
                  </w:r>
                </w:p>
              </w:tc>
              <w:tc>
                <w:tcPr>
                  <w:tcW w:w="1755" w:type="pct"/>
                  <w:tcBorders>
                    <w:top w:val="single" w:color="auto" w:sz="4" w:space="0"/>
                    <w:left w:val="single" w:color="auto" w:sz="4" w:space="0"/>
                    <w:bottom w:val="single" w:color="auto" w:sz="4" w:space="0"/>
                    <w:right w:val="single" w:color="auto" w:sz="4" w:space="0"/>
                  </w:tcBorders>
                  <w:vAlign w:val="center"/>
                </w:tcPr>
                <w:p w14:paraId="66818CDB">
                  <w:pPr>
                    <w:snapToGrid w:val="0"/>
                    <w:jc w:val="center"/>
                    <w:rPr>
                      <w:b/>
                      <w:color w:val="000000"/>
                      <w:szCs w:val="21"/>
                      <w:u w:val="single"/>
                    </w:rPr>
                  </w:pPr>
                  <w:r>
                    <w:rPr>
                      <w:rFonts w:hint="eastAsia"/>
                      <w:b/>
                      <w:color w:val="000000"/>
                      <w:szCs w:val="21"/>
                      <w:u w:val="single"/>
                    </w:rPr>
                    <w:t>烘干机</w:t>
                  </w:r>
                  <w:r>
                    <w:rPr>
                      <w:b/>
                      <w:color w:val="000000"/>
                      <w:szCs w:val="21"/>
                      <w:u w:val="single"/>
                    </w:rPr>
                    <w:t>、拉丝机、</w:t>
                  </w:r>
                  <w:r>
                    <w:rPr>
                      <w:rFonts w:hint="eastAsia"/>
                      <w:b/>
                      <w:color w:val="000000"/>
                      <w:szCs w:val="21"/>
                      <w:u w:val="single"/>
                    </w:rPr>
                    <w:t>包丝</w:t>
                  </w:r>
                  <w:r>
                    <w:rPr>
                      <w:b/>
                      <w:color w:val="000000"/>
                      <w:szCs w:val="21"/>
                      <w:u w:val="single"/>
                    </w:rPr>
                    <w:t>机、磨尖机、清洗剂、封箱机</w:t>
                  </w:r>
                </w:p>
              </w:tc>
              <w:tc>
                <w:tcPr>
                  <w:tcW w:w="1873" w:type="pct"/>
                  <w:tcBorders>
                    <w:top w:val="single" w:color="auto" w:sz="4" w:space="0"/>
                    <w:left w:val="single" w:color="auto" w:sz="4" w:space="0"/>
                    <w:bottom w:val="single" w:color="auto" w:sz="4" w:space="0"/>
                    <w:right w:val="single" w:color="auto" w:sz="4" w:space="0"/>
                  </w:tcBorders>
                  <w:vAlign w:val="center"/>
                </w:tcPr>
                <w:p w14:paraId="22B0753E">
                  <w:pPr>
                    <w:snapToGrid w:val="0"/>
                    <w:jc w:val="center"/>
                    <w:rPr>
                      <w:b/>
                      <w:color w:val="000000"/>
                      <w:szCs w:val="21"/>
                      <w:u w:val="single"/>
                    </w:rPr>
                  </w:pPr>
                  <w:r>
                    <w:rPr>
                      <w:rFonts w:hint="eastAsia"/>
                      <w:b/>
                      <w:color w:val="000000"/>
                      <w:szCs w:val="21"/>
                      <w:u w:val="single"/>
                    </w:rPr>
                    <w:t>电烘干机</w:t>
                  </w:r>
                  <w:r>
                    <w:rPr>
                      <w:b/>
                      <w:color w:val="000000"/>
                      <w:szCs w:val="21"/>
                      <w:u w:val="single"/>
                    </w:rPr>
                    <w:t>、拉丝机、</w:t>
                  </w:r>
                  <w:r>
                    <w:rPr>
                      <w:rFonts w:hint="eastAsia"/>
                      <w:b/>
                      <w:color w:val="000000"/>
                      <w:szCs w:val="21"/>
                      <w:u w:val="single"/>
                    </w:rPr>
                    <w:t>包丝</w:t>
                  </w:r>
                  <w:r>
                    <w:rPr>
                      <w:b/>
                      <w:color w:val="000000"/>
                      <w:szCs w:val="21"/>
                      <w:u w:val="single"/>
                    </w:rPr>
                    <w:t>机、磨尖机、清洗</w:t>
                  </w:r>
                  <w:r>
                    <w:rPr>
                      <w:rFonts w:hint="eastAsia"/>
                      <w:b/>
                      <w:color w:val="000000"/>
                      <w:szCs w:val="21"/>
                      <w:u w:val="single"/>
                    </w:rPr>
                    <w:t>池</w:t>
                  </w:r>
                  <w:r>
                    <w:rPr>
                      <w:b/>
                      <w:color w:val="000000"/>
                      <w:szCs w:val="21"/>
                      <w:u w:val="single"/>
                    </w:rPr>
                    <w:t>、</w:t>
                  </w:r>
                  <w:r>
                    <w:rPr>
                      <w:rFonts w:hint="eastAsia"/>
                      <w:b/>
                      <w:color w:val="000000"/>
                      <w:szCs w:val="21"/>
                      <w:u w:val="single"/>
                    </w:rPr>
                    <w:t>打包</w:t>
                  </w:r>
                  <w:r>
                    <w:rPr>
                      <w:b/>
                      <w:color w:val="000000"/>
                      <w:szCs w:val="21"/>
                      <w:u w:val="single"/>
                    </w:rPr>
                    <w:t>机</w:t>
                  </w:r>
                  <w:r>
                    <w:rPr>
                      <w:rFonts w:hint="eastAsia"/>
                      <w:b/>
                      <w:color w:val="000000"/>
                      <w:szCs w:val="21"/>
                      <w:u w:val="single"/>
                    </w:rPr>
                    <w:t>等</w:t>
                  </w:r>
                </w:p>
              </w:tc>
              <w:tc>
                <w:tcPr>
                  <w:tcW w:w="819" w:type="pct"/>
                  <w:tcBorders>
                    <w:top w:val="single" w:color="auto" w:sz="4" w:space="0"/>
                    <w:left w:val="single" w:color="auto" w:sz="4" w:space="0"/>
                    <w:bottom w:val="single" w:color="auto" w:sz="4" w:space="0"/>
                    <w:right w:val="single" w:color="auto" w:sz="4" w:space="0"/>
                  </w:tcBorders>
                  <w:vAlign w:val="center"/>
                </w:tcPr>
                <w:p w14:paraId="341F266B">
                  <w:pPr>
                    <w:snapToGrid w:val="0"/>
                    <w:jc w:val="center"/>
                    <w:rPr>
                      <w:b/>
                      <w:bCs/>
                      <w:szCs w:val="21"/>
                      <w:u w:val="single"/>
                    </w:rPr>
                  </w:pPr>
                  <w:r>
                    <w:rPr>
                      <w:rFonts w:hint="eastAsia"/>
                      <w:b/>
                      <w:szCs w:val="21"/>
                      <w:u w:val="single"/>
                    </w:rPr>
                    <w:t>相符</w:t>
                  </w:r>
                  <w:r>
                    <w:rPr>
                      <w:b/>
                      <w:szCs w:val="21"/>
                      <w:u w:val="single"/>
                    </w:rPr>
                    <w:t>，根据实际生产需要对</w:t>
                  </w:r>
                  <w:r>
                    <w:rPr>
                      <w:rFonts w:hint="eastAsia"/>
                      <w:b/>
                      <w:szCs w:val="21"/>
                      <w:u w:val="single"/>
                    </w:rPr>
                    <w:t>设备</w:t>
                  </w:r>
                  <w:r>
                    <w:rPr>
                      <w:b/>
                      <w:szCs w:val="21"/>
                      <w:u w:val="single"/>
                    </w:rPr>
                    <w:t>进行细化</w:t>
                  </w:r>
                </w:p>
              </w:tc>
            </w:tr>
          </w:tbl>
          <w:p w14:paraId="023BC6BC">
            <w:pPr>
              <w:adjustRightInd w:val="0"/>
              <w:snapToGrid w:val="0"/>
              <w:spacing w:line="360" w:lineRule="auto"/>
              <w:ind w:firstLine="482" w:firstLineChars="200"/>
              <w:rPr>
                <w:bCs/>
                <w:sz w:val="24"/>
              </w:rPr>
            </w:pPr>
            <w:r>
              <w:rPr>
                <w:rFonts w:hint="eastAsia"/>
                <w:b/>
                <w:bCs/>
                <w:sz w:val="24"/>
                <w:u w:val="single"/>
              </w:rPr>
              <w:t>综上所述，本项目名称、建设单位、建设地点、主要建设内容、主要生产工艺及主要生产设备均与备案内容基本相符。</w:t>
            </w:r>
          </w:p>
          <w:p w14:paraId="206F01AB">
            <w:pPr>
              <w:adjustRightInd w:val="0"/>
              <w:snapToGrid w:val="0"/>
              <w:spacing w:line="360" w:lineRule="auto"/>
              <w:ind w:firstLine="480" w:firstLineChars="200"/>
              <w:rPr>
                <w:bCs/>
                <w:sz w:val="24"/>
              </w:rPr>
            </w:pPr>
          </w:p>
          <w:p w14:paraId="7BF9EDFB">
            <w:pPr>
              <w:adjustRightInd w:val="0"/>
              <w:snapToGrid w:val="0"/>
              <w:spacing w:line="360" w:lineRule="auto"/>
              <w:ind w:firstLine="480" w:firstLineChars="200"/>
              <w:rPr>
                <w:bCs/>
                <w:sz w:val="24"/>
              </w:rPr>
            </w:pPr>
          </w:p>
          <w:p w14:paraId="7062D727">
            <w:pPr>
              <w:adjustRightInd w:val="0"/>
              <w:snapToGrid w:val="0"/>
              <w:spacing w:line="360" w:lineRule="auto"/>
              <w:ind w:firstLine="480" w:firstLineChars="200"/>
              <w:rPr>
                <w:bCs/>
                <w:sz w:val="24"/>
              </w:rPr>
            </w:pPr>
          </w:p>
          <w:p w14:paraId="790A6D8E">
            <w:pPr>
              <w:adjustRightInd w:val="0"/>
              <w:snapToGrid w:val="0"/>
              <w:spacing w:line="360" w:lineRule="auto"/>
              <w:ind w:firstLine="480" w:firstLineChars="200"/>
              <w:rPr>
                <w:bCs/>
                <w:sz w:val="24"/>
              </w:rPr>
            </w:pPr>
          </w:p>
          <w:p w14:paraId="3E2F338C">
            <w:pPr>
              <w:adjustRightInd w:val="0"/>
              <w:snapToGrid w:val="0"/>
              <w:spacing w:line="360" w:lineRule="auto"/>
              <w:rPr>
                <w:bCs/>
                <w:sz w:val="24"/>
              </w:rPr>
            </w:pPr>
          </w:p>
          <w:p w14:paraId="2F82AA4E">
            <w:pPr>
              <w:adjustRightInd w:val="0"/>
              <w:snapToGrid w:val="0"/>
              <w:spacing w:line="360" w:lineRule="auto"/>
              <w:rPr>
                <w:bCs/>
                <w:sz w:val="24"/>
              </w:rPr>
            </w:pPr>
          </w:p>
          <w:p w14:paraId="09D80932">
            <w:pPr>
              <w:adjustRightInd w:val="0"/>
              <w:snapToGrid w:val="0"/>
              <w:spacing w:line="360" w:lineRule="auto"/>
              <w:rPr>
                <w:bCs/>
                <w:sz w:val="24"/>
              </w:rPr>
            </w:pPr>
          </w:p>
          <w:p w14:paraId="31C520DE">
            <w:pPr>
              <w:adjustRightInd w:val="0"/>
              <w:snapToGrid w:val="0"/>
              <w:spacing w:line="360" w:lineRule="auto"/>
              <w:rPr>
                <w:bCs/>
                <w:sz w:val="24"/>
              </w:rPr>
            </w:pPr>
          </w:p>
        </w:tc>
      </w:tr>
      <w:tr w14:paraId="59CA0E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0628" w:hRule="atLeast"/>
          <w:jc w:val="center"/>
        </w:trPr>
        <w:tc>
          <w:tcPr>
            <w:tcW w:w="711" w:type="dxa"/>
            <w:vAlign w:val="center"/>
          </w:tcPr>
          <w:p w14:paraId="6F9A4A32">
            <w:pPr>
              <w:pStyle w:val="25"/>
              <w:adjustRightInd w:val="0"/>
              <w:snapToGrid w:val="0"/>
              <w:spacing w:before="0" w:beforeAutospacing="0" w:after="0" w:afterAutospacing="0"/>
              <w:jc w:val="center"/>
              <w:rPr>
                <w:rFonts w:ascii="Times New Roman" w:hAnsi="Times New Roman"/>
                <w:szCs w:val="24"/>
              </w:rPr>
            </w:pPr>
            <w:r>
              <w:rPr>
                <w:rFonts w:ascii="Times New Roman" w:hAnsi="Times New Roman"/>
                <w:szCs w:val="24"/>
              </w:rPr>
              <w:t>工艺流程和产排污环节</w:t>
            </w:r>
          </w:p>
        </w:tc>
        <w:tc>
          <w:tcPr>
            <w:tcW w:w="8723" w:type="dxa"/>
          </w:tcPr>
          <w:p w14:paraId="6F44F9E7">
            <w:pPr>
              <w:spacing w:line="360" w:lineRule="auto"/>
              <w:ind w:firstLine="482" w:firstLineChars="200"/>
              <w:jc w:val="left"/>
              <w:rPr>
                <w:b/>
                <w:snapToGrid w:val="0"/>
                <w:kern w:val="0"/>
                <w:sz w:val="24"/>
              </w:rPr>
            </w:pPr>
            <w:r>
              <w:rPr>
                <w:b/>
                <w:bCs/>
                <w:snapToGrid w:val="0"/>
                <w:kern w:val="0"/>
                <w:sz w:val="24"/>
              </w:rPr>
              <w:t>1</w:t>
            </w:r>
            <w:r>
              <w:rPr>
                <w:rFonts w:hint="eastAsia"/>
                <w:b/>
                <w:bCs/>
                <w:snapToGrid w:val="0"/>
                <w:kern w:val="0"/>
                <w:sz w:val="24"/>
              </w:rPr>
              <w:t>、</w:t>
            </w:r>
            <w:r>
              <w:rPr>
                <w:rFonts w:hint="eastAsia"/>
                <w:b/>
                <w:snapToGrid w:val="0"/>
                <w:kern w:val="0"/>
                <w:sz w:val="24"/>
              </w:rPr>
              <w:t>施工期工艺流程及产污环节</w:t>
            </w:r>
          </w:p>
          <w:p w14:paraId="0C8546FF">
            <w:pPr>
              <w:spacing w:line="360" w:lineRule="auto"/>
              <w:ind w:firstLine="480" w:firstLineChars="200"/>
              <w:jc w:val="left"/>
              <w:rPr>
                <w:bCs/>
                <w:sz w:val="24"/>
              </w:rPr>
            </w:pPr>
            <w:r>
              <w:rPr>
                <w:rFonts w:hint="eastAsia" w:ascii="宋体" w:hAnsi="宋体" w:cs="宋体"/>
                <w:bCs/>
                <w:sz w:val="24"/>
              </w:rPr>
              <w:t>本项目租赁现有</w:t>
            </w:r>
            <w:r>
              <w:rPr>
                <w:rFonts w:ascii="宋体" w:hAnsi="宋体" w:cs="宋体"/>
                <w:bCs/>
                <w:sz w:val="24"/>
              </w:rPr>
              <w:t>场地进行建设，</w:t>
            </w:r>
            <w:r>
              <w:rPr>
                <w:bCs/>
                <w:sz w:val="24"/>
              </w:rPr>
              <w:t>经现场勘查，</w:t>
            </w:r>
            <w:r>
              <w:rPr>
                <w:rFonts w:hint="eastAsia" w:ascii="宋体" w:hAnsi="宋体" w:cs="宋体"/>
                <w:bCs/>
                <w:sz w:val="24"/>
              </w:rPr>
              <w:t>目前生产</w:t>
            </w:r>
            <w:r>
              <w:rPr>
                <w:rFonts w:ascii="宋体" w:hAnsi="宋体" w:cs="宋体"/>
                <w:bCs/>
                <w:sz w:val="24"/>
              </w:rPr>
              <w:t>车间主体结构已建成，</w:t>
            </w:r>
            <w:r>
              <w:rPr>
                <w:rFonts w:hint="eastAsia" w:ascii="宋体" w:hAnsi="宋体" w:cs="宋体"/>
                <w:bCs/>
                <w:sz w:val="24"/>
              </w:rPr>
              <w:t>本项目施工期内容主要为车间内部装修，生产设备、环保设施的安装调试，不进行基建施工</w:t>
            </w:r>
            <w:r>
              <w:rPr>
                <w:bCs/>
                <w:sz w:val="24"/>
              </w:rPr>
              <w:t>，涉及主要污染为车间</w:t>
            </w:r>
            <w:r>
              <w:rPr>
                <w:rFonts w:hint="eastAsia" w:ascii="宋体" w:hAnsi="宋体" w:cs="宋体"/>
                <w:bCs/>
                <w:sz w:val="24"/>
              </w:rPr>
              <w:t>内部装修</w:t>
            </w:r>
            <w:r>
              <w:rPr>
                <w:bCs/>
                <w:sz w:val="24"/>
              </w:rPr>
              <w:t>及设备安装时产生</w:t>
            </w:r>
            <w:r>
              <w:rPr>
                <w:rFonts w:hint="eastAsia"/>
                <w:bCs/>
                <w:sz w:val="24"/>
              </w:rPr>
              <w:t>的</w:t>
            </w:r>
            <w:r>
              <w:rPr>
                <w:bCs/>
                <w:sz w:val="24"/>
              </w:rPr>
              <w:t>少量粉尘和施工噪声。</w:t>
            </w:r>
          </w:p>
          <w:p w14:paraId="295FAE0D">
            <w:pPr>
              <w:spacing w:line="360" w:lineRule="auto"/>
              <w:ind w:firstLine="482" w:firstLineChars="200"/>
              <w:jc w:val="left"/>
              <w:rPr>
                <w:b/>
                <w:snapToGrid w:val="0"/>
                <w:kern w:val="0"/>
                <w:sz w:val="24"/>
              </w:rPr>
            </w:pPr>
            <w:r>
              <w:rPr>
                <w:b/>
                <w:bCs/>
                <w:snapToGrid w:val="0"/>
                <w:kern w:val="0"/>
                <w:sz w:val="24"/>
              </w:rPr>
              <w:t>2</w:t>
            </w:r>
            <w:r>
              <w:rPr>
                <w:rFonts w:hint="eastAsia"/>
                <w:b/>
                <w:bCs/>
                <w:snapToGrid w:val="0"/>
                <w:kern w:val="0"/>
                <w:sz w:val="24"/>
              </w:rPr>
              <w:t>、</w:t>
            </w:r>
            <w:r>
              <w:rPr>
                <w:rFonts w:hint="eastAsia"/>
                <w:b/>
                <w:snapToGrid w:val="0"/>
                <w:kern w:val="0"/>
                <w:sz w:val="24"/>
              </w:rPr>
              <w:t>运营期工艺流程及产污环节</w:t>
            </w:r>
          </w:p>
          <w:p w14:paraId="3C5CB923">
            <w:pPr>
              <w:pStyle w:val="11"/>
              <w:spacing w:line="360" w:lineRule="auto"/>
              <w:rPr>
                <w:sz w:val="24"/>
              </w:rPr>
            </w:pPr>
            <w:r>
              <w:pict>
                <v:shape id="_x0000_s1027" o:spid="_x0000_s1027" o:spt="75" type="#_x0000_t75" style="position:absolute;left:0pt;margin-left:84pt;margin-top:24.95pt;height:483.15pt;width:212.8pt;z-index:251689984;mso-width-relative:page;mso-height-relative:page;" o:ole="t" filled="f" o:preferrelative="t" stroked="f" coordsize="21600,21600">
                  <v:path/>
                  <v:fill on="f" focussize="0,0"/>
                  <v:stroke on="f" joinstyle="miter"/>
                  <v:imagedata r:id="rId7" o:title=""/>
                  <o:lock v:ext="edit" aspectratio="t"/>
                </v:shape>
                <o:OLEObject Type="Embed" ProgID="Visio.Drawing.11" ShapeID="_x0000_s1027" DrawAspect="Content" ObjectID="_1468075725" r:id="rId6">
                  <o:LockedField>false</o:LockedField>
                </o:OLEObject>
              </w:pict>
            </w:r>
            <w:r>
              <w:rPr>
                <w:rFonts w:hint="eastAsia"/>
                <w:sz w:val="24"/>
              </w:rPr>
              <w:t>本项目产品为牙刷丝，具体生产工艺流程及产污环节如下图所示，牙刷长丝无需经过磨尖，其他工序均一致。</w:t>
            </w:r>
          </w:p>
          <w:p w14:paraId="005272A6">
            <w:pPr>
              <w:pStyle w:val="11"/>
              <w:spacing w:line="360" w:lineRule="auto"/>
              <w:ind w:firstLine="480"/>
              <w:rPr>
                <w:sz w:val="24"/>
              </w:rPr>
            </w:pPr>
          </w:p>
          <w:p w14:paraId="019693A1">
            <w:pPr>
              <w:pStyle w:val="11"/>
              <w:spacing w:line="360" w:lineRule="auto"/>
              <w:ind w:firstLine="480"/>
              <w:rPr>
                <w:sz w:val="24"/>
              </w:rPr>
            </w:pPr>
          </w:p>
          <w:p w14:paraId="7AE3107F">
            <w:pPr>
              <w:pStyle w:val="11"/>
              <w:spacing w:line="360" w:lineRule="auto"/>
              <w:ind w:firstLine="480"/>
              <w:rPr>
                <w:sz w:val="24"/>
              </w:rPr>
            </w:pPr>
          </w:p>
          <w:p w14:paraId="6A97D520">
            <w:pPr>
              <w:pStyle w:val="11"/>
              <w:spacing w:line="360" w:lineRule="auto"/>
              <w:ind w:firstLine="480"/>
              <w:rPr>
                <w:sz w:val="24"/>
              </w:rPr>
            </w:pPr>
          </w:p>
          <w:p w14:paraId="52F6E031">
            <w:pPr>
              <w:pStyle w:val="11"/>
              <w:spacing w:line="360" w:lineRule="auto"/>
              <w:ind w:firstLine="480"/>
              <w:rPr>
                <w:sz w:val="24"/>
              </w:rPr>
            </w:pPr>
          </w:p>
          <w:p w14:paraId="46A22B6A">
            <w:pPr>
              <w:pStyle w:val="11"/>
              <w:spacing w:line="360" w:lineRule="auto"/>
              <w:ind w:firstLine="480"/>
              <w:rPr>
                <w:sz w:val="24"/>
              </w:rPr>
            </w:pPr>
          </w:p>
          <w:p w14:paraId="668EF998">
            <w:pPr>
              <w:pStyle w:val="11"/>
              <w:spacing w:line="360" w:lineRule="auto"/>
              <w:ind w:firstLine="480"/>
              <w:rPr>
                <w:sz w:val="24"/>
              </w:rPr>
            </w:pPr>
          </w:p>
          <w:p w14:paraId="292400F0">
            <w:pPr>
              <w:pStyle w:val="11"/>
              <w:ind w:firstLine="652" w:firstLineChars="272"/>
              <w:rPr>
                <w:sz w:val="24"/>
              </w:rPr>
            </w:pPr>
          </w:p>
          <w:p w14:paraId="4DB7248F">
            <w:pPr>
              <w:pStyle w:val="11"/>
              <w:ind w:firstLine="652" w:firstLineChars="272"/>
              <w:rPr>
                <w:sz w:val="24"/>
              </w:rPr>
            </w:pPr>
          </w:p>
          <w:p w14:paraId="68489E96">
            <w:pPr>
              <w:pStyle w:val="11"/>
              <w:ind w:firstLine="652" w:firstLineChars="272"/>
              <w:rPr>
                <w:sz w:val="24"/>
              </w:rPr>
            </w:pPr>
          </w:p>
          <w:p w14:paraId="533D13D0">
            <w:pPr>
              <w:pStyle w:val="11"/>
              <w:ind w:firstLine="652" w:firstLineChars="272"/>
              <w:rPr>
                <w:sz w:val="24"/>
              </w:rPr>
            </w:pPr>
          </w:p>
          <w:p w14:paraId="6F9FC20F">
            <w:pPr>
              <w:pStyle w:val="11"/>
              <w:ind w:firstLine="652" w:firstLineChars="272"/>
              <w:rPr>
                <w:sz w:val="24"/>
              </w:rPr>
            </w:pPr>
          </w:p>
          <w:p w14:paraId="058BF33D">
            <w:pPr>
              <w:pStyle w:val="11"/>
              <w:ind w:firstLine="652" w:firstLineChars="272"/>
              <w:rPr>
                <w:sz w:val="24"/>
              </w:rPr>
            </w:pPr>
          </w:p>
          <w:p w14:paraId="76528755">
            <w:pPr>
              <w:pStyle w:val="11"/>
              <w:ind w:firstLine="652" w:firstLineChars="272"/>
              <w:rPr>
                <w:sz w:val="24"/>
              </w:rPr>
            </w:pPr>
          </w:p>
          <w:p w14:paraId="17E8C19B">
            <w:pPr>
              <w:pStyle w:val="11"/>
              <w:ind w:firstLine="652" w:firstLineChars="272"/>
              <w:rPr>
                <w:sz w:val="24"/>
              </w:rPr>
            </w:pPr>
          </w:p>
          <w:p w14:paraId="242DE3AC">
            <w:pPr>
              <w:pStyle w:val="11"/>
              <w:ind w:firstLine="652" w:firstLineChars="272"/>
              <w:rPr>
                <w:sz w:val="24"/>
              </w:rPr>
            </w:pPr>
          </w:p>
          <w:p w14:paraId="1FD37ED2">
            <w:pPr>
              <w:pStyle w:val="11"/>
              <w:ind w:firstLine="652" w:firstLineChars="272"/>
              <w:rPr>
                <w:sz w:val="24"/>
              </w:rPr>
            </w:pPr>
          </w:p>
          <w:p w14:paraId="6ECE27D4">
            <w:pPr>
              <w:pStyle w:val="11"/>
              <w:ind w:firstLine="652" w:firstLineChars="272"/>
              <w:rPr>
                <w:sz w:val="24"/>
              </w:rPr>
            </w:pPr>
          </w:p>
          <w:p w14:paraId="2E9B694A">
            <w:pPr>
              <w:pStyle w:val="11"/>
              <w:ind w:firstLine="652" w:firstLineChars="272"/>
              <w:rPr>
                <w:sz w:val="24"/>
              </w:rPr>
            </w:pPr>
          </w:p>
          <w:p w14:paraId="65061DCE">
            <w:pPr>
              <w:pStyle w:val="11"/>
              <w:ind w:firstLine="655" w:firstLineChars="272"/>
              <w:rPr>
                <w:sz w:val="24"/>
              </w:rPr>
            </w:pPr>
            <w:r>
              <w:rPr>
                <w:b/>
                <w:bCs w:val="0"/>
                <w:kern w:val="0"/>
                <w:sz w:val="24"/>
              </w:rPr>
              <mc:AlternateContent>
                <mc:Choice Requires="wpg">
                  <w:drawing>
                    <wp:anchor distT="0" distB="0" distL="114300" distR="114300" simplePos="0" relativeHeight="251661312" behindDoc="0" locked="0" layoutInCell="1" allowOverlap="1">
                      <wp:simplePos x="0" y="0"/>
                      <wp:positionH relativeFrom="column">
                        <wp:posOffset>4254500</wp:posOffset>
                      </wp:positionH>
                      <wp:positionV relativeFrom="paragraph">
                        <wp:posOffset>109855</wp:posOffset>
                      </wp:positionV>
                      <wp:extent cx="854075" cy="1148080"/>
                      <wp:effectExtent l="0" t="0" r="22225" b="0"/>
                      <wp:wrapNone/>
                      <wp:docPr id="2" name="Group 183"/>
                      <wp:cNvGraphicFramePr/>
                      <a:graphic xmlns:a="http://schemas.openxmlformats.org/drawingml/2006/main">
                        <a:graphicData uri="http://schemas.microsoft.com/office/word/2010/wordprocessingGroup">
                          <wpg:wgp>
                            <wpg:cNvGrpSpPr/>
                            <wpg:grpSpPr>
                              <a:xfrm>
                                <a:off x="0" y="0"/>
                                <a:ext cx="854075" cy="1148080"/>
                                <a:chOff x="9189" y="10675"/>
                                <a:chExt cx="1345" cy="1808"/>
                              </a:xfrm>
                            </wpg:grpSpPr>
                            <wps:wsp>
                              <wps:cNvPr id="5" name="文本框 706"/>
                              <wps:cNvSpPr txBox="1">
                                <a:spLocks noChangeArrowheads="1"/>
                              </wps:cNvSpPr>
                              <wps:spPr bwMode="auto">
                                <a:xfrm>
                                  <a:off x="9189" y="10675"/>
                                  <a:ext cx="1345" cy="1761"/>
                                </a:xfrm>
                                <a:prstGeom prst="rect">
                                  <a:avLst/>
                                </a:prstGeom>
                                <a:solidFill>
                                  <a:srgbClr val="FFFFFF"/>
                                </a:solidFill>
                                <a:ln w="9525">
                                  <a:solidFill>
                                    <a:srgbClr val="000000"/>
                                  </a:solidFill>
                                  <a:miter lim="800000"/>
                                </a:ln>
                              </wps:spPr>
                              <wps:txbx>
                                <w:txbxContent>
                                  <w:p w14:paraId="75FD7363">
                                    <w:pPr>
                                      <w:jc w:val="center"/>
                                      <w:rPr>
                                        <w:b/>
                                      </w:rPr>
                                    </w:pPr>
                                    <w:r>
                                      <w:rPr>
                                        <w:rFonts w:hint="eastAsia"/>
                                        <w:b/>
                                      </w:rPr>
                                      <w:t>图例</w:t>
                                    </w:r>
                                  </w:p>
                                </w:txbxContent>
                              </wps:txbx>
                              <wps:bodyPr rot="0" vert="horz" wrap="square" lIns="91440" tIns="45720" rIns="91440" bIns="45720" anchor="t" anchorCtr="0" upright="1">
                                <a:noAutofit/>
                              </wps:bodyPr>
                            </wps:wsp>
                            <wps:wsp>
                              <wps:cNvPr id="6" name="自选图形 725"/>
                              <wps:cNvSpPr>
                                <a:spLocks noChangeArrowheads="1"/>
                              </wps:cNvSpPr>
                              <wps:spPr bwMode="auto">
                                <a:xfrm>
                                  <a:off x="9438" y="11177"/>
                                  <a:ext cx="146" cy="134"/>
                                </a:xfrm>
                                <a:prstGeom prst="flowChartConnector">
                                  <a:avLst/>
                                </a:prstGeom>
                                <a:solidFill>
                                  <a:srgbClr val="000000"/>
                                </a:solidFill>
                                <a:ln w="9525">
                                  <a:solidFill>
                                    <a:srgbClr val="000000"/>
                                  </a:solidFill>
                                  <a:round/>
                                </a:ln>
                              </wps:spPr>
                              <wps:bodyPr rot="0" vert="horz" wrap="square" lIns="91440" tIns="45720" rIns="91440" bIns="45720" anchor="t" anchorCtr="0" upright="1">
                                <a:noAutofit/>
                              </wps:bodyPr>
                            </wps:wsp>
                            <wps:wsp>
                              <wps:cNvPr id="7" name="自选图形 734"/>
                              <wps:cNvSpPr>
                                <a:spLocks noChangeArrowheads="1"/>
                              </wps:cNvSpPr>
                              <wps:spPr bwMode="auto">
                                <a:xfrm>
                                  <a:off x="9426" y="11440"/>
                                  <a:ext cx="198" cy="210"/>
                                </a:xfrm>
                                <a:prstGeom prst="star5">
                                  <a:avLst/>
                                </a:prstGeom>
                                <a:solidFill>
                                  <a:srgbClr val="000000"/>
                                </a:solidFill>
                                <a:ln w="9525">
                                  <a:solidFill>
                                    <a:srgbClr val="000000"/>
                                  </a:solidFill>
                                  <a:miter lim="800000"/>
                                </a:ln>
                              </wps:spPr>
                              <wps:bodyPr rot="0" vert="horz" wrap="square" lIns="91440" tIns="45720" rIns="91440" bIns="45720" anchor="t" anchorCtr="0" upright="1">
                                <a:noAutofit/>
                              </wps:bodyPr>
                            </wps:wsp>
                            <wps:wsp>
                              <wps:cNvPr id="8" name="矩形 740"/>
                              <wps:cNvSpPr>
                                <a:spLocks noChangeArrowheads="1"/>
                              </wps:cNvSpPr>
                              <wps:spPr bwMode="auto">
                                <a:xfrm>
                                  <a:off x="9449" y="11827"/>
                                  <a:ext cx="130" cy="151"/>
                                </a:xfrm>
                                <a:prstGeom prst="rect">
                                  <a:avLst/>
                                </a:prstGeom>
                                <a:solidFill>
                                  <a:srgbClr val="000000"/>
                                </a:solidFill>
                                <a:ln w="9525">
                                  <a:solidFill>
                                    <a:srgbClr val="000000"/>
                                  </a:solidFill>
                                  <a:miter lim="800000"/>
                                </a:ln>
                              </wps:spPr>
                              <wps:bodyPr rot="0" vert="horz" wrap="square" lIns="91440" tIns="45720" rIns="91440" bIns="45720" anchor="t" anchorCtr="0" upright="1">
                                <a:noAutofit/>
                              </wps:bodyPr>
                            </wps:wsp>
                            <wps:wsp>
                              <wps:cNvPr id="9" name="文本框 741"/>
                              <wps:cNvSpPr txBox="1">
                                <a:spLocks noChangeArrowheads="1"/>
                              </wps:cNvSpPr>
                              <wps:spPr bwMode="auto">
                                <a:xfrm>
                                  <a:off x="9529" y="11650"/>
                                  <a:ext cx="853" cy="505"/>
                                </a:xfrm>
                                <a:prstGeom prst="rect">
                                  <a:avLst/>
                                </a:prstGeom>
                                <a:noFill/>
                                <a:ln>
                                  <a:noFill/>
                                </a:ln>
                              </wps:spPr>
                              <wps:txbx>
                                <w:txbxContent>
                                  <w:p w14:paraId="12D33BA3">
                                    <w:pPr>
                                      <w:jc w:val="center"/>
                                      <w:rPr>
                                        <w:b/>
                                      </w:rPr>
                                    </w:pPr>
                                    <w:r>
                                      <w:rPr>
                                        <w:rFonts w:hint="eastAsia"/>
                                        <w:b/>
                                      </w:rPr>
                                      <w:t>固废</w:t>
                                    </w:r>
                                  </w:p>
                                </w:txbxContent>
                              </wps:txbx>
                              <wps:bodyPr rot="0" vert="horz" wrap="square" lIns="91440" tIns="45720" rIns="91440" bIns="45720" anchor="t" anchorCtr="0" upright="1">
                                <a:noAutofit/>
                              </wps:bodyPr>
                            </wps:wsp>
                            <wps:wsp>
                              <wps:cNvPr id="10" name="文本框 742"/>
                              <wps:cNvSpPr txBox="1">
                                <a:spLocks noChangeArrowheads="1"/>
                              </wps:cNvSpPr>
                              <wps:spPr bwMode="auto">
                                <a:xfrm>
                                  <a:off x="9600" y="11348"/>
                                  <a:ext cx="748" cy="505"/>
                                </a:xfrm>
                                <a:prstGeom prst="rect">
                                  <a:avLst/>
                                </a:prstGeom>
                                <a:noFill/>
                                <a:ln>
                                  <a:noFill/>
                                </a:ln>
                              </wps:spPr>
                              <wps:txbx>
                                <w:txbxContent>
                                  <w:p w14:paraId="16A8DA48">
                                    <w:pPr>
                                      <w:jc w:val="center"/>
                                      <w:rPr>
                                        <w:b/>
                                      </w:rPr>
                                    </w:pPr>
                                    <w:r>
                                      <w:rPr>
                                        <w:rFonts w:hint="eastAsia"/>
                                        <w:b/>
                                      </w:rPr>
                                      <w:t>噪声</w:t>
                                    </w:r>
                                  </w:p>
                                </w:txbxContent>
                              </wps:txbx>
                              <wps:bodyPr rot="0" vert="horz" wrap="square" lIns="91440" tIns="45720" rIns="91440" bIns="45720" anchor="t" anchorCtr="0" upright="1">
                                <a:noAutofit/>
                              </wps:bodyPr>
                            </wps:wsp>
                            <wps:wsp>
                              <wps:cNvPr id="43" name="文本框 744"/>
                              <wps:cNvSpPr txBox="1">
                                <a:spLocks noChangeArrowheads="1"/>
                              </wps:cNvSpPr>
                              <wps:spPr bwMode="auto">
                                <a:xfrm>
                                  <a:off x="9598" y="11012"/>
                                  <a:ext cx="834" cy="504"/>
                                </a:xfrm>
                                <a:prstGeom prst="rect">
                                  <a:avLst/>
                                </a:prstGeom>
                                <a:noFill/>
                                <a:ln>
                                  <a:noFill/>
                                </a:ln>
                              </wps:spPr>
                              <wps:txbx>
                                <w:txbxContent>
                                  <w:p w14:paraId="51323C6B">
                                    <w:pPr>
                                      <w:jc w:val="left"/>
                                      <w:rPr>
                                        <w:b/>
                                      </w:rPr>
                                    </w:pPr>
                                    <w:r>
                                      <w:rPr>
                                        <w:rFonts w:hint="eastAsia"/>
                                        <w:b/>
                                      </w:rPr>
                                      <w:t>废气</w:t>
                                    </w:r>
                                  </w:p>
                                </w:txbxContent>
                              </wps:txbx>
                              <wps:bodyPr rot="0" vert="horz" wrap="square" lIns="91440" tIns="45720" rIns="91440" bIns="45720" anchor="t" anchorCtr="0" upright="1">
                                <a:noAutofit/>
                              </wps:bodyPr>
                            </wps:wsp>
                            <wps:wsp>
                              <wps:cNvPr id="45" name="文本框 741"/>
                              <wps:cNvSpPr txBox="1">
                                <a:spLocks noChangeArrowheads="1"/>
                              </wps:cNvSpPr>
                              <wps:spPr bwMode="auto">
                                <a:xfrm>
                                  <a:off x="9529" y="11978"/>
                                  <a:ext cx="853" cy="505"/>
                                </a:xfrm>
                                <a:prstGeom prst="rect">
                                  <a:avLst/>
                                </a:prstGeom>
                                <a:noFill/>
                                <a:ln>
                                  <a:noFill/>
                                </a:ln>
                              </wps:spPr>
                              <wps:txbx>
                                <w:txbxContent>
                                  <w:p w14:paraId="5C892D16">
                                    <w:pPr>
                                      <w:jc w:val="center"/>
                                      <w:rPr>
                                        <w:b/>
                                      </w:rPr>
                                    </w:pPr>
                                    <w:r>
                                      <w:rPr>
                                        <w:rFonts w:hint="eastAsia"/>
                                        <w:b/>
                                      </w:rPr>
                                      <w:t>废水</w:t>
                                    </w:r>
                                  </w:p>
                                </w:txbxContent>
                              </wps:txbx>
                              <wps:bodyPr rot="0" vert="horz" wrap="square" lIns="91440" tIns="45720" rIns="91440" bIns="45720" anchor="t" anchorCtr="0" upright="1">
                                <a:noAutofit/>
                              </wps:bodyPr>
                            </wps:wsp>
                          </wpg:wgp>
                        </a:graphicData>
                      </a:graphic>
                    </wp:anchor>
                  </w:drawing>
                </mc:Choice>
                <mc:Fallback>
                  <w:pict>
                    <v:group id="Group 183" o:spid="_x0000_s1026" o:spt="203" style="position:absolute;left:0pt;margin-left:335pt;margin-top:8.65pt;height:90.4pt;width:67.25pt;z-index:251661312;mso-width-relative:page;mso-height-relative:page;" coordorigin="9189,10675" coordsize="1345,1808" o:gfxdata="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">
                      <o:lock v:ext="edit" aspectratio="f"/>
                      <v:shape id="文本框 706" o:spid="_x0000_s1026" o:spt="202" type="#_x0000_t202" style="position:absolute;left:9189;top:10675;height:1761;width:1345;" fillcolor="#FFFFFF" filled="t" stroked="t" coordsize="21600,21600" o:gfxdata="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7HQ5vQAA&#10;ANo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14:paraId="75FD7363">
                              <w:pPr>
                                <w:jc w:val="center"/>
                                <w:rPr>
                                  <w:b/>
                                </w:rPr>
                              </w:pPr>
                              <w:r>
                                <w:rPr>
                                  <w:rFonts w:hint="eastAsia"/>
                                  <w:b/>
                                </w:rPr>
                                <w:t>图例</w:t>
                              </w:r>
                            </w:p>
                          </w:txbxContent>
                        </v:textbox>
                      </v:shape>
                      <v:shape id="自选图形 725" o:spid="_x0000_s1026" o:spt="120" type="#_x0000_t120" style="position:absolute;left:9438;top:11177;height:134;width:146;" fillcolor="#000000" filled="t" stroked="t" coordsize="21600,21600" o:gfxdata="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2thvvQAA&#10;ANoAAAAPAAAAAAAAAAEAIAAAACIAAABkcnMvZG93bnJldi54bWxQSwECFAAUAAAACACHTuJAMy8F&#10;njsAAAA5AAAAEAAAAAAAAAABACAAAAAMAQAAZHJzL3NoYXBleG1sLnhtbFBLBQYAAAAABgAGAFsB&#10;AAC2AwAAAAA=&#10;">
                        <v:fill on="t" focussize="0,0"/>
                        <v:stroke color="#000000" joinstyle="round"/>
                        <v:imagedata o:title=""/>
                        <o:lock v:ext="edit" aspectratio="f"/>
                      </v:shape>
                      <v:shape id="自选图形 734" o:spid="_x0000_s1026" style="position:absolute;left:9426;top:11440;height:210;width:198;" fillcolor="#000000" filled="t" stroked="t" coordsize="198,210" o:gfxdata="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2mj2vQAA&#10;ANoAAAAPAAAAAAAAAAEAIAAAACIAAABkcnMvZG93bnJldi54bWxQSwECFAAUAAAACACHTuJAMy8F&#10;njsAAAA5AAAAEAAAAAAAAAABACAAAAAMAQAAZHJzL3NoYXBleG1sLnhtbFBLBQYAAAAABgAGAFsB&#10;AAC2AwAAAAA=&#10;" path="m0,80l75,80,99,0,122,80,197,80,136,129,160,209,99,160,37,209,61,129xe">
                        <v:path o:connectlocs="99,0;0,80;37,209;160,209;197,80" o:connectangles="247,164,82,82,0"/>
                        <v:fill on="t" focussize="0,0"/>
                        <v:stroke color="#000000" miterlimit="8" joinstyle="miter"/>
                        <v:imagedata o:title=""/>
                        <o:lock v:ext="edit" aspectratio="f"/>
                      </v:shape>
                      <v:rect id="矩形 740" o:spid="_x0000_s1026" o:spt="1" style="position:absolute;left:9449;top:11827;height:151;width:130;" fillcolor="#000000" filled="t" stroked="t" coordsize="21600,21600" o:gfxdata="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OzdH1LUAAADaAAAADwAA&#10;AAAAAAABACAAAAAiAAAAZHJzL2Rvd25yZXYueG1sUEsBAhQAFAAAAAgAh07iQDMvBZ47AAAAOQAA&#10;ABAAAAAAAAAAAQAgAAAABAEAAGRycy9zaGFwZXhtbC54bWxQSwUGAAAAAAYABgBbAQAArgMAAAAA&#10;">
                        <v:fill on="t" focussize="0,0"/>
                        <v:stroke color="#000000" miterlimit="8" joinstyle="miter"/>
                        <v:imagedata o:title=""/>
                        <o:lock v:ext="edit" aspectratio="f"/>
                      </v:rect>
                      <v:shape id="文本框 741" o:spid="_x0000_s1026" o:spt="202" type="#_x0000_t202" style="position:absolute;left:9529;top:11650;height:505;width:853;" filled="f" stroked="f" coordsize="21600,21600" o:gfxdata="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0c9Qq8AAAA&#10;2gAAAA8AAAAAAAAAAQAgAAAAIgAAAGRycy9kb3ducmV2LnhtbFBLAQIUABQAAAAIAIdO4kAzLwWe&#10;OwAAADkAAAAQAAAAAAAAAAEAIAAAAAsBAABkcnMvc2hhcGV4bWwueG1sUEsFBgAAAAAGAAYAWwEA&#10;ALUDAAAAAA==&#10;">
                        <v:fill on="f" focussize="0,0"/>
                        <v:stroke on="f"/>
                        <v:imagedata o:title=""/>
                        <o:lock v:ext="edit" aspectratio="f"/>
                        <v:textbox>
                          <w:txbxContent>
                            <w:p w14:paraId="12D33BA3">
                              <w:pPr>
                                <w:jc w:val="center"/>
                                <w:rPr>
                                  <w:b/>
                                </w:rPr>
                              </w:pPr>
                              <w:r>
                                <w:rPr>
                                  <w:rFonts w:hint="eastAsia"/>
                                  <w:b/>
                                </w:rPr>
                                <w:t>固废</w:t>
                              </w:r>
                            </w:p>
                          </w:txbxContent>
                        </v:textbox>
                      </v:shape>
                      <v:shape id="文本框 742" o:spid="_x0000_s1026" o:spt="202" type="#_x0000_t202" style="position:absolute;left:9600;top:11348;height:505;width:748;" filled="f" stroked="f" coordsize="21600,21600" o:gfxdata="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s4b2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16A8DA48">
                              <w:pPr>
                                <w:jc w:val="center"/>
                                <w:rPr>
                                  <w:b/>
                                </w:rPr>
                              </w:pPr>
                              <w:r>
                                <w:rPr>
                                  <w:rFonts w:hint="eastAsia"/>
                                  <w:b/>
                                </w:rPr>
                                <w:t>噪声</w:t>
                              </w:r>
                            </w:p>
                          </w:txbxContent>
                        </v:textbox>
                      </v:shape>
                      <v:shape id="文本框 744" o:spid="_x0000_s1026" o:spt="202" type="#_x0000_t202" style="position:absolute;left:9598;top:11012;height:504;width:834;" filled="f" stroked="f" coordsize="21600,21600" o:gfxdata="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0jec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51323C6B">
                              <w:pPr>
                                <w:jc w:val="left"/>
                                <w:rPr>
                                  <w:b/>
                                </w:rPr>
                              </w:pPr>
                              <w:r>
                                <w:rPr>
                                  <w:rFonts w:hint="eastAsia"/>
                                  <w:b/>
                                </w:rPr>
                                <w:t>废气</w:t>
                              </w:r>
                            </w:p>
                          </w:txbxContent>
                        </v:textbox>
                      </v:shape>
                      <v:shape id="文本框 741" o:spid="_x0000_s1026" o:spt="202" type="#_x0000_t202" style="position:absolute;left:9529;top:11978;height:505;width:853;" filled="f" stroked="f" coordsize="21600,21600" o:gfxdata="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dwpz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5C892D16">
                              <w:pPr>
                                <w:jc w:val="center"/>
                                <w:rPr>
                                  <w:b/>
                                </w:rPr>
                              </w:pPr>
                              <w:r>
                                <w:rPr>
                                  <w:rFonts w:hint="eastAsia"/>
                                  <w:b/>
                                </w:rPr>
                                <w:t>废水</w:t>
                              </w:r>
                            </w:p>
                          </w:txbxContent>
                        </v:textbox>
                      </v:shape>
                    </v:group>
                  </w:pict>
                </mc:Fallback>
              </mc:AlternateContent>
            </w:r>
          </w:p>
          <w:p w14:paraId="12D80B93">
            <w:pPr>
              <w:pStyle w:val="11"/>
              <w:ind w:firstLine="652" w:firstLineChars="272"/>
              <w:rPr>
                <w:sz w:val="24"/>
              </w:rPr>
            </w:pPr>
          </w:p>
          <w:p w14:paraId="5655C3AE">
            <w:pPr>
              <w:pStyle w:val="11"/>
              <w:ind w:firstLine="652" w:firstLineChars="272"/>
              <w:rPr>
                <w:sz w:val="24"/>
              </w:rPr>
            </w:pPr>
          </w:p>
          <w:p w14:paraId="35F11E67">
            <w:pPr>
              <w:pStyle w:val="11"/>
              <w:ind w:firstLine="652" w:firstLineChars="272"/>
              <w:rPr>
                <w:sz w:val="24"/>
              </w:rPr>
            </w:pPr>
          </w:p>
          <w:p w14:paraId="66300117">
            <w:pPr>
              <w:pStyle w:val="11"/>
              <w:ind w:firstLine="652" w:firstLineChars="272"/>
              <w:rPr>
                <w:sz w:val="24"/>
              </w:rPr>
            </w:pPr>
          </w:p>
          <w:p w14:paraId="289DEF2A">
            <w:pPr>
              <w:pStyle w:val="11"/>
              <w:ind w:firstLine="652" w:firstLineChars="272"/>
              <w:rPr>
                <w:sz w:val="24"/>
              </w:rPr>
            </w:pPr>
            <w:r>
              <w:rPr>
                <w:sz w:val="24"/>
              </w:rPr>
              <mc:AlternateContent>
                <mc:Choice Requires="wps">
                  <w:drawing>
                    <wp:anchor distT="0" distB="0" distL="114300" distR="114300" simplePos="0" relativeHeight="251691008" behindDoc="0" locked="0" layoutInCell="1" allowOverlap="1">
                      <wp:simplePos x="0" y="0"/>
                      <wp:positionH relativeFrom="column">
                        <wp:posOffset>4442460</wp:posOffset>
                      </wp:positionH>
                      <wp:positionV relativeFrom="paragraph">
                        <wp:posOffset>172720</wp:posOffset>
                      </wp:positionV>
                      <wp:extent cx="45085" cy="57150"/>
                      <wp:effectExtent l="0" t="0" r="12065" b="19050"/>
                      <wp:wrapNone/>
                      <wp:docPr id="44" name="等腰三角形 44"/>
                      <wp:cNvGraphicFramePr/>
                      <a:graphic xmlns:a="http://schemas.openxmlformats.org/drawingml/2006/main">
                        <a:graphicData uri="http://schemas.microsoft.com/office/word/2010/wordprocessingShape">
                          <wps:wsp>
                            <wps:cNvSpPr/>
                            <wps:spPr>
                              <a:xfrm>
                                <a:off x="0" y="0"/>
                                <a:ext cx="45085" cy="57150"/>
                              </a:xfrm>
                              <a:prstGeom prst="triangl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margin-left:349.8pt;margin-top:13.6pt;height:4.5pt;width:3.55pt;z-index:251691008;v-text-anchor:middle;mso-width-relative:page;mso-height-relative:page;" fillcolor="#000000 [3213]" filled="t" stroked="t" coordsize="21600,21600" o:gfxdata="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Heyf8DXAAAACQEAAA8AAAAAAAAAAQAgAAAAIgAAAGRycy9kb3du&#10;cmV2LnhtbFBLAQIUABQAAAAIAIdO4kAQz+gHcgIAAOkEAAAOAAAAAAAAAAEAIAAAACYBAABkcnMv&#10;ZTJvRG9jLnhtbFBLBQYAAAAABgAGAFkBAAAKBgAAAAA=&#10;" adj="10800">
                      <v:fill on="t" focussize="0,0"/>
                      <v:stroke weight="2pt" color="#000000 [3213]" joinstyle="round"/>
                      <v:imagedata o:title=""/>
                      <o:lock v:ext="edit" aspectratio="f"/>
                    </v:shape>
                  </w:pict>
                </mc:Fallback>
              </mc:AlternateContent>
            </w:r>
          </w:p>
          <w:p w14:paraId="065B9AF7">
            <w:pPr>
              <w:pStyle w:val="11"/>
              <w:ind w:firstLine="652" w:firstLineChars="272"/>
              <w:rPr>
                <w:sz w:val="24"/>
              </w:rPr>
            </w:pPr>
          </w:p>
          <w:p w14:paraId="3A2F3CD2">
            <w:pPr>
              <w:pStyle w:val="11"/>
              <w:ind w:firstLine="652" w:firstLineChars="272"/>
              <w:rPr>
                <w:sz w:val="24"/>
              </w:rPr>
            </w:pPr>
          </w:p>
          <w:p w14:paraId="524F5AF9">
            <w:pPr>
              <w:pStyle w:val="11"/>
              <w:ind w:firstLine="652" w:firstLineChars="272"/>
              <w:rPr>
                <w:sz w:val="24"/>
              </w:rPr>
            </w:pPr>
          </w:p>
          <w:p w14:paraId="05683421">
            <w:pPr>
              <w:pStyle w:val="11"/>
              <w:ind w:firstLine="655" w:firstLineChars="272"/>
              <w:rPr>
                <w:sz w:val="24"/>
              </w:rPr>
            </w:pPr>
            <w:r>
              <w:rPr>
                <w:b/>
                <w:sz w:val="24"/>
              </w:rPr>
              <mc:AlternateContent>
                <mc:Choice Requires="wps">
                  <w:drawing>
                    <wp:anchor distT="0" distB="0" distL="114300" distR="114300" simplePos="0" relativeHeight="251660288" behindDoc="0" locked="0" layoutInCell="1" allowOverlap="1">
                      <wp:simplePos x="0" y="0"/>
                      <wp:positionH relativeFrom="column">
                        <wp:posOffset>1106805</wp:posOffset>
                      </wp:positionH>
                      <wp:positionV relativeFrom="paragraph">
                        <wp:posOffset>31115</wp:posOffset>
                      </wp:positionV>
                      <wp:extent cx="3782060" cy="271780"/>
                      <wp:effectExtent l="0" t="0" r="0" b="0"/>
                      <wp:wrapNone/>
                      <wp:docPr id="1" name="文本框 256"/>
                      <wp:cNvGraphicFramePr/>
                      <a:graphic xmlns:a="http://schemas.openxmlformats.org/drawingml/2006/main">
                        <a:graphicData uri="http://schemas.microsoft.com/office/word/2010/wordprocessingShape">
                          <wps:wsp>
                            <wps:cNvSpPr txBox="1">
                              <a:spLocks noChangeArrowheads="1"/>
                            </wps:cNvSpPr>
                            <wps:spPr bwMode="auto">
                              <a:xfrm>
                                <a:off x="0" y="0"/>
                                <a:ext cx="3782060" cy="271780"/>
                              </a:xfrm>
                              <a:prstGeom prst="rect">
                                <a:avLst/>
                              </a:prstGeom>
                              <a:noFill/>
                              <a:ln>
                                <a:noFill/>
                              </a:ln>
                            </wps:spPr>
                            <wps:txbx>
                              <w:txbxContent>
                                <w:p w14:paraId="724C0369">
                                  <w:pPr>
                                    <w:tabs>
                                      <w:tab w:val="left" w:pos="8817"/>
                                    </w:tabs>
                                    <w:snapToGrid w:val="0"/>
                                    <w:jc w:val="center"/>
                                    <w:rPr>
                                      <w:rFonts w:hAnsi="宋体"/>
                                      <w:b/>
                                      <w:bCs/>
                                      <w:kern w:val="0"/>
                                      <w:sz w:val="24"/>
                                    </w:rPr>
                                  </w:pPr>
                                  <w:r>
                                    <w:rPr>
                                      <w:rFonts w:hAnsi="宋体"/>
                                      <w:b/>
                                      <w:bCs/>
                                      <w:kern w:val="0"/>
                                      <w:sz w:val="24"/>
                                    </w:rPr>
                                    <w:t>图</w:t>
                                  </w:r>
                                  <w:r>
                                    <w:rPr>
                                      <w:rFonts w:hint="eastAsia" w:hAnsi="宋体"/>
                                      <w:b/>
                                      <w:bCs/>
                                      <w:kern w:val="0"/>
                                      <w:sz w:val="24"/>
                                    </w:rPr>
                                    <w:t>2     项目产品工艺流程及产污环节</w:t>
                                  </w:r>
                                  <w:r>
                                    <w:rPr>
                                      <w:rFonts w:hAnsi="宋体"/>
                                      <w:b/>
                                      <w:bCs/>
                                      <w:kern w:val="0"/>
                                      <w:sz w:val="24"/>
                                    </w:rPr>
                                    <w:t>示意图</w:t>
                                  </w:r>
                                </w:p>
                              </w:txbxContent>
                            </wps:txbx>
                            <wps:bodyPr rot="0" vert="horz" wrap="square" lIns="91440" tIns="45720" rIns="91440" bIns="45720" anchor="t" anchorCtr="0" upright="1">
                              <a:noAutofit/>
                            </wps:bodyPr>
                          </wps:wsp>
                        </a:graphicData>
                      </a:graphic>
                    </wp:anchor>
                  </w:drawing>
                </mc:Choice>
                <mc:Fallback>
                  <w:pict>
                    <v:shape id="文本框 256" o:spid="_x0000_s1026" o:spt="202" type="#_x0000_t202" style="position:absolute;left:0pt;margin-left:87.15pt;margin-top:2.45pt;height:21.4pt;width:297.8pt;z-index:251660288;mso-width-relative:page;mso-height-relative:page;" filled="f" stroked="f" coordsize="21600,21600" o:gfxdata="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bJsBB1QAAAAgBAAAPAAAA&#10;AAAAAAEAIAAAACIAAABkcnMvZG93bnJldi54bWxQSwECFAAUAAAACACHTuJAlsDBfBgCAAAXBAAA&#10;DgAAAAAAAAABACAAAAAkAQAAZHJzL2Uyb0RvYy54bWxQSwUGAAAAAAYABgBZAQAArgUAAAAA&#10;">
                      <v:fill on="f" focussize="0,0"/>
                      <v:stroke on="f"/>
                      <v:imagedata o:title=""/>
                      <o:lock v:ext="edit" aspectratio="f"/>
                      <v:textbox>
                        <w:txbxContent>
                          <w:p w14:paraId="724C0369">
                            <w:pPr>
                              <w:tabs>
                                <w:tab w:val="left" w:pos="8817"/>
                              </w:tabs>
                              <w:snapToGrid w:val="0"/>
                              <w:jc w:val="center"/>
                              <w:rPr>
                                <w:rFonts w:hAnsi="宋体"/>
                                <w:b/>
                                <w:bCs/>
                                <w:kern w:val="0"/>
                                <w:sz w:val="24"/>
                              </w:rPr>
                            </w:pPr>
                            <w:r>
                              <w:rPr>
                                <w:rFonts w:hAnsi="宋体"/>
                                <w:b/>
                                <w:bCs/>
                                <w:kern w:val="0"/>
                                <w:sz w:val="24"/>
                              </w:rPr>
                              <w:t>图</w:t>
                            </w:r>
                            <w:r>
                              <w:rPr>
                                <w:rFonts w:hint="eastAsia" w:hAnsi="宋体"/>
                                <w:b/>
                                <w:bCs/>
                                <w:kern w:val="0"/>
                                <w:sz w:val="24"/>
                              </w:rPr>
                              <w:t>2     项目产品工艺流程及产污环节</w:t>
                            </w:r>
                            <w:r>
                              <w:rPr>
                                <w:rFonts w:hAnsi="宋体"/>
                                <w:b/>
                                <w:bCs/>
                                <w:kern w:val="0"/>
                                <w:sz w:val="24"/>
                              </w:rPr>
                              <w:t>示意图</w:t>
                            </w:r>
                          </w:p>
                        </w:txbxContent>
                      </v:textbox>
                    </v:shape>
                  </w:pict>
                </mc:Fallback>
              </mc:AlternateContent>
            </w:r>
          </w:p>
          <w:p w14:paraId="5950FC2F">
            <w:pPr>
              <w:pStyle w:val="11"/>
              <w:ind w:firstLine="652" w:firstLineChars="272"/>
              <w:rPr>
                <w:sz w:val="24"/>
              </w:rPr>
            </w:pPr>
          </w:p>
          <w:p w14:paraId="09F45CCD">
            <w:pPr>
              <w:spacing w:before="48" w:beforeLines="20" w:line="360" w:lineRule="auto"/>
              <w:rPr>
                <w:sz w:val="24"/>
              </w:rPr>
            </w:pPr>
            <w:r>
              <w:rPr>
                <w:rFonts w:hint="eastAsia" w:hAnsi="宋体"/>
                <w:b/>
                <w:bCs/>
                <w:kern w:val="0"/>
                <w:sz w:val="24"/>
              </w:rPr>
              <w:t>产品</w:t>
            </w:r>
            <w:r>
              <w:rPr>
                <w:rFonts w:hint="eastAsia"/>
                <w:b/>
                <w:sz w:val="24"/>
              </w:rPr>
              <w:t>工艺流程简述：</w:t>
            </w:r>
          </w:p>
          <w:p w14:paraId="4D1DA2FF">
            <w:pPr>
              <w:spacing w:line="360" w:lineRule="auto"/>
              <w:ind w:firstLine="482" w:firstLineChars="200"/>
              <w:rPr>
                <w:b/>
                <w:sz w:val="24"/>
              </w:rPr>
            </w:pPr>
            <w:r>
              <w:rPr>
                <w:rFonts w:hint="eastAsia" w:hAnsi="宋体"/>
                <w:b/>
                <w:bCs/>
                <w:kern w:val="0"/>
                <w:sz w:val="24"/>
              </w:rPr>
              <w:t>①配料、</w:t>
            </w:r>
            <w:r>
              <w:rPr>
                <w:rFonts w:hAnsi="宋体"/>
                <w:b/>
                <w:bCs/>
                <w:kern w:val="0"/>
                <w:sz w:val="24"/>
              </w:rPr>
              <w:t>烘干</w:t>
            </w:r>
            <w:r>
              <w:rPr>
                <w:rFonts w:hint="eastAsia"/>
                <w:b/>
                <w:sz w:val="24"/>
              </w:rPr>
              <w:t>：</w:t>
            </w:r>
            <w:r>
              <w:rPr>
                <w:rFonts w:hint="eastAsia"/>
                <w:sz w:val="24"/>
              </w:rPr>
              <w:t>将P</w:t>
            </w:r>
            <w:r>
              <w:rPr>
                <w:sz w:val="24"/>
              </w:rPr>
              <w:t>ET</w:t>
            </w:r>
            <w:r>
              <w:rPr>
                <w:rFonts w:hint="eastAsia"/>
                <w:sz w:val="24"/>
              </w:rPr>
              <w:t>和PBT按照</w:t>
            </w:r>
            <w:r>
              <w:rPr>
                <w:sz w:val="24"/>
              </w:rPr>
              <w:t>1</w:t>
            </w:r>
            <w:r>
              <w:rPr>
                <w:rFonts w:hint="eastAsia"/>
                <w:sz w:val="24"/>
              </w:rPr>
              <w:t>:1的比例投入烘干机的搅拌桶内，</w:t>
            </w:r>
            <w:r>
              <w:rPr>
                <w:sz w:val="24"/>
              </w:rPr>
              <w:t>边混料</w:t>
            </w:r>
            <w:r>
              <w:rPr>
                <w:rFonts w:hint="eastAsia"/>
                <w:sz w:val="24"/>
              </w:rPr>
              <w:t>边</w:t>
            </w:r>
            <w:r>
              <w:rPr>
                <w:sz w:val="24"/>
              </w:rPr>
              <w:t>烘干，</w:t>
            </w:r>
            <w:r>
              <w:rPr>
                <w:rFonts w:hint="eastAsia"/>
                <w:sz w:val="24"/>
              </w:rPr>
              <w:t>烘干机以</w:t>
            </w:r>
            <w:r>
              <w:rPr>
                <w:sz w:val="24"/>
              </w:rPr>
              <w:t>电为能源，烘干温度为</w:t>
            </w:r>
            <w:r>
              <w:rPr>
                <w:rFonts w:hint="eastAsia"/>
                <w:sz w:val="24"/>
              </w:rPr>
              <w:t>80℃</w:t>
            </w:r>
            <w:r>
              <w:rPr>
                <w:sz w:val="24"/>
              </w:rPr>
              <w:t>，该温度未达到原料的</w:t>
            </w:r>
            <w:r>
              <w:rPr>
                <w:rFonts w:hint="eastAsia"/>
                <w:sz w:val="24"/>
              </w:rPr>
              <w:t>软化</w:t>
            </w:r>
            <w:r>
              <w:rPr>
                <w:sz w:val="24"/>
              </w:rPr>
              <w:t>温度和分解温度，主要用于烘干物料</w:t>
            </w:r>
            <w:r>
              <w:rPr>
                <w:rFonts w:hint="eastAsia"/>
                <w:sz w:val="24"/>
              </w:rPr>
              <w:t>表面</w:t>
            </w:r>
            <w:r>
              <w:rPr>
                <w:sz w:val="24"/>
              </w:rPr>
              <w:t>的水分</w:t>
            </w:r>
            <w:r>
              <w:rPr>
                <w:rFonts w:hint="eastAsia"/>
                <w:sz w:val="24"/>
              </w:rPr>
              <w:t>及</w:t>
            </w:r>
            <w:r>
              <w:rPr>
                <w:sz w:val="24"/>
              </w:rPr>
              <w:t>残留单体</w:t>
            </w:r>
            <w:r>
              <w:rPr>
                <w:rFonts w:hint="eastAsia"/>
                <w:sz w:val="24"/>
              </w:rPr>
              <w:t>。此过程中会产生废气、噪声及固废。由于</w:t>
            </w:r>
            <w:r>
              <w:rPr>
                <w:sz w:val="24"/>
              </w:rPr>
              <w:t>本项目外购的原料</w:t>
            </w:r>
            <w:r>
              <w:rPr>
                <w:rFonts w:hint="eastAsia"/>
                <w:sz w:val="24"/>
              </w:rPr>
              <w:t>为</w:t>
            </w:r>
            <w:r>
              <w:rPr>
                <w:sz w:val="24"/>
              </w:rPr>
              <w:t>粒料，粒径较大，因此在配料、烘干过程中无粉尘产生。</w:t>
            </w:r>
          </w:p>
          <w:p w14:paraId="6FBA3869">
            <w:pPr>
              <w:spacing w:line="360" w:lineRule="auto"/>
              <w:ind w:firstLine="482" w:firstLineChars="200"/>
              <w:rPr>
                <w:b/>
                <w:sz w:val="24"/>
              </w:rPr>
            </w:pPr>
            <w:r>
              <w:rPr>
                <w:rFonts w:hint="eastAsia"/>
                <w:b/>
                <w:sz w:val="24"/>
              </w:rPr>
              <w:t>②拉丝：</w:t>
            </w:r>
            <w:r>
              <w:rPr>
                <w:rFonts w:hint="eastAsia"/>
                <w:sz w:val="24"/>
              </w:rPr>
              <w:t>将烘干后</w:t>
            </w:r>
            <w:r>
              <w:rPr>
                <w:sz w:val="24"/>
              </w:rPr>
              <w:t>的原料通过绞龙</w:t>
            </w:r>
            <w:r>
              <w:rPr>
                <w:rFonts w:hint="eastAsia"/>
                <w:sz w:val="24"/>
              </w:rPr>
              <w:t>密闭</w:t>
            </w:r>
            <w:r>
              <w:rPr>
                <w:sz w:val="24"/>
              </w:rPr>
              <w:t>输送至拉丝机</w:t>
            </w:r>
            <w:r>
              <w:rPr>
                <w:rFonts w:hint="eastAsia"/>
                <w:sz w:val="24"/>
              </w:rPr>
              <w:t>，物料经</w:t>
            </w:r>
            <w:r>
              <w:rPr>
                <w:sz w:val="24"/>
              </w:rPr>
              <w:t>热熔</w:t>
            </w:r>
            <w:r>
              <w:rPr>
                <w:rFonts w:hint="eastAsia"/>
                <w:sz w:val="24"/>
              </w:rPr>
              <w:t>软化</w:t>
            </w:r>
            <w:r>
              <w:rPr>
                <w:sz w:val="24"/>
              </w:rPr>
              <w:t>后，通过拉丝机内的模具挤出，</w:t>
            </w:r>
            <w:r>
              <w:rPr>
                <w:rFonts w:hint="eastAsia"/>
                <w:sz w:val="24"/>
              </w:rPr>
              <w:t>软化</w:t>
            </w:r>
            <w:r>
              <w:rPr>
                <w:sz w:val="24"/>
              </w:rPr>
              <w:t>后的物料被迫通过</w:t>
            </w:r>
            <w:r>
              <w:rPr>
                <w:rFonts w:hint="eastAsia"/>
                <w:sz w:val="24"/>
              </w:rPr>
              <w:t>一系列</w:t>
            </w:r>
            <w:r>
              <w:rPr>
                <w:sz w:val="24"/>
              </w:rPr>
              <w:t>小孔同时挤出</w:t>
            </w:r>
            <w:r>
              <w:rPr>
                <w:rFonts w:hint="eastAsia"/>
                <w:sz w:val="24"/>
              </w:rPr>
              <w:t>，</w:t>
            </w:r>
            <w:r>
              <w:rPr>
                <w:sz w:val="24"/>
              </w:rPr>
              <w:t>根据企业提供的设备参数，一次</w:t>
            </w:r>
            <w:r>
              <w:rPr>
                <w:rFonts w:hint="eastAsia"/>
                <w:sz w:val="24"/>
              </w:rPr>
              <w:t>为300孔</w:t>
            </w:r>
            <w:r>
              <w:rPr>
                <w:sz w:val="24"/>
              </w:rPr>
              <w:t>，即同时有</w:t>
            </w:r>
            <w:r>
              <w:rPr>
                <w:rFonts w:hint="eastAsia"/>
                <w:sz w:val="24"/>
              </w:rPr>
              <w:t>300根</w:t>
            </w:r>
            <w:r>
              <w:rPr>
                <w:sz w:val="24"/>
              </w:rPr>
              <w:t>丝被拉出</w:t>
            </w:r>
            <w:r>
              <w:rPr>
                <w:rFonts w:hint="eastAsia"/>
                <w:sz w:val="24"/>
              </w:rPr>
              <w:t>，</w:t>
            </w:r>
            <w:r>
              <w:rPr>
                <w:sz w:val="24"/>
              </w:rPr>
              <w:t>拉丝机工作</w:t>
            </w:r>
            <w:r>
              <w:rPr>
                <w:rFonts w:hint="eastAsia"/>
                <w:sz w:val="24"/>
              </w:rPr>
              <w:t>温度</w:t>
            </w:r>
            <w:r>
              <w:rPr>
                <w:sz w:val="24"/>
              </w:rPr>
              <w:t>约</w:t>
            </w:r>
            <w:r>
              <w:rPr>
                <w:rFonts w:hint="eastAsia"/>
                <w:sz w:val="24"/>
              </w:rPr>
              <w:t>230℃。此过程中会产生废气、噪声。</w:t>
            </w:r>
          </w:p>
          <w:p w14:paraId="6FD17D02">
            <w:pPr>
              <w:spacing w:line="360" w:lineRule="auto"/>
              <w:ind w:firstLine="482" w:firstLineChars="200"/>
              <w:rPr>
                <w:sz w:val="24"/>
              </w:rPr>
            </w:pPr>
            <w:r>
              <w:rPr>
                <w:rFonts w:hint="eastAsia"/>
                <w:b/>
                <w:sz w:val="24"/>
              </w:rPr>
              <w:t>③包丝、</w:t>
            </w:r>
            <w:r>
              <w:rPr>
                <w:b/>
                <w:sz w:val="24"/>
              </w:rPr>
              <w:t>分切</w:t>
            </w:r>
            <w:r>
              <w:rPr>
                <w:rFonts w:hint="eastAsia"/>
                <w:b/>
                <w:sz w:val="24"/>
              </w:rPr>
              <w:t>：</w:t>
            </w:r>
            <w:r>
              <w:rPr>
                <w:rFonts w:hint="eastAsia"/>
                <w:sz w:val="24"/>
              </w:rPr>
              <w:t>一台拉丝机</w:t>
            </w:r>
            <w:r>
              <w:rPr>
                <w:sz w:val="24"/>
              </w:rPr>
              <w:t>可同时出丝</w:t>
            </w:r>
            <w:r>
              <w:rPr>
                <w:rFonts w:hint="eastAsia"/>
                <w:sz w:val="24"/>
              </w:rPr>
              <w:t>300根</w:t>
            </w:r>
            <w:r>
              <w:rPr>
                <w:sz w:val="24"/>
              </w:rPr>
              <w:t>，</w:t>
            </w:r>
            <w:r>
              <w:rPr>
                <w:rFonts w:hint="eastAsia"/>
                <w:sz w:val="24"/>
              </w:rPr>
              <w:t>为</w:t>
            </w:r>
            <w:r>
              <w:rPr>
                <w:sz w:val="24"/>
              </w:rPr>
              <w:t>方便后续操作，</w:t>
            </w:r>
            <w:r>
              <w:rPr>
                <w:rFonts w:hint="eastAsia"/>
                <w:sz w:val="24"/>
              </w:rPr>
              <w:t>以及</w:t>
            </w:r>
            <w:r>
              <w:rPr>
                <w:sz w:val="24"/>
              </w:rPr>
              <w:t>防止工人手直接碰触产品，需采</w:t>
            </w:r>
            <w:r>
              <w:rPr>
                <w:rFonts w:hint="eastAsia"/>
                <w:sz w:val="24"/>
              </w:rPr>
              <w:t>用塑料</w:t>
            </w:r>
            <w:r>
              <w:rPr>
                <w:sz w:val="24"/>
              </w:rPr>
              <w:t>薄膜对300</w:t>
            </w:r>
            <w:r>
              <w:rPr>
                <w:rFonts w:hint="eastAsia"/>
                <w:sz w:val="24"/>
              </w:rPr>
              <w:t>根</w:t>
            </w:r>
            <w:r>
              <w:rPr>
                <w:sz w:val="24"/>
              </w:rPr>
              <w:t>丝进行包丝成捆，</w:t>
            </w:r>
            <w:r>
              <w:rPr>
                <w:rFonts w:hint="eastAsia"/>
                <w:sz w:val="24"/>
              </w:rPr>
              <w:t>后续</w:t>
            </w:r>
            <w:r>
              <w:rPr>
                <w:sz w:val="24"/>
              </w:rPr>
              <w:t>操作手只可碰触塑料薄膜，</w:t>
            </w:r>
            <w:r>
              <w:rPr>
                <w:rFonts w:hint="eastAsia"/>
                <w:sz w:val="24"/>
              </w:rPr>
              <w:t>然后</w:t>
            </w:r>
            <w:r>
              <w:rPr>
                <w:sz w:val="24"/>
              </w:rPr>
              <w:t>根据客户</w:t>
            </w:r>
            <w:r>
              <w:rPr>
                <w:rFonts w:hint="eastAsia"/>
                <w:sz w:val="24"/>
              </w:rPr>
              <w:t>订单</w:t>
            </w:r>
            <w:r>
              <w:rPr>
                <w:sz w:val="24"/>
              </w:rPr>
              <w:t>需求定长、分切</w:t>
            </w:r>
            <w:r>
              <w:rPr>
                <w:rFonts w:hint="eastAsia"/>
                <w:sz w:val="24"/>
              </w:rPr>
              <w:t>。此过程中会产生固废、噪声。</w:t>
            </w:r>
          </w:p>
          <w:p w14:paraId="264B1029">
            <w:pPr>
              <w:spacing w:line="360" w:lineRule="auto"/>
              <w:ind w:firstLine="482" w:firstLineChars="200"/>
              <w:rPr>
                <w:sz w:val="24"/>
              </w:rPr>
            </w:pPr>
            <w:r>
              <w:rPr>
                <w:rFonts w:hint="eastAsia"/>
                <w:b/>
                <w:sz w:val="24"/>
              </w:rPr>
              <w:t>④磨尖：</w:t>
            </w:r>
            <w:r>
              <w:rPr>
                <w:rFonts w:hint="eastAsia"/>
                <w:bCs/>
                <w:sz w:val="24"/>
              </w:rPr>
              <w:t>部分</w:t>
            </w:r>
            <w:r>
              <w:rPr>
                <w:bCs/>
                <w:sz w:val="24"/>
              </w:rPr>
              <w:t>牙刷刷毛的顶端经过特殊处理，使其变得更加尖锐，以便更好地清洁牙齿和牙龈。</w:t>
            </w:r>
            <w:r>
              <w:rPr>
                <w:rFonts w:hint="eastAsia"/>
                <w:bCs/>
                <w:sz w:val="24"/>
              </w:rPr>
              <w:t>本项目</w:t>
            </w:r>
            <w:r>
              <w:rPr>
                <w:bCs/>
                <w:sz w:val="24"/>
              </w:rPr>
              <w:t>通过湿式物理磨削方法，</w:t>
            </w:r>
            <w:r>
              <w:rPr>
                <w:rFonts w:hint="eastAsia"/>
                <w:bCs/>
                <w:sz w:val="24"/>
              </w:rPr>
              <w:t>磨尖</w:t>
            </w:r>
            <w:r>
              <w:rPr>
                <w:bCs/>
                <w:sz w:val="24"/>
              </w:rPr>
              <w:t>时设备自带喷</w:t>
            </w:r>
            <w:r>
              <w:rPr>
                <w:rFonts w:hint="eastAsia"/>
                <w:bCs/>
                <w:sz w:val="24"/>
              </w:rPr>
              <w:t>头</w:t>
            </w:r>
            <w:r>
              <w:rPr>
                <w:bCs/>
                <w:sz w:val="24"/>
              </w:rPr>
              <w:t>，</w:t>
            </w:r>
            <w:r>
              <w:rPr>
                <w:rFonts w:hint="eastAsia"/>
                <w:bCs/>
                <w:sz w:val="24"/>
              </w:rPr>
              <w:t>喷水</w:t>
            </w:r>
            <w:r>
              <w:rPr>
                <w:bCs/>
                <w:sz w:val="24"/>
              </w:rPr>
              <w:t>可起到降尘、降温的作用，该过程主要产生噪声和废水。</w:t>
            </w:r>
          </w:p>
          <w:p w14:paraId="110FDCE6">
            <w:pPr>
              <w:spacing w:line="360" w:lineRule="auto"/>
              <w:ind w:firstLine="482" w:firstLineChars="200"/>
              <w:rPr>
                <w:sz w:val="24"/>
              </w:rPr>
            </w:pPr>
            <w:r>
              <w:rPr>
                <w:rFonts w:hint="eastAsia"/>
                <w:b/>
                <w:sz w:val="24"/>
              </w:rPr>
              <w:t>⑤清洗：</w:t>
            </w:r>
            <w:r>
              <w:rPr>
                <w:rFonts w:hint="eastAsia"/>
                <w:sz w:val="24"/>
              </w:rPr>
              <w:t>磨尖过程</w:t>
            </w:r>
            <w:r>
              <w:rPr>
                <w:sz w:val="24"/>
              </w:rPr>
              <w:t>中产生的打磨</w:t>
            </w:r>
            <w:r>
              <w:rPr>
                <w:rFonts w:hint="eastAsia"/>
                <w:sz w:val="24"/>
              </w:rPr>
              <w:t>碎屑附着</w:t>
            </w:r>
            <w:r>
              <w:rPr>
                <w:sz w:val="24"/>
              </w:rPr>
              <w:t>在</w:t>
            </w:r>
            <w:r>
              <w:rPr>
                <w:rFonts w:hint="eastAsia"/>
                <w:sz w:val="24"/>
              </w:rPr>
              <w:t>牙刷丝</w:t>
            </w:r>
            <w:r>
              <w:rPr>
                <w:sz w:val="24"/>
              </w:rPr>
              <w:t>表面，需通过清水漂洗，洗去表面碎屑</w:t>
            </w:r>
            <w:r>
              <w:rPr>
                <w:rFonts w:hint="eastAsia"/>
                <w:sz w:val="24"/>
              </w:rPr>
              <w:t>。此过程中会产生废水。无需磨尖的牙刷丝因切割过程中可能产生的碎屑，也许进行清洗进入下一工序。</w:t>
            </w:r>
          </w:p>
          <w:p w14:paraId="039E9E77">
            <w:pPr>
              <w:spacing w:line="360" w:lineRule="auto"/>
              <w:ind w:firstLine="482" w:firstLineChars="200"/>
              <w:rPr>
                <w:sz w:val="24"/>
              </w:rPr>
            </w:pPr>
            <w:r>
              <w:rPr>
                <w:rFonts w:hint="eastAsia"/>
                <w:b/>
                <w:sz w:val="24"/>
              </w:rPr>
              <w:t>⑥晾晒、</w:t>
            </w:r>
            <w:r>
              <w:rPr>
                <w:b/>
                <w:sz w:val="24"/>
              </w:rPr>
              <w:t>理丝、包装</w:t>
            </w:r>
            <w:r>
              <w:rPr>
                <w:rFonts w:hint="eastAsia"/>
                <w:b/>
                <w:sz w:val="24"/>
              </w:rPr>
              <w:t>：</w:t>
            </w:r>
            <w:r>
              <w:rPr>
                <w:rFonts w:hint="eastAsia"/>
                <w:sz w:val="24"/>
              </w:rPr>
              <w:t>将清洗</w:t>
            </w:r>
            <w:r>
              <w:rPr>
                <w:sz w:val="24"/>
              </w:rPr>
              <w:t>后</w:t>
            </w:r>
            <w:r>
              <w:rPr>
                <w:rFonts w:hint="eastAsia"/>
                <w:sz w:val="24"/>
              </w:rPr>
              <w:t>的牙刷丝</w:t>
            </w:r>
            <w:r>
              <w:rPr>
                <w:sz w:val="24"/>
              </w:rPr>
              <w:t>平铺在晾晒台上自然晾干</w:t>
            </w:r>
            <w:r>
              <w:rPr>
                <w:rFonts w:hint="eastAsia"/>
                <w:sz w:val="24"/>
              </w:rPr>
              <w:t>，人工理丝后，打包入库出售。理丝过程</w:t>
            </w:r>
            <w:r>
              <w:rPr>
                <w:sz w:val="24"/>
              </w:rPr>
              <w:t>中如果产生被折断的牙刷丝，直接返回</w:t>
            </w:r>
            <w:r>
              <w:rPr>
                <w:rFonts w:hint="eastAsia"/>
                <w:sz w:val="24"/>
              </w:rPr>
              <w:t>拉丝</w:t>
            </w:r>
            <w:r>
              <w:rPr>
                <w:sz w:val="24"/>
              </w:rPr>
              <w:t>工序再利用</w:t>
            </w:r>
            <w:r>
              <w:rPr>
                <w:rFonts w:hint="eastAsia"/>
                <w:sz w:val="24"/>
              </w:rPr>
              <w:t>。</w:t>
            </w:r>
          </w:p>
          <w:p w14:paraId="02CA6320">
            <w:pPr>
              <w:spacing w:line="360" w:lineRule="auto"/>
              <w:ind w:firstLine="482" w:firstLineChars="200"/>
              <w:jc w:val="left"/>
              <w:rPr>
                <w:b/>
                <w:sz w:val="24"/>
              </w:rPr>
            </w:pPr>
            <w:r>
              <w:rPr>
                <w:rFonts w:hint="eastAsia"/>
                <w:b/>
                <w:sz w:val="24"/>
              </w:rPr>
              <w:t>3、主要污染工序</w:t>
            </w:r>
          </w:p>
          <w:p w14:paraId="3D380D6C">
            <w:pPr>
              <w:pStyle w:val="11"/>
              <w:spacing w:line="360" w:lineRule="auto"/>
              <w:ind w:firstLine="480"/>
              <w:rPr>
                <w:sz w:val="24"/>
              </w:rPr>
            </w:pPr>
            <w:r>
              <w:rPr>
                <w:rFonts w:hint="eastAsia"/>
                <w:sz w:val="24"/>
              </w:rPr>
              <w:t>项目运营期主要污染物类型及产污环节详见表12。</w:t>
            </w:r>
          </w:p>
          <w:p w14:paraId="66D0B741">
            <w:pPr>
              <w:snapToGrid w:val="0"/>
              <w:jc w:val="center"/>
              <w:rPr>
                <w:b/>
                <w:sz w:val="24"/>
              </w:rPr>
            </w:pPr>
            <w:r>
              <w:rPr>
                <w:rFonts w:hint="eastAsia"/>
                <w:b/>
                <w:sz w:val="24"/>
              </w:rPr>
              <w:t>表12   项目运营期主要污染物类型及产污环节一览表</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467"/>
              <w:gridCol w:w="3634"/>
              <w:gridCol w:w="3498"/>
            </w:tblGrid>
            <w:tr w14:paraId="5B599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853" w:type="pct"/>
                  <w:tcBorders>
                    <w:top w:val="single" w:color="auto" w:sz="4" w:space="0"/>
                    <w:left w:val="single" w:color="auto" w:sz="4" w:space="0"/>
                    <w:bottom w:val="single" w:color="auto" w:sz="4" w:space="0"/>
                    <w:right w:val="single" w:color="auto" w:sz="4" w:space="0"/>
                  </w:tcBorders>
                  <w:vAlign w:val="center"/>
                </w:tcPr>
                <w:p w14:paraId="02CD3273">
                  <w:pPr>
                    <w:jc w:val="center"/>
                    <w:rPr>
                      <w:szCs w:val="21"/>
                    </w:rPr>
                  </w:pPr>
                  <w:r>
                    <w:rPr>
                      <w:rFonts w:hint="eastAsia"/>
                      <w:szCs w:val="21"/>
                    </w:rPr>
                    <w:t>类别</w:t>
                  </w:r>
                </w:p>
              </w:tc>
              <w:tc>
                <w:tcPr>
                  <w:tcW w:w="2113" w:type="pct"/>
                  <w:tcBorders>
                    <w:top w:val="single" w:color="auto" w:sz="4" w:space="0"/>
                    <w:left w:val="single" w:color="auto" w:sz="4" w:space="0"/>
                    <w:bottom w:val="single" w:color="auto" w:sz="4" w:space="0"/>
                    <w:right w:val="single" w:color="auto" w:sz="4" w:space="0"/>
                  </w:tcBorders>
                  <w:vAlign w:val="center"/>
                </w:tcPr>
                <w:p w14:paraId="601DC59D">
                  <w:pPr>
                    <w:jc w:val="center"/>
                    <w:rPr>
                      <w:szCs w:val="21"/>
                    </w:rPr>
                  </w:pPr>
                  <w:r>
                    <w:rPr>
                      <w:rFonts w:hint="eastAsia"/>
                      <w:szCs w:val="21"/>
                    </w:rPr>
                    <w:t>污染源</w:t>
                  </w:r>
                </w:p>
              </w:tc>
              <w:tc>
                <w:tcPr>
                  <w:tcW w:w="2034" w:type="pct"/>
                  <w:tcBorders>
                    <w:top w:val="single" w:color="auto" w:sz="4" w:space="0"/>
                    <w:left w:val="single" w:color="auto" w:sz="4" w:space="0"/>
                    <w:bottom w:val="single" w:color="auto" w:sz="4" w:space="0"/>
                    <w:right w:val="single" w:color="auto" w:sz="4" w:space="0"/>
                  </w:tcBorders>
                  <w:vAlign w:val="center"/>
                </w:tcPr>
                <w:p w14:paraId="7B927591">
                  <w:pPr>
                    <w:jc w:val="center"/>
                    <w:rPr>
                      <w:szCs w:val="21"/>
                    </w:rPr>
                  </w:pPr>
                  <w:r>
                    <w:rPr>
                      <w:rFonts w:hint="eastAsia"/>
                      <w:szCs w:val="21"/>
                    </w:rPr>
                    <w:t>污染因子</w:t>
                  </w:r>
                </w:p>
              </w:tc>
            </w:tr>
            <w:tr w14:paraId="316A3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853" w:type="pct"/>
                  <w:vMerge w:val="restart"/>
                  <w:tcBorders>
                    <w:top w:val="single" w:color="auto" w:sz="4" w:space="0"/>
                    <w:left w:val="single" w:color="auto" w:sz="4" w:space="0"/>
                    <w:right w:val="single" w:color="auto" w:sz="4" w:space="0"/>
                  </w:tcBorders>
                  <w:vAlign w:val="center"/>
                </w:tcPr>
                <w:p w14:paraId="70AB1102">
                  <w:pPr>
                    <w:jc w:val="center"/>
                    <w:rPr>
                      <w:szCs w:val="21"/>
                    </w:rPr>
                  </w:pPr>
                  <w:r>
                    <w:rPr>
                      <w:rFonts w:hint="eastAsia"/>
                      <w:szCs w:val="21"/>
                    </w:rPr>
                    <w:t>废气</w:t>
                  </w:r>
                </w:p>
              </w:tc>
              <w:tc>
                <w:tcPr>
                  <w:tcW w:w="2113" w:type="pct"/>
                  <w:tcBorders>
                    <w:top w:val="single" w:color="auto" w:sz="4" w:space="0"/>
                    <w:left w:val="single" w:color="auto" w:sz="4" w:space="0"/>
                    <w:bottom w:val="single" w:color="auto" w:sz="4" w:space="0"/>
                    <w:right w:val="single" w:color="auto" w:sz="4" w:space="0"/>
                  </w:tcBorders>
                  <w:vAlign w:val="center"/>
                </w:tcPr>
                <w:p w14:paraId="52B9A976">
                  <w:pPr>
                    <w:jc w:val="center"/>
                    <w:rPr>
                      <w:szCs w:val="21"/>
                    </w:rPr>
                  </w:pPr>
                  <w:r>
                    <w:rPr>
                      <w:rFonts w:hint="eastAsia"/>
                      <w:szCs w:val="21"/>
                    </w:rPr>
                    <w:t>烘干</w:t>
                  </w:r>
                  <w:r>
                    <w:rPr>
                      <w:szCs w:val="21"/>
                    </w:rPr>
                    <w:t>废气</w:t>
                  </w:r>
                </w:p>
              </w:tc>
              <w:tc>
                <w:tcPr>
                  <w:tcW w:w="2034" w:type="pct"/>
                  <w:tcBorders>
                    <w:top w:val="single" w:color="auto" w:sz="4" w:space="0"/>
                    <w:left w:val="single" w:color="auto" w:sz="4" w:space="0"/>
                    <w:bottom w:val="single" w:color="auto" w:sz="4" w:space="0"/>
                    <w:right w:val="single" w:color="auto" w:sz="4" w:space="0"/>
                  </w:tcBorders>
                  <w:vAlign w:val="center"/>
                </w:tcPr>
                <w:p w14:paraId="375EF90F">
                  <w:pPr>
                    <w:jc w:val="center"/>
                    <w:rPr>
                      <w:szCs w:val="21"/>
                    </w:rPr>
                  </w:pPr>
                  <w:r>
                    <w:rPr>
                      <w:rFonts w:hint="eastAsia"/>
                      <w:szCs w:val="21"/>
                    </w:rPr>
                    <w:t>非甲烷总烃</w:t>
                  </w:r>
                </w:p>
              </w:tc>
            </w:tr>
            <w:tr w14:paraId="68B8C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853" w:type="pct"/>
                  <w:vMerge w:val="continue"/>
                  <w:tcBorders>
                    <w:left w:val="single" w:color="auto" w:sz="4" w:space="0"/>
                    <w:right w:val="single" w:color="auto" w:sz="4" w:space="0"/>
                  </w:tcBorders>
                  <w:vAlign w:val="center"/>
                </w:tcPr>
                <w:p w14:paraId="469BAE5E">
                  <w:pPr>
                    <w:jc w:val="center"/>
                    <w:rPr>
                      <w:szCs w:val="21"/>
                    </w:rPr>
                  </w:pPr>
                </w:p>
              </w:tc>
              <w:tc>
                <w:tcPr>
                  <w:tcW w:w="2113" w:type="pct"/>
                  <w:tcBorders>
                    <w:top w:val="single" w:color="auto" w:sz="4" w:space="0"/>
                    <w:left w:val="single" w:color="auto" w:sz="4" w:space="0"/>
                    <w:bottom w:val="single" w:color="auto" w:sz="4" w:space="0"/>
                    <w:right w:val="single" w:color="auto" w:sz="4" w:space="0"/>
                  </w:tcBorders>
                  <w:vAlign w:val="center"/>
                </w:tcPr>
                <w:p w14:paraId="755AEA31">
                  <w:pPr>
                    <w:jc w:val="center"/>
                    <w:rPr>
                      <w:szCs w:val="21"/>
                    </w:rPr>
                  </w:pPr>
                  <w:r>
                    <w:rPr>
                      <w:rFonts w:hint="eastAsia"/>
                      <w:szCs w:val="21"/>
                    </w:rPr>
                    <w:t>拉丝</w:t>
                  </w:r>
                  <w:r>
                    <w:rPr>
                      <w:szCs w:val="21"/>
                    </w:rPr>
                    <w:t>废气</w:t>
                  </w:r>
                </w:p>
              </w:tc>
              <w:tc>
                <w:tcPr>
                  <w:tcW w:w="2034" w:type="pct"/>
                  <w:tcBorders>
                    <w:top w:val="single" w:color="auto" w:sz="4" w:space="0"/>
                    <w:left w:val="single" w:color="auto" w:sz="4" w:space="0"/>
                    <w:bottom w:val="single" w:color="auto" w:sz="4" w:space="0"/>
                    <w:right w:val="single" w:color="auto" w:sz="4" w:space="0"/>
                  </w:tcBorders>
                  <w:vAlign w:val="center"/>
                </w:tcPr>
                <w:p w14:paraId="59304C34">
                  <w:pPr>
                    <w:jc w:val="center"/>
                    <w:rPr>
                      <w:szCs w:val="21"/>
                    </w:rPr>
                  </w:pPr>
                  <w:r>
                    <w:rPr>
                      <w:rFonts w:hint="eastAsia"/>
                      <w:szCs w:val="21"/>
                    </w:rPr>
                    <w:t>非甲烷总烃</w:t>
                  </w:r>
                </w:p>
              </w:tc>
            </w:tr>
            <w:tr w14:paraId="30800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853" w:type="pct"/>
                  <w:vMerge w:val="restart"/>
                  <w:tcBorders>
                    <w:top w:val="single" w:color="auto" w:sz="4" w:space="0"/>
                    <w:left w:val="single" w:color="auto" w:sz="4" w:space="0"/>
                    <w:right w:val="single" w:color="auto" w:sz="4" w:space="0"/>
                  </w:tcBorders>
                  <w:vAlign w:val="center"/>
                </w:tcPr>
                <w:p w14:paraId="3310E5E9">
                  <w:pPr>
                    <w:widowControl/>
                    <w:jc w:val="center"/>
                    <w:rPr>
                      <w:szCs w:val="21"/>
                    </w:rPr>
                  </w:pPr>
                  <w:r>
                    <w:rPr>
                      <w:rFonts w:hint="eastAsia"/>
                      <w:szCs w:val="21"/>
                    </w:rPr>
                    <w:t>废水</w:t>
                  </w:r>
                </w:p>
              </w:tc>
              <w:tc>
                <w:tcPr>
                  <w:tcW w:w="2113" w:type="pct"/>
                  <w:tcBorders>
                    <w:top w:val="single" w:color="auto" w:sz="4" w:space="0"/>
                    <w:left w:val="single" w:color="auto" w:sz="4" w:space="0"/>
                    <w:bottom w:val="single" w:color="auto" w:sz="4" w:space="0"/>
                    <w:right w:val="single" w:color="auto" w:sz="4" w:space="0"/>
                  </w:tcBorders>
                  <w:vAlign w:val="center"/>
                </w:tcPr>
                <w:p w14:paraId="3083FAE4">
                  <w:pPr>
                    <w:jc w:val="center"/>
                    <w:rPr>
                      <w:szCs w:val="21"/>
                    </w:rPr>
                  </w:pPr>
                  <w:r>
                    <w:rPr>
                      <w:rFonts w:hint="eastAsia"/>
                      <w:szCs w:val="21"/>
                    </w:rPr>
                    <w:t>职工生活废水</w:t>
                  </w:r>
                </w:p>
              </w:tc>
              <w:tc>
                <w:tcPr>
                  <w:tcW w:w="2034" w:type="pct"/>
                  <w:tcBorders>
                    <w:top w:val="single" w:color="auto" w:sz="4" w:space="0"/>
                    <w:left w:val="single" w:color="auto" w:sz="4" w:space="0"/>
                    <w:bottom w:val="single" w:color="auto" w:sz="4" w:space="0"/>
                    <w:right w:val="single" w:color="auto" w:sz="4" w:space="0"/>
                  </w:tcBorders>
                  <w:vAlign w:val="center"/>
                </w:tcPr>
                <w:p w14:paraId="429570AA">
                  <w:pPr>
                    <w:jc w:val="center"/>
                    <w:rPr>
                      <w:szCs w:val="21"/>
                    </w:rPr>
                  </w:pPr>
                  <w:r>
                    <w:rPr>
                      <w:szCs w:val="21"/>
                    </w:rPr>
                    <w:t>COD</w:t>
                  </w:r>
                  <w:r>
                    <w:rPr>
                      <w:rFonts w:hint="eastAsia"/>
                      <w:szCs w:val="21"/>
                    </w:rPr>
                    <w:t>、</w:t>
                  </w:r>
                  <w:r>
                    <w:rPr>
                      <w:szCs w:val="21"/>
                    </w:rPr>
                    <w:t>SS</w:t>
                  </w:r>
                  <w:r>
                    <w:rPr>
                      <w:rFonts w:hint="eastAsia"/>
                      <w:szCs w:val="21"/>
                    </w:rPr>
                    <w:t>、氨氮、BOD</w:t>
                  </w:r>
                  <w:r>
                    <w:rPr>
                      <w:rFonts w:hint="eastAsia"/>
                      <w:szCs w:val="21"/>
                      <w:vertAlign w:val="subscript"/>
                    </w:rPr>
                    <w:t>5</w:t>
                  </w:r>
                </w:p>
              </w:tc>
            </w:tr>
            <w:tr w14:paraId="20A05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853" w:type="pct"/>
                  <w:vMerge w:val="continue"/>
                  <w:tcBorders>
                    <w:left w:val="single" w:color="auto" w:sz="4" w:space="0"/>
                    <w:right w:val="single" w:color="auto" w:sz="4" w:space="0"/>
                  </w:tcBorders>
                  <w:vAlign w:val="center"/>
                </w:tcPr>
                <w:p w14:paraId="3169165B">
                  <w:pPr>
                    <w:widowControl/>
                    <w:jc w:val="center"/>
                    <w:rPr>
                      <w:szCs w:val="21"/>
                    </w:rPr>
                  </w:pPr>
                </w:p>
              </w:tc>
              <w:tc>
                <w:tcPr>
                  <w:tcW w:w="2113" w:type="pct"/>
                  <w:tcBorders>
                    <w:top w:val="single" w:color="auto" w:sz="4" w:space="0"/>
                    <w:left w:val="single" w:color="auto" w:sz="4" w:space="0"/>
                    <w:bottom w:val="single" w:color="auto" w:sz="4" w:space="0"/>
                    <w:right w:val="single" w:color="auto" w:sz="4" w:space="0"/>
                  </w:tcBorders>
                  <w:vAlign w:val="center"/>
                </w:tcPr>
                <w:p w14:paraId="04A71C75">
                  <w:pPr>
                    <w:jc w:val="center"/>
                    <w:rPr>
                      <w:szCs w:val="21"/>
                    </w:rPr>
                  </w:pPr>
                  <w:r>
                    <w:rPr>
                      <w:rFonts w:hint="eastAsia"/>
                      <w:szCs w:val="21"/>
                    </w:rPr>
                    <w:t>清洗</w:t>
                  </w:r>
                  <w:r>
                    <w:rPr>
                      <w:szCs w:val="21"/>
                    </w:rPr>
                    <w:t>废水</w:t>
                  </w:r>
                </w:p>
              </w:tc>
              <w:tc>
                <w:tcPr>
                  <w:tcW w:w="2034" w:type="pct"/>
                  <w:tcBorders>
                    <w:top w:val="single" w:color="auto" w:sz="4" w:space="0"/>
                    <w:left w:val="single" w:color="auto" w:sz="4" w:space="0"/>
                    <w:bottom w:val="single" w:color="auto" w:sz="4" w:space="0"/>
                    <w:right w:val="single" w:color="auto" w:sz="4" w:space="0"/>
                  </w:tcBorders>
                  <w:vAlign w:val="center"/>
                </w:tcPr>
                <w:p w14:paraId="004A712A">
                  <w:pPr>
                    <w:jc w:val="center"/>
                    <w:rPr>
                      <w:szCs w:val="21"/>
                    </w:rPr>
                  </w:pPr>
                  <w:r>
                    <w:rPr>
                      <w:szCs w:val="21"/>
                    </w:rPr>
                    <w:t>SS</w:t>
                  </w:r>
                </w:p>
              </w:tc>
            </w:tr>
            <w:tr w14:paraId="3FCEC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853" w:type="pct"/>
                  <w:vMerge w:val="continue"/>
                  <w:tcBorders>
                    <w:left w:val="single" w:color="auto" w:sz="4" w:space="0"/>
                    <w:bottom w:val="single" w:color="auto" w:sz="4" w:space="0"/>
                    <w:right w:val="single" w:color="auto" w:sz="4" w:space="0"/>
                  </w:tcBorders>
                  <w:vAlign w:val="center"/>
                </w:tcPr>
                <w:p w14:paraId="0E967105">
                  <w:pPr>
                    <w:widowControl/>
                    <w:jc w:val="center"/>
                    <w:rPr>
                      <w:szCs w:val="21"/>
                    </w:rPr>
                  </w:pPr>
                </w:p>
              </w:tc>
              <w:tc>
                <w:tcPr>
                  <w:tcW w:w="2113" w:type="pct"/>
                  <w:tcBorders>
                    <w:top w:val="single" w:color="auto" w:sz="4" w:space="0"/>
                    <w:left w:val="single" w:color="auto" w:sz="4" w:space="0"/>
                    <w:bottom w:val="single" w:color="auto" w:sz="4" w:space="0"/>
                    <w:right w:val="single" w:color="auto" w:sz="4" w:space="0"/>
                  </w:tcBorders>
                  <w:vAlign w:val="center"/>
                </w:tcPr>
                <w:p w14:paraId="07B503D6">
                  <w:pPr>
                    <w:jc w:val="center"/>
                    <w:rPr>
                      <w:szCs w:val="21"/>
                    </w:rPr>
                  </w:pPr>
                  <w:r>
                    <w:rPr>
                      <w:rFonts w:hint="eastAsia"/>
                      <w:szCs w:val="21"/>
                    </w:rPr>
                    <w:t>磨尖</w:t>
                  </w:r>
                  <w:r>
                    <w:rPr>
                      <w:szCs w:val="21"/>
                    </w:rPr>
                    <w:t>废水</w:t>
                  </w:r>
                </w:p>
              </w:tc>
              <w:tc>
                <w:tcPr>
                  <w:tcW w:w="2034" w:type="pct"/>
                  <w:tcBorders>
                    <w:top w:val="single" w:color="auto" w:sz="4" w:space="0"/>
                    <w:left w:val="single" w:color="auto" w:sz="4" w:space="0"/>
                    <w:bottom w:val="single" w:color="auto" w:sz="4" w:space="0"/>
                    <w:right w:val="single" w:color="auto" w:sz="4" w:space="0"/>
                  </w:tcBorders>
                  <w:vAlign w:val="center"/>
                </w:tcPr>
                <w:p w14:paraId="4F2C5DE1">
                  <w:pPr>
                    <w:jc w:val="center"/>
                    <w:rPr>
                      <w:szCs w:val="21"/>
                    </w:rPr>
                  </w:pPr>
                  <w:r>
                    <w:rPr>
                      <w:szCs w:val="21"/>
                    </w:rPr>
                    <w:t>SS</w:t>
                  </w:r>
                </w:p>
              </w:tc>
            </w:tr>
            <w:tr w14:paraId="56797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853" w:type="pct"/>
                  <w:tcBorders>
                    <w:top w:val="single" w:color="auto" w:sz="4" w:space="0"/>
                    <w:left w:val="single" w:color="auto" w:sz="4" w:space="0"/>
                    <w:bottom w:val="single" w:color="auto" w:sz="4" w:space="0"/>
                    <w:right w:val="single" w:color="auto" w:sz="4" w:space="0"/>
                  </w:tcBorders>
                  <w:vAlign w:val="center"/>
                </w:tcPr>
                <w:p w14:paraId="4942C3BD">
                  <w:pPr>
                    <w:jc w:val="center"/>
                    <w:rPr>
                      <w:szCs w:val="21"/>
                    </w:rPr>
                  </w:pPr>
                  <w:r>
                    <w:rPr>
                      <w:rFonts w:hint="eastAsia"/>
                      <w:szCs w:val="21"/>
                    </w:rPr>
                    <w:t>噪声</w:t>
                  </w:r>
                </w:p>
              </w:tc>
              <w:tc>
                <w:tcPr>
                  <w:tcW w:w="2113" w:type="pct"/>
                  <w:tcBorders>
                    <w:top w:val="single" w:color="auto" w:sz="4" w:space="0"/>
                    <w:left w:val="single" w:color="auto" w:sz="4" w:space="0"/>
                    <w:bottom w:val="single" w:color="auto" w:sz="4" w:space="0"/>
                    <w:right w:val="single" w:color="auto" w:sz="4" w:space="0"/>
                  </w:tcBorders>
                  <w:vAlign w:val="center"/>
                </w:tcPr>
                <w:p w14:paraId="1AF3696A">
                  <w:pPr>
                    <w:jc w:val="center"/>
                    <w:rPr>
                      <w:szCs w:val="21"/>
                    </w:rPr>
                  </w:pPr>
                  <w:r>
                    <w:rPr>
                      <w:rFonts w:hint="eastAsia"/>
                      <w:szCs w:val="21"/>
                    </w:rPr>
                    <w:t>设备运行噪声</w:t>
                  </w:r>
                </w:p>
              </w:tc>
              <w:tc>
                <w:tcPr>
                  <w:tcW w:w="2034" w:type="pct"/>
                  <w:tcBorders>
                    <w:top w:val="single" w:color="auto" w:sz="4" w:space="0"/>
                    <w:left w:val="single" w:color="auto" w:sz="4" w:space="0"/>
                    <w:bottom w:val="single" w:color="auto" w:sz="4" w:space="0"/>
                    <w:right w:val="single" w:color="auto" w:sz="4" w:space="0"/>
                  </w:tcBorders>
                  <w:vAlign w:val="center"/>
                </w:tcPr>
                <w:p w14:paraId="3460664A">
                  <w:pPr>
                    <w:jc w:val="center"/>
                    <w:rPr>
                      <w:szCs w:val="21"/>
                    </w:rPr>
                  </w:pPr>
                  <w:r>
                    <w:rPr>
                      <w:rFonts w:hint="eastAsia"/>
                      <w:szCs w:val="21"/>
                    </w:rPr>
                    <w:t>等效</w:t>
                  </w:r>
                  <w:r>
                    <w:rPr>
                      <w:szCs w:val="21"/>
                    </w:rPr>
                    <w:t>A</w:t>
                  </w:r>
                  <w:r>
                    <w:rPr>
                      <w:rFonts w:hint="eastAsia"/>
                      <w:szCs w:val="21"/>
                    </w:rPr>
                    <w:t>声级</w:t>
                  </w:r>
                </w:p>
              </w:tc>
            </w:tr>
            <w:tr w14:paraId="5BE92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853" w:type="pct"/>
                  <w:vMerge w:val="restart"/>
                  <w:tcBorders>
                    <w:top w:val="single" w:color="auto" w:sz="4" w:space="0"/>
                    <w:left w:val="single" w:color="auto" w:sz="4" w:space="0"/>
                    <w:bottom w:val="single" w:color="auto" w:sz="4" w:space="0"/>
                    <w:right w:val="single" w:color="auto" w:sz="4" w:space="0"/>
                  </w:tcBorders>
                  <w:vAlign w:val="center"/>
                </w:tcPr>
                <w:p w14:paraId="0BA2EB34">
                  <w:pPr>
                    <w:jc w:val="center"/>
                    <w:rPr>
                      <w:szCs w:val="21"/>
                    </w:rPr>
                  </w:pPr>
                  <w:r>
                    <w:rPr>
                      <w:rFonts w:hint="eastAsia"/>
                      <w:szCs w:val="21"/>
                    </w:rPr>
                    <w:t>固废</w:t>
                  </w:r>
                </w:p>
              </w:tc>
              <w:tc>
                <w:tcPr>
                  <w:tcW w:w="2113" w:type="pct"/>
                  <w:tcBorders>
                    <w:top w:val="single" w:color="auto" w:sz="4" w:space="0"/>
                    <w:left w:val="single" w:color="auto" w:sz="4" w:space="0"/>
                    <w:bottom w:val="single" w:color="auto" w:sz="4" w:space="0"/>
                    <w:right w:val="single" w:color="auto" w:sz="4" w:space="0"/>
                  </w:tcBorders>
                  <w:vAlign w:val="center"/>
                </w:tcPr>
                <w:p w14:paraId="48396E23">
                  <w:pPr>
                    <w:jc w:val="center"/>
                    <w:rPr>
                      <w:szCs w:val="21"/>
                    </w:rPr>
                  </w:pPr>
                  <w:r>
                    <w:rPr>
                      <w:rFonts w:hint="eastAsia"/>
                      <w:szCs w:val="21"/>
                    </w:rPr>
                    <w:t>包丝</w:t>
                  </w:r>
                  <w:r>
                    <w:rPr>
                      <w:szCs w:val="21"/>
                    </w:rPr>
                    <w:t>工序</w:t>
                  </w:r>
                </w:p>
              </w:tc>
              <w:tc>
                <w:tcPr>
                  <w:tcW w:w="2034" w:type="pct"/>
                  <w:tcBorders>
                    <w:top w:val="single" w:color="auto" w:sz="4" w:space="0"/>
                    <w:left w:val="single" w:color="auto" w:sz="4" w:space="0"/>
                    <w:bottom w:val="single" w:color="auto" w:sz="4" w:space="0"/>
                    <w:right w:val="single" w:color="auto" w:sz="4" w:space="0"/>
                  </w:tcBorders>
                  <w:vAlign w:val="center"/>
                </w:tcPr>
                <w:p w14:paraId="7B7114C3">
                  <w:pPr>
                    <w:jc w:val="center"/>
                    <w:rPr>
                      <w:szCs w:val="21"/>
                    </w:rPr>
                  </w:pPr>
                  <w:r>
                    <w:rPr>
                      <w:rFonts w:hint="eastAsia"/>
                      <w:szCs w:val="21"/>
                    </w:rPr>
                    <w:t>塑料薄膜废</w:t>
                  </w:r>
                  <w:r>
                    <w:rPr>
                      <w:szCs w:val="21"/>
                    </w:rPr>
                    <w:t>卷筒</w:t>
                  </w:r>
                </w:p>
              </w:tc>
            </w:tr>
            <w:tr w14:paraId="153C9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853" w:type="pct"/>
                  <w:vMerge w:val="continue"/>
                  <w:tcBorders>
                    <w:top w:val="single" w:color="auto" w:sz="4" w:space="0"/>
                    <w:left w:val="single" w:color="auto" w:sz="4" w:space="0"/>
                    <w:bottom w:val="single" w:color="auto" w:sz="4" w:space="0"/>
                    <w:right w:val="single" w:color="auto" w:sz="4" w:space="0"/>
                  </w:tcBorders>
                  <w:vAlign w:val="center"/>
                </w:tcPr>
                <w:p w14:paraId="78A7AE94">
                  <w:pPr>
                    <w:widowControl/>
                    <w:jc w:val="left"/>
                    <w:rPr>
                      <w:szCs w:val="21"/>
                    </w:rPr>
                  </w:pPr>
                </w:p>
              </w:tc>
              <w:tc>
                <w:tcPr>
                  <w:tcW w:w="2113" w:type="pct"/>
                  <w:tcBorders>
                    <w:top w:val="single" w:color="auto" w:sz="4" w:space="0"/>
                    <w:left w:val="single" w:color="auto" w:sz="4" w:space="0"/>
                    <w:bottom w:val="single" w:color="auto" w:sz="4" w:space="0"/>
                    <w:right w:val="single" w:color="auto" w:sz="4" w:space="0"/>
                  </w:tcBorders>
                  <w:vAlign w:val="center"/>
                </w:tcPr>
                <w:p w14:paraId="7E9A2A5C">
                  <w:pPr>
                    <w:jc w:val="center"/>
                    <w:rPr>
                      <w:szCs w:val="21"/>
                    </w:rPr>
                  </w:pPr>
                  <w:r>
                    <w:rPr>
                      <w:rFonts w:hint="eastAsia"/>
                      <w:szCs w:val="21"/>
                    </w:rPr>
                    <w:t>晾晒</w:t>
                  </w:r>
                  <w:r>
                    <w:rPr>
                      <w:szCs w:val="21"/>
                    </w:rPr>
                    <w:t>工序</w:t>
                  </w:r>
                </w:p>
              </w:tc>
              <w:tc>
                <w:tcPr>
                  <w:tcW w:w="2034" w:type="pct"/>
                  <w:tcBorders>
                    <w:top w:val="single" w:color="auto" w:sz="4" w:space="0"/>
                    <w:left w:val="single" w:color="auto" w:sz="4" w:space="0"/>
                    <w:bottom w:val="single" w:color="auto" w:sz="4" w:space="0"/>
                    <w:right w:val="single" w:color="auto" w:sz="4" w:space="0"/>
                  </w:tcBorders>
                  <w:vAlign w:val="center"/>
                </w:tcPr>
                <w:p w14:paraId="3467267E">
                  <w:pPr>
                    <w:jc w:val="center"/>
                    <w:rPr>
                      <w:szCs w:val="21"/>
                    </w:rPr>
                  </w:pPr>
                  <w:r>
                    <w:rPr>
                      <w:rFonts w:hint="eastAsia"/>
                      <w:szCs w:val="21"/>
                    </w:rPr>
                    <w:t>废塑料薄膜</w:t>
                  </w:r>
                </w:p>
              </w:tc>
            </w:tr>
            <w:tr w14:paraId="7A372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853" w:type="pct"/>
                  <w:vMerge w:val="continue"/>
                  <w:tcBorders>
                    <w:top w:val="single" w:color="auto" w:sz="4" w:space="0"/>
                    <w:left w:val="single" w:color="auto" w:sz="4" w:space="0"/>
                    <w:bottom w:val="single" w:color="auto" w:sz="4" w:space="0"/>
                    <w:right w:val="single" w:color="auto" w:sz="4" w:space="0"/>
                  </w:tcBorders>
                  <w:vAlign w:val="center"/>
                </w:tcPr>
                <w:p w14:paraId="1279C48B">
                  <w:pPr>
                    <w:widowControl/>
                    <w:jc w:val="left"/>
                    <w:rPr>
                      <w:szCs w:val="21"/>
                    </w:rPr>
                  </w:pPr>
                </w:p>
              </w:tc>
              <w:tc>
                <w:tcPr>
                  <w:tcW w:w="2113" w:type="pct"/>
                  <w:tcBorders>
                    <w:top w:val="single" w:color="auto" w:sz="4" w:space="0"/>
                    <w:left w:val="single" w:color="auto" w:sz="4" w:space="0"/>
                    <w:bottom w:val="single" w:color="auto" w:sz="4" w:space="0"/>
                    <w:right w:val="single" w:color="auto" w:sz="4" w:space="0"/>
                  </w:tcBorders>
                  <w:vAlign w:val="center"/>
                </w:tcPr>
                <w:p w14:paraId="0A5BEA8F">
                  <w:pPr>
                    <w:jc w:val="center"/>
                    <w:rPr>
                      <w:szCs w:val="21"/>
                    </w:rPr>
                  </w:pPr>
                  <w:r>
                    <w:rPr>
                      <w:rFonts w:hint="eastAsia"/>
                      <w:szCs w:val="21"/>
                    </w:rPr>
                    <w:t>污水</w:t>
                  </w:r>
                  <w:r>
                    <w:rPr>
                      <w:szCs w:val="21"/>
                    </w:rPr>
                    <w:t>处理</w:t>
                  </w:r>
                </w:p>
              </w:tc>
              <w:tc>
                <w:tcPr>
                  <w:tcW w:w="2034" w:type="pct"/>
                  <w:tcBorders>
                    <w:top w:val="single" w:color="auto" w:sz="4" w:space="0"/>
                    <w:left w:val="single" w:color="auto" w:sz="4" w:space="0"/>
                    <w:bottom w:val="single" w:color="auto" w:sz="4" w:space="0"/>
                    <w:right w:val="single" w:color="auto" w:sz="4" w:space="0"/>
                  </w:tcBorders>
                  <w:vAlign w:val="center"/>
                </w:tcPr>
                <w:p w14:paraId="2E06EB25">
                  <w:pPr>
                    <w:jc w:val="center"/>
                    <w:rPr>
                      <w:szCs w:val="21"/>
                    </w:rPr>
                  </w:pPr>
                  <w:r>
                    <w:rPr>
                      <w:rFonts w:hint="eastAsia"/>
                      <w:szCs w:val="21"/>
                    </w:rPr>
                    <w:t>沉淀池</w:t>
                  </w:r>
                  <w:r>
                    <w:rPr>
                      <w:szCs w:val="21"/>
                    </w:rPr>
                    <w:t>沉渣</w:t>
                  </w:r>
                </w:p>
              </w:tc>
            </w:tr>
            <w:tr w14:paraId="53587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853" w:type="pct"/>
                  <w:vMerge w:val="continue"/>
                  <w:tcBorders>
                    <w:top w:val="single" w:color="auto" w:sz="4" w:space="0"/>
                    <w:left w:val="single" w:color="auto" w:sz="4" w:space="0"/>
                    <w:bottom w:val="single" w:color="auto" w:sz="4" w:space="0"/>
                    <w:right w:val="single" w:color="auto" w:sz="4" w:space="0"/>
                  </w:tcBorders>
                  <w:vAlign w:val="center"/>
                </w:tcPr>
                <w:p w14:paraId="4F3BB87F">
                  <w:pPr>
                    <w:widowControl/>
                    <w:jc w:val="left"/>
                    <w:rPr>
                      <w:szCs w:val="21"/>
                    </w:rPr>
                  </w:pPr>
                </w:p>
              </w:tc>
              <w:tc>
                <w:tcPr>
                  <w:tcW w:w="2113" w:type="pct"/>
                  <w:tcBorders>
                    <w:top w:val="single" w:color="auto" w:sz="4" w:space="0"/>
                    <w:left w:val="single" w:color="auto" w:sz="4" w:space="0"/>
                    <w:bottom w:val="single" w:color="auto" w:sz="4" w:space="0"/>
                    <w:right w:val="single" w:color="auto" w:sz="4" w:space="0"/>
                  </w:tcBorders>
                  <w:vAlign w:val="center"/>
                </w:tcPr>
                <w:p w14:paraId="315EB511">
                  <w:pPr>
                    <w:jc w:val="center"/>
                    <w:rPr>
                      <w:szCs w:val="21"/>
                    </w:rPr>
                  </w:pPr>
                  <w:r>
                    <w:rPr>
                      <w:rFonts w:hint="eastAsia"/>
                      <w:szCs w:val="21"/>
                    </w:rPr>
                    <w:t>配料</w:t>
                  </w:r>
                  <w:r>
                    <w:rPr>
                      <w:szCs w:val="21"/>
                    </w:rPr>
                    <w:t>工序</w:t>
                  </w:r>
                </w:p>
              </w:tc>
              <w:tc>
                <w:tcPr>
                  <w:tcW w:w="2034" w:type="pct"/>
                  <w:tcBorders>
                    <w:top w:val="single" w:color="auto" w:sz="4" w:space="0"/>
                    <w:left w:val="single" w:color="auto" w:sz="4" w:space="0"/>
                    <w:bottom w:val="single" w:color="auto" w:sz="4" w:space="0"/>
                    <w:right w:val="single" w:color="auto" w:sz="4" w:space="0"/>
                  </w:tcBorders>
                  <w:vAlign w:val="center"/>
                </w:tcPr>
                <w:p w14:paraId="563C1F3C">
                  <w:pPr>
                    <w:jc w:val="center"/>
                    <w:rPr>
                      <w:szCs w:val="21"/>
                    </w:rPr>
                  </w:pPr>
                  <w:r>
                    <w:rPr>
                      <w:szCs w:val="21"/>
                    </w:rPr>
                    <w:t>废包装袋</w:t>
                  </w:r>
                </w:p>
              </w:tc>
            </w:tr>
            <w:tr w14:paraId="58300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853" w:type="pct"/>
                  <w:vMerge w:val="continue"/>
                  <w:tcBorders>
                    <w:top w:val="single" w:color="auto" w:sz="4" w:space="0"/>
                    <w:left w:val="single" w:color="auto" w:sz="4" w:space="0"/>
                    <w:bottom w:val="single" w:color="auto" w:sz="4" w:space="0"/>
                    <w:right w:val="single" w:color="auto" w:sz="4" w:space="0"/>
                  </w:tcBorders>
                  <w:vAlign w:val="center"/>
                </w:tcPr>
                <w:p w14:paraId="2D1CD264">
                  <w:pPr>
                    <w:widowControl/>
                    <w:jc w:val="left"/>
                    <w:rPr>
                      <w:szCs w:val="21"/>
                    </w:rPr>
                  </w:pPr>
                </w:p>
              </w:tc>
              <w:tc>
                <w:tcPr>
                  <w:tcW w:w="2113" w:type="pct"/>
                  <w:tcBorders>
                    <w:top w:val="single" w:color="auto" w:sz="4" w:space="0"/>
                    <w:left w:val="single" w:color="auto" w:sz="4" w:space="0"/>
                    <w:bottom w:val="single" w:color="auto" w:sz="4" w:space="0"/>
                    <w:right w:val="single" w:color="auto" w:sz="4" w:space="0"/>
                  </w:tcBorders>
                  <w:vAlign w:val="center"/>
                </w:tcPr>
                <w:p w14:paraId="7FB3DC84">
                  <w:pPr>
                    <w:jc w:val="center"/>
                    <w:rPr>
                      <w:szCs w:val="21"/>
                    </w:rPr>
                  </w:pPr>
                  <w:r>
                    <w:rPr>
                      <w:szCs w:val="21"/>
                    </w:rPr>
                    <w:t>废气处理</w:t>
                  </w:r>
                </w:p>
              </w:tc>
              <w:tc>
                <w:tcPr>
                  <w:tcW w:w="2034" w:type="pct"/>
                  <w:tcBorders>
                    <w:top w:val="single" w:color="auto" w:sz="4" w:space="0"/>
                    <w:left w:val="single" w:color="auto" w:sz="4" w:space="0"/>
                    <w:bottom w:val="single" w:color="auto" w:sz="4" w:space="0"/>
                    <w:right w:val="single" w:color="auto" w:sz="4" w:space="0"/>
                  </w:tcBorders>
                  <w:vAlign w:val="center"/>
                </w:tcPr>
                <w:p w14:paraId="54E4B65F">
                  <w:pPr>
                    <w:jc w:val="center"/>
                    <w:rPr>
                      <w:szCs w:val="21"/>
                    </w:rPr>
                  </w:pPr>
                  <w:r>
                    <w:rPr>
                      <w:szCs w:val="21"/>
                    </w:rPr>
                    <w:t>废活性炭</w:t>
                  </w:r>
                </w:p>
              </w:tc>
            </w:tr>
            <w:tr w14:paraId="5EF08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853" w:type="pct"/>
                  <w:vMerge w:val="continue"/>
                  <w:tcBorders>
                    <w:top w:val="single" w:color="auto" w:sz="4" w:space="0"/>
                    <w:left w:val="single" w:color="auto" w:sz="4" w:space="0"/>
                    <w:bottom w:val="single" w:color="auto" w:sz="4" w:space="0"/>
                    <w:right w:val="single" w:color="auto" w:sz="4" w:space="0"/>
                  </w:tcBorders>
                  <w:vAlign w:val="center"/>
                </w:tcPr>
                <w:p w14:paraId="1CE9B585">
                  <w:pPr>
                    <w:widowControl/>
                    <w:jc w:val="left"/>
                    <w:rPr>
                      <w:szCs w:val="21"/>
                    </w:rPr>
                  </w:pPr>
                </w:p>
              </w:tc>
              <w:tc>
                <w:tcPr>
                  <w:tcW w:w="2113" w:type="pct"/>
                  <w:tcBorders>
                    <w:top w:val="single" w:color="auto" w:sz="4" w:space="0"/>
                    <w:left w:val="single" w:color="auto" w:sz="4" w:space="0"/>
                    <w:bottom w:val="single" w:color="auto" w:sz="4" w:space="0"/>
                    <w:right w:val="single" w:color="auto" w:sz="4" w:space="0"/>
                  </w:tcBorders>
                  <w:vAlign w:val="center"/>
                </w:tcPr>
                <w:p w14:paraId="11B6D804">
                  <w:pPr>
                    <w:jc w:val="center"/>
                    <w:rPr>
                      <w:szCs w:val="21"/>
                    </w:rPr>
                  </w:pPr>
                  <w:r>
                    <w:rPr>
                      <w:szCs w:val="21"/>
                    </w:rPr>
                    <w:t>设备维护</w:t>
                  </w:r>
                </w:p>
              </w:tc>
              <w:tc>
                <w:tcPr>
                  <w:tcW w:w="2034" w:type="pct"/>
                  <w:tcBorders>
                    <w:top w:val="single" w:color="auto" w:sz="4" w:space="0"/>
                    <w:left w:val="single" w:color="auto" w:sz="4" w:space="0"/>
                    <w:bottom w:val="single" w:color="auto" w:sz="4" w:space="0"/>
                    <w:right w:val="single" w:color="auto" w:sz="4" w:space="0"/>
                  </w:tcBorders>
                  <w:vAlign w:val="center"/>
                </w:tcPr>
                <w:p w14:paraId="4B38C9F9">
                  <w:pPr>
                    <w:jc w:val="center"/>
                    <w:rPr>
                      <w:szCs w:val="21"/>
                    </w:rPr>
                  </w:pPr>
                  <w:r>
                    <w:rPr>
                      <w:szCs w:val="21"/>
                    </w:rPr>
                    <w:t>废润滑油</w:t>
                  </w:r>
                  <w:r>
                    <w:rPr>
                      <w:rFonts w:hint="eastAsia"/>
                      <w:szCs w:val="21"/>
                    </w:rPr>
                    <w:t>、</w:t>
                  </w:r>
                  <w:r>
                    <w:rPr>
                      <w:szCs w:val="21"/>
                    </w:rPr>
                    <w:t>废润滑油包装桶</w:t>
                  </w:r>
                </w:p>
              </w:tc>
            </w:tr>
            <w:tr w14:paraId="37614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853" w:type="pct"/>
                  <w:vMerge w:val="continue"/>
                  <w:tcBorders>
                    <w:top w:val="single" w:color="auto" w:sz="4" w:space="0"/>
                    <w:left w:val="single" w:color="auto" w:sz="4" w:space="0"/>
                    <w:bottom w:val="single" w:color="auto" w:sz="4" w:space="0"/>
                    <w:right w:val="single" w:color="auto" w:sz="4" w:space="0"/>
                  </w:tcBorders>
                  <w:vAlign w:val="center"/>
                </w:tcPr>
                <w:p w14:paraId="126208B3">
                  <w:pPr>
                    <w:widowControl/>
                    <w:jc w:val="left"/>
                    <w:rPr>
                      <w:szCs w:val="21"/>
                    </w:rPr>
                  </w:pPr>
                </w:p>
              </w:tc>
              <w:tc>
                <w:tcPr>
                  <w:tcW w:w="2113" w:type="pct"/>
                  <w:tcBorders>
                    <w:top w:val="single" w:color="auto" w:sz="4" w:space="0"/>
                    <w:left w:val="single" w:color="auto" w:sz="4" w:space="0"/>
                    <w:bottom w:val="single" w:color="auto" w:sz="4" w:space="0"/>
                    <w:right w:val="single" w:color="auto" w:sz="4" w:space="0"/>
                  </w:tcBorders>
                  <w:vAlign w:val="center"/>
                </w:tcPr>
                <w:p w14:paraId="2117D339">
                  <w:pPr>
                    <w:jc w:val="center"/>
                    <w:rPr>
                      <w:szCs w:val="21"/>
                    </w:rPr>
                  </w:pPr>
                  <w:r>
                    <w:rPr>
                      <w:rFonts w:hint="eastAsia"/>
                      <w:szCs w:val="21"/>
                    </w:rPr>
                    <w:t>生活垃圾</w:t>
                  </w:r>
                </w:p>
              </w:tc>
              <w:tc>
                <w:tcPr>
                  <w:tcW w:w="2034" w:type="pct"/>
                  <w:tcBorders>
                    <w:top w:val="single" w:color="auto" w:sz="4" w:space="0"/>
                    <w:left w:val="single" w:color="auto" w:sz="4" w:space="0"/>
                    <w:bottom w:val="single" w:color="auto" w:sz="4" w:space="0"/>
                    <w:right w:val="single" w:color="auto" w:sz="4" w:space="0"/>
                  </w:tcBorders>
                  <w:vAlign w:val="center"/>
                </w:tcPr>
                <w:p w14:paraId="623B4DB5">
                  <w:pPr>
                    <w:jc w:val="center"/>
                    <w:rPr>
                      <w:szCs w:val="21"/>
                    </w:rPr>
                  </w:pPr>
                  <w:r>
                    <w:rPr>
                      <w:rFonts w:hint="eastAsia"/>
                      <w:szCs w:val="21"/>
                    </w:rPr>
                    <w:t>生活垃圾</w:t>
                  </w:r>
                </w:p>
              </w:tc>
            </w:tr>
          </w:tbl>
          <w:p w14:paraId="5E54D20F">
            <w:pPr>
              <w:rPr>
                <w:bCs/>
                <w:sz w:val="24"/>
              </w:rPr>
            </w:pPr>
          </w:p>
        </w:tc>
      </w:tr>
      <w:tr w14:paraId="7AD824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trHeight w:val="12740" w:hRule="atLeast"/>
          <w:jc w:val="center"/>
        </w:trPr>
        <w:tc>
          <w:tcPr>
            <w:tcW w:w="711" w:type="dxa"/>
            <w:vAlign w:val="center"/>
          </w:tcPr>
          <w:p w14:paraId="0F5F3D47">
            <w:pPr>
              <w:pStyle w:val="25"/>
              <w:adjustRightInd w:val="0"/>
              <w:snapToGrid w:val="0"/>
              <w:spacing w:before="0" w:beforeAutospacing="0" w:after="0" w:afterAutospacing="0"/>
              <w:jc w:val="center"/>
              <w:rPr>
                <w:rFonts w:ascii="Times New Roman" w:hAnsi="Times New Roman"/>
                <w:szCs w:val="24"/>
              </w:rPr>
            </w:pPr>
            <w:r>
              <w:rPr>
                <w:rFonts w:ascii="Times New Roman" w:hAnsi="Times New Roman"/>
                <w:bCs/>
                <w:kern w:val="2"/>
                <w:szCs w:val="24"/>
              </w:rPr>
              <w:t>与项目有关的原有环境污染问题</w:t>
            </w:r>
          </w:p>
        </w:tc>
        <w:tc>
          <w:tcPr>
            <w:tcW w:w="8723" w:type="dxa"/>
            <w:vAlign w:val="center"/>
          </w:tcPr>
          <w:p w14:paraId="3C83A210">
            <w:pPr>
              <w:adjustRightInd w:val="0"/>
              <w:snapToGrid w:val="0"/>
              <w:spacing w:line="360" w:lineRule="auto"/>
              <w:ind w:firstLine="480" w:firstLineChars="200"/>
              <w:rPr>
                <w:sz w:val="24"/>
              </w:rPr>
            </w:pPr>
            <w:r>
              <w:rPr>
                <w:rFonts w:hint="eastAsia"/>
                <w:sz w:val="24"/>
              </w:rPr>
              <w:t>本项目为新建项目，</w:t>
            </w:r>
            <w:r>
              <w:rPr>
                <w:rFonts w:hint="eastAsia"/>
                <w:bCs/>
                <w:spacing w:val="-4"/>
                <w:sz w:val="24"/>
              </w:rPr>
              <w:t>租赁民权县北关镇周翟庄村北民荷路东侧18号</w:t>
            </w:r>
            <w:r>
              <w:rPr>
                <w:rFonts w:hint="eastAsia"/>
                <w:sz w:val="24"/>
              </w:rPr>
              <w:t>的现有</w:t>
            </w:r>
            <w:r>
              <w:rPr>
                <w:sz w:val="24"/>
              </w:rPr>
              <w:t>场地进行建设，经现场踏勘，企业生产</w:t>
            </w:r>
            <w:r>
              <w:rPr>
                <w:rFonts w:hint="eastAsia"/>
                <w:sz w:val="24"/>
              </w:rPr>
              <w:t>车间主体结构</w:t>
            </w:r>
            <w:r>
              <w:rPr>
                <w:sz w:val="24"/>
              </w:rPr>
              <w:t>建成，不具备生产条件</w:t>
            </w:r>
            <w:r>
              <w:rPr>
                <w:rFonts w:hint="eastAsia"/>
                <w:sz w:val="24"/>
              </w:rPr>
              <w:t>，本项目尚未投产，因此不存在与本项目相关的原有污染情况。</w:t>
            </w:r>
          </w:p>
        </w:tc>
      </w:tr>
    </w:tbl>
    <w:p w14:paraId="6F96E98B">
      <w:pPr>
        <w:pStyle w:val="25"/>
        <w:jc w:val="center"/>
        <w:rPr>
          <w:rFonts w:ascii="黑体" w:hAnsi="黑体" w:eastAsia="黑体"/>
          <w:snapToGrid w:val="0"/>
          <w:sz w:val="36"/>
          <w:szCs w:val="36"/>
        </w:rPr>
        <w:sectPr>
          <w:pgSz w:w="11906" w:h="16838"/>
          <w:pgMar w:top="1797" w:right="1440" w:bottom="1797" w:left="1440" w:header="851" w:footer="851" w:gutter="0"/>
          <w:cols w:space="720" w:num="1"/>
          <w:docGrid w:linePitch="312" w:charSpace="0"/>
        </w:sectPr>
      </w:pPr>
    </w:p>
    <w:p w14:paraId="2CE369A9">
      <w:pPr>
        <w:pStyle w:val="25"/>
        <w:adjustRightInd w:val="0"/>
        <w:snapToGrid w:val="0"/>
        <w:spacing w:before="0" w:beforeAutospacing="0" w:after="0" w:afterAutospacing="0" w:line="14" w:lineRule="auto"/>
        <w:jc w:val="center"/>
        <w:rPr>
          <w:rFonts w:ascii="黑体" w:hAnsi="黑体" w:eastAsia="黑体"/>
          <w:snapToGrid w:val="0"/>
          <w:sz w:val="30"/>
          <w:szCs w:val="30"/>
        </w:rPr>
      </w:pPr>
    </w:p>
    <w:p w14:paraId="46546701">
      <w:pPr>
        <w:pStyle w:val="25"/>
        <w:jc w:val="center"/>
        <w:outlineLvl w:val="0"/>
        <w:rPr>
          <w:rFonts w:ascii="黑体" w:hAnsi="黑体" w:eastAsia="黑体"/>
          <w:snapToGrid w:val="0"/>
          <w:sz w:val="30"/>
          <w:szCs w:val="30"/>
        </w:rPr>
      </w:pPr>
      <w:r>
        <w:rPr>
          <w:rFonts w:hint="eastAsia" w:ascii="黑体" w:hAnsi="黑体" w:eastAsia="黑体"/>
          <w:snapToGrid w:val="0"/>
          <w:sz w:val="30"/>
          <w:szCs w:val="30"/>
        </w:rPr>
        <w:t>三、区域环境质量现状、环境保护目标及评价标准</w:t>
      </w:r>
    </w:p>
    <w:tbl>
      <w:tblPr>
        <w:tblStyle w:val="29"/>
        <w:tblW w:w="943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00"/>
        <w:gridCol w:w="8639"/>
      </w:tblGrid>
      <w:tr w14:paraId="0F11A9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800" w:type="dxa"/>
            <w:vAlign w:val="center"/>
          </w:tcPr>
          <w:p w14:paraId="29AC35D2">
            <w:pPr>
              <w:adjustRightInd w:val="0"/>
              <w:snapToGrid w:val="0"/>
              <w:jc w:val="center"/>
              <w:rPr>
                <w:kern w:val="0"/>
                <w:sz w:val="24"/>
              </w:rPr>
            </w:pPr>
            <w:r>
              <w:rPr>
                <w:kern w:val="0"/>
                <w:sz w:val="24"/>
              </w:rPr>
              <w:t>区域</w:t>
            </w:r>
          </w:p>
          <w:p w14:paraId="13FC9311">
            <w:pPr>
              <w:adjustRightInd w:val="0"/>
              <w:snapToGrid w:val="0"/>
              <w:jc w:val="center"/>
              <w:rPr>
                <w:kern w:val="0"/>
                <w:sz w:val="24"/>
              </w:rPr>
            </w:pPr>
            <w:r>
              <w:rPr>
                <w:kern w:val="0"/>
                <w:sz w:val="24"/>
              </w:rPr>
              <w:t>环境</w:t>
            </w:r>
          </w:p>
          <w:p w14:paraId="4BE97C28">
            <w:pPr>
              <w:adjustRightInd w:val="0"/>
              <w:snapToGrid w:val="0"/>
              <w:jc w:val="center"/>
              <w:rPr>
                <w:kern w:val="0"/>
                <w:sz w:val="24"/>
              </w:rPr>
            </w:pPr>
            <w:r>
              <w:rPr>
                <w:kern w:val="0"/>
                <w:sz w:val="24"/>
              </w:rPr>
              <w:t>质量</w:t>
            </w:r>
          </w:p>
          <w:p w14:paraId="50E93C11">
            <w:pPr>
              <w:adjustRightInd w:val="0"/>
              <w:snapToGrid w:val="0"/>
              <w:jc w:val="center"/>
              <w:rPr>
                <w:kern w:val="0"/>
                <w:sz w:val="24"/>
              </w:rPr>
            </w:pPr>
            <w:r>
              <w:rPr>
                <w:kern w:val="0"/>
                <w:sz w:val="24"/>
              </w:rPr>
              <w:t>现状</w:t>
            </w:r>
          </w:p>
        </w:tc>
        <w:tc>
          <w:tcPr>
            <w:tcW w:w="8639" w:type="dxa"/>
            <w:vAlign w:val="center"/>
          </w:tcPr>
          <w:p w14:paraId="3B2FF3EA">
            <w:pPr>
              <w:spacing w:line="360" w:lineRule="auto"/>
              <w:ind w:firstLine="482" w:firstLineChars="200"/>
              <w:rPr>
                <w:b/>
                <w:sz w:val="24"/>
              </w:rPr>
            </w:pPr>
            <w:r>
              <w:rPr>
                <w:b/>
                <w:sz w:val="24"/>
              </w:rPr>
              <w:t>1</w:t>
            </w:r>
            <w:r>
              <w:rPr>
                <w:rFonts w:hint="eastAsia"/>
                <w:b/>
                <w:sz w:val="24"/>
              </w:rPr>
              <w:t>、环境空气质量现状</w:t>
            </w:r>
          </w:p>
          <w:p w14:paraId="72188F79">
            <w:pPr>
              <w:spacing w:line="360" w:lineRule="auto"/>
              <w:ind w:firstLine="480" w:firstLineChars="200"/>
              <w:rPr>
                <w:bCs/>
                <w:sz w:val="24"/>
              </w:rPr>
            </w:pPr>
            <w:r>
              <w:rPr>
                <w:rFonts w:hint="eastAsia"/>
                <w:bCs/>
                <w:sz w:val="24"/>
              </w:rPr>
              <w:t>根据环境空气质量功能分区，项目所在区域属于二类功能区，应执行《环境空气质量标准》</w:t>
            </w:r>
            <w:r>
              <w:rPr>
                <w:bCs/>
                <w:sz w:val="24"/>
              </w:rPr>
              <w:t>(GB3095-2012)</w:t>
            </w:r>
            <w:r>
              <w:rPr>
                <w:rFonts w:hint="eastAsia"/>
                <w:bCs/>
                <w:sz w:val="24"/>
              </w:rPr>
              <w:t>表</w:t>
            </w:r>
            <w:r>
              <w:rPr>
                <w:bCs/>
                <w:sz w:val="24"/>
              </w:rPr>
              <w:t>1</w:t>
            </w:r>
            <w:r>
              <w:rPr>
                <w:rFonts w:hint="eastAsia"/>
                <w:bCs/>
                <w:sz w:val="24"/>
              </w:rPr>
              <w:t>二级标准。</w:t>
            </w:r>
            <w:r>
              <w:rPr>
                <w:bCs/>
                <w:sz w:val="24"/>
              </w:rPr>
              <w:t>本次收集河南省商丘市生态环境监测中心关于商丘市202</w:t>
            </w:r>
            <w:r>
              <w:rPr>
                <w:rFonts w:hint="eastAsia"/>
                <w:bCs/>
                <w:sz w:val="24"/>
              </w:rPr>
              <w:t>3</w:t>
            </w:r>
            <w:r>
              <w:rPr>
                <w:bCs/>
                <w:sz w:val="24"/>
              </w:rPr>
              <w:t>年1年中324个日均值数据（自动监测数据），每月至少有27个有效数据（其中2月不低于25个），数据有效性满足GB3095-2012和HJ663中关于数据统计的有效性规定，经统计分析环境质量调查数据统计结果</w:t>
            </w:r>
            <w:r>
              <w:rPr>
                <w:rFonts w:hint="eastAsia"/>
                <w:bCs/>
                <w:sz w:val="24"/>
              </w:rPr>
              <w:t>见</w:t>
            </w:r>
            <w:r>
              <w:rPr>
                <w:bCs/>
                <w:sz w:val="24"/>
              </w:rPr>
              <w:t>下表。</w:t>
            </w:r>
          </w:p>
          <w:p w14:paraId="4A4F1E91">
            <w:pPr>
              <w:pStyle w:val="61"/>
              <w:rPr>
                <w:rFonts w:eastAsia="宋体"/>
                <w:bCs/>
                <w:sz w:val="24"/>
              </w:rPr>
            </w:pPr>
            <w:r>
              <w:rPr>
                <w:rFonts w:hAnsi="宋体" w:eastAsia="宋体"/>
                <w:sz w:val="24"/>
              </w:rPr>
              <w:t>表</w:t>
            </w:r>
            <w:r>
              <w:rPr>
                <w:rFonts w:hint="eastAsia" w:eastAsia="宋体"/>
                <w:sz w:val="24"/>
              </w:rPr>
              <w:t xml:space="preserve">13    </w:t>
            </w:r>
            <w:r>
              <w:rPr>
                <w:rFonts w:hAnsi="宋体" w:eastAsia="宋体"/>
                <w:bCs/>
                <w:sz w:val="24"/>
              </w:rPr>
              <w:t>区域达标性判断表</w:t>
            </w:r>
            <w:r>
              <w:rPr>
                <w:rFonts w:hint="eastAsia" w:hAnsi="宋体" w:eastAsia="宋体"/>
                <w:bCs/>
                <w:sz w:val="24"/>
              </w:rPr>
              <w:t xml:space="preserve">       单位：</w:t>
            </w:r>
            <w:r>
              <w:t>µg/m</w:t>
            </w:r>
            <w:r>
              <w:rPr>
                <w:vertAlign w:val="superscript"/>
              </w:rPr>
              <w:t>3</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085"/>
              <w:gridCol w:w="2047"/>
              <w:gridCol w:w="1639"/>
              <w:gridCol w:w="1444"/>
              <w:gridCol w:w="1249"/>
              <w:gridCol w:w="949"/>
            </w:tblGrid>
            <w:tr w14:paraId="6310C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085" w:type="dxa"/>
                  <w:vAlign w:val="center"/>
                </w:tcPr>
                <w:p w14:paraId="06171B0D">
                  <w:pPr>
                    <w:snapToGrid w:val="0"/>
                    <w:spacing w:line="240" w:lineRule="exact"/>
                    <w:jc w:val="center"/>
                    <w:rPr>
                      <w:szCs w:val="21"/>
                    </w:rPr>
                  </w:pPr>
                  <w:r>
                    <w:rPr>
                      <w:rFonts w:hint="eastAsia"/>
                      <w:szCs w:val="21"/>
                    </w:rPr>
                    <w:t>污染物</w:t>
                  </w:r>
                </w:p>
              </w:tc>
              <w:tc>
                <w:tcPr>
                  <w:tcW w:w="2047" w:type="dxa"/>
                  <w:vAlign w:val="center"/>
                </w:tcPr>
                <w:p w14:paraId="581C30AE">
                  <w:pPr>
                    <w:adjustRightInd w:val="0"/>
                    <w:snapToGrid w:val="0"/>
                    <w:spacing w:line="240" w:lineRule="exact"/>
                    <w:jc w:val="center"/>
                    <w:rPr>
                      <w:szCs w:val="21"/>
                    </w:rPr>
                  </w:pPr>
                  <w:r>
                    <w:rPr>
                      <w:rFonts w:hint="eastAsia"/>
                      <w:szCs w:val="21"/>
                    </w:rPr>
                    <w:t>评价指标</w:t>
                  </w:r>
                </w:p>
              </w:tc>
              <w:tc>
                <w:tcPr>
                  <w:tcW w:w="1639" w:type="dxa"/>
                  <w:vAlign w:val="center"/>
                </w:tcPr>
                <w:p w14:paraId="541FE17B">
                  <w:pPr>
                    <w:adjustRightInd w:val="0"/>
                    <w:snapToGrid w:val="0"/>
                    <w:spacing w:line="240" w:lineRule="exact"/>
                    <w:jc w:val="center"/>
                    <w:rPr>
                      <w:szCs w:val="21"/>
                    </w:rPr>
                  </w:pPr>
                  <w:r>
                    <w:rPr>
                      <w:rFonts w:hint="eastAsia"/>
                      <w:szCs w:val="21"/>
                    </w:rPr>
                    <w:t>现状浓度（</w:t>
                  </w:r>
                  <w:r>
                    <w:rPr>
                      <w:szCs w:val="21"/>
                    </w:rPr>
                    <w:t>μg/m</w:t>
                  </w:r>
                  <w:r>
                    <w:rPr>
                      <w:szCs w:val="21"/>
                      <w:vertAlign w:val="superscript"/>
                    </w:rPr>
                    <w:t>3</w:t>
                  </w:r>
                  <w:r>
                    <w:rPr>
                      <w:rFonts w:hint="eastAsia"/>
                      <w:szCs w:val="21"/>
                    </w:rPr>
                    <w:t>）</w:t>
                  </w:r>
                </w:p>
              </w:tc>
              <w:tc>
                <w:tcPr>
                  <w:tcW w:w="1444" w:type="dxa"/>
                  <w:vAlign w:val="center"/>
                </w:tcPr>
                <w:p w14:paraId="754631A8">
                  <w:pPr>
                    <w:adjustRightInd w:val="0"/>
                    <w:snapToGrid w:val="0"/>
                    <w:spacing w:line="240" w:lineRule="exact"/>
                    <w:jc w:val="center"/>
                    <w:rPr>
                      <w:szCs w:val="21"/>
                    </w:rPr>
                  </w:pPr>
                  <w:r>
                    <w:rPr>
                      <w:rFonts w:hint="eastAsia"/>
                      <w:szCs w:val="21"/>
                    </w:rPr>
                    <w:t>标准值（</w:t>
                  </w:r>
                  <w:r>
                    <w:rPr>
                      <w:szCs w:val="21"/>
                    </w:rPr>
                    <w:t>μg/m</w:t>
                  </w:r>
                  <w:r>
                    <w:rPr>
                      <w:szCs w:val="21"/>
                      <w:vertAlign w:val="superscript"/>
                    </w:rPr>
                    <w:t>3</w:t>
                  </w:r>
                  <w:r>
                    <w:rPr>
                      <w:rFonts w:hint="eastAsia"/>
                      <w:szCs w:val="21"/>
                    </w:rPr>
                    <w:t>）</w:t>
                  </w:r>
                </w:p>
              </w:tc>
              <w:tc>
                <w:tcPr>
                  <w:tcW w:w="1249" w:type="dxa"/>
                  <w:vAlign w:val="center"/>
                </w:tcPr>
                <w:p w14:paraId="681A1948">
                  <w:pPr>
                    <w:adjustRightInd w:val="0"/>
                    <w:snapToGrid w:val="0"/>
                    <w:spacing w:line="240" w:lineRule="exact"/>
                    <w:jc w:val="center"/>
                    <w:rPr>
                      <w:szCs w:val="21"/>
                    </w:rPr>
                  </w:pPr>
                  <w:r>
                    <w:rPr>
                      <w:rFonts w:hint="eastAsia"/>
                      <w:szCs w:val="21"/>
                    </w:rPr>
                    <w:t>占标率（</w:t>
                  </w:r>
                  <w:r>
                    <w:rPr>
                      <w:szCs w:val="21"/>
                    </w:rPr>
                    <w:t>%</w:t>
                  </w:r>
                  <w:r>
                    <w:rPr>
                      <w:rFonts w:hint="eastAsia"/>
                      <w:szCs w:val="21"/>
                    </w:rPr>
                    <w:t>）</w:t>
                  </w:r>
                </w:p>
              </w:tc>
              <w:tc>
                <w:tcPr>
                  <w:tcW w:w="949" w:type="dxa"/>
                  <w:vAlign w:val="center"/>
                </w:tcPr>
                <w:p w14:paraId="5F171AB4">
                  <w:pPr>
                    <w:adjustRightInd w:val="0"/>
                    <w:snapToGrid w:val="0"/>
                    <w:spacing w:line="240" w:lineRule="exact"/>
                    <w:jc w:val="center"/>
                    <w:rPr>
                      <w:szCs w:val="21"/>
                    </w:rPr>
                  </w:pPr>
                  <w:r>
                    <w:rPr>
                      <w:rFonts w:hint="eastAsia"/>
                      <w:szCs w:val="21"/>
                    </w:rPr>
                    <w:t>达标情况</w:t>
                  </w:r>
                </w:p>
              </w:tc>
            </w:tr>
            <w:tr w14:paraId="2233A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085" w:type="dxa"/>
                  <w:vAlign w:val="center"/>
                </w:tcPr>
                <w:p w14:paraId="75D7DDD9">
                  <w:pPr>
                    <w:snapToGrid w:val="0"/>
                    <w:spacing w:line="240" w:lineRule="exact"/>
                    <w:jc w:val="center"/>
                    <w:rPr>
                      <w:szCs w:val="21"/>
                    </w:rPr>
                  </w:pPr>
                  <w:r>
                    <w:rPr>
                      <w:szCs w:val="21"/>
                    </w:rPr>
                    <w:t>PM</w:t>
                  </w:r>
                  <w:r>
                    <w:rPr>
                      <w:szCs w:val="21"/>
                      <w:vertAlign w:val="subscript"/>
                    </w:rPr>
                    <w:t>10</w:t>
                  </w:r>
                </w:p>
              </w:tc>
              <w:tc>
                <w:tcPr>
                  <w:tcW w:w="2047" w:type="dxa"/>
                  <w:vAlign w:val="center"/>
                </w:tcPr>
                <w:p w14:paraId="3D774471">
                  <w:pPr>
                    <w:adjustRightInd w:val="0"/>
                    <w:snapToGrid w:val="0"/>
                    <w:spacing w:line="240" w:lineRule="exact"/>
                    <w:jc w:val="center"/>
                    <w:rPr>
                      <w:szCs w:val="21"/>
                    </w:rPr>
                  </w:pPr>
                  <w:r>
                    <w:rPr>
                      <w:rFonts w:hint="eastAsia"/>
                      <w:szCs w:val="21"/>
                    </w:rPr>
                    <w:t>年平均</w:t>
                  </w:r>
                </w:p>
              </w:tc>
              <w:tc>
                <w:tcPr>
                  <w:tcW w:w="1639" w:type="dxa"/>
                  <w:vAlign w:val="center"/>
                </w:tcPr>
                <w:p w14:paraId="387D4FB3">
                  <w:pPr>
                    <w:adjustRightInd w:val="0"/>
                    <w:spacing w:line="240" w:lineRule="exact"/>
                    <w:jc w:val="center"/>
                    <w:rPr>
                      <w:szCs w:val="21"/>
                    </w:rPr>
                  </w:pPr>
                  <w:r>
                    <w:rPr>
                      <w:rFonts w:hint="eastAsia"/>
                      <w:szCs w:val="21"/>
                    </w:rPr>
                    <w:t>71</w:t>
                  </w:r>
                </w:p>
              </w:tc>
              <w:tc>
                <w:tcPr>
                  <w:tcW w:w="1444" w:type="dxa"/>
                  <w:vAlign w:val="center"/>
                </w:tcPr>
                <w:p w14:paraId="1A145F36">
                  <w:pPr>
                    <w:adjustRightInd w:val="0"/>
                    <w:spacing w:line="240" w:lineRule="exact"/>
                    <w:jc w:val="center"/>
                    <w:rPr>
                      <w:szCs w:val="21"/>
                    </w:rPr>
                  </w:pPr>
                  <w:r>
                    <w:rPr>
                      <w:szCs w:val="21"/>
                    </w:rPr>
                    <w:t>70</w:t>
                  </w:r>
                </w:p>
              </w:tc>
              <w:tc>
                <w:tcPr>
                  <w:tcW w:w="1249" w:type="dxa"/>
                  <w:vAlign w:val="center"/>
                </w:tcPr>
                <w:p w14:paraId="167ECD52">
                  <w:pPr>
                    <w:adjustRightInd w:val="0"/>
                    <w:spacing w:line="240" w:lineRule="exact"/>
                    <w:jc w:val="center"/>
                    <w:rPr>
                      <w:szCs w:val="21"/>
                    </w:rPr>
                  </w:pPr>
                  <w:r>
                    <w:rPr>
                      <w:rFonts w:hint="eastAsia"/>
                      <w:szCs w:val="21"/>
                    </w:rPr>
                    <w:t>101</w:t>
                  </w:r>
                </w:p>
              </w:tc>
              <w:tc>
                <w:tcPr>
                  <w:tcW w:w="949" w:type="dxa"/>
                  <w:vAlign w:val="center"/>
                </w:tcPr>
                <w:p w14:paraId="49B84EB2">
                  <w:pPr>
                    <w:adjustRightInd w:val="0"/>
                    <w:snapToGrid w:val="0"/>
                    <w:spacing w:line="240" w:lineRule="exact"/>
                    <w:jc w:val="center"/>
                    <w:rPr>
                      <w:szCs w:val="21"/>
                    </w:rPr>
                  </w:pPr>
                  <w:r>
                    <w:rPr>
                      <w:rFonts w:hint="eastAsia"/>
                      <w:szCs w:val="21"/>
                    </w:rPr>
                    <w:t>超标</w:t>
                  </w:r>
                </w:p>
              </w:tc>
            </w:tr>
            <w:tr w14:paraId="6725C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085" w:type="dxa"/>
                  <w:vAlign w:val="center"/>
                </w:tcPr>
                <w:p w14:paraId="5C4FE42D">
                  <w:pPr>
                    <w:snapToGrid w:val="0"/>
                    <w:spacing w:line="240" w:lineRule="exact"/>
                    <w:jc w:val="center"/>
                    <w:rPr>
                      <w:szCs w:val="21"/>
                    </w:rPr>
                  </w:pPr>
                  <w:r>
                    <w:rPr>
                      <w:szCs w:val="21"/>
                    </w:rPr>
                    <w:t>PM</w:t>
                  </w:r>
                  <w:r>
                    <w:rPr>
                      <w:szCs w:val="21"/>
                      <w:vertAlign w:val="subscript"/>
                    </w:rPr>
                    <w:t>2.5</w:t>
                  </w:r>
                </w:p>
              </w:tc>
              <w:tc>
                <w:tcPr>
                  <w:tcW w:w="2047" w:type="dxa"/>
                  <w:vAlign w:val="center"/>
                </w:tcPr>
                <w:p w14:paraId="2AAB3846">
                  <w:pPr>
                    <w:adjustRightInd w:val="0"/>
                    <w:snapToGrid w:val="0"/>
                    <w:spacing w:line="240" w:lineRule="exact"/>
                    <w:jc w:val="center"/>
                    <w:rPr>
                      <w:szCs w:val="21"/>
                    </w:rPr>
                  </w:pPr>
                  <w:r>
                    <w:rPr>
                      <w:rFonts w:hint="eastAsia"/>
                      <w:szCs w:val="21"/>
                    </w:rPr>
                    <w:t>年平均</w:t>
                  </w:r>
                </w:p>
              </w:tc>
              <w:tc>
                <w:tcPr>
                  <w:tcW w:w="1639" w:type="dxa"/>
                  <w:vAlign w:val="center"/>
                </w:tcPr>
                <w:p w14:paraId="2FB90257">
                  <w:pPr>
                    <w:adjustRightInd w:val="0"/>
                    <w:spacing w:line="240" w:lineRule="exact"/>
                    <w:jc w:val="center"/>
                    <w:rPr>
                      <w:szCs w:val="21"/>
                    </w:rPr>
                  </w:pPr>
                  <w:r>
                    <w:rPr>
                      <w:rFonts w:hint="eastAsia"/>
                      <w:szCs w:val="21"/>
                    </w:rPr>
                    <w:t>46</w:t>
                  </w:r>
                </w:p>
              </w:tc>
              <w:tc>
                <w:tcPr>
                  <w:tcW w:w="1444" w:type="dxa"/>
                  <w:vAlign w:val="center"/>
                </w:tcPr>
                <w:p w14:paraId="3FF598D4">
                  <w:pPr>
                    <w:adjustRightInd w:val="0"/>
                    <w:spacing w:line="240" w:lineRule="exact"/>
                    <w:jc w:val="center"/>
                    <w:rPr>
                      <w:szCs w:val="21"/>
                    </w:rPr>
                  </w:pPr>
                  <w:r>
                    <w:rPr>
                      <w:szCs w:val="21"/>
                    </w:rPr>
                    <w:t>35</w:t>
                  </w:r>
                </w:p>
              </w:tc>
              <w:tc>
                <w:tcPr>
                  <w:tcW w:w="1249" w:type="dxa"/>
                  <w:vAlign w:val="center"/>
                </w:tcPr>
                <w:p w14:paraId="39AD4442">
                  <w:pPr>
                    <w:adjustRightInd w:val="0"/>
                    <w:spacing w:line="240" w:lineRule="exact"/>
                    <w:jc w:val="center"/>
                    <w:rPr>
                      <w:szCs w:val="21"/>
                    </w:rPr>
                  </w:pPr>
                  <w:r>
                    <w:rPr>
                      <w:rFonts w:hint="eastAsia"/>
                      <w:szCs w:val="21"/>
                    </w:rPr>
                    <w:t>131</w:t>
                  </w:r>
                </w:p>
              </w:tc>
              <w:tc>
                <w:tcPr>
                  <w:tcW w:w="949" w:type="dxa"/>
                  <w:vAlign w:val="center"/>
                </w:tcPr>
                <w:p w14:paraId="673558F1">
                  <w:pPr>
                    <w:adjustRightInd w:val="0"/>
                    <w:snapToGrid w:val="0"/>
                    <w:spacing w:line="240" w:lineRule="exact"/>
                    <w:jc w:val="center"/>
                    <w:rPr>
                      <w:szCs w:val="21"/>
                    </w:rPr>
                  </w:pPr>
                  <w:r>
                    <w:rPr>
                      <w:rFonts w:hint="eastAsia"/>
                      <w:szCs w:val="21"/>
                    </w:rPr>
                    <w:t>超标</w:t>
                  </w:r>
                </w:p>
              </w:tc>
            </w:tr>
            <w:tr w14:paraId="44C8A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085" w:type="dxa"/>
                  <w:vAlign w:val="center"/>
                </w:tcPr>
                <w:p w14:paraId="1B04970A">
                  <w:pPr>
                    <w:snapToGrid w:val="0"/>
                    <w:spacing w:line="240" w:lineRule="exact"/>
                    <w:jc w:val="center"/>
                    <w:rPr>
                      <w:szCs w:val="21"/>
                    </w:rPr>
                  </w:pPr>
                  <w:r>
                    <w:rPr>
                      <w:szCs w:val="21"/>
                    </w:rPr>
                    <w:t>SO</w:t>
                  </w:r>
                  <w:r>
                    <w:rPr>
                      <w:szCs w:val="21"/>
                      <w:vertAlign w:val="subscript"/>
                    </w:rPr>
                    <w:t>2</w:t>
                  </w:r>
                </w:p>
              </w:tc>
              <w:tc>
                <w:tcPr>
                  <w:tcW w:w="2047" w:type="dxa"/>
                  <w:vAlign w:val="center"/>
                </w:tcPr>
                <w:p w14:paraId="6E6ACE80">
                  <w:pPr>
                    <w:adjustRightInd w:val="0"/>
                    <w:snapToGrid w:val="0"/>
                    <w:spacing w:line="240" w:lineRule="exact"/>
                    <w:jc w:val="center"/>
                    <w:rPr>
                      <w:szCs w:val="21"/>
                    </w:rPr>
                  </w:pPr>
                  <w:r>
                    <w:rPr>
                      <w:rFonts w:hint="eastAsia"/>
                      <w:szCs w:val="21"/>
                    </w:rPr>
                    <w:t>年平均</w:t>
                  </w:r>
                </w:p>
              </w:tc>
              <w:tc>
                <w:tcPr>
                  <w:tcW w:w="1639" w:type="dxa"/>
                  <w:vAlign w:val="center"/>
                </w:tcPr>
                <w:p w14:paraId="2C96C781">
                  <w:pPr>
                    <w:adjustRightInd w:val="0"/>
                    <w:spacing w:line="240" w:lineRule="exact"/>
                    <w:jc w:val="center"/>
                    <w:rPr>
                      <w:szCs w:val="21"/>
                    </w:rPr>
                  </w:pPr>
                  <w:r>
                    <w:rPr>
                      <w:rFonts w:hint="eastAsia"/>
                      <w:szCs w:val="21"/>
                    </w:rPr>
                    <w:t>8</w:t>
                  </w:r>
                </w:p>
              </w:tc>
              <w:tc>
                <w:tcPr>
                  <w:tcW w:w="1444" w:type="dxa"/>
                  <w:vAlign w:val="center"/>
                </w:tcPr>
                <w:p w14:paraId="12807543">
                  <w:pPr>
                    <w:adjustRightInd w:val="0"/>
                    <w:spacing w:line="240" w:lineRule="exact"/>
                    <w:jc w:val="center"/>
                    <w:rPr>
                      <w:szCs w:val="21"/>
                    </w:rPr>
                  </w:pPr>
                  <w:r>
                    <w:rPr>
                      <w:szCs w:val="21"/>
                    </w:rPr>
                    <w:t>60</w:t>
                  </w:r>
                </w:p>
              </w:tc>
              <w:tc>
                <w:tcPr>
                  <w:tcW w:w="1249" w:type="dxa"/>
                  <w:vAlign w:val="center"/>
                </w:tcPr>
                <w:p w14:paraId="3CB2890C">
                  <w:pPr>
                    <w:adjustRightInd w:val="0"/>
                    <w:spacing w:line="240" w:lineRule="exact"/>
                    <w:jc w:val="center"/>
                    <w:rPr>
                      <w:szCs w:val="21"/>
                    </w:rPr>
                  </w:pPr>
                  <w:r>
                    <w:rPr>
                      <w:rFonts w:hint="eastAsia"/>
                      <w:szCs w:val="21"/>
                    </w:rPr>
                    <w:t>13.3</w:t>
                  </w:r>
                </w:p>
              </w:tc>
              <w:tc>
                <w:tcPr>
                  <w:tcW w:w="949" w:type="dxa"/>
                  <w:vAlign w:val="center"/>
                </w:tcPr>
                <w:p w14:paraId="1A5F52CF">
                  <w:pPr>
                    <w:adjustRightInd w:val="0"/>
                    <w:snapToGrid w:val="0"/>
                    <w:spacing w:line="240" w:lineRule="exact"/>
                    <w:jc w:val="center"/>
                    <w:rPr>
                      <w:szCs w:val="21"/>
                    </w:rPr>
                  </w:pPr>
                  <w:r>
                    <w:rPr>
                      <w:rFonts w:hint="eastAsia"/>
                      <w:szCs w:val="21"/>
                    </w:rPr>
                    <w:t>达标</w:t>
                  </w:r>
                </w:p>
              </w:tc>
            </w:tr>
            <w:tr w14:paraId="226A0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085" w:type="dxa"/>
                  <w:vAlign w:val="center"/>
                </w:tcPr>
                <w:p w14:paraId="0139039E">
                  <w:pPr>
                    <w:snapToGrid w:val="0"/>
                    <w:spacing w:line="240" w:lineRule="exact"/>
                    <w:jc w:val="center"/>
                    <w:rPr>
                      <w:szCs w:val="21"/>
                    </w:rPr>
                  </w:pPr>
                  <w:r>
                    <w:rPr>
                      <w:szCs w:val="21"/>
                    </w:rPr>
                    <w:t>NO</w:t>
                  </w:r>
                  <w:r>
                    <w:rPr>
                      <w:szCs w:val="21"/>
                      <w:vertAlign w:val="subscript"/>
                    </w:rPr>
                    <w:t>2</w:t>
                  </w:r>
                </w:p>
              </w:tc>
              <w:tc>
                <w:tcPr>
                  <w:tcW w:w="2047" w:type="dxa"/>
                  <w:vAlign w:val="center"/>
                </w:tcPr>
                <w:p w14:paraId="2ED453B0">
                  <w:pPr>
                    <w:adjustRightInd w:val="0"/>
                    <w:snapToGrid w:val="0"/>
                    <w:spacing w:line="240" w:lineRule="exact"/>
                    <w:jc w:val="center"/>
                    <w:rPr>
                      <w:szCs w:val="21"/>
                    </w:rPr>
                  </w:pPr>
                  <w:r>
                    <w:rPr>
                      <w:rFonts w:hint="eastAsia"/>
                      <w:szCs w:val="21"/>
                    </w:rPr>
                    <w:t>年平均</w:t>
                  </w:r>
                </w:p>
              </w:tc>
              <w:tc>
                <w:tcPr>
                  <w:tcW w:w="1639" w:type="dxa"/>
                  <w:vAlign w:val="center"/>
                </w:tcPr>
                <w:p w14:paraId="6089700E">
                  <w:pPr>
                    <w:adjustRightInd w:val="0"/>
                    <w:spacing w:line="240" w:lineRule="exact"/>
                    <w:jc w:val="center"/>
                    <w:rPr>
                      <w:szCs w:val="21"/>
                    </w:rPr>
                  </w:pPr>
                  <w:r>
                    <w:rPr>
                      <w:rFonts w:hint="eastAsia"/>
                      <w:szCs w:val="21"/>
                    </w:rPr>
                    <w:t>21</w:t>
                  </w:r>
                </w:p>
              </w:tc>
              <w:tc>
                <w:tcPr>
                  <w:tcW w:w="1444" w:type="dxa"/>
                  <w:vAlign w:val="center"/>
                </w:tcPr>
                <w:p w14:paraId="41661CB7">
                  <w:pPr>
                    <w:adjustRightInd w:val="0"/>
                    <w:spacing w:line="240" w:lineRule="exact"/>
                    <w:jc w:val="center"/>
                    <w:rPr>
                      <w:szCs w:val="21"/>
                    </w:rPr>
                  </w:pPr>
                  <w:r>
                    <w:rPr>
                      <w:szCs w:val="21"/>
                    </w:rPr>
                    <w:t>40</w:t>
                  </w:r>
                </w:p>
              </w:tc>
              <w:tc>
                <w:tcPr>
                  <w:tcW w:w="1249" w:type="dxa"/>
                  <w:vAlign w:val="center"/>
                </w:tcPr>
                <w:p w14:paraId="41130978">
                  <w:pPr>
                    <w:adjustRightInd w:val="0"/>
                    <w:spacing w:line="240" w:lineRule="exact"/>
                    <w:jc w:val="center"/>
                    <w:rPr>
                      <w:szCs w:val="21"/>
                    </w:rPr>
                  </w:pPr>
                  <w:r>
                    <w:rPr>
                      <w:rFonts w:hint="eastAsia"/>
                      <w:szCs w:val="21"/>
                    </w:rPr>
                    <w:t>52.5</w:t>
                  </w:r>
                </w:p>
              </w:tc>
              <w:tc>
                <w:tcPr>
                  <w:tcW w:w="949" w:type="dxa"/>
                  <w:vAlign w:val="center"/>
                </w:tcPr>
                <w:p w14:paraId="59946A45">
                  <w:pPr>
                    <w:adjustRightInd w:val="0"/>
                    <w:snapToGrid w:val="0"/>
                    <w:spacing w:line="240" w:lineRule="exact"/>
                    <w:jc w:val="center"/>
                    <w:rPr>
                      <w:szCs w:val="21"/>
                    </w:rPr>
                  </w:pPr>
                  <w:r>
                    <w:rPr>
                      <w:rFonts w:hint="eastAsia"/>
                      <w:szCs w:val="21"/>
                    </w:rPr>
                    <w:t>达标</w:t>
                  </w:r>
                </w:p>
              </w:tc>
            </w:tr>
            <w:tr w14:paraId="68FF6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085" w:type="dxa"/>
                  <w:vAlign w:val="center"/>
                </w:tcPr>
                <w:p w14:paraId="3BCBAABB">
                  <w:pPr>
                    <w:snapToGrid w:val="0"/>
                    <w:spacing w:line="240" w:lineRule="exact"/>
                    <w:jc w:val="center"/>
                    <w:rPr>
                      <w:szCs w:val="21"/>
                    </w:rPr>
                  </w:pPr>
                  <w:r>
                    <w:rPr>
                      <w:szCs w:val="21"/>
                    </w:rPr>
                    <w:t>CO</w:t>
                  </w:r>
                </w:p>
              </w:tc>
              <w:tc>
                <w:tcPr>
                  <w:tcW w:w="2047" w:type="dxa"/>
                  <w:vAlign w:val="center"/>
                </w:tcPr>
                <w:p w14:paraId="4E35F73C">
                  <w:pPr>
                    <w:adjustRightInd w:val="0"/>
                    <w:snapToGrid w:val="0"/>
                    <w:spacing w:line="240" w:lineRule="exact"/>
                    <w:jc w:val="center"/>
                    <w:rPr>
                      <w:szCs w:val="21"/>
                    </w:rPr>
                  </w:pPr>
                  <w:r>
                    <w:rPr>
                      <w:rFonts w:hint="eastAsia"/>
                      <w:szCs w:val="21"/>
                    </w:rPr>
                    <w:t>第</w:t>
                  </w:r>
                  <w:r>
                    <w:rPr>
                      <w:szCs w:val="21"/>
                    </w:rPr>
                    <w:t>95</w:t>
                  </w:r>
                  <w:r>
                    <w:rPr>
                      <w:rFonts w:hint="eastAsia"/>
                      <w:szCs w:val="21"/>
                    </w:rPr>
                    <w:t>百分位数日平均</w:t>
                  </w:r>
                </w:p>
              </w:tc>
              <w:tc>
                <w:tcPr>
                  <w:tcW w:w="1639" w:type="dxa"/>
                  <w:vAlign w:val="center"/>
                </w:tcPr>
                <w:p w14:paraId="32BD4340">
                  <w:pPr>
                    <w:adjustRightInd w:val="0"/>
                    <w:spacing w:line="240" w:lineRule="exact"/>
                    <w:jc w:val="center"/>
                    <w:rPr>
                      <w:szCs w:val="21"/>
                    </w:rPr>
                  </w:pPr>
                  <w:r>
                    <w:rPr>
                      <w:rFonts w:hint="eastAsia"/>
                      <w:szCs w:val="21"/>
                    </w:rPr>
                    <w:t>900</w:t>
                  </w:r>
                </w:p>
              </w:tc>
              <w:tc>
                <w:tcPr>
                  <w:tcW w:w="1444" w:type="dxa"/>
                  <w:vAlign w:val="center"/>
                </w:tcPr>
                <w:p w14:paraId="217534F0">
                  <w:pPr>
                    <w:adjustRightInd w:val="0"/>
                    <w:spacing w:line="240" w:lineRule="exact"/>
                    <w:jc w:val="center"/>
                    <w:rPr>
                      <w:szCs w:val="21"/>
                    </w:rPr>
                  </w:pPr>
                  <w:r>
                    <w:rPr>
                      <w:szCs w:val="21"/>
                    </w:rPr>
                    <w:t>4</w:t>
                  </w:r>
                  <w:r>
                    <w:rPr>
                      <w:rFonts w:hint="eastAsia"/>
                      <w:szCs w:val="21"/>
                    </w:rPr>
                    <w:t>000</w:t>
                  </w:r>
                </w:p>
              </w:tc>
              <w:tc>
                <w:tcPr>
                  <w:tcW w:w="1249" w:type="dxa"/>
                  <w:vAlign w:val="center"/>
                </w:tcPr>
                <w:p w14:paraId="021B1E70">
                  <w:pPr>
                    <w:adjustRightInd w:val="0"/>
                    <w:spacing w:line="240" w:lineRule="exact"/>
                    <w:jc w:val="center"/>
                    <w:rPr>
                      <w:szCs w:val="21"/>
                    </w:rPr>
                  </w:pPr>
                  <w:r>
                    <w:rPr>
                      <w:rFonts w:hint="eastAsia"/>
                      <w:szCs w:val="21"/>
                    </w:rPr>
                    <w:t>22.5</w:t>
                  </w:r>
                </w:p>
              </w:tc>
              <w:tc>
                <w:tcPr>
                  <w:tcW w:w="949" w:type="dxa"/>
                  <w:vAlign w:val="center"/>
                </w:tcPr>
                <w:p w14:paraId="2227A389">
                  <w:pPr>
                    <w:adjustRightInd w:val="0"/>
                    <w:snapToGrid w:val="0"/>
                    <w:spacing w:line="240" w:lineRule="exact"/>
                    <w:jc w:val="center"/>
                    <w:rPr>
                      <w:szCs w:val="21"/>
                    </w:rPr>
                  </w:pPr>
                  <w:r>
                    <w:rPr>
                      <w:rFonts w:hint="eastAsia"/>
                      <w:szCs w:val="21"/>
                    </w:rPr>
                    <w:t>达标</w:t>
                  </w:r>
                </w:p>
              </w:tc>
            </w:tr>
            <w:tr w14:paraId="1DD22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085" w:type="dxa"/>
                  <w:vAlign w:val="center"/>
                </w:tcPr>
                <w:p w14:paraId="10E44F53">
                  <w:pPr>
                    <w:snapToGrid w:val="0"/>
                    <w:spacing w:line="240" w:lineRule="exact"/>
                    <w:jc w:val="center"/>
                    <w:rPr>
                      <w:szCs w:val="21"/>
                    </w:rPr>
                  </w:pPr>
                  <w:r>
                    <w:rPr>
                      <w:sz w:val="24"/>
                    </w:rPr>
                    <w:t>O</w:t>
                  </w:r>
                  <w:r>
                    <w:rPr>
                      <w:sz w:val="24"/>
                      <w:vertAlign w:val="subscript"/>
                    </w:rPr>
                    <w:t>3</w:t>
                  </w:r>
                </w:p>
              </w:tc>
              <w:tc>
                <w:tcPr>
                  <w:tcW w:w="2047" w:type="dxa"/>
                  <w:vAlign w:val="center"/>
                </w:tcPr>
                <w:p w14:paraId="55859731">
                  <w:pPr>
                    <w:snapToGrid w:val="0"/>
                    <w:spacing w:line="240" w:lineRule="exact"/>
                    <w:jc w:val="center"/>
                    <w:rPr>
                      <w:szCs w:val="21"/>
                    </w:rPr>
                  </w:pPr>
                  <w:r>
                    <w:rPr>
                      <w:rFonts w:hint="eastAsia"/>
                      <w:szCs w:val="21"/>
                    </w:rPr>
                    <w:t>第</w:t>
                  </w:r>
                  <w:r>
                    <w:rPr>
                      <w:szCs w:val="21"/>
                    </w:rPr>
                    <w:t>90</w:t>
                  </w:r>
                  <w:r>
                    <w:rPr>
                      <w:rFonts w:hint="eastAsia"/>
                      <w:szCs w:val="21"/>
                    </w:rPr>
                    <w:t>百分位数</w:t>
                  </w:r>
                  <w:r>
                    <w:rPr>
                      <w:szCs w:val="21"/>
                    </w:rPr>
                    <w:t>8h</w:t>
                  </w:r>
                  <w:r>
                    <w:rPr>
                      <w:rFonts w:hint="eastAsia"/>
                      <w:szCs w:val="21"/>
                    </w:rPr>
                    <w:t>平均</w:t>
                  </w:r>
                </w:p>
              </w:tc>
              <w:tc>
                <w:tcPr>
                  <w:tcW w:w="1639" w:type="dxa"/>
                  <w:vAlign w:val="center"/>
                </w:tcPr>
                <w:p w14:paraId="4BE4D746">
                  <w:pPr>
                    <w:adjustRightInd w:val="0"/>
                    <w:spacing w:line="240" w:lineRule="exact"/>
                    <w:jc w:val="center"/>
                    <w:rPr>
                      <w:szCs w:val="21"/>
                    </w:rPr>
                  </w:pPr>
                  <w:r>
                    <w:rPr>
                      <w:rFonts w:hint="eastAsia"/>
                      <w:szCs w:val="21"/>
                    </w:rPr>
                    <w:t>169</w:t>
                  </w:r>
                </w:p>
              </w:tc>
              <w:tc>
                <w:tcPr>
                  <w:tcW w:w="1444" w:type="dxa"/>
                  <w:vAlign w:val="center"/>
                </w:tcPr>
                <w:p w14:paraId="621BBE4F">
                  <w:pPr>
                    <w:adjustRightInd w:val="0"/>
                    <w:spacing w:line="240" w:lineRule="exact"/>
                    <w:jc w:val="center"/>
                    <w:rPr>
                      <w:szCs w:val="21"/>
                    </w:rPr>
                  </w:pPr>
                  <w:r>
                    <w:rPr>
                      <w:szCs w:val="21"/>
                    </w:rPr>
                    <w:t>160</w:t>
                  </w:r>
                </w:p>
              </w:tc>
              <w:tc>
                <w:tcPr>
                  <w:tcW w:w="1249" w:type="dxa"/>
                  <w:vAlign w:val="center"/>
                </w:tcPr>
                <w:p w14:paraId="725E2533">
                  <w:pPr>
                    <w:adjustRightInd w:val="0"/>
                    <w:spacing w:line="240" w:lineRule="exact"/>
                    <w:jc w:val="center"/>
                    <w:rPr>
                      <w:szCs w:val="21"/>
                    </w:rPr>
                  </w:pPr>
                  <w:r>
                    <w:rPr>
                      <w:rFonts w:hint="eastAsia"/>
                      <w:szCs w:val="21"/>
                    </w:rPr>
                    <w:t>105.6</w:t>
                  </w:r>
                </w:p>
              </w:tc>
              <w:tc>
                <w:tcPr>
                  <w:tcW w:w="949" w:type="dxa"/>
                  <w:vAlign w:val="center"/>
                </w:tcPr>
                <w:p w14:paraId="68EC81E7">
                  <w:pPr>
                    <w:snapToGrid w:val="0"/>
                    <w:spacing w:line="240" w:lineRule="exact"/>
                    <w:jc w:val="center"/>
                    <w:rPr>
                      <w:szCs w:val="21"/>
                    </w:rPr>
                  </w:pPr>
                  <w:r>
                    <w:rPr>
                      <w:rFonts w:hint="eastAsia"/>
                      <w:szCs w:val="21"/>
                    </w:rPr>
                    <w:t>超标</w:t>
                  </w:r>
                </w:p>
              </w:tc>
            </w:tr>
          </w:tbl>
          <w:p w14:paraId="79D085D9">
            <w:pPr>
              <w:autoSpaceDE w:val="0"/>
              <w:autoSpaceDN w:val="0"/>
              <w:adjustRightInd w:val="0"/>
              <w:snapToGrid w:val="0"/>
              <w:spacing w:line="360" w:lineRule="auto"/>
              <w:ind w:firstLine="480" w:firstLineChars="200"/>
              <w:rPr>
                <w:rFonts w:cs="宋体"/>
                <w:kern w:val="0"/>
                <w:sz w:val="24"/>
              </w:rPr>
            </w:pPr>
            <w:r>
              <w:rPr>
                <w:rFonts w:hint="eastAsia"/>
                <w:sz w:val="24"/>
              </w:rPr>
              <w:t>由上表可知，项目所在区域</w:t>
            </w:r>
            <w:r>
              <w:rPr>
                <w:sz w:val="24"/>
              </w:rPr>
              <w:t>SO</w:t>
            </w:r>
            <w:r>
              <w:rPr>
                <w:sz w:val="24"/>
                <w:vertAlign w:val="subscript"/>
              </w:rPr>
              <w:t>2</w:t>
            </w:r>
            <w:r>
              <w:rPr>
                <w:rFonts w:hint="eastAsia"/>
                <w:sz w:val="24"/>
              </w:rPr>
              <w:t>、</w:t>
            </w:r>
            <w:r>
              <w:rPr>
                <w:sz w:val="24"/>
              </w:rPr>
              <w:t>NO</w:t>
            </w:r>
            <w:r>
              <w:rPr>
                <w:sz w:val="24"/>
                <w:vertAlign w:val="subscript"/>
              </w:rPr>
              <w:t>2</w:t>
            </w:r>
            <w:r>
              <w:rPr>
                <w:rFonts w:hint="eastAsia"/>
                <w:sz w:val="24"/>
              </w:rPr>
              <w:t>、</w:t>
            </w:r>
            <w:r>
              <w:rPr>
                <w:sz w:val="24"/>
              </w:rPr>
              <w:t>CO</w:t>
            </w:r>
            <w:r>
              <w:rPr>
                <w:rFonts w:hint="eastAsia"/>
                <w:sz w:val="24"/>
              </w:rPr>
              <w:t>浓度满足《环境空气质量标准》（</w:t>
            </w:r>
            <w:r>
              <w:rPr>
                <w:sz w:val="24"/>
              </w:rPr>
              <w:t>GB3095-2012</w:t>
            </w:r>
            <w:r>
              <w:rPr>
                <w:rFonts w:hint="eastAsia"/>
                <w:sz w:val="24"/>
              </w:rPr>
              <w:t>）二级标准，</w:t>
            </w:r>
            <w:r>
              <w:rPr>
                <w:sz w:val="24"/>
              </w:rPr>
              <w:t>PM</w:t>
            </w:r>
            <w:r>
              <w:rPr>
                <w:sz w:val="24"/>
                <w:vertAlign w:val="subscript"/>
              </w:rPr>
              <w:t>2.5</w:t>
            </w:r>
            <w:r>
              <w:rPr>
                <w:rFonts w:hint="eastAsia"/>
                <w:sz w:val="24"/>
              </w:rPr>
              <w:t>、</w:t>
            </w:r>
            <w:r>
              <w:rPr>
                <w:sz w:val="24"/>
              </w:rPr>
              <w:t>PM</w:t>
            </w:r>
            <w:r>
              <w:rPr>
                <w:sz w:val="24"/>
                <w:vertAlign w:val="subscript"/>
              </w:rPr>
              <w:t>10</w:t>
            </w:r>
            <w:r>
              <w:rPr>
                <w:rFonts w:hint="eastAsia"/>
                <w:sz w:val="24"/>
              </w:rPr>
              <w:t>、</w:t>
            </w:r>
            <w:r>
              <w:rPr>
                <w:sz w:val="24"/>
              </w:rPr>
              <w:t>O</w:t>
            </w:r>
            <w:r>
              <w:rPr>
                <w:sz w:val="24"/>
                <w:vertAlign w:val="subscript"/>
              </w:rPr>
              <w:t>3</w:t>
            </w:r>
            <w:r>
              <w:rPr>
                <w:rFonts w:hint="eastAsia"/>
                <w:sz w:val="24"/>
              </w:rPr>
              <w:t>浓度不满足《环境空气质量标准》（</w:t>
            </w:r>
            <w:r>
              <w:rPr>
                <w:sz w:val="24"/>
              </w:rPr>
              <w:t>GB3095-2012</w:t>
            </w:r>
            <w:r>
              <w:rPr>
                <w:rFonts w:hint="eastAsia"/>
                <w:sz w:val="24"/>
              </w:rPr>
              <w:t>）二级标准。</w:t>
            </w:r>
            <w:r>
              <w:rPr>
                <w:rFonts w:hint="eastAsia" w:cs="宋体"/>
                <w:kern w:val="0"/>
                <w:sz w:val="24"/>
              </w:rPr>
              <w:t>项目所在区域为环境空气质量不达标区。</w:t>
            </w:r>
          </w:p>
          <w:p w14:paraId="4649A687">
            <w:pPr>
              <w:adjustRightInd w:val="0"/>
              <w:snapToGrid w:val="0"/>
              <w:spacing w:line="360" w:lineRule="auto"/>
              <w:ind w:firstLine="480" w:firstLineChars="200"/>
              <w:rPr>
                <w:kern w:val="0"/>
                <w:sz w:val="24"/>
              </w:rPr>
            </w:pPr>
            <w:r>
              <w:rPr>
                <w:kern w:val="0"/>
                <w:sz w:val="24"/>
              </w:rPr>
              <w:t>目前民权县正在实施</w:t>
            </w:r>
            <w:r>
              <w:rPr>
                <w:rFonts w:hint="eastAsia"/>
                <w:kern w:val="0"/>
                <w:sz w:val="24"/>
              </w:rPr>
              <w:t>《河南省深入打好秋冬季重污染天气消除、夏季臭氧防治和柴油货车污染治理攻坚战行动方案》、《商丘市2024年蓝天保卫战实施方案》</w:t>
            </w:r>
            <w:r>
              <w:rPr>
                <w:kern w:val="0"/>
                <w:sz w:val="24"/>
              </w:rPr>
              <w:t>等文件，通过实施一系列措施，可有效改善当地区域环境空气质量。</w:t>
            </w:r>
          </w:p>
          <w:p w14:paraId="3B3FE106">
            <w:pPr>
              <w:spacing w:line="360" w:lineRule="auto"/>
              <w:ind w:firstLine="482" w:firstLineChars="200"/>
              <w:rPr>
                <w:b/>
                <w:sz w:val="24"/>
              </w:rPr>
            </w:pPr>
            <w:r>
              <w:rPr>
                <w:b/>
                <w:sz w:val="24"/>
              </w:rPr>
              <w:t>2</w:t>
            </w:r>
            <w:r>
              <w:rPr>
                <w:rFonts w:hint="eastAsia"/>
                <w:b/>
                <w:sz w:val="24"/>
              </w:rPr>
              <w:t>、地表水环境质量现状</w:t>
            </w:r>
          </w:p>
          <w:p w14:paraId="6E00B9B6">
            <w:pPr>
              <w:spacing w:line="360" w:lineRule="auto"/>
              <w:ind w:firstLine="512" w:firstLineChars="200"/>
              <w:rPr>
                <w:b/>
                <w:sz w:val="24"/>
                <w:highlight w:val="green"/>
              </w:rPr>
            </w:pPr>
            <w:r>
              <w:rPr>
                <w:rFonts w:hint="eastAsia"/>
                <w:spacing w:val="8"/>
                <w:sz w:val="24"/>
              </w:rPr>
              <w:t>距离项目最近的地表水体为南侧小堤河</w:t>
            </w:r>
            <w:r>
              <w:rPr>
                <w:spacing w:val="8"/>
                <w:sz w:val="24"/>
              </w:rPr>
              <w:t>支流</w:t>
            </w:r>
            <w:r>
              <w:rPr>
                <w:rFonts w:hint="eastAsia"/>
                <w:color w:val="000000"/>
                <w:spacing w:val="8"/>
                <w:sz w:val="24"/>
              </w:rPr>
              <w:t>，位于项目南侧约</w:t>
            </w:r>
            <w:r>
              <w:rPr>
                <w:color w:val="000000"/>
                <w:spacing w:val="8"/>
                <w:sz w:val="24"/>
              </w:rPr>
              <w:t>22</w:t>
            </w:r>
            <w:r>
              <w:rPr>
                <w:rFonts w:hint="eastAsia"/>
                <w:color w:val="000000"/>
                <w:spacing w:val="8"/>
                <w:sz w:val="24"/>
              </w:rPr>
              <w:t>0</w:t>
            </w:r>
            <w:r>
              <w:rPr>
                <w:color w:val="000000"/>
                <w:spacing w:val="8"/>
                <w:sz w:val="24"/>
              </w:rPr>
              <w:t>m</w:t>
            </w:r>
            <w:r>
              <w:rPr>
                <w:rFonts w:hint="eastAsia"/>
                <w:color w:val="000000"/>
                <w:spacing w:val="8"/>
                <w:sz w:val="24"/>
              </w:rPr>
              <w:t>处，</w:t>
            </w:r>
            <w:r>
              <w:rPr>
                <w:rFonts w:hint="eastAsia" w:ascii="宋体" w:cs="宋体"/>
                <w:kern w:val="0"/>
                <w:sz w:val="24"/>
              </w:rPr>
              <w:t>往东汇入</w:t>
            </w:r>
            <w:r>
              <w:rPr>
                <w:rFonts w:ascii="宋体" w:cs="宋体"/>
                <w:kern w:val="0"/>
                <w:sz w:val="24"/>
              </w:rPr>
              <w:t>小堤</w:t>
            </w:r>
            <w:r>
              <w:rPr>
                <w:rFonts w:hint="eastAsia" w:ascii="宋体" w:cs="宋体"/>
                <w:kern w:val="0"/>
                <w:sz w:val="24"/>
              </w:rPr>
              <w:t>河</w:t>
            </w:r>
            <w:r>
              <w:rPr>
                <w:rFonts w:ascii="宋体" w:cs="宋体"/>
                <w:kern w:val="0"/>
                <w:sz w:val="24"/>
              </w:rPr>
              <w:t>，最终</w:t>
            </w:r>
            <w:r>
              <w:rPr>
                <w:rFonts w:hint="eastAsia" w:ascii="宋体" w:cs="宋体"/>
                <w:kern w:val="0"/>
                <w:sz w:val="24"/>
              </w:rPr>
              <w:t>汇入黄河故道。</w:t>
            </w:r>
            <w:r>
              <w:rPr>
                <w:rFonts w:hint="eastAsia"/>
                <w:spacing w:val="8"/>
                <w:sz w:val="24"/>
              </w:rPr>
              <w:t>本项目运营期</w:t>
            </w:r>
            <w:r>
              <w:rPr>
                <w:spacing w:val="8"/>
                <w:sz w:val="24"/>
              </w:rPr>
              <w:t>间</w:t>
            </w:r>
            <w:r>
              <w:rPr>
                <w:rFonts w:hint="eastAsia"/>
                <w:spacing w:val="8"/>
                <w:sz w:val="24"/>
              </w:rPr>
              <w:t>生产废水</w:t>
            </w:r>
            <w:r>
              <w:rPr>
                <w:spacing w:val="8"/>
                <w:sz w:val="24"/>
              </w:rPr>
              <w:t>经处理后循环使用，</w:t>
            </w:r>
            <w:r>
              <w:rPr>
                <w:rFonts w:hint="eastAsia"/>
                <w:spacing w:val="8"/>
                <w:sz w:val="24"/>
              </w:rPr>
              <w:t>生活</w:t>
            </w:r>
            <w:r>
              <w:rPr>
                <w:spacing w:val="8"/>
                <w:sz w:val="24"/>
              </w:rPr>
              <w:t>污水经化粪池暂存</w:t>
            </w:r>
            <w:r>
              <w:rPr>
                <w:rFonts w:hint="eastAsia"/>
                <w:spacing w:val="8"/>
                <w:sz w:val="24"/>
              </w:rPr>
              <w:t>，</w:t>
            </w:r>
            <w:r>
              <w:rPr>
                <w:rFonts w:hint="eastAsia"/>
                <w:sz w:val="24"/>
              </w:rPr>
              <w:t>每</w:t>
            </w:r>
            <w:r>
              <w:rPr>
                <w:sz w:val="24"/>
              </w:rPr>
              <w:t>三天</w:t>
            </w:r>
            <w:r>
              <w:rPr>
                <w:rFonts w:hint="eastAsia"/>
                <w:sz w:val="24"/>
              </w:rPr>
              <w:t>生产</w:t>
            </w:r>
            <w:r>
              <w:rPr>
                <w:sz w:val="24"/>
              </w:rPr>
              <w:t>废水</w:t>
            </w:r>
            <w:r>
              <w:rPr>
                <w:rFonts w:hint="eastAsia"/>
                <w:sz w:val="24"/>
              </w:rPr>
              <w:t>与生活污水</w:t>
            </w:r>
            <w:r>
              <w:rPr>
                <w:sz w:val="24"/>
              </w:rPr>
              <w:t>一起经罐车运至北关镇污水处理厂处理后达标排放</w:t>
            </w:r>
            <w:r>
              <w:rPr>
                <w:rFonts w:hint="eastAsia"/>
                <w:spacing w:val="8"/>
                <w:sz w:val="24"/>
              </w:rPr>
              <w:t>。根据地表水质量功能划分，黄河故道水环境执行《地表水环境质量标准》（GB3838-2002）Ⅲ类标准。本次评价采用民权县人民政府网站公布的2023年“民权县1月至3月份水环境质量”中龙泽湖断面的常规监测数据，监测结果数据统计如下：</w:t>
            </w:r>
          </w:p>
          <w:p w14:paraId="5DDC3724">
            <w:pPr>
              <w:jc w:val="center"/>
              <w:rPr>
                <w:b/>
                <w:sz w:val="24"/>
              </w:rPr>
            </w:pPr>
            <w:r>
              <w:rPr>
                <w:b/>
                <w:sz w:val="24"/>
              </w:rPr>
              <w:t>表</w:t>
            </w:r>
            <w:r>
              <w:rPr>
                <w:rFonts w:hint="eastAsia"/>
                <w:b/>
                <w:sz w:val="24"/>
              </w:rPr>
              <w:t>1</w:t>
            </w:r>
            <w:r>
              <w:rPr>
                <w:b/>
                <w:sz w:val="24"/>
              </w:rPr>
              <w:t xml:space="preserve">4   </w:t>
            </w:r>
            <w:r>
              <w:rPr>
                <w:rFonts w:hint="eastAsia"/>
                <w:b/>
                <w:sz w:val="24"/>
              </w:rPr>
              <w:t>龙泽湖断面</w:t>
            </w:r>
            <w:r>
              <w:rPr>
                <w:b/>
                <w:sz w:val="24"/>
              </w:rPr>
              <w:t>各污染因子监测结果统计一览表</w:t>
            </w:r>
            <w:r>
              <w:rPr>
                <w:rFonts w:hint="eastAsia"/>
                <w:b/>
                <w:sz w:val="24"/>
              </w:rPr>
              <w:t xml:space="preserve">  单位：mg/L</w:t>
            </w:r>
          </w:p>
          <w:tbl>
            <w:tblPr>
              <w:tblStyle w:val="2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40" w:type="dxa"/>
                <w:left w:w="108" w:type="dxa"/>
                <w:bottom w:w="40" w:type="dxa"/>
                <w:right w:w="108" w:type="dxa"/>
              </w:tblCellMar>
            </w:tblPr>
            <w:tblGrid>
              <w:gridCol w:w="1082"/>
              <w:gridCol w:w="2176"/>
              <w:gridCol w:w="1283"/>
              <w:gridCol w:w="1283"/>
              <w:gridCol w:w="1283"/>
              <w:gridCol w:w="1298"/>
            </w:tblGrid>
            <w:tr w14:paraId="463E7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644" w:type="pct"/>
                  <w:vMerge w:val="restart"/>
                  <w:tcBorders>
                    <w:top w:val="single" w:color="auto" w:sz="4" w:space="0"/>
                    <w:left w:val="single" w:color="auto" w:sz="4" w:space="0"/>
                    <w:right w:val="single" w:color="auto" w:sz="4" w:space="0"/>
                  </w:tcBorders>
                  <w:vAlign w:val="center"/>
                </w:tcPr>
                <w:p w14:paraId="7DE85688">
                  <w:pPr>
                    <w:pStyle w:val="73"/>
                    <w:snapToGrid w:val="0"/>
                    <w:spacing w:line="240" w:lineRule="auto"/>
                    <w:rPr>
                      <w:rFonts w:ascii="Times New Roman" w:hAnsi="Times New Roman"/>
                      <w:color w:val="auto"/>
                      <w:sz w:val="21"/>
                      <w:szCs w:val="21"/>
                    </w:rPr>
                  </w:pPr>
                  <w:r>
                    <w:rPr>
                      <w:rFonts w:hint="eastAsia" w:ascii="Times New Roman" w:hAnsi="Times New Roman"/>
                      <w:color w:val="auto"/>
                      <w:sz w:val="21"/>
                      <w:szCs w:val="21"/>
                    </w:rPr>
                    <w:t>监测断面名称</w:t>
                  </w:r>
                </w:p>
              </w:tc>
              <w:tc>
                <w:tcPr>
                  <w:tcW w:w="1294" w:type="pct"/>
                  <w:vMerge w:val="restart"/>
                  <w:tcBorders>
                    <w:top w:val="single" w:color="auto" w:sz="4" w:space="0"/>
                    <w:left w:val="single" w:color="auto" w:sz="4" w:space="0"/>
                    <w:right w:val="single" w:color="auto" w:sz="4" w:space="0"/>
                  </w:tcBorders>
                  <w:vAlign w:val="center"/>
                </w:tcPr>
                <w:p w14:paraId="0B8A4148">
                  <w:pPr>
                    <w:pStyle w:val="73"/>
                    <w:snapToGrid w:val="0"/>
                    <w:spacing w:line="240" w:lineRule="auto"/>
                    <w:rPr>
                      <w:rFonts w:ascii="Times New Roman" w:hAnsi="Times New Roman"/>
                      <w:bCs/>
                      <w:color w:val="auto"/>
                      <w:sz w:val="21"/>
                      <w:szCs w:val="21"/>
                    </w:rPr>
                  </w:pPr>
                  <w:r>
                    <w:rPr>
                      <w:rFonts w:hint="eastAsia" w:ascii="Times New Roman" w:hAnsi="Times New Roman"/>
                      <w:color w:val="auto"/>
                      <w:sz w:val="21"/>
                      <w:szCs w:val="21"/>
                    </w:rPr>
                    <w:t>监测时间</w:t>
                  </w:r>
                </w:p>
              </w:tc>
              <w:tc>
                <w:tcPr>
                  <w:tcW w:w="3061" w:type="pct"/>
                  <w:gridSpan w:val="4"/>
                  <w:tcBorders>
                    <w:top w:val="single" w:color="auto" w:sz="4" w:space="0"/>
                    <w:left w:val="single" w:color="auto" w:sz="4" w:space="0"/>
                    <w:bottom w:val="single" w:color="auto" w:sz="4" w:space="0"/>
                    <w:right w:val="single" w:color="auto" w:sz="4" w:space="0"/>
                  </w:tcBorders>
                  <w:vAlign w:val="center"/>
                </w:tcPr>
                <w:p w14:paraId="538AC233">
                  <w:pPr>
                    <w:pStyle w:val="73"/>
                    <w:snapToGrid w:val="0"/>
                    <w:spacing w:line="240" w:lineRule="auto"/>
                    <w:rPr>
                      <w:rFonts w:ascii="Times New Roman" w:hAnsi="Times New Roman"/>
                      <w:color w:val="auto"/>
                      <w:sz w:val="21"/>
                      <w:szCs w:val="21"/>
                    </w:rPr>
                  </w:pPr>
                  <w:r>
                    <w:rPr>
                      <w:rFonts w:hint="eastAsia" w:ascii="Times New Roman" w:hAnsi="Times New Roman"/>
                      <w:color w:val="auto"/>
                      <w:sz w:val="21"/>
                      <w:szCs w:val="21"/>
                    </w:rPr>
                    <w:t>监测因子及检测结果</w:t>
                  </w:r>
                </w:p>
              </w:tc>
            </w:tr>
            <w:tr w14:paraId="3AD6D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397" w:hRule="atLeast"/>
                <w:jc w:val="center"/>
              </w:trPr>
              <w:tc>
                <w:tcPr>
                  <w:tcW w:w="644" w:type="pct"/>
                  <w:vMerge w:val="continue"/>
                  <w:tcBorders>
                    <w:left w:val="single" w:color="auto" w:sz="4" w:space="0"/>
                    <w:right w:val="single" w:color="auto" w:sz="4" w:space="0"/>
                  </w:tcBorders>
                  <w:vAlign w:val="center"/>
                </w:tcPr>
                <w:p w14:paraId="204A6C12">
                  <w:pPr>
                    <w:pStyle w:val="73"/>
                    <w:snapToGrid w:val="0"/>
                    <w:spacing w:line="240" w:lineRule="auto"/>
                    <w:rPr>
                      <w:rFonts w:ascii="Times New Roman" w:hAnsi="Times New Roman"/>
                      <w:color w:val="auto"/>
                      <w:sz w:val="21"/>
                      <w:szCs w:val="21"/>
                    </w:rPr>
                  </w:pPr>
                </w:p>
              </w:tc>
              <w:tc>
                <w:tcPr>
                  <w:tcW w:w="1294" w:type="pct"/>
                  <w:vMerge w:val="continue"/>
                  <w:tcBorders>
                    <w:left w:val="single" w:color="auto" w:sz="4" w:space="0"/>
                    <w:bottom w:val="single" w:color="auto" w:sz="4" w:space="0"/>
                    <w:right w:val="single" w:color="auto" w:sz="4" w:space="0"/>
                  </w:tcBorders>
                  <w:vAlign w:val="center"/>
                </w:tcPr>
                <w:p w14:paraId="5C7CA597">
                  <w:pPr>
                    <w:pStyle w:val="73"/>
                    <w:snapToGrid w:val="0"/>
                    <w:spacing w:line="240" w:lineRule="auto"/>
                    <w:rPr>
                      <w:rFonts w:ascii="Times New Roman" w:hAnsi="Times New Roman"/>
                      <w:bCs/>
                      <w:color w:val="auto"/>
                      <w:sz w:val="21"/>
                      <w:szCs w:val="21"/>
                    </w:rPr>
                  </w:pPr>
                </w:p>
              </w:tc>
              <w:tc>
                <w:tcPr>
                  <w:tcW w:w="763" w:type="pct"/>
                  <w:tcBorders>
                    <w:top w:val="single" w:color="auto" w:sz="4" w:space="0"/>
                    <w:left w:val="single" w:color="auto" w:sz="4" w:space="0"/>
                    <w:bottom w:val="single" w:color="auto" w:sz="4" w:space="0"/>
                    <w:right w:val="single" w:color="auto" w:sz="4" w:space="0"/>
                  </w:tcBorders>
                  <w:vAlign w:val="center"/>
                </w:tcPr>
                <w:p w14:paraId="6CF1D862">
                  <w:pPr>
                    <w:pStyle w:val="73"/>
                    <w:snapToGrid w:val="0"/>
                    <w:spacing w:line="240" w:lineRule="auto"/>
                    <w:rPr>
                      <w:rFonts w:ascii="Times New Roman" w:hAnsi="Times New Roman"/>
                      <w:bCs/>
                      <w:color w:val="auto"/>
                      <w:sz w:val="21"/>
                      <w:szCs w:val="21"/>
                    </w:rPr>
                  </w:pPr>
                  <w:r>
                    <w:rPr>
                      <w:rFonts w:hint="eastAsia" w:ascii="Times New Roman" w:hAnsi="Times New Roman"/>
                      <w:color w:val="auto"/>
                      <w:sz w:val="21"/>
                      <w:szCs w:val="21"/>
                    </w:rPr>
                    <w:t>化学需氧量</w:t>
                  </w:r>
                </w:p>
              </w:tc>
              <w:tc>
                <w:tcPr>
                  <w:tcW w:w="763" w:type="pct"/>
                  <w:tcBorders>
                    <w:top w:val="single" w:color="auto" w:sz="4" w:space="0"/>
                    <w:left w:val="single" w:color="auto" w:sz="4" w:space="0"/>
                    <w:bottom w:val="single" w:color="auto" w:sz="4" w:space="0"/>
                    <w:right w:val="single" w:color="auto" w:sz="4" w:space="0"/>
                  </w:tcBorders>
                  <w:vAlign w:val="center"/>
                </w:tcPr>
                <w:p w14:paraId="74E701F0">
                  <w:pPr>
                    <w:pStyle w:val="73"/>
                    <w:snapToGrid w:val="0"/>
                    <w:spacing w:line="240" w:lineRule="auto"/>
                    <w:rPr>
                      <w:rFonts w:ascii="Times New Roman" w:hAnsi="Times New Roman"/>
                      <w:bCs/>
                      <w:color w:val="auto"/>
                      <w:sz w:val="21"/>
                      <w:szCs w:val="21"/>
                    </w:rPr>
                  </w:pPr>
                  <w:r>
                    <w:rPr>
                      <w:rFonts w:hint="eastAsia" w:ascii="Times New Roman" w:hAnsi="Times New Roman"/>
                      <w:color w:val="auto"/>
                      <w:sz w:val="21"/>
                      <w:szCs w:val="21"/>
                    </w:rPr>
                    <w:t>氨氮</w:t>
                  </w:r>
                </w:p>
              </w:tc>
              <w:tc>
                <w:tcPr>
                  <w:tcW w:w="763" w:type="pct"/>
                  <w:tcBorders>
                    <w:top w:val="single" w:color="auto" w:sz="4" w:space="0"/>
                    <w:left w:val="single" w:color="auto" w:sz="4" w:space="0"/>
                    <w:bottom w:val="single" w:color="auto" w:sz="4" w:space="0"/>
                    <w:right w:val="single" w:color="auto" w:sz="4" w:space="0"/>
                  </w:tcBorders>
                  <w:vAlign w:val="center"/>
                </w:tcPr>
                <w:p w14:paraId="50E150A0">
                  <w:pPr>
                    <w:pStyle w:val="73"/>
                    <w:snapToGrid w:val="0"/>
                    <w:spacing w:line="240" w:lineRule="auto"/>
                    <w:rPr>
                      <w:rFonts w:ascii="Times New Roman" w:hAnsi="Times New Roman"/>
                      <w:bCs/>
                      <w:color w:val="auto"/>
                      <w:sz w:val="21"/>
                      <w:szCs w:val="21"/>
                    </w:rPr>
                  </w:pPr>
                  <w:r>
                    <w:rPr>
                      <w:rFonts w:hint="eastAsia" w:ascii="Times New Roman" w:hAnsi="Times New Roman"/>
                      <w:color w:val="auto"/>
                      <w:sz w:val="21"/>
                      <w:szCs w:val="21"/>
                    </w:rPr>
                    <w:t>pH值</w:t>
                  </w:r>
                </w:p>
              </w:tc>
              <w:tc>
                <w:tcPr>
                  <w:tcW w:w="771" w:type="pct"/>
                  <w:tcBorders>
                    <w:top w:val="single" w:color="auto" w:sz="4" w:space="0"/>
                    <w:left w:val="single" w:color="auto" w:sz="4" w:space="0"/>
                    <w:bottom w:val="single" w:color="auto" w:sz="4" w:space="0"/>
                    <w:right w:val="single" w:color="auto" w:sz="4" w:space="0"/>
                  </w:tcBorders>
                  <w:vAlign w:val="center"/>
                </w:tcPr>
                <w:p w14:paraId="145102B1">
                  <w:pPr>
                    <w:pStyle w:val="73"/>
                    <w:snapToGrid w:val="0"/>
                    <w:spacing w:line="240" w:lineRule="auto"/>
                    <w:rPr>
                      <w:rFonts w:ascii="Times New Roman" w:hAnsi="Times New Roman"/>
                      <w:bCs/>
                      <w:color w:val="auto"/>
                      <w:sz w:val="21"/>
                      <w:szCs w:val="21"/>
                    </w:rPr>
                  </w:pPr>
                  <w:r>
                    <w:rPr>
                      <w:rFonts w:hint="eastAsia" w:ascii="Times New Roman" w:hAnsi="Times New Roman"/>
                      <w:color w:val="auto"/>
                      <w:sz w:val="21"/>
                      <w:szCs w:val="21"/>
                    </w:rPr>
                    <w:t>总磷</w:t>
                  </w:r>
                </w:p>
              </w:tc>
            </w:tr>
            <w:tr w14:paraId="4B2D4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397" w:hRule="atLeast"/>
                <w:jc w:val="center"/>
              </w:trPr>
              <w:tc>
                <w:tcPr>
                  <w:tcW w:w="644" w:type="pct"/>
                  <w:vMerge w:val="restart"/>
                  <w:tcBorders>
                    <w:top w:val="single" w:color="auto" w:sz="4" w:space="0"/>
                    <w:left w:val="single" w:color="auto" w:sz="4" w:space="0"/>
                    <w:right w:val="single" w:color="auto" w:sz="4" w:space="0"/>
                  </w:tcBorders>
                  <w:vAlign w:val="center"/>
                </w:tcPr>
                <w:p w14:paraId="7DFFF843">
                  <w:pPr>
                    <w:pStyle w:val="73"/>
                    <w:snapToGrid w:val="0"/>
                    <w:spacing w:line="240" w:lineRule="auto"/>
                    <w:rPr>
                      <w:rFonts w:ascii="Times New Roman" w:hAnsi="Times New Roman"/>
                      <w:bCs/>
                      <w:color w:val="auto"/>
                      <w:sz w:val="21"/>
                      <w:szCs w:val="21"/>
                    </w:rPr>
                  </w:pPr>
                  <w:r>
                    <w:rPr>
                      <w:rFonts w:hint="eastAsia" w:ascii="Times New Roman" w:hAnsi="Times New Roman"/>
                      <w:bCs/>
                      <w:color w:val="auto"/>
                      <w:sz w:val="21"/>
                      <w:szCs w:val="21"/>
                    </w:rPr>
                    <w:t>黄河故道龙泽湖断面</w:t>
                  </w:r>
                </w:p>
              </w:tc>
              <w:tc>
                <w:tcPr>
                  <w:tcW w:w="1294" w:type="pct"/>
                  <w:tcBorders>
                    <w:top w:val="single" w:color="auto" w:sz="4" w:space="0"/>
                    <w:left w:val="single" w:color="auto" w:sz="4" w:space="0"/>
                    <w:bottom w:val="single" w:color="auto" w:sz="4" w:space="0"/>
                    <w:right w:val="single" w:color="auto" w:sz="4" w:space="0"/>
                  </w:tcBorders>
                  <w:vAlign w:val="center"/>
                </w:tcPr>
                <w:p w14:paraId="398A5C49">
                  <w:pPr>
                    <w:pStyle w:val="73"/>
                    <w:snapToGrid w:val="0"/>
                    <w:spacing w:line="240" w:lineRule="auto"/>
                    <w:rPr>
                      <w:rFonts w:ascii="Times New Roman" w:hAnsi="Times New Roman"/>
                      <w:bCs/>
                      <w:color w:val="auto"/>
                      <w:sz w:val="21"/>
                      <w:szCs w:val="21"/>
                    </w:rPr>
                  </w:pPr>
                  <w:r>
                    <w:rPr>
                      <w:rFonts w:hint="eastAsia" w:ascii="Times New Roman" w:hAnsi="Times New Roman"/>
                      <w:bCs/>
                      <w:color w:val="auto"/>
                      <w:sz w:val="21"/>
                      <w:szCs w:val="21"/>
                    </w:rPr>
                    <w:t>2023年1月10日</w:t>
                  </w:r>
                </w:p>
              </w:tc>
              <w:tc>
                <w:tcPr>
                  <w:tcW w:w="763" w:type="pct"/>
                  <w:tcBorders>
                    <w:top w:val="single" w:color="auto" w:sz="4" w:space="0"/>
                    <w:left w:val="single" w:color="auto" w:sz="4" w:space="0"/>
                    <w:bottom w:val="single" w:color="auto" w:sz="4" w:space="0"/>
                    <w:right w:val="single" w:color="auto" w:sz="4" w:space="0"/>
                  </w:tcBorders>
                  <w:vAlign w:val="center"/>
                </w:tcPr>
                <w:p w14:paraId="105F18B8">
                  <w:pPr>
                    <w:pStyle w:val="73"/>
                    <w:snapToGrid w:val="0"/>
                    <w:spacing w:line="240" w:lineRule="auto"/>
                    <w:rPr>
                      <w:rFonts w:ascii="Times New Roman" w:hAnsi="Times New Roman"/>
                      <w:bCs/>
                      <w:color w:val="auto"/>
                      <w:sz w:val="21"/>
                      <w:szCs w:val="21"/>
                    </w:rPr>
                  </w:pPr>
                  <w:r>
                    <w:rPr>
                      <w:rFonts w:hint="eastAsia" w:ascii="Times New Roman" w:hAnsi="Times New Roman"/>
                      <w:bCs/>
                      <w:color w:val="auto"/>
                      <w:sz w:val="21"/>
                      <w:szCs w:val="21"/>
                    </w:rPr>
                    <w:t>15.2</w:t>
                  </w:r>
                </w:p>
              </w:tc>
              <w:tc>
                <w:tcPr>
                  <w:tcW w:w="763" w:type="pct"/>
                  <w:tcBorders>
                    <w:top w:val="single" w:color="auto" w:sz="4" w:space="0"/>
                    <w:left w:val="single" w:color="auto" w:sz="4" w:space="0"/>
                    <w:bottom w:val="single" w:color="auto" w:sz="4" w:space="0"/>
                    <w:right w:val="single" w:color="auto" w:sz="4" w:space="0"/>
                  </w:tcBorders>
                  <w:vAlign w:val="center"/>
                </w:tcPr>
                <w:p w14:paraId="5B522AB3">
                  <w:pPr>
                    <w:pStyle w:val="73"/>
                    <w:snapToGrid w:val="0"/>
                    <w:spacing w:line="240" w:lineRule="auto"/>
                    <w:rPr>
                      <w:rFonts w:ascii="Times New Roman" w:hAnsi="Times New Roman"/>
                      <w:bCs/>
                      <w:color w:val="auto"/>
                      <w:sz w:val="21"/>
                      <w:szCs w:val="21"/>
                    </w:rPr>
                  </w:pPr>
                  <w:r>
                    <w:rPr>
                      <w:rFonts w:hint="eastAsia" w:ascii="Times New Roman" w:hAnsi="Times New Roman"/>
                      <w:bCs/>
                      <w:color w:val="auto"/>
                      <w:sz w:val="21"/>
                      <w:szCs w:val="21"/>
                    </w:rPr>
                    <w:t>0.133</w:t>
                  </w:r>
                </w:p>
              </w:tc>
              <w:tc>
                <w:tcPr>
                  <w:tcW w:w="763" w:type="pct"/>
                  <w:tcBorders>
                    <w:top w:val="single" w:color="auto" w:sz="4" w:space="0"/>
                    <w:left w:val="single" w:color="auto" w:sz="4" w:space="0"/>
                    <w:bottom w:val="single" w:color="auto" w:sz="4" w:space="0"/>
                    <w:right w:val="single" w:color="auto" w:sz="4" w:space="0"/>
                  </w:tcBorders>
                  <w:vAlign w:val="center"/>
                </w:tcPr>
                <w:p w14:paraId="6362ACBD">
                  <w:pPr>
                    <w:pStyle w:val="73"/>
                    <w:snapToGrid w:val="0"/>
                    <w:spacing w:line="240" w:lineRule="auto"/>
                    <w:rPr>
                      <w:rFonts w:ascii="Times New Roman" w:hAnsi="Times New Roman"/>
                      <w:bCs/>
                      <w:color w:val="auto"/>
                      <w:sz w:val="21"/>
                      <w:szCs w:val="21"/>
                    </w:rPr>
                  </w:pPr>
                  <w:r>
                    <w:rPr>
                      <w:rFonts w:hint="eastAsia" w:ascii="Times New Roman" w:hAnsi="Times New Roman"/>
                      <w:bCs/>
                      <w:color w:val="auto"/>
                      <w:sz w:val="21"/>
                      <w:szCs w:val="21"/>
                    </w:rPr>
                    <w:t>8.10</w:t>
                  </w:r>
                </w:p>
              </w:tc>
              <w:tc>
                <w:tcPr>
                  <w:tcW w:w="771" w:type="pct"/>
                  <w:tcBorders>
                    <w:top w:val="single" w:color="auto" w:sz="4" w:space="0"/>
                    <w:left w:val="single" w:color="auto" w:sz="4" w:space="0"/>
                    <w:bottom w:val="single" w:color="auto" w:sz="4" w:space="0"/>
                    <w:right w:val="single" w:color="auto" w:sz="4" w:space="0"/>
                  </w:tcBorders>
                  <w:vAlign w:val="center"/>
                </w:tcPr>
                <w:p w14:paraId="15CA3F19">
                  <w:pPr>
                    <w:pStyle w:val="73"/>
                    <w:snapToGrid w:val="0"/>
                    <w:spacing w:line="240" w:lineRule="auto"/>
                    <w:rPr>
                      <w:rFonts w:ascii="Times New Roman" w:hAnsi="Times New Roman"/>
                      <w:bCs/>
                      <w:color w:val="auto"/>
                      <w:sz w:val="21"/>
                      <w:szCs w:val="21"/>
                    </w:rPr>
                  </w:pPr>
                  <w:r>
                    <w:rPr>
                      <w:rFonts w:hint="eastAsia" w:ascii="Times New Roman" w:hAnsi="Times New Roman"/>
                      <w:bCs/>
                      <w:color w:val="auto"/>
                      <w:sz w:val="21"/>
                      <w:szCs w:val="21"/>
                    </w:rPr>
                    <w:t>0.017</w:t>
                  </w:r>
                </w:p>
              </w:tc>
            </w:tr>
            <w:tr w14:paraId="65CC8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397" w:hRule="atLeast"/>
                <w:jc w:val="center"/>
              </w:trPr>
              <w:tc>
                <w:tcPr>
                  <w:tcW w:w="644" w:type="pct"/>
                  <w:vMerge w:val="continue"/>
                  <w:tcBorders>
                    <w:left w:val="single" w:color="auto" w:sz="4" w:space="0"/>
                    <w:right w:val="single" w:color="auto" w:sz="4" w:space="0"/>
                  </w:tcBorders>
                  <w:vAlign w:val="center"/>
                </w:tcPr>
                <w:p w14:paraId="7CC99C90">
                  <w:pPr>
                    <w:pStyle w:val="73"/>
                    <w:snapToGrid w:val="0"/>
                    <w:spacing w:line="240" w:lineRule="auto"/>
                    <w:rPr>
                      <w:rFonts w:ascii="Times New Roman" w:hAnsi="Times New Roman"/>
                      <w:bCs/>
                      <w:color w:val="auto"/>
                      <w:sz w:val="21"/>
                      <w:szCs w:val="21"/>
                    </w:rPr>
                  </w:pPr>
                </w:p>
              </w:tc>
              <w:tc>
                <w:tcPr>
                  <w:tcW w:w="1294" w:type="pct"/>
                  <w:tcBorders>
                    <w:top w:val="single" w:color="auto" w:sz="4" w:space="0"/>
                    <w:left w:val="single" w:color="auto" w:sz="4" w:space="0"/>
                    <w:bottom w:val="single" w:color="auto" w:sz="4" w:space="0"/>
                    <w:right w:val="single" w:color="auto" w:sz="4" w:space="0"/>
                  </w:tcBorders>
                  <w:vAlign w:val="center"/>
                </w:tcPr>
                <w:p w14:paraId="411ED6EE">
                  <w:pPr>
                    <w:pStyle w:val="73"/>
                    <w:snapToGrid w:val="0"/>
                    <w:spacing w:line="240" w:lineRule="auto"/>
                    <w:rPr>
                      <w:rFonts w:ascii="Times New Roman" w:hAnsi="Times New Roman"/>
                      <w:bCs/>
                      <w:color w:val="auto"/>
                      <w:sz w:val="21"/>
                      <w:szCs w:val="21"/>
                    </w:rPr>
                  </w:pPr>
                  <w:r>
                    <w:rPr>
                      <w:rFonts w:hint="eastAsia" w:ascii="Times New Roman" w:hAnsi="Times New Roman"/>
                      <w:bCs/>
                      <w:color w:val="auto"/>
                      <w:sz w:val="21"/>
                      <w:szCs w:val="21"/>
                    </w:rPr>
                    <w:t>2023年2月20日</w:t>
                  </w:r>
                </w:p>
              </w:tc>
              <w:tc>
                <w:tcPr>
                  <w:tcW w:w="763" w:type="pct"/>
                  <w:tcBorders>
                    <w:top w:val="single" w:color="auto" w:sz="4" w:space="0"/>
                    <w:left w:val="single" w:color="auto" w:sz="4" w:space="0"/>
                    <w:bottom w:val="single" w:color="auto" w:sz="4" w:space="0"/>
                    <w:right w:val="single" w:color="auto" w:sz="4" w:space="0"/>
                  </w:tcBorders>
                  <w:vAlign w:val="center"/>
                </w:tcPr>
                <w:p w14:paraId="270AA475">
                  <w:pPr>
                    <w:pStyle w:val="73"/>
                    <w:snapToGrid w:val="0"/>
                    <w:spacing w:line="240" w:lineRule="auto"/>
                    <w:rPr>
                      <w:rFonts w:ascii="Times New Roman" w:hAnsi="Times New Roman"/>
                      <w:bCs/>
                      <w:color w:val="auto"/>
                      <w:sz w:val="21"/>
                      <w:szCs w:val="21"/>
                    </w:rPr>
                  </w:pPr>
                  <w:r>
                    <w:rPr>
                      <w:rFonts w:hint="eastAsia" w:ascii="Times New Roman" w:hAnsi="Times New Roman"/>
                      <w:bCs/>
                      <w:color w:val="auto"/>
                      <w:sz w:val="21"/>
                      <w:szCs w:val="21"/>
                    </w:rPr>
                    <w:t>18.0</w:t>
                  </w:r>
                </w:p>
              </w:tc>
              <w:tc>
                <w:tcPr>
                  <w:tcW w:w="763" w:type="pct"/>
                  <w:tcBorders>
                    <w:top w:val="single" w:color="auto" w:sz="4" w:space="0"/>
                    <w:left w:val="single" w:color="auto" w:sz="4" w:space="0"/>
                    <w:bottom w:val="single" w:color="auto" w:sz="4" w:space="0"/>
                    <w:right w:val="single" w:color="auto" w:sz="4" w:space="0"/>
                  </w:tcBorders>
                  <w:vAlign w:val="center"/>
                </w:tcPr>
                <w:p w14:paraId="71E80AD1">
                  <w:pPr>
                    <w:pStyle w:val="73"/>
                    <w:snapToGrid w:val="0"/>
                    <w:spacing w:line="240" w:lineRule="auto"/>
                    <w:rPr>
                      <w:rFonts w:ascii="Times New Roman" w:hAnsi="Times New Roman"/>
                      <w:bCs/>
                      <w:color w:val="auto"/>
                      <w:sz w:val="21"/>
                      <w:szCs w:val="21"/>
                    </w:rPr>
                  </w:pPr>
                  <w:r>
                    <w:rPr>
                      <w:rFonts w:hint="eastAsia" w:ascii="Times New Roman" w:hAnsi="Times New Roman"/>
                      <w:bCs/>
                      <w:color w:val="auto"/>
                      <w:sz w:val="21"/>
                      <w:szCs w:val="21"/>
                    </w:rPr>
                    <w:t>0.143</w:t>
                  </w:r>
                </w:p>
              </w:tc>
              <w:tc>
                <w:tcPr>
                  <w:tcW w:w="763" w:type="pct"/>
                  <w:tcBorders>
                    <w:top w:val="single" w:color="auto" w:sz="4" w:space="0"/>
                    <w:left w:val="single" w:color="auto" w:sz="4" w:space="0"/>
                    <w:bottom w:val="single" w:color="auto" w:sz="4" w:space="0"/>
                    <w:right w:val="single" w:color="auto" w:sz="4" w:space="0"/>
                  </w:tcBorders>
                  <w:vAlign w:val="center"/>
                </w:tcPr>
                <w:p w14:paraId="53AF0C5D">
                  <w:pPr>
                    <w:pStyle w:val="73"/>
                    <w:snapToGrid w:val="0"/>
                    <w:spacing w:line="240" w:lineRule="auto"/>
                    <w:rPr>
                      <w:rFonts w:ascii="Times New Roman" w:hAnsi="Times New Roman"/>
                      <w:bCs/>
                      <w:color w:val="auto"/>
                      <w:sz w:val="21"/>
                      <w:szCs w:val="21"/>
                    </w:rPr>
                  </w:pPr>
                  <w:r>
                    <w:rPr>
                      <w:rFonts w:hint="eastAsia" w:ascii="Times New Roman" w:hAnsi="Times New Roman"/>
                      <w:bCs/>
                      <w:color w:val="auto"/>
                      <w:sz w:val="21"/>
                      <w:szCs w:val="21"/>
                    </w:rPr>
                    <w:t>7.81</w:t>
                  </w:r>
                </w:p>
              </w:tc>
              <w:tc>
                <w:tcPr>
                  <w:tcW w:w="771" w:type="pct"/>
                  <w:tcBorders>
                    <w:top w:val="single" w:color="auto" w:sz="4" w:space="0"/>
                    <w:left w:val="single" w:color="auto" w:sz="4" w:space="0"/>
                    <w:bottom w:val="single" w:color="auto" w:sz="4" w:space="0"/>
                    <w:right w:val="single" w:color="auto" w:sz="4" w:space="0"/>
                  </w:tcBorders>
                  <w:vAlign w:val="center"/>
                </w:tcPr>
                <w:p w14:paraId="4B47E603">
                  <w:pPr>
                    <w:pStyle w:val="73"/>
                    <w:snapToGrid w:val="0"/>
                    <w:spacing w:line="240" w:lineRule="auto"/>
                    <w:rPr>
                      <w:rFonts w:ascii="Times New Roman" w:hAnsi="Times New Roman"/>
                      <w:bCs/>
                      <w:color w:val="auto"/>
                      <w:sz w:val="21"/>
                      <w:szCs w:val="21"/>
                    </w:rPr>
                  </w:pPr>
                  <w:r>
                    <w:rPr>
                      <w:rFonts w:hint="eastAsia" w:ascii="Times New Roman" w:hAnsi="Times New Roman"/>
                      <w:bCs/>
                      <w:color w:val="auto"/>
                      <w:sz w:val="21"/>
                      <w:szCs w:val="21"/>
                    </w:rPr>
                    <w:t>0.018</w:t>
                  </w:r>
                </w:p>
              </w:tc>
            </w:tr>
            <w:tr w14:paraId="4EA64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397" w:hRule="atLeast"/>
                <w:jc w:val="center"/>
              </w:trPr>
              <w:tc>
                <w:tcPr>
                  <w:tcW w:w="644" w:type="pct"/>
                  <w:vMerge w:val="continue"/>
                  <w:tcBorders>
                    <w:left w:val="single" w:color="auto" w:sz="4" w:space="0"/>
                    <w:right w:val="single" w:color="auto" w:sz="4" w:space="0"/>
                  </w:tcBorders>
                  <w:vAlign w:val="center"/>
                </w:tcPr>
                <w:p w14:paraId="6545B949">
                  <w:pPr>
                    <w:pStyle w:val="73"/>
                    <w:snapToGrid w:val="0"/>
                    <w:spacing w:line="240" w:lineRule="auto"/>
                    <w:rPr>
                      <w:rFonts w:ascii="Times New Roman" w:hAnsi="Times New Roman"/>
                      <w:bCs/>
                      <w:color w:val="auto"/>
                      <w:sz w:val="21"/>
                      <w:szCs w:val="21"/>
                    </w:rPr>
                  </w:pPr>
                </w:p>
              </w:tc>
              <w:tc>
                <w:tcPr>
                  <w:tcW w:w="1294" w:type="pct"/>
                  <w:tcBorders>
                    <w:top w:val="single" w:color="auto" w:sz="4" w:space="0"/>
                    <w:left w:val="single" w:color="auto" w:sz="4" w:space="0"/>
                    <w:bottom w:val="single" w:color="auto" w:sz="4" w:space="0"/>
                    <w:right w:val="single" w:color="auto" w:sz="4" w:space="0"/>
                  </w:tcBorders>
                  <w:vAlign w:val="center"/>
                </w:tcPr>
                <w:p w14:paraId="6AAFB196">
                  <w:pPr>
                    <w:pStyle w:val="73"/>
                    <w:snapToGrid w:val="0"/>
                    <w:spacing w:line="240" w:lineRule="auto"/>
                    <w:rPr>
                      <w:rFonts w:ascii="Times New Roman" w:hAnsi="Times New Roman"/>
                      <w:bCs/>
                      <w:color w:val="auto"/>
                      <w:sz w:val="21"/>
                      <w:szCs w:val="21"/>
                    </w:rPr>
                  </w:pPr>
                  <w:r>
                    <w:rPr>
                      <w:rFonts w:hint="eastAsia" w:ascii="Times New Roman" w:hAnsi="Times New Roman"/>
                      <w:bCs/>
                      <w:color w:val="auto"/>
                      <w:sz w:val="21"/>
                      <w:szCs w:val="21"/>
                    </w:rPr>
                    <w:t>2023年3月20日</w:t>
                  </w:r>
                </w:p>
              </w:tc>
              <w:tc>
                <w:tcPr>
                  <w:tcW w:w="763" w:type="pct"/>
                  <w:tcBorders>
                    <w:top w:val="single" w:color="auto" w:sz="4" w:space="0"/>
                    <w:left w:val="single" w:color="auto" w:sz="4" w:space="0"/>
                    <w:bottom w:val="single" w:color="auto" w:sz="4" w:space="0"/>
                    <w:right w:val="single" w:color="auto" w:sz="4" w:space="0"/>
                  </w:tcBorders>
                  <w:vAlign w:val="center"/>
                </w:tcPr>
                <w:p w14:paraId="27B5ABF8">
                  <w:pPr>
                    <w:pStyle w:val="73"/>
                    <w:snapToGrid w:val="0"/>
                    <w:spacing w:line="240" w:lineRule="auto"/>
                    <w:rPr>
                      <w:rFonts w:ascii="Times New Roman" w:hAnsi="Times New Roman"/>
                      <w:bCs/>
                      <w:color w:val="auto"/>
                      <w:sz w:val="21"/>
                      <w:szCs w:val="21"/>
                    </w:rPr>
                  </w:pPr>
                  <w:r>
                    <w:rPr>
                      <w:rFonts w:hint="eastAsia" w:ascii="Times New Roman" w:hAnsi="Times New Roman"/>
                      <w:bCs/>
                      <w:color w:val="auto"/>
                      <w:sz w:val="21"/>
                      <w:szCs w:val="21"/>
                    </w:rPr>
                    <w:t>14.6</w:t>
                  </w:r>
                </w:p>
              </w:tc>
              <w:tc>
                <w:tcPr>
                  <w:tcW w:w="763" w:type="pct"/>
                  <w:tcBorders>
                    <w:top w:val="single" w:color="auto" w:sz="4" w:space="0"/>
                    <w:left w:val="single" w:color="auto" w:sz="4" w:space="0"/>
                    <w:bottom w:val="single" w:color="auto" w:sz="4" w:space="0"/>
                    <w:right w:val="single" w:color="auto" w:sz="4" w:space="0"/>
                  </w:tcBorders>
                  <w:vAlign w:val="center"/>
                </w:tcPr>
                <w:p w14:paraId="0AA5F267">
                  <w:pPr>
                    <w:pStyle w:val="73"/>
                    <w:snapToGrid w:val="0"/>
                    <w:spacing w:line="240" w:lineRule="auto"/>
                    <w:rPr>
                      <w:rFonts w:ascii="Times New Roman" w:hAnsi="Times New Roman"/>
                      <w:bCs/>
                      <w:color w:val="auto"/>
                      <w:sz w:val="21"/>
                      <w:szCs w:val="21"/>
                    </w:rPr>
                  </w:pPr>
                  <w:r>
                    <w:rPr>
                      <w:rFonts w:hint="eastAsia" w:ascii="Times New Roman" w:hAnsi="Times New Roman"/>
                      <w:bCs/>
                      <w:color w:val="auto"/>
                      <w:sz w:val="21"/>
                      <w:szCs w:val="21"/>
                    </w:rPr>
                    <w:t>0.155</w:t>
                  </w:r>
                </w:p>
              </w:tc>
              <w:tc>
                <w:tcPr>
                  <w:tcW w:w="763" w:type="pct"/>
                  <w:tcBorders>
                    <w:top w:val="single" w:color="auto" w:sz="4" w:space="0"/>
                    <w:left w:val="single" w:color="auto" w:sz="4" w:space="0"/>
                    <w:bottom w:val="single" w:color="auto" w:sz="4" w:space="0"/>
                    <w:right w:val="single" w:color="auto" w:sz="4" w:space="0"/>
                  </w:tcBorders>
                  <w:vAlign w:val="center"/>
                </w:tcPr>
                <w:p w14:paraId="0264F414">
                  <w:pPr>
                    <w:pStyle w:val="73"/>
                    <w:snapToGrid w:val="0"/>
                    <w:spacing w:line="240" w:lineRule="auto"/>
                    <w:rPr>
                      <w:rFonts w:ascii="Times New Roman" w:hAnsi="Times New Roman"/>
                      <w:bCs/>
                      <w:color w:val="auto"/>
                      <w:sz w:val="21"/>
                      <w:szCs w:val="21"/>
                    </w:rPr>
                  </w:pPr>
                  <w:r>
                    <w:rPr>
                      <w:rFonts w:hint="eastAsia" w:ascii="Times New Roman" w:hAnsi="Times New Roman"/>
                      <w:bCs/>
                      <w:color w:val="auto"/>
                      <w:sz w:val="21"/>
                      <w:szCs w:val="21"/>
                    </w:rPr>
                    <w:t>8.00</w:t>
                  </w:r>
                </w:p>
              </w:tc>
              <w:tc>
                <w:tcPr>
                  <w:tcW w:w="771" w:type="pct"/>
                  <w:tcBorders>
                    <w:top w:val="single" w:color="auto" w:sz="4" w:space="0"/>
                    <w:left w:val="single" w:color="auto" w:sz="4" w:space="0"/>
                    <w:bottom w:val="single" w:color="auto" w:sz="4" w:space="0"/>
                    <w:right w:val="single" w:color="auto" w:sz="4" w:space="0"/>
                  </w:tcBorders>
                  <w:vAlign w:val="center"/>
                </w:tcPr>
                <w:p w14:paraId="01B276A4">
                  <w:pPr>
                    <w:pStyle w:val="73"/>
                    <w:snapToGrid w:val="0"/>
                    <w:spacing w:line="240" w:lineRule="auto"/>
                    <w:rPr>
                      <w:rFonts w:ascii="Times New Roman" w:hAnsi="Times New Roman"/>
                      <w:bCs/>
                      <w:color w:val="auto"/>
                      <w:sz w:val="21"/>
                      <w:szCs w:val="21"/>
                    </w:rPr>
                  </w:pPr>
                  <w:r>
                    <w:rPr>
                      <w:rFonts w:hint="eastAsia" w:ascii="Times New Roman" w:hAnsi="Times New Roman"/>
                      <w:bCs/>
                      <w:color w:val="auto"/>
                      <w:sz w:val="21"/>
                      <w:szCs w:val="21"/>
                    </w:rPr>
                    <w:t>0.046</w:t>
                  </w:r>
                </w:p>
              </w:tc>
            </w:tr>
            <w:tr w14:paraId="0E3F8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1938" w:type="pct"/>
                  <w:gridSpan w:val="2"/>
                  <w:tcBorders>
                    <w:left w:val="single" w:color="auto" w:sz="4" w:space="0"/>
                    <w:right w:val="single" w:color="auto" w:sz="4" w:space="0"/>
                  </w:tcBorders>
                  <w:vAlign w:val="center"/>
                </w:tcPr>
                <w:p w14:paraId="24D4742A">
                  <w:pPr>
                    <w:pStyle w:val="73"/>
                    <w:snapToGrid w:val="0"/>
                    <w:spacing w:line="240" w:lineRule="auto"/>
                    <w:rPr>
                      <w:rFonts w:ascii="Times New Roman" w:hAnsi="Times New Roman"/>
                      <w:bCs/>
                      <w:color w:val="auto"/>
                      <w:sz w:val="21"/>
                      <w:szCs w:val="21"/>
                    </w:rPr>
                  </w:pPr>
                  <w:r>
                    <w:rPr>
                      <w:rFonts w:hint="eastAsia" w:ascii="Times New Roman" w:hAnsi="Times New Roman"/>
                      <w:bCs/>
                      <w:color w:val="auto"/>
                      <w:sz w:val="21"/>
                      <w:szCs w:val="21"/>
                    </w:rPr>
                    <w:t>（GB3838-2002）Ⅲ类标准限值</w:t>
                  </w:r>
                </w:p>
              </w:tc>
              <w:tc>
                <w:tcPr>
                  <w:tcW w:w="763" w:type="pct"/>
                  <w:tcBorders>
                    <w:top w:val="single" w:color="auto" w:sz="4" w:space="0"/>
                    <w:left w:val="single" w:color="auto" w:sz="4" w:space="0"/>
                    <w:bottom w:val="single" w:color="auto" w:sz="4" w:space="0"/>
                    <w:right w:val="single" w:color="auto" w:sz="4" w:space="0"/>
                  </w:tcBorders>
                  <w:vAlign w:val="center"/>
                </w:tcPr>
                <w:p w14:paraId="3BDC65F1">
                  <w:pPr>
                    <w:pStyle w:val="73"/>
                    <w:snapToGrid w:val="0"/>
                    <w:spacing w:line="240" w:lineRule="auto"/>
                    <w:rPr>
                      <w:rFonts w:ascii="Times New Roman" w:hAnsi="Times New Roman"/>
                      <w:bCs/>
                      <w:color w:val="auto"/>
                      <w:sz w:val="21"/>
                      <w:szCs w:val="21"/>
                    </w:rPr>
                  </w:pPr>
                  <w:r>
                    <w:rPr>
                      <w:rFonts w:hint="eastAsia" w:ascii="Times New Roman" w:hAnsi="Times New Roman"/>
                      <w:bCs/>
                      <w:color w:val="auto"/>
                      <w:sz w:val="21"/>
                      <w:szCs w:val="21"/>
                    </w:rPr>
                    <w:t>20</w:t>
                  </w:r>
                </w:p>
              </w:tc>
              <w:tc>
                <w:tcPr>
                  <w:tcW w:w="763" w:type="pct"/>
                  <w:tcBorders>
                    <w:top w:val="single" w:color="auto" w:sz="4" w:space="0"/>
                    <w:left w:val="single" w:color="auto" w:sz="4" w:space="0"/>
                    <w:bottom w:val="single" w:color="auto" w:sz="4" w:space="0"/>
                    <w:right w:val="single" w:color="auto" w:sz="4" w:space="0"/>
                  </w:tcBorders>
                  <w:vAlign w:val="center"/>
                </w:tcPr>
                <w:p w14:paraId="10EB0D12">
                  <w:pPr>
                    <w:pStyle w:val="73"/>
                    <w:snapToGrid w:val="0"/>
                    <w:spacing w:line="240" w:lineRule="auto"/>
                    <w:rPr>
                      <w:rFonts w:ascii="Times New Roman" w:hAnsi="Times New Roman"/>
                      <w:bCs/>
                      <w:color w:val="auto"/>
                      <w:sz w:val="21"/>
                      <w:szCs w:val="21"/>
                    </w:rPr>
                  </w:pPr>
                  <w:r>
                    <w:rPr>
                      <w:rFonts w:hint="eastAsia" w:ascii="Times New Roman" w:hAnsi="Times New Roman"/>
                      <w:bCs/>
                      <w:color w:val="auto"/>
                      <w:sz w:val="21"/>
                      <w:szCs w:val="21"/>
                    </w:rPr>
                    <w:t>1.0</w:t>
                  </w:r>
                </w:p>
              </w:tc>
              <w:tc>
                <w:tcPr>
                  <w:tcW w:w="763" w:type="pct"/>
                  <w:tcBorders>
                    <w:top w:val="single" w:color="auto" w:sz="4" w:space="0"/>
                    <w:left w:val="single" w:color="auto" w:sz="4" w:space="0"/>
                    <w:bottom w:val="single" w:color="auto" w:sz="4" w:space="0"/>
                    <w:right w:val="single" w:color="auto" w:sz="4" w:space="0"/>
                  </w:tcBorders>
                  <w:vAlign w:val="center"/>
                </w:tcPr>
                <w:p w14:paraId="496B01EF">
                  <w:pPr>
                    <w:pStyle w:val="73"/>
                    <w:snapToGrid w:val="0"/>
                    <w:spacing w:line="240" w:lineRule="auto"/>
                    <w:rPr>
                      <w:rFonts w:ascii="Times New Roman" w:hAnsi="Times New Roman"/>
                      <w:bCs/>
                      <w:color w:val="auto"/>
                      <w:sz w:val="21"/>
                      <w:szCs w:val="21"/>
                    </w:rPr>
                  </w:pPr>
                  <w:r>
                    <w:rPr>
                      <w:rFonts w:hint="eastAsia" w:ascii="Times New Roman" w:hAnsi="Times New Roman"/>
                      <w:bCs/>
                      <w:color w:val="auto"/>
                      <w:sz w:val="21"/>
                      <w:szCs w:val="21"/>
                    </w:rPr>
                    <w:t>6~9</w:t>
                  </w:r>
                </w:p>
              </w:tc>
              <w:tc>
                <w:tcPr>
                  <w:tcW w:w="771" w:type="pct"/>
                  <w:tcBorders>
                    <w:top w:val="single" w:color="auto" w:sz="4" w:space="0"/>
                    <w:left w:val="single" w:color="auto" w:sz="4" w:space="0"/>
                    <w:bottom w:val="single" w:color="auto" w:sz="4" w:space="0"/>
                    <w:right w:val="single" w:color="auto" w:sz="4" w:space="0"/>
                  </w:tcBorders>
                  <w:vAlign w:val="center"/>
                </w:tcPr>
                <w:p w14:paraId="249F20AB">
                  <w:pPr>
                    <w:pStyle w:val="73"/>
                    <w:snapToGrid w:val="0"/>
                    <w:spacing w:line="240" w:lineRule="auto"/>
                    <w:rPr>
                      <w:rFonts w:ascii="Times New Roman" w:hAnsi="Times New Roman"/>
                      <w:bCs/>
                      <w:color w:val="auto"/>
                      <w:sz w:val="21"/>
                      <w:szCs w:val="21"/>
                    </w:rPr>
                  </w:pPr>
                  <w:r>
                    <w:rPr>
                      <w:rFonts w:hint="eastAsia" w:ascii="Times New Roman" w:hAnsi="Times New Roman"/>
                      <w:bCs/>
                      <w:color w:val="auto"/>
                      <w:sz w:val="21"/>
                      <w:szCs w:val="21"/>
                    </w:rPr>
                    <w:t>0.05</w:t>
                  </w:r>
                </w:p>
              </w:tc>
            </w:tr>
            <w:tr w14:paraId="245A6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397" w:hRule="atLeast"/>
                <w:jc w:val="center"/>
              </w:trPr>
              <w:tc>
                <w:tcPr>
                  <w:tcW w:w="1938" w:type="pct"/>
                  <w:gridSpan w:val="2"/>
                  <w:tcBorders>
                    <w:left w:val="single" w:color="auto" w:sz="4" w:space="0"/>
                    <w:bottom w:val="single" w:color="auto" w:sz="4" w:space="0"/>
                    <w:right w:val="single" w:color="auto" w:sz="4" w:space="0"/>
                  </w:tcBorders>
                  <w:vAlign w:val="center"/>
                </w:tcPr>
                <w:p w14:paraId="2374CC83">
                  <w:pPr>
                    <w:pStyle w:val="73"/>
                    <w:snapToGrid w:val="0"/>
                    <w:spacing w:line="240" w:lineRule="auto"/>
                    <w:rPr>
                      <w:rFonts w:ascii="Times New Roman" w:hAnsi="Times New Roman"/>
                      <w:bCs/>
                      <w:color w:val="auto"/>
                      <w:sz w:val="21"/>
                      <w:szCs w:val="21"/>
                    </w:rPr>
                  </w:pPr>
                  <w:r>
                    <w:rPr>
                      <w:rFonts w:hint="eastAsia" w:ascii="Times New Roman" w:hAnsi="Times New Roman"/>
                      <w:bCs/>
                      <w:color w:val="auto"/>
                      <w:sz w:val="21"/>
                      <w:szCs w:val="21"/>
                    </w:rPr>
                    <w:t>达标情况</w:t>
                  </w:r>
                </w:p>
              </w:tc>
              <w:tc>
                <w:tcPr>
                  <w:tcW w:w="763" w:type="pct"/>
                  <w:tcBorders>
                    <w:top w:val="single" w:color="auto" w:sz="4" w:space="0"/>
                    <w:left w:val="single" w:color="auto" w:sz="4" w:space="0"/>
                    <w:bottom w:val="single" w:color="auto" w:sz="4" w:space="0"/>
                    <w:right w:val="single" w:color="auto" w:sz="4" w:space="0"/>
                  </w:tcBorders>
                  <w:vAlign w:val="center"/>
                </w:tcPr>
                <w:p w14:paraId="57A17E1E">
                  <w:pPr>
                    <w:pStyle w:val="73"/>
                    <w:snapToGrid w:val="0"/>
                    <w:spacing w:line="240" w:lineRule="auto"/>
                    <w:rPr>
                      <w:rFonts w:ascii="Times New Roman" w:hAnsi="Times New Roman"/>
                      <w:bCs/>
                      <w:color w:val="auto"/>
                      <w:sz w:val="21"/>
                      <w:szCs w:val="21"/>
                    </w:rPr>
                  </w:pPr>
                  <w:r>
                    <w:rPr>
                      <w:rFonts w:hint="eastAsia" w:ascii="Times New Roman" w:hAnsi="Times New Roman"/>
                      <w:bCs/>
                      <w:color w:val="auto"/>
                      <w:sz w:val="21"/>
                      <w:szCs w:val="21"/>
                    </w:rPr>
                    <w:t>达标</w:t>
                  </w:r>
                </w:p>
              </w:tc>
              <w:tc>
                <w:tcPr>
                  <w:tcW w:w="763" w:type="pct"/>
                  <w:tcBorders>
                    <w:top w:val="single" w:color="auto" w:sz="4" w:space="0"/>
                    <w:left w:val="single" w:color="auto" w:sz="4" w:space="0"/>
                    <w:bottom w:val="single" w:color="auto" w:sz="4" w:space="0"/>
                    <w:right w:val="single" w:color="auto" w:sz="4" w:space="0"/>
                  </w:tcBorders>
                  <w:vAlign w:val="center"/>
                </w:tcPr>
                <w:p w14:paraId="45F8B3C7">
                  <w:pPr>
                    <w:pStyle w:val="73"/>
                    <w:snapToGrid w:val="0"/>
                    <w:spacing w:line="240" w:lineRule="auto"/>
                    <w:rPr>
                      <w:rFonts w:ascii="Times New Roman" w:hAnsi="Times New Roman"/>
                      <w:bCs/>
                      <w:color w:val="auto"/>
                      <w:sz w:val="21"/>
                      <w:szCs w:val="21"/>
                    </w:rPr>
                  </w:pPr>
                  <w:r>
                    <w:rPr>
                      <w:rFonts w:hint="eastAsia" w:ascii="Times New Roman" w:hAnsi="Times New Roman"/>
                      <w:bCs/>
                      <w:color w:val="auto"/>
                      <w:sz w:val="21"/>
                      <w:szCs w:val="21"/>
                    </w:rPr>
                    <w:t>达标</w:t>
                  </w:r>
                </w:p>
              </w:tc>
              <w:tc>
                <w:tcPr>
                  <w:tcW w:w="763" w:type="pct"/>
                  <w:tcBorders>
                    <w:top w:val="single" w:color="auto" w:sz="4" w:space="0"/>
                    <w:left w:val="single" w:color="auto" w:sz="4" w:space="0"/>
                    <w:bottom w:val="single" w:color="auto" w:sz="4" w:space="0"/>
                    <w:right w:val="single" w:color="auto" w:sz="4" w:space="0"/>
                  </w:tcBorders>
                  <w:vAlign w:val="center"/>
                </w:tcPr>
                <w:p w14:paraId="325DFC4A">
                  <w:pPr>
                    <w:pStyle w:val="73"/>
                    <w:snapToGrid w:val="0"/>
                    <w:spacing w:line="240" w:lineRule="auto"/>
                    <w:rPr>
                      <w:rFonts w:ascii="Times New Roman" w:hAnsi="Times New Roman"/>
                      <w:bCs/>
                      <w:color w:val="auto"/>
                      <w:sz w:val="21"/>
                      <w:szCs w:val="21"/>
                    </w:rPr>
                  </w:pPr>
                  <w:r>
                    <w:rPr>
                      <w:rFonts w:hint="eastAsia" w:ascii="Times New Roman" w:hAnsi="Times New Roman"/>
                      <w:bCs/>
                      <w:color w:val="auto"/>
                      <w:sz w:val="21"/>
                      <w:szCs w:val="21"/>
                    </w:rPr>
                    <w:t>达标</w:t>
                  </w:r>
                </w:p>
              </w:tc>
              <w:tc>
                <w:tcPr>
                  <w:tcW w:w="771" w:type="pct"/>
                  <w:tcBorders>
                    <w:top w:val="single" w:color="auto" w:sz="4" w:space="0"/>
                    <w:left w:val="single" w:color="auto" w:sz="4" w:space="0"/>
                    <w:bottom w:val="single" w:color="auto" w:sz="4" w:space="0"/>
                    <w:right w:val="single" w:color="auto" w:sz="4" w:space="0"/>
                  </w:tcBorders>
                  <w:vAlign w:val="center"/>
                </w:tcPr>
                <w:p w14:paraId="3021238E">
                  <w:pPr>
                    <w:pStyle w:val="73"/>
                    <w:snapToGrid w:val="0"/>
                    <w:spacing w:line="240" w:lineRule="auto"/>
                    <w:rPr>
                      <w:rFonts w:ascii="Times New Roman" w:hAnsi="Times New Roman"/>
                      <w:bCs/>
                      <w:color w:val="auto"/>
                      <w:sz w:val="21"/>
                      <w:szCs w:val="21"/>
                    </w:rPr>
                  </w:pPr>
                  <w:r>
                    <w:rPr>
                      <w:rFonts w:hint="eastAsia" w:ascii="Times New Roman" w:hAnsi="Times New Roman"/>
                      <w:bCs/>
                      <w:color w:val="auto"/>
                      <w:sz w:val="21"/>
                      <w:szCs w:val="21"/>
                    </w:rPr>
                    <w:t>达标</w:t>
                  </w:r>
                </w:p>
              </w:tc>
            </w:tr>
          </w:tbl>
          <w:p w14:paraId="028699E4">
            <w:pPr>
              <w:spacing w:line="360" w:lineRule="auto"/>
              <w:ind w:firstLine="480" w:firstLineChars="200"/>
              <w:rPr>
                <w:sz w:val="24"/>
              </w:rPr>
            </w:pPr>
            <w:r>
              <w:rPr>
                <w:sz w:val="24"/>
              </w:rPr>
              <w:t>由上表可知，</w:t>
            </w:r>
            <w:r>
              <w:rPr>
                <w:rFonts w:hint="eastAsia"/>
                <w:sz w:val="24"/>
              </w:rPr>
              <w:t>黄河故道龙泽湖断面化学需氧量、氨氮、pH值、总磷均满足《地表水环境质量标准》（GB3838-2002）Ⅲ类标准。</w:t>
            </w:r>
          </w:p>
          <w:p w14:paraId="014BA84D">
            <w:pPr>
              <w:spacing w:line="360" w:lineRule="auto"/>
              <w:ind w:firstLine="482" w:firstLineChars="200"/>
              <w:rPr>
                <w:b/>
                <w:sz w:val="24"/>
              </w:rPr>
            </w:pPr>
            <w:r>
              <w:rPr>
                <w:b/>
                <w:sz w:val="24"/>
              </w:rPr>
              <w:t>3</w:t>
            </w:r>
            <w:r>
              <w:rPr>
                <w:rFonts w:hint="eastAsia"/>
                <w:b/>
                <w:sz w:val="24"/>
              </w:rPr>
              <w:t>、声环境质量现状</w:t>
            </w:r>
          </w:p>
          <w:p w14:paraId="2924C30B">
            <w:pPr>
              <w:spacing w:line="360" w:lineRule="auto"/>
              <w:ind w:firstLine="480" w:firstLineChars="200"/>
              <w:rPr>
                <w:bCs/>
                <w:sz w:val="24"/>
              </w:rPr>
            </w:pPr>
            <w:r>
              <w:rPr>
                <w:sz w:val="24"/>
              </w:rPr>
              <w:t>根据声环境功能区域划分规定，本项目所在区域属于2类区，应执行《声环境质量标准》（GB3096-2008）2类标准。根据《建设项目环境影响报告表编制技术指南 污染影响类》（试行），厂界外周边50m范围内存在声环境保护目标的建设项目，应监测保护目标声环境质量现状并评价达标情况。</w:t>
            </w:r>
            <w:r>
              <w:rPr>
                <w:rFonts w:hint="eastAsia"/>
                <w:bCs/>
                <w:sz w:val="24"/>
              </w:rPr>
              <w:t>本项目厂界外周边50m范围内存在声环境保护目标，</w:t>
            </w:r>
            <w:r>
              <w:rPr>
                <w:bCs/>
                <w:sz w:val="24"/>
              </w:rPr>
              <w:t>为了解</w:t>
            </w:r>
            <w:r>
              <w:rPr>
                <w:rFonts w:hint="eastAsia"/>
                <w:bCs/>
                <w:sz w:val="24"/>
              </w:rPr>
              <w:t>项目</w:t>
            </w:r>
            <w:r>
              <w:rPr>
                <w:bCs/>
                <w:sz w:val="24"/>
              </w:rPr>
              <w:t>所在区域声环境质量现状，建设单位委托</w:t>
            </w:r>
            <w:r>
              <w:rPr>
                <w:rFonts w:hint="eastAsia"/>
                <w:bCs/>
                <w:sz w:val="24"/>
              </w:rPr>
              <w:t>河南凯勋检测技术有限公司</w:t>
            </w:r>
            <w:r>
              <w:rPr>
                <w:bCs/>
                <w:sz w:val="24"/>
              </w:rPr>
              <w:t>于2025年3月25日对声环境保护目标进行了声环境现状监测（监测报告见附件</w:t>
            </w:r>
            <w:r>
              <w:rPr>
                <w:rFonts w:hint="eastAsia"/>
                <w:bCs/>
                <w:sz w:val="24"/>
              </w:rPr>
              <w:t>六</w:t>
            </w:r>
            <w:r>
              <w:rPr>
                <w:bCs/>
                <w:sz w:val="24"/>
              </w:rPr>
              <w:t>），声环境现状监测结果见下表。</w:t>
            </w:r>
          </w:p>
          <w:p w14:paraId="586F8DCD">
            <w:pPr>
              <w:pStyle w:val="61"/>
              <w:ind w:firstLine="482"/>
              <w:rPr>
                <w:rFonts w:eastAsia="宋体"/>
                <w:sz w:val="24"/>
              </w:rPr>
            </w:pPr>
            <w:r>
              <w:rPr>
                <w:rFonts w:hint="eastAsia" w:eastAsia="宋体"/>
                <w:sz w:val="24"/>
              </w:rPr>
              <w:t>表</w:t>
            </w:r>
            <w:r>
              <w:rPr>
                <w:rFonts w:eastAsia="宋体"/>
                <w:sz w:val="24"/>
              </w:rPr>
              <w:t>15</w:t>
            </w:r>
            <w:r>
              <w:rPr>
                <w:rFonts w:hint="eastAsia" w:eastAsia="宋体"/>
                <w:sz w:val="24"/>
              </w:rPr>
              <w:t xml:space="preserve">    项目声环境现状监测结果   单位：[dB(A)]</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693"/>
              <w:gridCol w:w="1809"/>
              <w:gridCol w:w="1514"/>
              <w:gridCol w:w="912"/>
              <w:gridCol w:w="1376"/>
              <w:gridCol w:w="1109"/>
            </w:tblGrid>
            <w:tr w14:paraId="2E1A0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7" w:hRule="atLeast"/>
                <w:jc w:val="center"/>
              </w:trPr>
              <w:tc>
                <w:tcPr>
                  <w:tcW w:w="1006" w:type="pct"/>
                  <w:vMerge w:val="restart"/>
                  <w:vAlign w:val="center"/>
                </w:tcPr>
                <w:p w14:paraId="05853669">
                  <w:pPr>
                    <w:pStyle w:val="63"/>
                  </w:pPr>
                  <w:r>
                    <w:t>监测点位</w:t>
                  </w:r>
                </w:p>
              </w:tc>
              <w:tc>
                <w:tcPr>
                  <w:tcW w:w="1075" w:type="pct"/>
                  <w:vMerge w:val="restart"/>
                  <w:vAlign w:val="center"/>
                </w:tcPr>
                <w:p w14:paraId="1EAA3C0B">
                  <w:pPr>
                    <w:pStyle w:val="63"/>
                  </w:pPr>
                  <w:r>
                    <w:t>监测时间</w:t>
                  </w:r>
                </w:p>
              </w:tc>
              <w:tc>
                <w:tcPr>
                  <w:tcW w:w="1442" w:type="pct"/>
                  <w:gridSpan w:val="2"/>
                  <w:vAlign w:val="center"/>
                </w:tcPr>
                <w:p w14:paraId="2055ABD1">
                  <w:pPr>
                    <w:pStyle w:val="63"/>
                  </w:pPr>
                  <w:r>
                    <w:t>监测值</w:t>
                  </w:r>
                </w:p>
              </w:tc>
              <w:tc>
                <w:tcPr>
                  <w:tcW w:w="1477" w:type="pct"/>
                  <w:gridSpan w:val="2"/>
                  <w:vAlign w:val="center"/>
                </w:tcPr>
                <w:p w14:paraId="68A20411">
                  <w:pPr>
                    <w:pStyle w:val="63"/>
                  </w:pPr>
                  <w:r>
                    <w:t>标准限值</w:t>
                  </w:r>
                </w:p>
              </w:tc>
            </w:tr>
            <w:tr w14:paraId="39F0A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1006" w:type="pct"/>
                  <w:vMerge w:val="continue"/>
                  <w:vAlign w:val="center"/>
                </w:tcPr>
                <w:p w14:paraId="352268DC">
                  <w:pPr>
                    <w:pStyle w:val="63"/>
                  </w:pPr>
                </w:p>
              </w:tc>
              <w:tc>
                <w:tcPr>
                  <w:tcW w:w="1075" w:type="pct"/>
                  <w:vMerge w:val="continue"/>
                  <w:vAlign w:val="center"/>
                </w:tcPr>
                <w:p w14:paraId="64C7423D">
                  <w:pPr>
                    <w:pStyle w:val="63"/>
                  </w:pPr>
                </w:p>
              </w:tc>
              <w:tc>
                <w:tcPr>
                  <w:tcW w:w="900" w:type="pct"/>
                  <w:vAlign w:val="center"/>
                </w:tcPr>
                <w:p w14:paraId="787DA0F6">
                  <w:pPr>
                    <w:pStyle w:val="63"/>
                  </w:pPr>
                  <w:r>
                    <w:t>昼间</w:t>
                  </w:r>
                </w:p>
              </w:tc>
              <w:tc>
                <w:tcPr>
                  <w:tcW w:w="542" w:type="pct"/>
                  <w:vAlign w:val="center"/>
                </w:tcPr>
                <w:p w14:paraId="18BB5326">
                  <w:pPr>
                    <w:pStyle w:val="63"/>
                  </w:pPr>
                  <w:r>
                    <w:rPr>
                      <w:rFonts w:hint="eastAsia"/>
                    </w:rPr>
                    <w:t>夜间</w:t>
                  </w:r>
                </w:p>
              </w:tc>
              <w:tc>
                <w:tcPr>
                  <w:tcW w:w="818" w:type="pct"/>
                  <w:vAlign w:val="center"/>
                </w:tcPr>
                <w:p w14:paraId="612765B3">
                  <w:pPr>
                    <w:pStyle w:val="63"/>
                  </w:pPr>
                  <w:r>
                    <w:t>昼间</w:t>
                  </w:r>
                </w:p>
              </w:tc>
              <w:tc>
                <w:tcPr>
                  <w:tcW w:w="659" w:type="pct"/>
                  <w:vAlign w:val="center"/>
                </w:tcPr>
                <w:p w14:paraId="76BF3964">
                  <w:pPr>
                    <w:pStyle w:val="63"/>
                  </w:pPr>
                  <w:r>
                    <w:rPr>
                      <w:rFonts w:hint="eastAsia"/>
                    </w:rPr>
                    <w:t>夜间</w:t>
                  </w:r>
                </w:p>
              </w:tc>
            </w:tr>
            <w:tr w14:paraId="5D13F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6" w:hRule="atLeast"/>
                <w:jc w:val="center"/>
              </w:trPr>
              <w:tc>
                <w:tcPr>
                  <w:tcW w:w="1006" w:type="pct"/>
                  <w:vAlign w:val="center"/>
                </w:tcPr>
                <w:p w14:paraId="7D19544B">
                  <w:pPr>
                    <w:pStyle w:val="63"/>
                  </w:pPr>
                  <w:r>
                    <w:rPr>
                      <w:rFonts w:hint="eastAsia"/>
                      <w:szCs w:val="21"/>
                    </w:rPr>
                    <w:t>河南民权慧</w:t>
                  </w:r>
                  <w:r>
                    <w:rPr>
                      <w:szCs w:val="21"/>
                    </w:rPr>
                    <w:t>佳幼儿园</w:t>
                  </w:r>
                </w:p>
              </w:tc>
              <w:tc>
                <w:tcPr>
                  <w:tcW w:w="1075" w:type="pct"/>
                  <w:vAlign w:val="center"/>
                </w:tcPr>
                <w:p w14:paraId="715C5775">
                  <w:pPr>
                    <w:pStyle w:val="63"/>
                  </w:pPr>
                  <w:r>
                    <w:t>2025.03.25</w:t>
                  </w:r>
                </w:p>
              </w:tc>
              <w:tc>
                <w:tcPr>
                  <w:tcW w:w="900" w:type="pct"/>
                  <w:vAlign w:val="center"/>
                </w:tcPr>
                <w:p w14:paraId="605F2619">
                  <w:pPr>
                    <w:pStyle w:val="63"/>
                  </w:pPr>
                  <w:r>
                    <w:t>54</w:t>
                  </w:r>
                </w:p>
              </w:tc>
              <w:tc>
                <w:tcPr>
                  <w:tcW w:w="542" w:type="pct"/>
                  <w:vAlign w:val="center"/>
                </w:tcPr>
                <w:p w14:paraId="256D85C7">
                  <w:pPr>
                    <w:pStyle w:val="63"/>
                  </w:pPr>
                  <w:r>
                    <w:rPr>
                      <w:rFonts w:hint="eastAsia"/>
                    </w:rPr>
                    <w:t>4</w:t>
                  </w:r>
                  <w:r>
                    <w:t>3</w:t>
                  </w:r>
                </w:p>
              </w:tc>
              <w:tc>
                <w:tcPr>
                  <w:tcW w:w="818" w:type="pct"/>
                  <w:vAlign w:val="center"/>
                </w:tcPr>
                <w:p w14:paraId="29C53E13">
                  <w:pPr>
                    <w:pStyle w:val="63"/>
                  </w:pPr>
                  <w:r>
                    <w:t>60</w:t>
                  </w:r>
                </w:p>
              </w:tc>
              <w:tc>
                <w:tcPr>
                  <w:tcW w:w="659" w:type="pct"/>
                  <w:vAlign w:val="center"/>
                </w:tcPr>
                <w:p w14:paraId="3B5974B5">
                  <w:pPr>
                    <w:pStyle w:val="63"/>
                  </w:pPr>
                  <w:r>
                    <w:rPr>
                      <w:rFonts w:hint="eastAsia"/>
                    </w:rPr>
                    <w:t>50</w:t>
                  </w:r>
                </w:p>
              </w:tc>
            </w:tr>
          </w:tbl>
          <w:p w14:paraId="727100CD">
            <w:pPr>
              <w:spacing w:line="360" w:lineRule="auto"/>
              <w:ind w:firstLine="480" w:firstLineChars="200"/>
              <w:jc w:val="left"/>
              <w:rPr>
                <w:sz w:val="24"/>
              </w:rPr>
            </w:pPr>
            <w:r>
              <w:rPr>
                <w:sz w:val="24"/>
              </w:rPr>
              <w:t>由上表可知，本项目周边环境敏感点声环境现状实测值满足《声环境质量标准》（GB3096-2008）2类标准要求，项目所在区域声环境质量良好。</w:t>
            </w:r>
          </w:p>
          <w:p w14:paraId="517A1FF8">
            <w:pPr>
              <w:spacing w:line="360" w:lineRule="auto"/>
              <w:ind w:firstLine="482" w:firstLineChars="200"/>
              <w:rPr>
                <w:b/>
                <w:sz w:val="24"/>
              </w:rPr>
            </w:pPr>
            <w:r>
              <w:rPr>
                <w:rFonts w:hint="eastAsia"/>
                <w:b/>
                <w:sz w:val="24"/>
              </w:rPr>
              <w:t>4、地下水、土壤环境</w:t>
            </w:r>
          </w:p>
          <w:p w14:paraId="20DA5A77">
            <w:pPr>
              <w:adjustRightInd w:val="0"/>
              <w:snapToGrid w:val="0"/>
              <w:spacing w:line="360" w:lineRule="auto"/>
              <w:ind w:firstLine="480" w:firstLineChars="200"/>
              <w:rPr>
                <w:bCs/>
                <w:sz w:val="24"/>
              </w:rPr>
            </w:pPr>
            <w:r>
              <w:rPr>
                <w:rFonts w:hint="eastAsia"/>
                <w:bCs/>
                <w:sz w:val="24"/>
              </w:rPr>
              <w:t>根据《建设项目环境影响报告表编制技术指南污染影响类》（试行），地下水、土壤环境原则上不开展环境质量现状调查，同时本项目不涉及地下水及土壤污染，因此本项目无需开展地下水、土壤环境影响评价。</w:t>
            </w:r>
          </w:p>
          <w:p w14:paraId="194845B0">
            <w:pPr>
              <w:adjustRightInd w:val="0"/>
              <w:snapToGrid w:val="0"/>
              <w:spacing w:line="360" w:lineRule="auto"/>
              <w:ind w:firstLine="480" w:firstLineChars="200"/>
              <w:rPr>
                <w:sz w:val="24"/>
              </w:rPr>
            </w:pPr>
          </w:p>
        </w:tc>
      </w:tr>
      <w:tr w14:paraId="1B7554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855" w:hRule="atLeast"/>
          <w:jc w:val="center"/>
        </w:trPr>
        <w:tc>
          <w:tcPr>
            <w:tcW w:w="800" w:type="dxa"/>
            <w:vAlign w:val="center"/>
          </w:tcPr>
          <w:p w14:paraId="20AFB1A4">
            <w:pPr>
              <w:adjustRightInd w:val="0"/>
              <w:snapToGrid w:val="0"/>
              <w:jc w:val="center"/>
              <w:rPr>
                <w:kern w:val="0"/>
                <w:sz w:val="24"/>
              </w:rPr>
            </w:pPr>
            <w:r>
              <w:rPr>
                <w:kern w:val="0"/>
                <w:sz w:val="24"/>
              </w:rPr>
              <w:t>环境</w:t>
            </w:r>
          </w:p>
          <w:p w14:paraId="650D9409">
            <w:pPr>
              <w:adjustRightInd w:val="0"/>
              <w:snapToGrid w:val="0"/>
              <w:jc w:val="center"/>
              <w:rPr>
                <w:kern w:val="0"/>
                <w:sz w:val="24"/>
              </w:rPr>
            </w:pPr>
            <w:r>
              <w:rPr>
                <w:kern w:val="0"/>
                <w:sz w:val="24"/>
              </w:rPr>
              <w:t>保护</w:t>
            </w:r>
          </w:p>
          <w:p w14:paraId="22B4964B">
            <w:pPr>
              <w:adjustRightInd w:val="0"/>
              <w:snapToGrid w:val="0"/>
              <w:jc w:val="center"/>
              <w:rPr>
                <w:kern w:val="0"/>
                <w:sz w:val="24"/>
              </w:rPr>
            </w:pPr>
            <w:r>
              <w:rPr>
                <w:kern w:val="0"/>
                <w:sz w:val="24"/>
              </w:rPr>
              <w:t>目标</w:t>
            </w:r>
          </w:p>
        </w:tc>
        <w:tc>
          <w:tcPr>
            <w:tcW w:w="8639" w:type="dxa"/>
            <w:vAlign w:val="center"/>
          </w:tcPr>
          <w:p w14:paraId="3D630EAA">
            <w:pPr>
              <w:spacing w:line="360" w:lineRule="auto"/>
              <w:ind w:firstLine="480" w:firstLineChars="200"/>
              <w:jc w:val="left"/>
              <w:rPr>
                <w:sz w:val="24"/>
              </w:rPr>
            </w:pPr>
            <w:r>
              <w:rPr>
                <w:sz w:val="24"/>
              </w:rPr>
              <w:t>本项目位于</w:t>
            </w:r>
            <w:r>
              <w:rPr>
                <w:rFonts w:hint="eastAsia"/>
                <w:sz w:val="24"/>
              </w:rPr>
              <w:t>商丘市民权县北关镇周翟庄村北民荷路东侧18号</w:t>
            </w:r>
            <w:r>
              <w:rPr>
                <w:sz w:val="24"/>
              </w:rPr>
              <w:t>，根据调查，项目厂界外50</w:t>
            </w:r>
            <w:r>
              <w:rPr>
                <w:rFonts w:hint="eastAsia"/>
                <w:sz w:val="24"/>
              </w:rPr>
              <w:t>m</w:t>
            </w:r>
            <w:r>
              <w:rPr>
                <w:sz w:val="24"/>
              </w:rPr>
              <w:t>范围内</w:t>
            </w:r>
            <w:r>
              <w:rPr>
                <w:rFonts w:hint="eastAsia"/>
                <w:sz w:val="24"/>
              </w:rPr>
              <w:t>涉及</w:t>
            </w:r>
            <w:r>
              <w:rPr>
                <w:sz w:val="24"/>
              </w:rPr>
              <w:t>声环境保护目标；本项目厂界外500</w:t>
            </w:r>
            <w:r>
              <w:rPr>
                <w:rFonts w:hint="eastAsia"/>
                <w:sz w:val="24"/>
              </w:rPr>
              <w:t>m</w:t>
            </w:r>
            <w:r>
              <w:rPr>
                <w:sz w:val="24"/>
              </w:rPr>
              <w:t>范围内无地下水集中式饮用水水源和热水、矿泉水、温泉等特殊地下水资源。500</w:t>
            </w:r>
            <w:r>
              <w:rPr>
                <w:rFonts w:hint="eastAsia"/>
                <w:sz w:val="24"/>
              </w:rPr>
              <w:t>m</w:t>
            </w:r>
            <w:r>
              <w:rPr>
                <w:sz w:val="24"/>
              </w:rPr>
              <w:t>范围内涉及的环境空气目标见下表。</w:t>
            </w:r>
          </w:p>
          <w:p w14:paraId="1CB64241">
            <w:pPr>
              <w:jc w:val="center"/>
              <w:rPr>
                <w:b/>
                <w:bCs/>
                <w:sz w:val="24"/>
              </w:rPr>
            </w:pPr>
            <w:r>
              <w:rPr>
                <w:rFonts w:hint="eastAsia"/>
                <w:b/>
                <w:bCs/>
                <w:sz w:val="24"/>
              </w:rPr>
              <w:t>表16</w:t>
            </w:r>
            <w:r>
              <w:rPr>
                <w:b/>
                <w:bCs/>
                <w:sz w:val="24"/>
              </w:rPr>
              <w:t xml:space="preserve">  </w:t>
            </w:r>
            <w:r>
              <w:rPr>
                <w:rFonts w:hint="eastAsia"/>
                <w:b/>
                <w:bCs/>
                <w:sz w:val="24"/>
              </w:rPr>
              <w:t xml:space="preserve"> 本项目主要环境保护目标一览表</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661"/>
              <w:gridCol w:w="1270"/>
              <w:gridCol w:w="1415"/>
              <w:gridCol w:w="1412"/>
              <w:gridCol w:w="1154"/>
              <w:gridCol w:w="801"/>
              <w:gridCol w:w="745"/>
              <w:gridCol w:w="955"/>
            </w:tblGrid>
            <w:tr w14:paraId="5307B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40" w:hRule="atLeast"/>
              </w:trPr>
              <w:tc>
                <w:tcPr>
                  <w:tcW w:w="393" w:type="pct"/>
                  <w:vMerge w:val="restart"/>
                  <w:vAlign w:val="center"/>
                </w:tcPr>
                <w:p w14:paraId="21016532">
                  <w:pPr>
                    <w:pStyle w:val="63"/>
                    <w:rPr>
                      <w:szCs w:val="21"/>
                    </w:rPr>
                  </w:pPr>
                  <w:r>
                    <w:rPr>
                      <w:rFonts w:hint="eastAsia"/>
                      <w:szCs w:val="21"/>
                    </w:rPr>
                    <w:t>环境类别</w:t>
                  </w:r>
                </w:p>
              </w:tc>
              <w:tc>
                <w:tcPr>
                  <w:tcW w:w="755" w:type="pct"/>
                  <w:vMerge w:val="restart"/>
                  <w:vAlign w:val="center"/>
                </w:tcPr>
                <w:p w14:paraId="77AA94CE">
                  <w:pPr>
                    <w:pStyle w:val="63"/>
                    <w:rPr>
                      <w:szCs w:val="21"/>
                    </w:rPr>
                  </w:pPr>
                  <w:r>
                    <w:rPr>
                      <w:rFonts w:hint="eastAsia"/>
                      <w:szCs w:val="21"/>
                    </w:rPr>
                    <w:t>名称</w:t>
                  </w:r>
                </w:p>
              </w:tc>
              <w:tc>
                <w:tcPr>
                  <w:tcW w:w="1680" w:type="pct"/>
                  <w:gridSpan w:val="2"/>
                  <w:vAlign w:val="center"/>
                </w:tcPr>
                <w:p w14:paraId="3DEB158A">
                  <w:pPr>
                    <w:pStyle w:val="63"/>
                    <w:rPr>
                      <w:szCs w:val="21"/>
                    </w:rPr>
                  </w:pPr>
                  <w:r>
                    <w:rPr>
                      <w:rFonts w:hint="eastAsia"/>
                      <w:szCs w:val="21"/>
                    </w:rPr>
                    <w:t>坐标</w:t>
                  </w:r>
                </w:p>
              </w:tc>
              <w:tc>
                <w:tcPr>
                  <w:tcW w:w="686" w:type="pct"/>
                  <w:vMerge w:val="restart"/>
                  <w:vAlign w:val="center"/>
                </w:tcPr>
                <w:p w14:paraId="7E7ABA46">
                  <w:pPr>
                    <w:pStyle w:val="63"/>
                    <w:rPr>
                      <w:szCs w:val="21"/>
                    </w:rPr>
                  </w:pPr>
                  <w:r>
                    <w:rPr>
                      <w:rFonts w:hint="eastAsia"/>
                      <w:szCs w:val="21"/>
                    </w:rPr>
                    <w:t>保护</w:t>
                  </w:r>
                </w:p>
                <w:p w14:paraId="43522E8B">
                  <w:pPr>
                    <w:pStyle w:val="63"/>
                    <w:rPr>
                      <w:szCs w:val="21"/>
                    </w:rPr>
                  </w:pPr>
                  <w:r>
                    <w:rPr>
                      <w:rFonts w:hint="eastAsia"/>
                      <w:szCs w:val="21"/>
                    </w:rPr>
                    <w:t>对象</w:t>
                  </w:r>
                </w:p>
              </w:tc>
              <w:tc>
                <w:tcPr>
                  <w:tcW w:w="476" w:type="pct"/>
                  <w:vMerge w:val="restart"/>
                  <w:vAlign w:val="center"/>
                </w:tcPr>
                <w:p w14:paraId="36B05960">
                  <w:pPr>
                    <w:pStyle w:val="63"/>
                    <w:rPr>
                      <w:szCs w:val="21"/>
                    </w:rPr>
                  </w:pPr>
                  <w:r>
                    <w:rPr>
                      <w:rFonts w:hint="eastAsia"/>
                      <w:szCs w:val="21"/>
                    </w:rPr>
                    <w:t>环境功能区</w:t>
                  </w:r>
                </w:p>
              </w:tc>
              <w:tc>
                <w:tcPr>
                  <w:tcW w:w="443" w:type="pct"/>
                  <w:vMerge w:val="restart"/>
                  <w:vAlign w:val="center"/>
                </w:tcPr>
                <w:p w14:paraId="1E82E22E">
                  <w:pPr>
                    <w:pStyle w:val="63"/>
                    <w:rPr>
                      <w:szCs w:val="21"/>
                    </w:rPr>
                  </w:pPr>
                  <w:r>
                    <w:rPr>
                      <w:rFonts w:hint="eastAsia"/>
                      <w:szCs w:val="21"/>
                    </w:rPr>
                    <w:t>相对厂址方位</w:t>
                  </w:r>
                </w:p>
              </w:tc>
              <w:tc>
                <w:tcPr>
                  <w:tcW w:w="567" w:type="pct"/>
                  <w:vMerge w:val="restart"/>
                  <w:vAlign w:val="center"/>
                </w:tcPr>
                <w:p w14:paraId="531C1B34">
                  <w:pPr>
                    <w:pStyle w:val="63"/>
                    <w:rPr>
                      <w:szCs w:val="21"/>
                    </w:rPr>
                  </w:pPr>
                  <w:r>
                    <w:rPr>
                      <w:rFonts w:hint="eastAsia"/>
                      <w:szCs w:val="21"/>
                    </w:rPr>
                    <w:t>相对厂界距离（</w:t>
                  </w:r>
                  <w:r>
                    <w:rPr>
                      <w:szCs w:val="21"/>
                    </w:rPr>
                    <w:t>m</w:t>
                  </w:r>
                  <w:r>
                    <w:rPr>
                      <w:rFonts w:hint="eastAsia"/>
                      <w:szCs w:val="21"/>
                    </w:rPr>
                    <w:t>）</w:t>
                  </w:r>
                </w:p>
              </w:tc>
            </w:tr>
            <w:tr w14:paraId="2DA05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40" w:hRule="atLeast"/>
              </w:trPr>
              <w:tc>
                <w:tcPr>
                  <w:tcW w:w="393" w:type="pct"/>
                  <w:vMerge w:val="continue"/>
                  <w:vAlign w:val="center"/>
                </w:tcPr>
                <w:p w14:paraId="4077481C">
                  <w:pPr>
                    <w:widowControl/>
                    <w:jc w:val="center"/>
                    <w:rPr>
                      <w:szCs w:val="21"/>
                    </w:rPr>
                  </w:pPr>
                </w:p>
              </w:tc>
              <w:tc>
                <w:tcPr>
                  <w:tcW w:w="755" w:type="pct"/>
                  <w:vMerge w:val="continue"/>
                  <w:vAlign w:val="center"/>
                </w:tcPr>
                <w:p w14:paraId="053ED714">
                  <w:pPr>
                    <w:widowControl/>
                    <w:jc w:val="center"/>
                    <w:rPr>
                      <w:szCs w:val="21"/>
                    </w:rPr>
                  </w:pPr>
                </w:p>
              </w:tc>
              <w:tc>
                <w:tcPr>
                  <w:tcW w:w="841" w:type="pct"/>
                  <w:vAlign w:val="center"/>
                </w:tcPr>
                <w:p w14:paraId="5F4834D5">
                  <w:pPr>
                    <w:pStyle w:val="63"/>
                    <w:rPr>
                      <w:szCs w:val="21"/>
                    </w:rPr>
                  </w:pPr>
                  <w:r>
                    <w:rPr>
                      <w:rFonts w:hint="eastAsia"/>
                      <w:szCs w:val="21"/>
                    </w:rPr>
                    <w:t>经度</w:t>
                  </w:r>
                </w:p>
              </w:tc>
              <w:tc>
                <w:tcPr>
                  <w:tcW w:w="839" w:type="pct"/>
                  <w:vAlign w:val="center"/>
                </w:tcPr>
                <w:p w14:paraId="5DF8AB4F">
                  <w:pPr>
                    <w:pStyle w:val="63"/>
                    <w:rPr>
                      <w:szCs w:val="21"/>
                    </w:rPr>
                  </w:pPr>
                  <w:r>
                    <w:rPr>
                      <w:rFonts w:hint="eastAsia"/>
                      <w:szCs w:val="21"/>
                    </w:rPr>
                    <w:t>纬度</w:t>
                  </w:r>
                </w:p>
              </w:tc>
              <w:tc>
                <w:tcPr>
                  <w:tcW w:w="686" w:type="pct"/>
                  <w:vMerge w:val="continue"/>
                  <w:vAlign w:val="center"/>
                </w:tcPr>
                <w:p w14:paraId="2A908C02">
                  <w:pPr>
                    <w:widowControl/>
                    <w:jc w:val="center"/>
                    <w:rPr>
                      <w:szCs w:val="21"/>
                    </w:rPr>
                  </w:pPr>
                </w:p>
              </w:tc>
              <w:tc>
                <w:tcPr>
                  <w:tcW w:w="476" w:type="pct"/>
                  <w:vMerge w:val="continue"/>
                  <w:vAlign w:val="center"/>
                </w:tcPr>
                <w:p w14:paraId="7405E01B">
                  <w:pPr>
                    <w:widowControl/>
                    <w:jc w:val="center"/>
                    <w:rPr>
                      <w:szCs w:val="21"/>
                    </w:rPr>
                  </w:pPr>
                </w:p>
              </w:tc>
              <w:tc>
                <w:tcPr>
                  <w:tcW w:w="443" w:type="pct"/>
                  <w:vMerge w:val="continue"/>
                  <w:vAlign w:val="center"/>
                </w:tcPr>
                <w:p w14:paraId="030878BE">
                  <w:pPr>
                    <w:widowControl/>
                    <w:jc w:val="center"/>
                    <w:rPr>
                      <w:szCs w:val="21"/>
                    </w:rPr>
                  </w:pPr>
                </w:p>
              </w:tc>
              <w:tc>
                <w:tcPr>
                  <w:tcW w:w="567" w:type="pct"/>
                  <w:vMerge w:val="continue"/>
                  <w:vAlign w:val="center"/>
                </w:tcPr>
                <w:p w14:paraId="65396399">
                  <w:pPr>
                    <w:widowControl/>
                    <w:jc w:val="center"/>
                    <w:rPr>
                      <w:szCs w:val="21"/>
                    </w:rPr>
                  </w:pPr>
                </w:p>
              </w:tc>
            </w:tr>
            <w:tr w14:paraId="0278B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trPr>
              <w:tc>
                <w:tcPr>
                  <w:tcW w:w="393" w:type="pct"/>
                  <w:vMerge w:val="restart"/>
                  <w:vAlign w:val="center"/>
                </w:tcPr>
                <w:p w14:paraId="3E7D99A1">
                  <w:pPr>
                    <w:jc w:val="center"/>
                    <w:rPr>
                      <w:bCs/>
                      <w:szCs w:val="21"/>
                    </w:rPr>
                  </w:pPr>
                  <w:r>
                    <w:rPr>
                      <w:bCs/>
                      <w:szCs w:val="21"/>
                    </w:rPr>
                    <w:t>环境空气</w:t>
                  </w:r>
                </w:p>
              </w:tc>
              <w:tc>
                <w:tcPr>
                  <w:tcW w:w="755" w:type="pct"/>
                  <w:vAlign w:val="center"/>
                </w:tcPr>
                <w:p w14:paraId="73CA3C36">
                  <w:pPr>
                    <w:jc w:val="center"/>
                    <w:rPr>
                      <w:bCs/>
                      <w:szCs w:val="21"/>
                    </w:rPr>
                  </w:pPr>
                  <w:r>
                    <w:rPr>
                      <w:bCs/>
                      <w:szCs w:val="21"/>
                    </w:rPr>
                    <w:t>民权慧佳幼儿园</w:t>
                  </w:r>
                </w:p>
              </w:tc>
              <w:tc>
                <w:tcPr>
                  <w:tcW w:w="841" w:type="pct"/>
                  <w:vAlign w:val="center"/>
                </w:tcPr>
                <w:p w14:paraId="2CC3F4C3">
                  <w:pPr>
                    <w:pStyle w:val="63"/>
                    <w:rPr>
                      <w:szCs w:val="21"/>
                    </w:rPr>
                  </w:pPr>
                  <w:r>
                    <w:rPr>
                      <w:szCs w:val="21"/>
                    </w:rPr>
                    <w:t>115.28576374</w:t>
                  </w:r>
                </w:p>
              </w:tc>
              <w:tc>
                <w:tcPr>
                  <w:tcW w:w="839" w:type="pct"/>
                  <w:vAlign w:val="center"/>
                </w:tcPr>
                <w:p w14:paraId="2609200F">
                  <w:pPr>
                    <w:pStyle w:val="63"/>
                    <w:rPr>
                      <w:szCs w:val="21"/>
                    </w:rPr>
                  </w:pPr>
                  <w:r>
                    <w:rPr>
                      <w:szCs w:val="21"/>
                    </w:rPr>
                    <w:t>34.77632344</w:t>
                  </w:r>
                </w:p>
              </w:tc>
              <w:tc>
                <w:tcPr>
                  <w:tcW w:w="686" w:type="pct"/>
                  <w:vAlign w:val="center"/>
                </w:tcPr>
                <w:p w14:paraId="40BAF6B1">
                  <w:pPr>
                    <w:pStyle w:val="63"/>
                    <w:rPr>
                      <w:szCs w:val="21"/>
                    </w:rPr>
                  </w:pPr>
                  <w:r>
                    <w:rPr>
                      <w:rFonts w:hint="eastAsia"/>
                      <w:szCs w:val="21"/>
                    </w:rPr>
                    <w:t>幼儿、</w:t>
                  </w:r>
                  <w:r>
                    <w:rPr>
                      <w:szCs w:val="21"/>
                    </w:rPr>
                    <w:t>教师</w:t>
                  </w:r>
                </w:p>
              </w:tc>
              <w:tc>
                <w:tcPr>
                  <w:tcW w:w="476" w:type="pct"/>
                  <w:vMerge w:val="restart"/>
                  <w:vAlign w:val="center"/>
                </w:tcPr>
                <w:p w14:paraId="50C5A244">
                  <w:pPr>
                    <w:pStyle w:val="63"/>
                    <w:rPr>
                      <w:szCs w:val="21"/>
                    </w:rPr>
                  </w:pPr>
                  <w:r>
                    <w:rPr>
                      <w:szCs w:val="21"/>
                    </w:rPr>
                    <w:t>二类功能区</w:t>
                  </w:r>
                </w:p>
              </w:tc>
              <w:tc>
                <w:tcPr>
                  <w:tcW w:w="443" w:type="pct"/>
                  <w:vAlign w:val="center"/>
                </w:tcPr>
                <w:p w14:paraId="493FACBF">
                  <w:pPr>
                    <w:pStyle w:val="63"/>
                    <w:rPr>
                      <w:szCs w:val="21"/>
                    </w:rPr>
                  </w:pPr>
                  <w:r>
                    <w:rPr>
                      <w:szCs w:val="21"/>
                    </w:rPr>
                    <w:t>W</w:t>
                  </w:r>
                </w:p>
              </w:tc>
              <w:tc>
                <w:tcPr>
                  <w:tcW w:w="567" w:type="pct"/>
                  <w:vAlign w:val="center"/>
                </w:tcPr>
                <w:p w14:paraId="67A188CA">
                  <w:pPr>
                    <w:pStyle w:val="63"/>
                    <w:rPr>
                      <w:szCs w:val="21"/>
                    </w:rPr>
                  </w:pPr>
                  <w:r>
                    <w:rPr>
                      <w:szCs w:val="21"/>
                    </w:rPr>
                    <w:t>5</w:t>
                  </w:r>
                </w:p>
              </w:tc>
            </w:tr>
            <w:tr w14:paraId="529DF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trPr>
              <w:tc>
                <w:tcPr>
                  <w:tcW w:w="393" w:type="pct"/>
                  <w:vMerge w:val="continue"/>
                  <w:vAlign w:val="center"/>
                </w:tcPr>
                <w:p w14:paraId="346CAB08">
                  <w:pPr>
                    <w:jc w:val="center"/>
                    <w:rPr>
                      <w:bCs/>
                      <w:szCs w:val="21"/>
                    </w:rPr>
                  </w:pPr>
                </w:p>
              </w:tc>
              <w:tc>
                <w:tcPr>
                  <w:tcW w:w="755" w:type="pct"/>
                  <w:vAlign w:val="center"/>
                </w:tcPr>
                <w:p w14:paraId="68E35F41">
                  <w:pPr>
                    <w:jc w:val="center"/>
                    <w:rPr>
                      <w:bCs/>
                      <w:szCs w:val="21"/>
                    </w:rPr>
                  </w:pPr>
                  <w:r>
                    <w:rPr>
                      <w:rFonts w:hint="eastAsia"/>
                      <w:bCs/>
                      <w:szCs w:val="21"/>
                    </w:rPr>
                    <w:t>吴新庄</w:t>
                  </w:r>
                </w:p>
              </w:tc>
              <w:tc>
                <w:tcPr>
                  <w:tcW w:w="841" w:type="pct"/>
                  <w:vAlign w:val="center"/>
                </w:tcPr>
                <w:p w14:paraId="715BE753">
                  <w:pPr>
                    <w:pStyle w:val="63"/>
                    <w:rPr>
                      <w:szCs w:val="21"/>
                    </w:rPr>
                  </w:pPr>
                  <w:r>
                    <w:rPr>
                      <w:szCs w:val="21"/>
                    </w:rPr>
                    <w:t>115.284893116</w:t>
                  </w:r>
                </w:p>
              </w:tc>
              <w:tc>
                <w:tcPr>
                  <w:tcW w:w="839" w:type="pct"/>
                  <w:vAlign w:val="center"/>
                </w:tcPr>
                <w:p w14:paraId="41BD32E7">
                  <w:pPr>
                    <w:pStyle w:val="63"/>
                    <w:rPr>
                      <w:szCs w:val="21"/>
                    </w:rPr>
                  </w:pPr>
                  <w:r>
                    <w:rPr>
                      <w:szCs w:val="21"/>
                    </w:rPr>
                    <w:t>34.777211885</w:t>
                  </w:r>
                </w:p>
              </w:tc>
              <w:tc>
                <w:tcPr>
                  <w:tcW w:w="686" w:type="pct"/>
                  <w:vAlign w:val="center"/>
                </w:tcPr>
                <w:p w14:paraId="1BDC7EE3">
                  <w:pPr>
                    <w:pStyle w:val="63"/>
                    <w:rPr>
                      <w:szCs w:val="21"/>
                    </w:rPr>
                  </w:pPr>
                  <w:r>
                    <w:rPr>
                      <w:rFonts w:hint="eastAsia"/>
                      <w:szCs w:val="21"/>
                    </w:rPr>
                    <w:t>居民</w:t>
                  </w:r>
                </w:p>
              </w:tc>
              <w:tc>
                <w:tcPr>
                  <w:tcW w:w="476" w:type="pct"/>
                  <w:vMerge w:val="continue"/>
                  <w:vAlign w:val="center"/>
                </w:tcPr>
                <w:p w14:paraId="2A3E8128">
                  <w:pPr>
                    <w:pStyle w:val="63"/>
                    <w:rPr>
                      <w:szCs w:val="21"/>
                    </w:rPr>
                  </w:pPr>
                </w:p>
              </w:tc>
              <w:tc>
                <w:tcPr>
                  <w:tcW w:w="443" w:type="pct"/>
                  <w:vAlign w:val="center"/>
                </w:tcPr>
                <w:p w14:paraId="4D56BA04">
                  <w:pPr>
                    <w:pStyle w:val="63"/>
                    <w:rPr>
                      <w:szCs w:val="21"/>
                    </w:rPr>
                  </w:pPr>
                  <w:r>
                    <w:rPr>
                      <w:rFonts w:hint="eastAsia"/>
                      <w:szCs w:val="21"/>
                    </w:rPr>
                    <w:t>E</w:t>
                  </w:r>
                </w:p>
              </w:tc>
              <w:tc>
                <w:tcPr>
                  <w:tcW w:w="567" w:type="pct"/>
                  <w:vAlign w:val="center"/>
                </w:tcPr>
                <w:p w14:paraId="6EBC2FA9">
                  <w:pPr>
                    <w:pStyle w:val="63"/>
                    <w:rPr>
                      <w:szCs w:val="21"/>
                    </w:rPr>
                  </w:pPr>
                  <w:r>
                    <w:rPr>
                      <w:rFonts w:hint="eastAsia"/>
                      <w:szCs w:val="21"/>
                    </w:rPr>
                    <w:t>220</w:t>
                  </w:r>
                </w:p>
              </w:tc>
            </w:tr>
            <w:tr w14:paraId="72F18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trPr>
              <w:tc>
                <w:tcPr>
                  <w:tcW w:w="393" w:type="pct"/>
                  <w:vMerge w:val="continue"/>
                  <w:vAlign w:val="center"/>
                </w:tcPr>
                <w:p w14:paraId="1E1E309F">
                  <w:pPr>
                    <w:jc w:val="center"/>
                    <w:rPr>
                      <w:bCs/>
                      <w:szCs w:val="21"/>
                    </w:rPr>
                  </w:pPr>
                </w:p>
              </w:tc>
              <w:tc>
                <w:tcPr>
                  <w:tcW w:w="755" w:type="pct"/>
                  <w:vAlign w:val="center"/>
                </w:tcPr>
                <w:p w14:paraId="54CEBDB7">
                  <w:pPr>
                    <w:jc w:val="center"/>
                    <w:rPr>
                      <w:bCs/>
                      <w:szCs w:val="21"/>
                    </w:rPr>
                  </w:pPr>
                  <w:r>
                    <w:rPr>
                      <w:bCs/>
                      <w:szCs w:val="21"/>
                    </w:rPr>
                    <w:t>周翟庄村</w:t>
                  </w:r>
                </w:p>
              </w:tc>
              <w:tc>
                <w:tcPr>
                  <w:tcW w:w="841" w:type="pct"/>
                  <w:vAlign w:val="center"/>
                </w:tcPr>
                <w:p w14:paraId="74E3E080">
                  <w:pPr>
                    <w:pStyle w:val="63"/>
                    <w:rPr>
                      <w:szCs w:val="21"/>
                    </w:rPr>
                  </w:pPr>
                  <w:r>
                    <w:rPr>
                      <w:szCs w:val="21"/>
                    </w:rPr>
                    <w:t>115.28301716</w:t>
                  </w:r>
                </w:p>
              </w:tc>
              <w:tc>
                <w:tcPr>
                  <w:tcW w:w="839" w:type="pct"/>
                  <w:vAlign w:val="center"/>
                </w:tcPr>
                <w:p w14:paraId="7CA8D0A9">
                  <w:pPr>
                    <w:pStyle w:val="63"/>
                    <w:rPr>
                      <w:szCs w:val="21"/>
                    </w:rPr>
                  </w:pPr>
                  <w:r>
                    <w:rPr>
                      <w:szCs w:val="21"/>
                    </w:rPr>
                    <w:t>34.77223434</w:t>
                  </w:r>
                </w:p>
              </w:tc>
              <w:tc>
                <w:tcPr>
                  <w:tcW w:w="686" w:type="pct"/>
                  <w:vAlign w:val="center"/>
                </w:tcPr>
                <w:p w14:paraId="482BEE39">
                  <w:pPr>
                    <w:pStyle w:val="63"/>
                    <w:rPr>
                      <w:szCs w:val="21"/>
                    </w:rPr>
                  </w:pPr>
                  <w:r>
                    <w:rPr>
                      <w:rFonts w:hint="eastAsia"/>
                      <w:szCs w:val="21"/>
                    </w:rPr>
                    <w:t>居民</w:t>
                  </w:r>
                </w:p>
              </w:tc>
              <w:tc>
                <w:tcPr>
                  <w:tcW w:w="476" w:type="pct"/>
                  <w:vMerge w:val="continue"/>
                  <w:vAlign w:val="center"/>
                </w:tcPr>
                <w:p w14:paraId="3C92EC94">
                  <w:pPr>
                    <w:pStyle w:val="63"/>
                    <w:rPr>
                      <w:szCs w:val="21"/>
                    </w:rPr>
                  </w:pPr>
                </w:p>
              </w:tc>
              <w:tc>
                <w:tcPr>
                  <w:tcW w:w="443" w:type="pct"/>
                  <w:vAlign w:val="center"/>
                </w:tcPr>
                <w:p w14:paraId="14FB6D7D">
                  <w:pPr>
                    <w:pStyle w:val="63"/>
                    <w:rPr>
                      <w:szCs w:val="21"/>
                    </w:rPr>
                  </w:pPr>
                  <w:r>
                    <w:rPr>
                      <w:rFonts w:hint="eastAsia"/>
                      <w:szCs w:val="21"/>
                    </w:rPr>
                    <w:t>S</w:t>
                  </w:r>
                </w:p>
              </w:tc>
              <w:tc>
                <w:tcPr>
                  <w:tcW w:w="567" w:type="pct"/>
                  <w:vAlign w:val="center"/>
                </w:tcPr>
                <w:p w14:paraId="6D2A9E55">
                  <w:pPr>
                    <w:pStyle w:val="63"/>
                    <w:rPr>
                      <w:szCs w:val="21"/>
                    </w:rPr>
                  </w:pPr>
                  <w:r>
                    <w:rPr>
                      <w:szCs w:val="21"/>
                    </w:rPr>
                    <w:t>27</w:t>
                  </w:r>
                  <w:r>
                    <w:rPr>
                      <w:rFonts w:hint="eastAsia"/>
                      <w:szCs w:val="21"/>
                    </w:rPr>
                    <w:t>0</w:t>
                  </w:r>
                </w:p>
              </w:tc>
            </w:tr>
            <w:tr w14:paraId="7340C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trPr>
              <w:tc>
                <w:tcPr>
                  <w:tcW w:w="393" w:type="pct"/>
                  <w:vAlign w:val="center"/>
                </w:tcPr>
                <w:p w14:paraId="76B5FDAC">
                  <w:pPr>
                    <w:jc w:val="center"/>
                    <w:rPr>
                      <w:bCs/>
                      <w:szCs w:val="21"/>
                    </w:rPr>
                  </w:pPr>
                  <w:r>
                    <w:rPr>
                      <w:rFonts w:hint="eastAsia"/>
                      <w:bCs/>
                      <w:szCs w:val="21"/>
                    </w:rPr>
                    <w:t>声</w:t>
                  </w:r>
                  <w:r>
                    <w:rPr>
                      <w:bCs/>
                      <w:szCs w:val="21"/>
                    </w:rPr>
                    <w:t>环境</w:t>
                  </w:r>
                </w:p>
              </w:tc>
              <w:tc>
                <w:tcPr>
                  <w:tcW w:w="755" w:type="pct"/>
                  <w:vAlign w:val="center"/>
                </w:tcPr>
                <w:p w14:paraId="7148FA95">
                  <w:pPr>
                    <w:jc w:val="center"/>
                    <w:rPr>
                      <w:bCs/>
                      <w:szCs w:val="21"/>
                    </w:rPr>
                  </w:pPr>
                  <w:r>
                    <w:rPr>
                      <w:bCs/>
                      <w:szCs w:val="21"/>
                    </w:rPr>
                    <w:t>民权慧佳幼儿园</w:t>
                  </w:r>
                </w:p>
              </w:tc>
              <w:tc>
                <w:tcPr>
                  <w:tcW w:w="841" w:type="pct"/>
                  <w:vAlign w:val="center"/>
                </w:tcPr>
                <w:p w14:paraId="0A8BF28A">
                  <w:pPr>
                    <w:pStyle w:val="63"/>
                    <w:rPr>
                      <w:szCs w:val="21"/>
                    </w:rPr>
                  </w:pPr>
                  <w:r>
                    <w:rPr>
                      <w:szCs w:val="21"/>
                    </w:rPr>
                    <w:t>115.28576374</w:t>
                  </w:r>
                </w:p>
              </w:tc>
              <w:tc>
                <w:tcPr>
                  <w:tcW w:w="839" w:type="pct"/>
                  <w:vAlign w:val="center"/>
                </w:tcPr>
                <w:p w14:paraId="782D23F2">
                  <w:pPr>
                    <w:pStyle w:val="63"/>
                    <w:rPr>
                      <w:szCs w:val="21"/>
                    </w:rPr>
                  </w:pPr>
                  <w:r>
                    <w:rPr>
                      <w:szCs w:val="21"/>
                    </w:rPr>
                    <w:t>34.77632344</w:t>
                  </w:r>
                </w:p>
              </w:tc>
              <w:tc>
                <w:tcPr>
                  <w:tcW w:w="686" w:type="pct"/>
                  <w:vAlign w:val="center"/>
                </w:tcPr>
                <w:p w14:paraId="7A9D69CD">
                  <w:pPr>
                    <w:pStyle w:val="63"/>
                    <w:rPr>
                      <w:szCs w:val="21"/>
                    </w:rPr>
                  </w:pPr>
                  <w:r>
                    <w:rPr>
                      <w:rFonts w:hint="eastAsia"/>
                      <w:szCs w:val="21"/>
                    </w:rPr>
                    <w:t>幼儿、</w:t>
                  </w:r>
                  <w:r>
                    <w:rPr>
                      <w:szCs w:val="21"/>
                    </w:rPr>
                    <w:t>教师</w:t>
                  </w:r>
                </w:p>
              </w:tc>
              <w:tc>
                <w:tcPr>
                  <w:tcW w:w="476" w:type="pct"/>
                  <w:vAlign w:val="center"/>
                </w:tcPr>
                <w:p w14:paraId="0CE6CC55">
                  <w:pPr>
                    <w:pStyle w:val="63"/>
                    <w:rPr>
                      <w:szCs w:val="21"/>
                    </w:rPr>
                  </w:pPr>
                  <w:r>
                    <w:rPr>
                      <w:rFonts w:hint="eastAsia"/>
                      <w:szCs w:val="21"/>
                    </w:rPr>
                    <w:t>2类</w:t>
                  </w:r>
                </w:p>
              </w:tc>
              <w:tc>
                <w:tcPr>
                  <w:tcW w:w="443" w:type="pct"/>
                  <w:vAlign w:val="center"/>
                </w:tcPr>
                <w:p w14:paraId="065942B9">
                  <w:pPr>
                    <w:pStyle w:val="63"/>
                    <w:rPr>
                      <w:szCs w:val="21"/>
                    </w:rPr>
                  </w:pPr>
                  <w:r>
                    <w:rPr>
                      <w:szCs w:val="21"/>
                    </w:rPr>
                    <w:t>W</w:t>
                  </w:r>
                </w:p>
              </w:tc>
              <w:tc>
                <w:tcPr>
                  <w:tcW w:w="567" w:type="pct"/>
                  <w:vAlign w:val="center"/>
                </w:tcPr>
                <w:p w14:paraId="0B4D3651">
                  <w:pPr>
                    <w:pStyle w:val="63"/>
                    <w:rPr>
                      <w:szCs w:val="21"/>
                    </w:rPr>
                  </w:pPr>
                  <w:r>
                    <w:rPr>
                      <w:szCs w:val="21"/>
                    </w:rPr>
                    <w:t>5</w:t>
                  </w:r>
                </w:p>
              </w:tc>
            </w:tr>
          </w:tbl>
          <w:p w14:paraId="61E93DE9">
            <w:pPr>
              <w:spacing w:before="120" w:beforeLines="50" w:line="360" w:lineRule="auto"/>
              <w:rPr>
                <w:sz w:val="24"/>
              </w:rPr>
            </w:pPr>
          </w:p>
        </w:tc>
      </w:tr>
      <w:tr w14:paraId="0077AC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75" w:hRule="atLeast"/>
          <w:jc w:val="center"/>
        </w:trPr>
        <w:tc>
          <w:tcPr>
            <w:tcW w:w="800" w:type="dxa"/>
            <w:tcMar>
              <w:left w:w="28" w:type="dxa"/>
              <w:right w:w="28" w:type="dxa"/>
            </w:tcMar>
            <w:vAlign w:val="center"/>
          </w:tcPr>
          <w:p w14:paraId="021DF8C2">
            <w:pPr>
              <w:adjustRightInd w:val="0"/>
              <w:snapToGrid w:val="0"/>
              <w:jc w:val="center"/>
              <w:rPr>
                <w:kern w:val="0"/>
                <w:sz w:val="24"/>
              </w:rPr>
            </w:pPr>
            <w:r>
              <w:rPr>
                <w:kern w:val="0"/>
                <w:sz w:val="24"/>
              </w:rPr>
              <w:t>污染</w:t>
            </w:r>
          </w:p>
          <w:p w14:paraId="762920AD">
            <w:pPr>
              <w:adjustRightInd w:val="0"/>
              <w:snapToGrid w:val="0"/>
              <w:jc w:val="center"/>
              <w:rPr>
                <w:kern w:val="0"/>
                <w:sz w:val="24"/>
              </w:rPr>
            </w:pPr>
            <w:r>
              <w:rPr>
                <w:kern w:val="0"/>
                <w:sz w:val="24"/>
              </w:rPr>
              <w:t>物排</w:t>
            </w:r>
          </w:p>
          <w:p w14:paraId="7A1A2F51">
            <w:pPr>
              <w:adjustRightInd w:val="0"/>
              <w:snapToGrid w:val="0"/>
              <w:jc w:val="center"/>
              <w:rPr>
                <w:kern w:val="0"/>
                <w:sz w:val="24"/>
              </w:rPr>
            </w:pPr>
            <w:r>
              <w:rPr>
                <w:kern w:val="0"/>
                <w:sz w:val="24"/>
              </w:rPr>
              <w:t>放控</w:t>
            </w:r>
          </w:p>
          <w:p w14:paraId="55B4F0C9">
            <w:pPr>
              <w:adjustRightInd w:val="0"/>
              <w:snapToGrid w:val="0"/>
              <w:jc w:val="center"/>
              <w:rPr>
                <w:kern w:val="0"/>
                <w:sz w:val="24"/>
              </w:rPr>
            </w:pPr>
            <w:r>
              <w:rPr>
                <w:kern w:val="0"/>
                <w:sz w:val="24"/>
              </w:rPr>
              <w:t>制标</w:t>
            </w:r>
          </w:p>
          <w:p w14:paraId="7F2F2FEF">
            <w:pPr>
              <w:adjustRightInd w:val="0"/>
              <w:snapToGrid w:val="0"/>
              <w:jc w:val="center"/>
              <w:rPr>
                <w:kern w:val="0"/>
                <w:sz w:val="24"/>
              </w:rPr>
            </w:pPr>
            <w:r>
              <w:rPr>
                <w:kern w:val="0"/>
                <w:sz w:val="24"/>
              </w:rPr>
              <w:t>准</w:t>
            </w:r>
          </w:p>
        </w:tc>
        <w:tc>
          <w:tcPr>
            <w:tcW w:w="8639" w:type="dxa"/>
            <w:vAlign w:val="center"/>
          </w:tcPr>
          <w:p w14:paraId="2C3A973C">
            <w:pPr>
              <w:adjustRightInd w:val="0"/>
              <w:snapToGrid w:val="0"/>
              <w:spacing w:line="360" w:lineRule="auto"/>
              <w:ind w:firstLine="480" w:firstLineChars="200"/>
              <w:jc w:val="left"/>
              <w:rPr>
                <w:kern w:val="0"/>
                <w:sz w:val="24"/>
              </w:rPr>
            </w:pPr>
            <w:r>
              <w:rPr>
                <w:rFonts w:hint="eastAsia"/>
                <w:kern w:val="0"/>
                <w:sz w:val="24"/>
              </w:rPr>
              <w:t>项目污染物排放控制标准见下表。</w:t>
            </w:r>
          </w:p>
          <w:p w14:paraId="200A4E47">
            <w:pPr>
              <w:adjustRightInd w:val="0"/>
              <w:snapToGrid w:val="0"/>
              <w:jc w:val="center"/>
              <w:rPr>
                <w:b/>
                <w:bCs/>
                <w:sz w:val="24"/>
              </w:rPr>
            </w:pPr>
            <w:r>
              <w:rPr>
                <w:rFonts w:hint="eastAsia"/>
                <w:b/>
                <w:bCs/>
                <w:sz w:val="24"/>
              </w:rPr>
              <w:t>表17    本项目执行污染物排放控制标准一览表</w:t>
            </w:r>
          </w:p>
          <w:tbl>
            <w:tblPr>
              <w:tblStyle w:val="29"/>
              <w:tblW w:w="4998" w:type="pct"/>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691"/>
              <w:gridCol w:w="1687"/>
              <w:gridCol w:w="2153"/>
              <w:gridCol w:w="1050"/>
              <w:gridCol w:w="2829"/>
            </w:tblGrid>
            <w:tr w14:paraId="503BAE5C">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75" w:hRule="atLeast"/>
              </w:trPr>
              <w:tc>
                <w:tcPr>
                  <w:tcW w:w="411" w:type="pct"/>
                  <w:tcBorders>
                    <w:top w:val="single" w:color="auto" w:sz="4" w:space="0"/>
                  </w:tcBorders>
                  <w:vAlign w:val="center"/>
                </w:tcPr>
                <w:p w14:paraId="4E997F21">
                  <w:pPr>
                    <w:jc w:val="center"/>
                    <w:rPr>
                      <w:bCs/>
                      <w:snapToGrid w:val="0"/>
                      <w:kern w:val="0"/>
                      <w:szCs w:val="21"/>
                    </w:rPr>
                  </w:pPr>
                  <w:r>
                    <w:rPr>
                      <w:bCs/>
                      <w:snapToGrid w:val="0"/>
                      <w:kern w:val="0"/>
                      <w:szCs w:val="21"/>
                    </w:rPr>
                    <w:t>环境</w:t>
                  </w:r>
                </w:p>
                <w:p w14:paraId="14C03985">
                  <w:pPr>
                    <w:jc w:val="center"/>
                    <w:rPr>
                      <w:bCs/>
                      <w:snapToGrid w:val="0"/>
                      <w:kern w:val="0"/>
                      <w:szCs w:val="21"/>
                    </w:rPr>
                  </w:pPr>
                  <w:r>
                    <w:rPr>
                      <w:bCs/>
                      <w:snapToGrid w:val="0"/>
                      <w:kern w:val="0"/>
                      <w:szCs w:val="21"/>
                    </w:rPr>
                    <w:t>要素</w:t>
                  </w:r>
                </w:p>
              </w:tc>
              <w:tc>
                <w:tcPr>
                  <w:tcW w:w="1003" w:type="pct"/>
                  <w:tcBorders>
                    <w:top w:val="single" w:color="auto" w:sz="4" w:space="0"/>
                  </w:tcBorders>
                  <w:vAlign w:val="center"/>
                </w:tcPr>
                <w:p w14:paraId="1DDE7FE9">
                  <w:pPr>
                    <w:ind w:firstLine="420"/>
                    <w:rPr>
                      <w:bCs/>
                      <w:snapToGrid w:val="0"/>
                      <w:kern w:val="0"/>
                      <w:szCs w:val="21"/>
                    </w:rPr>
                  </w:pPr>
                  <w:r>
                    <w:rPr>
                      <w:bCs/>
                      <w:snapToGrid w:val="0"/>
                      <w:kern w:val="0"/>
                      <w:szCs w:val="21"/>
                    </w:rPr>
                    <w:t>标准编号</w:t>
                  </w:r>
                </w:p>
              </w:tc>
              <w:tc>
                <w:tcPr>
                  <w:tcW w:w="1280" w:type="pct"/>
                  <w:tcBorders>
                    <w:top w:val="single" w:color="auto" w:sz="4" w:space="0"/>
                  </w:tcBorders>
                  <w:vAlign w:val="center"/>
                </w:tcPr>
                <w:p w14:paraId="7F8F56A2">
                  <w:pPr>
                    <w:ind w:firstLine="420"/>
                    <w:rPr>
                      <w:bCs/>
                      <w:snapToGrid w:val="0"/>
                      <w:kern w:val="0"/>
                      <w:szCs w:val="21"/>
                    </w:rPr>
                  </w:pPr>
                  <w:r>
                    <w:rPr>
                      <w:bCs/>
                      <w:snapToGrid w:val="0"/>
                      <w:kern w:val="0"/>
                      <w:szCs w:val="21"/>
                    </w:rPr>
                    <w:t>标准名称</w:t>
                  </w:r>
                </w:p>
              </w:tc>
              <w:tc>
                <w:tcPr>
                  <w:tcW w:w="624" w:type="pct"/>
                  <w:tcBorders>
                    <w:top w:val="single" w:color="auto" w:sz="4" w:space="0"/>
                  </w:tcBorders>
                  <w:vAlign w:val="center"/>
                </w:tcPr>
                <w:p w14:paraId="6C8E54E6">
                  <w:pPr>
                    <w:jc w:val="center"/>
                    <w:rPr>
                      <w:bCs/>
                      <w:snapToGrid w:val="0"/>
                      <w:kern w:val="0"/>
                      <w:szCs w:val="21"/>
                    </w:rPr>
                  </w:pPr>
                  <w:r>
                    <w:rPr>
                      <w:bCs/>
                      <w:snapToGrid w:val="0"/>
                      <w:kern w:val="0"/>
                      <w:szCs w:val="21"/>
                    </w:rPr>
                    <w:t>执行</w:t>
                  </w:r>
                </w:p>
                <w:p w14:paraId="2C35E6B1">
                  <w:pPr>
                    <w:jc w:val="center"/>
                    <w:rPr>
                      <w:bCs/>
                      <w:snapToGrid w:val="0"/>
                      <w:kern w:val="0"/>
                      <w:szCs w:val="21"/>
                    </w:rPr>
                  </w:pPr>
                  <w:r>
                    <w:rPr>
                      <w:bCs/>
                      <w:snapToGrid w:val="0"/>
                      <w:kern w:val="0"/>
                      <w:szCs w:val="21"/>
                    </w:rPr>
                    <w:t>级别</w:t>
                  </w:r>
                </w:p>
              </w:tc>
              <w:tc>
                <w:tcPr>
                  <w:tcW w:w="1681" w:type="pct"/>
                  <w:tcBorders>
                    <w:top w:val="single" w:color="auto" w:sz="4" w:space="0"/>
                  </w:tcBorders>
                  <w:vAlign w:val="center"/>
                </w:tcPr>
                <w:p w14:paraId="764D455B">
                  <w:pPr>
                    <w:ind w:firstLine="420"/>
                    <w:jc w:val="center"/>
                    <w:rPr>
                      <w:bCs/>
                      <w:snapToGrid w:val="0"/>
                      <w:kern w:val="0"/>
                      <w:szCs w:val="21"/>
                    </w:rPr>
                  </w:pPr>
                  <w:r>
                    <w:rPr>
                      <w:bCs/>
                      <w:snapToGrid w:val="0"/>
                      <w:kern w:val="0"/>
                      <w:szCs w:val="21"/>
                    </w:rPr>
                    <w:t>主要污染物限值</w:t>
                  </w:r>
                </w:p>
              </w:tc>
            </w:tr>
            <w:tr w14:paraId="7BFE2563">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210" w:hRule="atLeast"/>
              </w:trPr>
              <w:tc>
                <w:tcPr>
                  <w:tcW w:w="411" w:type="pct"/>
                  <w:vMerge w:val="restart"/>
                  <w:vAlign w:val="center"/>
                </w:tcPr>
                <w:p w14:paraId="35347CDF">
                  <w:pPr>
                    <w:jc w:val="center"/>
                    <w:rPr>
                      <w:bCs/>
                      <w:snapToGrid w:val="0"/>
                      <w:kern w:val="0"/>
                      <w:szCs w:val="21"/>
                    </w:rPr>
                  </w:pPr>
                  <w:r>
                    <w:rPr>
                      <w:bCs/>
                      <w:snapToGrid w:val="0"/>
                      <w:kern w:val="0"/>
                      <w:szCs w:val="21"/>
                    </w:rPr>
                    <w:t>废气</w:t>
                  </w:r>
                </w:p>
              </w:tc>
              <w:tc>
                <w:tcPr>
                  <w:tcW w:w="1003" w:type="pct"/>
                  <w:vAlign w:val="center"/>
                </w:tcPr>
                <w:p w14:paraId="327A9AAF">
                  <w:pPr>
                    <w:jc w:val="center"/>
                    <w:rPr>
                      <w:kern w:val="0"/>
                      <w:szCs w:val="21"/>
                    </w:rPr>
                  </w:pPr>
                  <w:r>
                    <w:rPr>
                      <w:rFonts w:hint="eastAsia"/>
                      <w:szCs w:val="21"/>
                    </w:rPr>
                    <w:t>GB31572-2015（含2024年</w:t>
                  </w:r>
                  <w:r>
                    <w:rPr>
                      <w:szCs w:val="21"/>
                    </w:rPr>
                    <w:t>修改单）</w:t>
                  </w:r>
                </w:p>
              </w:tc>
              <w:tc>
                <w:tcPr>
                  <w:tcW w:w="1280" w:type="pct"/>
                  <w:vAlign w:val="center"/>
                </w:tcPr>
                <w:p w14:paraId="6D7D5E1B">
                  <w:pPr>
                    <w:jc w:val="center"/>
                    <w:rPr>
                      <w:szCs w:val="21"/>
                    </w:rPr>
                  </w:pPr>
                  <w:r>
                    <w:rPr>
                      <w:rFonts w:hint="eastAsia"/>
                      <w:szCs w:val="21"/>
                    </w:rPr>
                    <w:t>《合成树脂工业污染物排放标准》</w:t>
                  </w:r>
                </w:p>
              </w:tc>
              <w:tc>
                <w:tcPr>
                  <w:tcW w:w="624" w:type="pct"/>
                  <w:vAlign w:val="center"/>
                </w:tcPr>
                <w:p w14:paraId="6E97E15F">
                  <w:pPr>
                    <w:jc w:val="center"/>
                    <w:rPr>
                      <w:snapToGrid w:val="0"/>
                      <w:kern w:val="0"/>
                      <w:szCs w:val="21"/>
                    </w:rPr>
                  </w:pPr>
                  <w:r>
                    <w:rPr>
                      <w:rFonts w:hint="eastAsia"/>
                      <w:szCs w:val="21"/>
                    </w:rPr>
                    <w:t>表5及表9</w:t>
                  </w:r>
                </w:p>
              </w:tc>
              <w:tc>
                <w:tcPr>
                  <w:tcW w:w="1681" w:type="pct"/>
                  <w:vAlign w:val="center"/>
                </w:tcPr>
                <w:p w14:paraId="7F43AB2F">
                  <w:pPr>
                    <w:jc w:val="center"/>
                    <w:rPr>
                      <w:snapToGrid w:val="0"/>
                      <w:kern w:val="0"/>
                      <w:szCs w:val="21"/>
                    </w:rPr>
                  </w:pPr>
                  <w:r>
                    <w:rPr>
                      <w:rFonts w:hint="eastAsia"/>
                      <w:snapToGrid w:val="0"/>
                      <w:kern w:val="0"/>
                      <w:szCs w:val="21"/>
                    </w:rPr>
                    <w:t>排气筒浓度60mg/m</w:t>
                  </w:r>
                  <w:r>
                    <w:rPr>
                      <w:rFonts w:hint="eastAsia"/>
                      <w:snapToGrid w:val="0"/>
                      <w:kern w:val="0"/>
                      <w:szCs w:val="21"/>
                      <w:vertAlign w:val="superscript"/>
                    </w:rPr>
                    <w:t>3</w:t>
                  </w:r>
                </w:p>
                <w:p w14:paraId="1857FD84">
                  <w:pPr>
                    <w:jc w:val="center"/>
                    <w:rPr>
                      <w:snapToGrid w:val="0"/>
                      <w:kern w:val="0"/>
                      <w:szCs w:val="21"/>
                      <w:vertAlign w:val="superscript"/>
                    </w:rPr>
                  </w:pPr>
                  <w:r>
                    <w:rPr>
                      <w:rFonts w:hint="eastAsia"/>
                      <w:snapToGrid w:val="0"/>
                      <w:kern w:val="0"/>
                      <w:szCs w:val="21"/>
                    </w:rPr>
                    <w:t>边界限值4.0mg/m</w:t>
                  </w:r>
                  <w:r>
                    <w:rPr>
                      <w:rFonts w:hint="eastAsia"/>
                      <w:snapToGrid w:val="0"/>
                      <w:kern w:val="0"/>
                      <w:szCs w:val="21"/>
                      <w:vertAlign w:val="superscript"/>
                    </w:rPr>
                    <w:t>3</w:t>
                  </w:r>
                </w:p>
                <w:p w14:paraId="25E4FC74">
                  <w:pPr>
                    <w:jc w:val="center"/>
                    <w:rPr>
                      <w:snapToGrid w:val="0"/>
                      <w:kern w:val="0"/>
                      <w:szCs w:val="21"/>
                    </w:rPr>
                  </w:pPr>
                  <w:r>
                    <w:rPr>
                      <w:rFonts w:hint="eastAsia"/>
                      <w:snapToGrid w:val="0"/>
                      <w:kern w:val="0"/>
                      <w:szCs w:val="21"/>
                    </w:rPr>
                    <w:t>单位产品非甲烷总烃排放量≤0.3kg/t产品</w:t>
                  </w:r>
                </w:p>
              </w:tc>
            </w:tr>
            <w:tr w14:paraId="1BA50E22">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210" w:hRule="atLeast"/>
              </w:trPr>
              <w:tc>
                <w:tcPr>
                  <w:tcW w:w="411" w:type="pct"/>
                  <w:vMerge w:val="continue"/>
                  <w:vAlign w:val="center"/>
                </w:tcPr>
                <w:p w14:paraId="6CCA135E">
                  <w:pPr>
                    <w:jc w:val="center"/>
                    <w:rPr>
                      <w:bCs/>
                      <w:snapToGrid w:val="0"/>
                      <w:kern w:val="0"/>
                      <w:szCs w:val="21"/>
                    </w:rPr>
                  </w:pPr>
                </w:p>
              </w:tc>
              <w:tc>
                <w:tcPr>
                  <w:tcW w:w="1003" w:type="pct"/>
                  <w:vAlign w:val="center"/>
                </w:tcPr>
                <w:p w14:paraId="2FCB8327">
                  <w:pPr>
                    <w:jc w:val="center"/>
                    <w:rPr>
                      <w:szCs w:val="21"/>
                    </w:rPr>
                  </w:pPr>
                  <w:r>
                    <w:rPr>
                      <w:szCs w:val="21"/>
                    </w:rPr>
                    <w:t>2024年修</w:t>
                  </w:r>
                </w:p>
                <w:p w14:paraId="479548EE">
                  <w:pPr>
                    <w:jc w:val="center"/>
                    <w:rPr>
                      <w:kern w:val="0"/>
                      <w:szCs w:val="21"/>
                    </w:rPr>
                  </w:pPr>
                  <w:r>
                    <w:rPr>
                      <w:szCs w:val="21"/>
                    </w:rPr>
                    <w:t>订版</w:t>
                  </w:r>
                </w:p>
              </w:tc>
              <w:tc>
                <w:tcPr>
                  <w:tcW w:w="1280" w:type="pct"/>
                  <w:vAlign w:val="center"/>
                </w:tcPr>
                <w:p w14:paraId="36C1FBF9">
                  <w:pPr>
                    <w:jc w:val="center"/>
                    <w:rPr>
                      <w:szCs w:val="21"/>
                    </w:rPr>
                  </w:pPr>
                  <w:r>
                    <w:rPr>
                      <w:szCs w:val="21"/>
                    </w:rPr>
                    <w:t>《重污染天气重点行业应急减排措施制定技术指南》</w:t>
                  </w:r>
                </w:p>
              </w:tc>
              <w:tc>
                <w:tcPr>
                  <w:tcW w:w="624" w:type="pct"/>
                  <w:vAlign w:val="center"/>
                </w:tcPr>
                <w:p w14:paraId="6955D5C2">
                  <w:pPr>
                    <w:jc w:val="center"/>
                    <w:rPr>
                      <w:snapToGrid w:val="0"/>
                      <w:kern w:val="0"/>
                      <w:szCs w:val="21"/>
                    </w:rPr>
                  </w:pPr>
                  <w:r>
                    <w:rPr>
                      <w:rFonts w:hint="eastAsia"/>
                      <w:snapToGrid w:val="0"/>
                      <w:kern w:val="0"/>
                      <w:szCs w:val="21"/>
                    </w:rPr>
                    <w:t>塑料制品</w:t>
                  </w:r>
                  <w:r>
                    <w:rPr>
                      <w:snapToGrid w:val="0"/>
                      <w:kern w:val="0"/>
                      <w:szCs w:val="21"/>
                    </w:rPr>
                    <w:t>行业</w:t>
                  </w:r>
                  <w:r>
                    <w:rPr>
                      <w:rFonts w:hint="eastAsia"/>
                      <w:snapToGrid w:val="0"/>
                      <w:kern w:val="0"/>
                      <w:szCs w:val="21"/>
                    </w:rPr>
                    <w:t>A级</w:t>
                  </w:r>
                  <w:r>
                    <w:rPr>
                      <w:snapToGrid w:val="0"/>
                      <w:kern w:val="0"/>
                      <w:szCs w:val="21"/>
                    </w:rPr>
                    <w:t>企业指标要求</w:t>
                  </w:r>
                </w:p>
              </w:tc>
              <w:tc>
                <w:tcPr>
                  <w:tcW w:w="1681" w:type="pct"/>
                  <w:vAlign w:val="center"/>
                </w:tcPr>
                <w:p w14:paraId="313DAE9E">
                  <w:pPr>
                    <w:jc w:val="center"/>
                    <w:rPr>
                      <w:snapToGrid w:val="0"/>
                      <w:kern w:val="0"/>
                      <w:szCs w:val="21"/>
                    </w:rPr>
                  </w:pPr>
                  <w:r>
                    <w:rPr>
                      <w:snapToGrid w:val="0"/>
                      <w:kern w:val="0"/>
                      <w:szCs w:val="21"/>
                    </w:rPr>
                    <w:t>非甲烷总烃：</w:t>
                  </w:r>
                </w:p>
                <w:p w14:paraId="530D87AD">
                  <w:pPr>
                    <w:jc w:val="center"/>
                    <w:rPr>
                      <w:snapToGrid w:val="0"/>
                      <w:kern w:val="0"/>
                      <w:szCs w:val="21"/>
                    </w:rPr>
                  </w:pPr>
                  <w:r>
                    <w:rPr>
                      <w:snapToGrid w:val="0"/>
                      <w:kern w:val="0"/>
                      <w:szCs w:val="21"/>
                    </w:rPr>
                    <w:t>最高允许</w:t>
                  </w:r>
                  <w:r>
                    <w:rPr>
                      <w:rFonts w:hint="eastAsia"/>
                      <w:snapToGrid w:val="0"/>
                      <w:kern w:val="0"/>
                      <w:szCs w:val="21"/>
                    </w:rPr>
                    <w:t>有组织</w:t>
                  </w:r>
                  <w:r>
                    <w:rPr>
                      <w:snapToGrid w:val="0"/>
                      <w:kern w:val="0"/>
                      <w:szCs w:val="21"/>
                    </w:rPr>
                    <w:t>排放浓度：</w:t>
                  </w:r>
                </w:p>
                <w:p w14:paraId="52737035">
                  <w:pPr>
                    <w:jc w:val="center"/>
                    <w:rPr>
                      <w:snapToGrid w:val="0"/>
                      <w:kern w:val="0"/>
                      <w:szCs w:val="21"/>
                    </w:rPr>
                  </w:pPr>
                  <w:r>
                    <w:rPr>
                      <w:snapToGrid w:val="0"/>
                      <w:kern w:val="0"/>
                      <w:szCs w:val="21"/>
                    </w:rPr>
                    <w:t>20</w:t>
                  </w:r>
                  <w:bookmarkStart w:id="5" w:name="OLE_LINK24"/>
                  <w:r>
                    <w:rPr>
                      <w:snapToGrid w:val="0"/>
                      <w:kern w:val="0"/>
                      <w:szCs w:val="21"/>
                    </w:rPr>
                    <w:t>mg/m</w:t>
                  </w:r>
                  <w:r>
                    <w:rPr>
                      <w:rFonts w:hint="eastAsia"/>
                      <w:snapToGrid w:val="0"/>
                      <w:kern w:val="0"/>
                      <w:szCs w:val="21"/>
                      <w:vertAlign w:val="superscript"/>
                    </w:rPr>
                    <w:t>3</w:t>
                  </w:r>
                  <w:bookmarkEnd w:id="5"/>
                  <w:r>
                    <w:rPr>
                      <w:rFonts w:hint="eastAsia"/>
                      <w:snapToGrid w:val="0"/>
                      <w:kern w:val="0"/>
                      <w:szCs w:val="21"/>
                    </w:rPr>
                    <w:t>；</w:t>
                  </w:r>
                  <w:r>
                    <w:rPr>
                      <w:bCs/>
                      <w:color w:val="000000"/>
                      <w:szCs w:val="21"/>
                    </w:rPr>
                    <w:t>企业边界</w:t>
                  </w:r>
                  <w:r>
                    <w:rPr>
                      <w:color w:val="000000"/>
                      <w:szCs w:val="21"/>
                    </w:rPr>
                    <w:t xml:space="preserve">1hNMHC </w:t>
                  </w:r>
                  <w:r>
                    <w:rPr>
                      <w:bCs/>
                      <w:color w:val="000000"/>
                      <w:szCs w:val="21"/>
                    </w:rPr>
                    <w:t>平均浓度低于</w:t>
                  </w:r>
                  <w:r>
                    <w:rPr>
                      <w:color w:val="000000"/>
                      <w:szCs w:val="21"/>
                    </w:rPr>
                    <w:t>2mg/m³</w:t>
                  </w:r>
                  <w:r>
                    <w:rPr>
                      <w:snapToGrid w:val="0"/>
                      <w:kern w:val="0"/>
                      <w:szCs w:val="21"/>
                    </w:rPr>
                    <w:t xml:space="preserve"> </w:t>
                  </w:r>
                </w:p>
              </w:tc>
            </w:tr>
            <w:tr w14:paraId="3F765843">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210" w:hRule="atLeast"/>
              </w:trPr>
              <w:tc>
                <w:tcPr>
                  <w:tcW w:w="411" w:type="pct"/>
                  <w:vMerge w:val="continue"/>
                  <w:vAlign w:val="center"/>
                </w:tcPr>
                <w:p w14:paraId="7F9D416E">
                  <w:pPr>
                    <w:jc w:val="center"/>
                    <w:rPr>
                      <w:bCs/>
                      <w:snapToGrid w:val="0"/>
                      <w:kern w:val="0"/>
                      <w:szCs w:val="21"/>
                    </w:rPr>
                  </w:pPr>
                </w:p>
              </w:tc>
              <w:tc>
                <w:tcPr>
                  <w:tcW w:w="1003" w:type="pct"/>
                  <w:vAlign w:val="center"/>
                </w:tcPr>
                <w:p w14:paraId="2A1F4463">
                  <w:pPr>
                    <w:jc w:val="center"/>
                    <w:rPr>
                      <w:kern w:val="0"/>
                      <w:szCs w:val="21"/>
                    </w:rPr>
                  </w:pPr>
                  <w:r>
                    <w:rPr>
                      <w:kern w:val="0"/>
                      <w:szCs w:val="21"/>
                    </w:rPr>
                    <w:t>GB37822-2019</w:t>
                  </w:r>
                </w:p>
              </w:tc>
              <w:tc>
                <w:tcPr>
                  <w:tcW w:w="1280" w:type="pct"/>
                  <w:vAlign w:val="center"/>
                </w:tcPr>
                <w:p w14:paraId="04D8F636">
                  <w:pPr>
                    <w:jc w:val="center"/>
                    <w:rPr>
                      <w:szCs w:val="21"/>
                    </w:rPr>
                  </w:pPr>
                  <w:r>
                    <w:rPr>
                      <w:szCs w:val="21"/>
                    </w:rPr>
                    <w:t>《挥发性有机物无组织排放控制标准》</w:t>
                  </w:r>
                </w:p>
              </w:tc>
              <w:tc>
                <w:tcPr>
                  <w:tcW w:w="624" w:type="pct"/>
                  <w:vAlign w:val="center"/>
                </w:tcPr>
                <w:p w14:paraId="2F94BA57">
                  <w:pPr>
                    <w:jc w:val="center"/>
                    <w:rPr>
                      <w:snapToGrid w:val="0"/>
                      <w:kern w:val="0"/>
                      <w:szCs w:val="21"/>
                    </w:rPr>
                  </w:pPr>
                  <w:r>
                    <w:rPr>
                      <w:snapToGrid w:val="0"/>
                      <w:kern w:val="0"/>
                      <w:szCs w:val="21"/>
                    </w:rPr>
                    <w:t>表 A.1 中无组织排放限值要</w:t>
                  </w:r>
                </w:p>
                <w:p w14:paraId="340A5257">
                  <w:pPr>
                    <w:jc w:val="center"/>
                    <w:rPr>
                      <w:snapToGrid w:val="0"/>
                      <w:kern w:val="0"/>
                      <w:szCs w:val="21"/>
                    </w:rPr>
                  </w:pPr>
                  <w:r>
                    <w:rPr>
                      <w:snapToGrid w:val="0"/>
                      <w:kern w:val="0"/>
                      <w:szCs w:val="21"/>
                    </w:rPr>
                    <w:t>求</w:t>
                  </w:r>
                </w:p>
              </w:tc>
              <w:tc>
                <w:tcPr>
                  <w:tcW w:w="1681" w:type="pct"/>
                  <w:vAlign w:val="center"/>
                </w:tcPr>
                <w:p w14:paraId="68C83DC2">
                  <w:pPr>
                    <w:jc w:val="center"/>
                    <w:rPr>
                      <w:snapToGrid w:val="0"/>
                      <w:kern w:val="0"/>
                      <w:szCs w:val="21"/>
                    </w:rPr>
                  </w:pPr>
                  <w:r>
                    <w:rPr>
                      <w:snapToGrid w:val="0"/>
                      <w:kern w:val="0"/>
                      <w:szCs w:val="21"/>
                    </w:rPr>
                    <w:t>1小时平均浓度：6mg/m</w:t>
                  </w:r>
                  <w:r>
                    <w:rPr>
                      <w:rFonts w:hint="eastAsia"/>
                      <w:snapToGrid w:val="0"/>
                      <w:kern w:val="0"/>
                      <w:szCs w:val="21"/>
                      <w:vertAlign w:val="superscript"/>
                    </w:rPr>
                    <w:t>3</w:t>
                  </w:r>
                </w:p>
                <w:p w14:paraId="2E8EF72C">
                  <w:pPr>
                    <w:jc w:val="center"/>
                    <w:rPr>
                      <w:snapToGrid w:val="0"/>
                      <w:kern w:val="0"/>
                      <w:szCs w:val="21"/>
                    </w:rPr>
                  </w:pPr>
                  <w:r>
                    <w:rPr>
                      <w:snapToGrid w:val="0"/>
                      <w:kern w:val="0"/>
                      <w:szCs w:val="21"/>
                    </w:rPr>
                    <w:t>任意一次浓度</w:t>
                  </w:r>
                  <w:r>
                    <w:rPr>
                      <w:rFonts w:hint="eastAsia"/>
                      <w:snapToGrid w:val="0"/>
                      <w:kern w:val="0"/>
                      <w:szCs w:val="21"/>
                    </w:rPr>
                    <w:t>：</w:t>
                  </w:r>
                  <w:r>
                    <w:rPr>
                      <w:snapToGrid w:val="0"/>
                      <w:kern w:val="0"/>
                      <w:szCs w:val="21"/>
                    </w:rPr>
                    <w:t>20mg/m</w:t>
                  </w:r>
                  <w:r>
                    <w:rPr>
                      <w:rFonts w:hint="eastAsia"/>
                      <w:snapToGrid w:val="0"/>
                      <w:kern w:val="0"/>
                      <w:szCs w:val="21"/>
                      <w:vertAlign w:val="superscript"/>
                    </w:rPr>
                    <w:t>3</w:t>
                  </w:r>
                  <w:r>
                    <w:rPr>
                      <w:snapToGrid w:val="0"/>
                      <w:kern w:val="0"/>
                      <w:szCs w:val="21"/>
                    </w:rPr>
                    <w:t xml:space="preserve"> </w:t>
                  </w:r>
                </w:p>
              </w:tc>
            </w:tr>
            <w:tr w14:paraId="587534D1">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47" w:hRule="atLeast"/>
              </w:trPr>
              <w:tc>
                <w:tcPr>
                  <w:tcW w:w="411" w:type="pct"/>
                  <w:vMerge w:val="restart"/>
                  <w:vAlign w:val="center"/>
                </w:tcPr>
                <w:p w14:paraId="464336AD">
                  <w:pPr>
                    <w:jc w:val="center"/>
                    <w:rPr>
                      <w:bCs/>
                      <w:snapToGrid w:val="0"/>
                      <w:kern w:val="0"/>
                      <w:szCs w:val="21"/>
                    </w:rPr>
                  </w:pPr>
                  <w:r>
                    <w:rPr>
                      <w:bCs/>
                      <w:snapToGrid w:val="0"/>
                      <w:kern w:val="0"/>
                      <w:szCs w:val="21"/>
                    </w:rPr>
                    <w:t>废水</w:t>
                  </w:r>
                </w:p>
              </w:tc>
              <w:tc>
                <w:tcPr>
                  <w:tcW w:w="1003" w:type="pct"/>
                  <w:vAlign w:val="center"/>
                </w:tcPr>
                <w:p w14:paraId="27644550">
                  <w:pPr>
                    <w:jc w:val="center"/>
                    <w:rPr>
                      <w:kern w:val="0"/>
                      <w:szCs w:val="21"/>
                    </w:rPr>
                  </w:pPr>
                  <w:r>
                    <w:rPr>
                      <w:szCs w:val="21"/>
                    </w:rPr>
                    <w:t>GB8978-1996</w:t>
                  </w:r>
                </w:p>
              </w:tc>
              <w:tc>
                <w:tcPr>
                  <w:tcW w:w="1280" w:type="pct"/>
                  <w:vAlign w:val="center"/>
                </w:tcPr>
                <w:p w14:paraId="4AC59AB7">
                  <w:pPr>
                    <w:jc w:val="center"/>
                    <w:rPr>
                      <w:szCs w:val="21"/>
                    </w:rPr>
                  </w:pPr>
                  <w:r>
                    <w:rPr>
                      <w:szCs w:val="21"/>
                    </w:rPr>
                    <w:t>《污水综合排放标准》</w:t>
                  </w:r>
                </w:p>
              </w:tc>
              <w:tc>
                <w:tcPr>
                  <w:tcW w:w="624" w:type="pct"/>
                  <w:vAlign w:val="center"/>
                </w:tcPr>
                <w:p w14:paraId="457434E5">
                  <w:pPr>
                    <w:spacing w:line="240" w:lineRule="exact"/>
                    <w:jc w:val="center"/>
                    <w:rPr>
                      <w:snapToGrid w:val="0"/>
                      <w:kern w:val="0"/>
                      <w:szCs w:val="21"/>
                    </w:rPr>
                  </w:pPr>
                  <w:r>
                    <w:rPr>
                      <w:snapToGrid w:val="0"/>
                      <w:kern w:val="0"/>
                      <w:szCs w:val="21"/>
                    </w:rPr>
                    <w:t>表4三级标准</w:t>
                  </w:r>
                </w:p>
              </w:tc>
              <w:tc>
                <w:tcPr>
                  <w:tcW w:w="1681" w:type="pct"/>
                  <w:vAlign w:val="center"/>
                </w:tcPr>
                <w:p w14:paraId="2BCBD6F6">
                  <w:pPr>
                    <w:jc w:val="center"/>
                    <w:rPr>
                      <w:snapToGrid w:val="0"/>
                      <w:kern w:val="0"/>
                      <w:szCs w:val="21"/>
                    </w:rPr>
                  </w:pPr>
                  <w:r>
                    <w:rPr>
                      <w:snapToGrid w:val="0"/>
                      <w:kern w:val="0"/>
                      <w:szCs w:val="21"/>
                    </w:rPr>
                    <w:t>COD≤500mg/L</w:t>
                  </w:r>
                  <w:r>
                    <w:rPr>
                      <w:rFonts w:hint="eastAsia"/>
                      <w:snapToGrid w:val="0"/>
                      <w:kern w:val="0"/>
                      <w:szCs w:val="21"/>
                    </w:rPr>
                    <w:t>，BOD</w:t>
                  </w:r>
                  <w:r>
                    <w:rPr>
                      <w:rFonts w:hint="eastAsia"/>
                      <w:snapToGrid w:val="0"/>
                      <w:kern w:val="0"/>
                      <w:szCs w:val="21"/>
                      <w:vertAlign w:val="subscript"/>
                    </w:rPr>
                    <w:t>5</w:t>
                  </w:r>
                  <w:r>
                    <w:rPr>
                      <w:snapToGrid w:val="0"/>
                      <w:kern w:val="0"/>
                      <w:szCs w:val="21"/>
                    </w:rPr>
                    <w:t>≤300mg/L</w:t>
                  </w:r>
                  <w:r>
                    <w:rPr>
                      <w:rFonts w:hint="eastAsia"/>
                      <w:snapToGrid w:val="0"/>
                      <w:kern w:val="0"/>
                      <w:szCs w:val="21"/>
                    </w:rPr>
                    <w:t>，</w:t>
                  </w:r>
                </w:p>
                <w:p w14:paraId="12277C07">
                  <w:pPr>
                    <w:jc w:val="center"/>
                    <w:rPr>
                      <w:snapToGrid w:val="0"/>
                      <w:kern w:val="0"/>
                      <w:szCs w:val="21"/>
                    </w:rPr>
                  </w:pPr>
                  <w:r>
                    <w:rPr>
                      <w:snapToGrid w:val="0"/>
                      <w:kern w:val="0"/>
                      <w:szCs w:val="21"/>
                    </w:rPr>
                    <w:t>SS≤400mg/L</w:t>
                  </w:r>
                </w:p>
              </w:tc>
            </w:tr>
            <w:tr w14:paraId="2905DB29">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210" w:hRule="atLeast"/>
              </w:trPr>
              <w:tc>
                <w:tcPr>
                  <w:tcW w:w="411" w:type="pct"/>
                  <w:vMerge w:val="continue"/>
                  <w:vAlign w:val="center"/>
                </w:tcPr>
                <w:p w14:paraId="2A4E069C">
                  <w:pPr>
                    <w:jc w:val="center"/>
                    <w:rPr>
                      <w:bCs/>
                      <w:snapToGrid w:val="0"/>
                      <w:kern w:val="0"/>
                      <w:szCs w:val="21"/>
                    </w:rPr>
                  </w:pPr>
                </w:p>
              </w:tc>
              <w:tc>
                <w:tcPr>
                  <w:tcW w:w="1003" w:type="pct"/>
                  <w:vAlign w:val="center"/>
                </w:tcPr>
                <w:p w14:paraId="7E0CC7E3">
                  <w:pPr>
                    <w:jc w:val="center"/>
                    <w:rPr>
                      <w:kern w:val="0"/>
                      <w:szCs w:val="21"/>
                    </w:rPr>
                  </w:pPr>
                  <w:r>
                    <w:rPr>
                      <w:snapToGrid w:val="0"/>
                      <w:kern w:val="0"/>
                      <w:szCs w:val="21"/>
                    </w:rPr>
                    <w:t>/</w:t>
                  </w:r>
                </w:p>
              </w:tc>
              <w:tc>
                <w:tcPr>
                  <w:tcW w:w="1280" w:type="pct"/>
                  <w:vAlign w:val="center"/>
                </w:tcPr>
                <w:p w14:paraId="115EAFE4">
                  <w:pPr>
                    <w:jc w:val="center"/>
                    <w:rPr>
                      <w:szCs w:val="21"/>
                    </w:rPr>
                  </w:pPr>
                  <w:r>
                    <w:rPr>
                      <w:rFonts w:hint="eastAsia"/>
                      <w:szCs w:val="21"/>
                    </w:rPr>
                    <w:t>民权县北关镇污水处理厂收水水质（参照</w:t>
                  </w:r>
                  <w:r>
                    <w:rPr>
                      <w:szCs w:val="21"/>
                    </w:rPr>
                    <w:t>《污水综合排放标准》（GB8978-1996）</w:t>
                  </w:r>
                  <w:r>
                    <w:rPr>
                      <w:rFonts w:hint="eastAsia"/>
                      <w:szCs w:val="21"/>
                    </w:rPr>
                    <w:t>其他排污单位）</w:t>
                  </w:r>
                </w:p>
              </w:tc>
              <w:tc>
                <w:tcPr>
                  <w:tcW w:w="624" w:type="pct"/>
                  <w:vAlign w:val="center"/>
                </w:tcPr>
                <w:p w14:paraId="12BF6C38">
                  <w:pPr>
                    <w:jc w:val="center"/>
                    <w:rPr>
                      <w:snapToGrid w:val="0"/>
                      <w:kern w:val="0"/>
                      <w:szCs w:val="21"/>
                    </w:rPr>
                  </w:pPr>
                  <w:r>
                    <w:rPr>
                      <w:szCs w:val="21"/>
                    </w:rPr>
                    <w:t>进水标准</w:t>
                  </w:r>
                </w:p>
              </w:tc>
              <w:tc>
                <w:tcPr>
                  <w:tcW w:w="1681" w:type="pct"/>
                  <w:vAlign w:val="center"/>
                </w:tcPr>
                <w:p w14:paraId="700983E8">
                  <w:pPr>
                    <w:jc w:val="center"/>
                    <w:rPr>
                      <w:snapToGrid w:val="0"/>
                      <w:kern w:val="0"/>
                      <w:szCs w:val="21"/>
                    </w:rPr>
                  </w:pPr>
                  <w:r>
                    <w:rPr>
                      <w:snapToGrid w:val="0"/>
                      <w:kern w:val="0"/>
                      <w:szCs w:val="21"/>
                    </w:rPr>
                    <w:t>COD≤500mg/L</w:t>
                  </w:r>
                  <w:r>
                    <w:rPr>
                      <w:rFonts w:hint="eastAsia"/>
                      <w:snapToGrid w:val="0"/>
                      <w:kern w:val="0"/>
                      <w:szCs w:val="21"/>
                    </w:rPr>
                    <w:t>，BOD</w:t>
                  </w:r>
                  <w:r>
                    <w:rPr>
                      <w:rFonts w:hint="eastAsia"/>
                      <w:snapToGrid w:val="0"/>
                      <w:kern w:val="0"/>
                      <w:szCs w:val="21"/>
                      <w:vertAlign w:val="subscript"/>
                    </w:rPr>
                    <w:t>5</w:t>
                  </w:r>
                  <w:r>
                    <w:rPr>
                      <w:snapToGrid w:val="0"/>
                      <w:kern w:val="0"/>
                      <w:szCs w:val="21"/>
                    </w:rPr>
                    <w:t>≤300mg/L</w:t>
                  </w:r>
                  <w:r>
                    <w:rPr>
                      <w:rFonts w:hint="eastAsia"/>
                      <w:snapToGrid w:val="0"/>
                      <w:kern w:val="0"/>
                      <w:szCs w:val="21"/>
                    </w:rPr>
                    <w:t>，</w:t>
                  </w:r>
                </w:p>
                <w:p w14:paraId="5C33A737">
                  <w:pPr>
                    <w:jc w:val="center"/>
                    <w:rPr>
                      <w:snapToGrid w:val="0"/>
                      <w:kern w:val="0"/>
                      <w:szCs w:val="21"/>
                    </w:rPr>
                  </w:pPr>
                  <w:r>
                    <w:rPr>
                      <w:snapToGrid w:val="0"/>
                      <w:kern w:val="0"/>
                      <w:szCs w:val="21"/>
                    </w:rPr>
                    <w:t>SS≤400mg/L</w:t>
                  </w:r>
                </w:p>
              </w:tc>
            </w:tr>
            <w:tr w14:paraId="1038D559">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21" w:hRule="atLeast"/>
              </w:trPr>
              <w:tc>
                <w:tcPr>
                  <w:tcW w:w="411" w:type="pct"/>
                  <w:vAlign w:val="center"/>
                </w:tcPr>
                <w:p w14:paraId="754F6584">
                  <w:pPr>
                    <w:jc w:val="center"/>
                    <w:rPr>
                      <w:bCs/>
                      <w:snapToGrid w:val="0"/>
                      <w:kern w:val="0"/>
                      <w:szCs w:val="21"/>
                    </w:rPr>
                  </w:pPr>
                  <w:r>
                    <w:rPr>
                      <w:bCs/>
                      <w:snapToGrid w:val="0"/>
                      <w:kern w:val="0"/>
                      <w:szCs w:val="21"/>
                    </w:rPr>
                    <w:t>噪声</w:t>
                  </w:r>
                </w:p>
              </w:tc>
              <w:tc>
                <w:tcPr>
                  <w:tcW w:w="1003" w:type="pct"/>
                  <w:vAlign w:val="center"/>
                </w:tcPr>
                <w:p w14:paraId="761260BF">
                  <w:pPr>
                    <w:jc w:val="center"/>
                    <w:rPr>
                      <w:snapToGrid w:val="0"/>
                      <w:kern w:val="0"/>
                      <w:szCs w:val="21"/>
                    </w:rPr>
                  </w:pPr>
                  <w:r>
                    <w:rPr>
                      <w:kern w:val="0"/>
                      <w:szCs w:val="21"/>
                    </w:rPr>
                    <w:t>GB12348-</w:t>
                  </w:r>
                  <w:r>
                    <w:rPr>
                      <w:szCs w:val="21"/>
                    </w:rPr>
                    <w:t>2008</w:t>
                  </w:r>
                </w:p>
              </w:tc>
              <w:tc>
                <w:tcPr>
                  <w:tcW w:w="1280" w:type="pct"/>
                  <w:vAlign w:val="center"/>
                </w:tcPr>
                <w:p w14:paraId="7D51F1E0">
                  <w:pPr>
                    <w:jc w:val="center"/>
                    <w:rPr>
                      <w:snapToGrid w:val="0"/>
                      <w:kern w:val="0"/>
                      <w:szCs w:val="21"/>
                    </w:rPr>
                  </w:pPr>
                  <w:r>
                    <w:rPr>
                      <w:szCs w:val="21"/>
                    </w:rPr>
                    <w:t>《工业企业厂界环境噪声排放标准》</w:t>
                  </w:r>
                </w:p>
              </w:tc>
              <w:tc>
                <w:tcPr>
                  <w:tcW w:w="624" w:type="pct"/>
                  <w:vAlign w:val="center"/>
                </w:tcPr>
                <w:p w14:paraId="1E566B00">
                  <w:pPr>
                    <w:spacing w:line="240" w:lineRule="exact"/>
                    <w:jc w:val="center"/>
                    <w:rPr>
                      <w:snapToGrid w:val="0"/>
                      <w:kern w:val="0"/>
                      <w:szCs w:val="21"/>
                      <w:highlight w:val="yellow"/>
                    </w:rPr>
                  </w:pPr>
                  <w:r>
                    <w:rPr>
                      <w:snapToGrid w:val="0"/>
                      <w:kern w:val="0"/>
                      <w:szCs w:val="21"/>
                    </w:rPr>
                    <w:t>2类</w:t>
                  </w:r>
                </w:p>
              </w:tc>
              <w:tc>
                <w:tcPr>
                  <w:tcW w:w="1681" w:type="pct"/>
                  <w:vAlign w:val="center"/>
                </w:tcPr>
                <w:p w14:paraId="4CE34FD3">
                  <w:pPr>
                    <w:spacing w:line="240" w:lineRule="exact"/>
                    <w:rPr>
                      <w:snapToGrid w:val="0"/>
                      <w:kern w:val="0"/>
                      <w:szCs w:val="21"/>
                      <w:highlight w:val="yellow"/>
                    </w:rPr>
                  </w:pPr>
                  <w:r>
                    <w:rPr>
                      <w:snapToGrid w:val="0"/>
                      <w:kern w:val="0"/>
                      <w:szCs w:val="21"/>
                    </w:rPr>
                    <w:t>昼间60dB(A)、夜间50dB(A)</w:t>
                  </w:r>
                </w:p>
              </w:tc>
            </w:tr>
            <w:tr w14:paraId="2A3B66BB">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01" w:hRule="atLeast"/>
              </w:trPr>
              <w:tc>
                <w:tcPr>
                  <w:tcW w:w="411" w:type="pct"/>
                  <w:vMerge w:val="restart"/>
                  <w:vAlign w:val="center"/>
                </w:tcPr>
                <w:p w14:paraId="319CF901">
                  <w:pPr>
                    <w:jc w:val="center"/>
                    <w:rPr>
                      <w:bCs/>
                      <w:snapToGrid w:val="0"/>
                      <w:kern w:val="0"/>
                      <w:szCs w:val="21"/>
                    </w:rPr>
                  </w:pPr>
                  <w:r>
                    <w:rPr>
                      <w:bCs/>
                      <w:snapToGrid w:val="0"/>
                      <w:kern w:val="0"/>
                      <w:szCs w:val="21"/>
                    </w:rPr>
                    <w:t>固废</w:t>
                  </w:r>
                </w:p>
              </w:tc>
              <w:tc>
                <w:tcPr>
                  <w:tcW w:w="1003" w:type="pct"/>
                  <w:vAlign w:val="center"/>
                </w:tcPr>
                <w:p w14:paraId="4F44D4FD">
                  <w:pPr>
                    <w:jc w:val="center"/>
                    <w:rPr>
                      <w:szCs w:val="21"/>
                    </w:rPr>
                  </w:pPr>
                  <w:r>
                    <w:rPr>
                      <w:szCs w:val="21"/>
                    </w:rPr>
                    <w:t>GB18599-2020</w:t>
                  </w:r>
                </w:p>
              </w:tc>
              <w:tc>
                <w:tcPr>
                  <w:tcW w:w="1280" w:type="pct"/>
                  <w:vAlign w:val="center"/>
                </w:tcPr>
                <w:p w14:paraId="3F852CA9">
                  <w:pPr>
                    <w:tabs>
                      <w:tab w:val="left" w:pos="2940"/>
                    </w:tabs>
                    <w:jc w:val="center"/>
                    <w:rPr>
                      <w:szCs w:val="21"/>
                    </w:rPr>
                  </w:pPr>
                  <w:r>
                    <w:rPr>
                      <w:szCs w:val="21"/>
                    </w:rPr>
                    <w:t>《一般工业固体废物贮存和填埋</w:t>
                  </w:r>
                </w:p>
                <w:p w14:paraId="259AAE08">
                  <w:pPr>
                    <w:tabs>
                      <w:tab w:val="left" w:pos="2940"/>
                    </w:tabs>
                    <w:jc w:val="center"/>
                    <w:rPr>
                      <w:szCs w:val="21"/>
                    </w:rPr>
                  </w:pPr>
                  <w:r>
                    <w:rPr>
                      <w:szCs w:val="21"/>
                    </w:rPr>
                    <w:t>污染控制标准》</w:t>
                  </w:r>
                </w:p>
              </w:tc>
              <w:tc>
                <w:tcPr>
                  <w:tcW w:w="624" w:type="pct"/>
                  <w:vAlign w:val="center"/>
                </w:tcPr>
                <w:p w14:paraId="7525A81A">
                  <w:pPr>
                    <w:jc w:val="center"/>
                    <w:rPr>
                      <w:snapToGrid w:val="0"/>
                      <w:kern w:val="0"/>
                      <w:szCs w:val="21"/>
                    </w:rPr>
                  </w:pPr>
                  <w:r>
                    <w:rPr>
                      <w:snapToGrid w:val="0"/>
                      <w:kern w:val="0"/>
                      <w:szCs w:val="21"/>
                    </w:rPr>
                    <w:t>/</w:t>
                  </w:r>
                </w:p>
              </w:tc>
              <w:tc>
                <w:tcPr>
                  <w:tcW w:w="1681" w:type="pct"/>
                  <w:vAlign w:val="center"/>
                </w:tcPr>
                <w:p w14:paraId="181A23CE">
                  <w:pPr>
                    <w:jc w:val="center"/>
                    <w:rPr>
                      <w:snapToGrid w:val="0"/>
                      <w:kern w:val="0"/>
                      <w:szCs w:val="21"/>
                    </w:rPr>
                  </w:pPr>
                  <w:r>
                    <w:rPr>
                      <w:snapToGrid w:val="0"/>
                      <w:kern w:val="0"/>
                      <w:szCs w:val="21"/>
                    </w:rPr>
                    <w:t>/</w:t>
                  </w:r>
                </w:p>
              </w:tc>
            </w:tr>
            <w:tr w14:paraId="2128CE3F">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01" w:hRule="atLeast"/>
              </w:trPr>
              <w:tc>
                <w:tcPr>
                  <w:tcW w:w="411" w:type="pct"/>
                  <w:vMerge w:val="continue"/>
                  <w:vAlign w:val="center"/>
                </w:tcPr>
                <w:p w14:paraId="042A155D">
                  <w:pPr>
                    <w:jc w:val="center"/>
                    <w:rPr>
                      <w:snapToGrid w:val="0"/>
                      <w:kern w:val="0"/>
                      <w:szCs w:val="21"/>
                    </w:rPr>
                  </w:pPr>
                </w:p>
              </w:tc>
              <w:tc>
                <w:tcPr>
                  <w:tcW w:w="1003" w:type="pct"/>
                  <w:vAlign w:val="center"/>
                </w:tcPr>
                <w:p w14:paraId="2EDDECBB">
                  <w:pPr>
                    <w:jc w:val="center"/>
                    <w:rPr>
                      <w:szCs w:val="21"/>
                    </w:rPr>
                  </w:pPr>
                  <w:r>
                    <w:rPr>
                      <w:szCs w:val="21"/>
                    </w:rPr>
                    <w:t>GB18597-20</w:t>
                  </w:r>
                  <w:r>
                    <w:rPr>
                      <w:rFonts w:hint="eastAsia"/>
                      <w:szCs w:val="21"/>
                    </w:rPr>
                    <w:t>23</w:t>
                  </w:r>
                </w:p>
              </w:tc>
              <w:tc>
                <w:tcPr>
                  <w:tcW w:w="1280" w:type="pct"/>
                  <w:vAlign w:val="center"/>
                </w:tcPr>
                <w:p w14:paraId="216D3E78">
                  <w:pPr>
                    <w:tabs>
                      <w:tab w:val="left" w:pos="2940"/>
                    </w:tabs>
                    <w:jc w:val="center"/>
                    <w:rPr>
                      <w:szCs w:val="21"/>
                    </w:rPr>
                  </w:pPr>
                  <w:r>
                    <w:rPr>
                      <w:szCs w:val="21"/>
                    </w:rPr>
                    <w:t>《危险废物贮存污染控制标准》</w:t>
                  </w:r>
                </w:p>
              </w:tc>
              <w:tc>
                <w:tcPr>
                  <w:tcW w:w="624" w:type="pct"/>
                  <w:vAlign w:val="center"/>
                </w:tcPr>
                <w:p w14:paraId="5EF48192">
                  <w:pPr>
                    <w:jc w:val="center"/>
                    <w:rPr>
                      <w:snapToGrid w:val="0"/>
                      <w:kern w:val="0"/>
                      <w:szCs w:val="21"/>
                    </w:rPr>
                  </w:pPr>
                  <w:r>
                    <w:rPr>
                      <w:snapToGrid w:val="0"/>
                      <w:kern w:val="0"/>
                      <w:szCs w:val="21"/>
                    </w:rPr>
                    <w:t>/</w:t>
                  </w:r>
                </w:p>
              </w:tc>
              <w:tc>
                <w:tcPr>
                  <w:tcW w:w="1681" w:type="pct"/>
                  <w:vAlign w:val="center"/>
                </w:tcPr>
                <w:p w14:paraId="3D01F305">
                  <w:pPr>
                    <w:jc w:val="center"/>
                    <w:rPr>
                      <w:snapToGrid w:val="0"/>
                      <w:kern w:val="0"/>
                      <w:szCs w:val="21"/>
                    </w:rPr>
                  </w:pPr>
                  <w:r>
                    <w:rPr>
                      <w:snapToGrid w:val="0"/>
                      <w:kern w:val="0"/>
                      <w:szCs w:val="21"/>
                    </w:rPr>
                    <w:t>/</w:t>
                  </w:r>
                </w:p>
              </w:tc>
            </w:tr>
          </w:tbl>
          <w:p w14:paraId="796C8F88">
            <w:pPr>
              <w:adjustRightInd w:val="0"/>
              <w:snapToGrid w:val="0"/>
              <w:jc w:val="center"/>
              <w:rPr>
                <w:b/>
                <w:bCs/>
                <w:sz w:val="24"/>
              </w:rPr>
            </w:pPr>
          </w:p>
          <w:p w14:paraId="43305894">
            <w:pPr>
              <w:autoSpaceDE w:val="0"/>
              <w:autoSpaceDN w:val="0"/>
              <w:adjustRightInd w:val="0"/>
              <w:jc w:val="left"/>
              <w:rPr>
                <w:sz w:val="24"/>
              </w:rPr>
            </w:pPr>
          </w:p>
          <w:p w14:paraId="7BC2C955">
            <w:pPr>
              <w:autoSpaceDE w:val="0"/>
              <w:autoSpaceDN w:val="0"/>
              <w:adjustRightInd w:val="0"/>
              <w:jc w:val="left"/>
              <w:rPr>
                <w:sz w:val="24"/>
              </w:rPr>
            </w:pPr>
          </w:p>
          <w:p w14:paraId="1F4B6D34">
            <w:pPr>
              <w:autoSpaceDE w:val="0"/>
              <w:autoSpaceDN w:val="0"/>
              <w:adjustRightInd w:val="0"/>
              <w:jc w:val="left"/>
              <w:rPr>
                <w:sz w:val="24"/>
              </w:rPr>
            </w:pPr>
          </w:p>
          <w:p w14:paraId="7BB81082">
            <w:pPr>
              <w:autoSpaceDE w:val="0"/>
              <w:autoSpaceDN w:val="0"/>
              <w:adjustRightInd w:val="0"/>
              <w:jc w:val="left"/>
              <w:rPr>
                <w:sz w:val="24"/>
              </w:rPr>
            </w:pPr>
          </w:p>
        </w:tc>
      </w:tr>
      <w:tr w14:paraId="2C48C2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327" w:hRule="atLeast"/>
          <w:jc w:val="center"/>
        </w:trPr>
        <w:tc>
          <w:tcPr>
            <w:tcW w:w="800" w:type="dxa"/>
            <w:vAlign w:val="center"/>
          </w:tcPr>
          <w:p w14:paraId="3082CDD2">
            <w:pPr>
              <w:adjustRightInd w:val="0"/>
              <w:snapToGrid w:val="0"/>
              <w:jc w:val="center"/>
              <w:rPr>
                <w:kern w:val="0"/>
                <w:sz w:val="24"/>
              </w:rPr>
            </w:pPr>
            <w:r>
              <w:rPr>
                <w:kern w:val="0"/>
                <w:sz w:val="24"/>
              </w:rPr>
              <w:t>总量</w:t>
            </w:r>
          </w:p>
          <w:p w14:paraId="0D7F2E0F">
            <w:pPr>
              <w:adjustRightInd w:val="0"/>
              <w:snapToGrid w:val="0"/>
              <w:jc w:val="center"/>
              <w:rPr>
                <w:kern w:val="0"/>
                <w:sz w:val="24"/>
              </w:rPr>
            </w:pPr>
            <w:r>
              <w:rPr>
                <w:kern w:val="0"/>
                <w:sz w:val="24"/>
              </w:rPr>
              <w:t>控制</w:t>
            </w:r>
          </w:p>
          <w:p w14:paraId="46473191">
            <w:pPr>
              <w:adjustRightInd w:val="0"/>
              <w:snapToGrid w:val="0"/>
              <w:jc w:val="center"/>
              <w:rPr>
                <w:kern w:val="0"/>
                <w:sz w:val="24"/>
              </w:rPr>
            </w:pPr>
            <w:r>
              <w:rPr>
                <w:kern w:val="0"/>
                <w:sz w:val="24"/>
              </w:rPr>
              <w:t>指标</w:t>
            </w:r>
          </w:p>
        </w:tc>
        <w:tc>
          <w:tcPr>
            <w:tcW w:w="8639" w:type="dxa"/>
            <w:vAlign w:val="center"/>
          </w:tcPr>
          <w:p w14:paraId="022BCB36">
            <w:pPr>
              <w:adjustRightInd w:val="0"/>
              <w:snapToGrid w:val="0"/>
              <w:spacing w:line="360" w:lineRule="auto"/>
              <w:ind w:firstLine="482" w:firstLineChars="200"/>
              <w:rPr>
                <w:b/>
                <w:bCs/>
                <w:sz w:val="24"/>
              </w:rPr>
            </w:pPr>
            <w:r>
              <w:rPr>
                <w:rFonts w:hint="eastAsia"/>
                <w:b/>
                <w:bCs/>
                <w:sz w:val="24"/>
              </w:rPr>
              <w:t>1、废水污染物排放情况</w:t>
            </w:r>
          </w:p>
          <w:p w14:paraId="2A6F7BAF">
            <w:pPr>
              <w:adjustRightInd w:val="0"/>
              <w:snapToGrid w:val="0"/>
              <w:spacing w:line="360" w:lineRule="auto"/>
              <w:ind w:firstLine="480" w:firstLineChars="200"/>
              <w:rPr>
                <w:bCs/>
                <w:sz w:val="24"/>
              </w:rPr>
            </w:pPr>
            <w:r>
              <w:rPr>
                <w:rFonts w:hint="eastAsia"/>
                <w:sz w:val="24"/>
              </w:rPr>
              <w:t>项目生产废水经三级</w:t>
            </w:r>
            <w:r>
              <w:rPr>
                <w:sz w:val="24"/>
              </w:rPr>
              <w:t>沉淀处理后循环使用，每</w:t>
            </w:r>
            <w:r>
              <w:rPr>
                <w:rFonts w:hint="eastAsia"/>
                <w:sz w:val="24"/>
              </w:rPr>
              <w:t>3天经罐车运至北关镇污水处理厂处理，生活污水经厂区化粪池暂存后，与生产废水一起，送至北关镇污水处理厂处理。</w:t>
            </w:r>
            <w:r>
              <w:rPr>
                <w:rFonts w:hint="eastAsia"/>
                <w:bCs/>
                <w:sz w:val="24"/>
                <w:lang w:val="pt-BR"/>
              </w:rPr>
              <w:t>本项目废水排放量为</w:t>
            </w:r>
            <w:r>
              <w:rPr>
                <w:bCs/>
                <w:sz w:val="24"/>
              </w:rPr>
              <w:t>1914</w:t>
            </w:r>
            <w:r>
              <w:rPr>
                <w:sz w:val="24"/>
              </w:rPr>
              <w:t>m</w:t>
            </w:r>
            <w:r>
              <w:rPr>
                <w:sz w:val="24"/>
                <w:vertAlign w:val="superscript"/>
              </w:rPr>
              <w:t>3</w:t>
            </w:r>
            <w:r>
              <w:rPr>
                <w:sz w:val="24"/>
              </w:rPr>
              <w:t>/a，</w:t>
            </w:r>
            <w:r>
              <w:rPr>
                <w:rFonts w:hint="eastAsia"/>
                <w:sz w:val="24"/>
              </w:rPr>
              <w:t>北关镇污水处理厂</w:t>
            </w:r>
            <w:r>
              <w:rPr>
                <w:sz w:val="24"/>
              </w:rPr>
              <w:t>处理</w:t>
            </w:r>
            <w:r>
              <w:rPr>
                <w:rFonts w:hint="eastAsia"/>
                <w:sz w:val="24"/>
              </w:rPr>
              <w:t>后</w:t>
            </w:r>
            <w:r>
              <w:rPr>
                <w:sz w:val="24"/>
              </w:rPr>
              <w:t>出水水质执行《</w:t>
            </w:r>
            <w:r>
              <w:rPr>
                <w:rFonts w:hint="eastAsia"/>
                <w:sz w:val="24"/>
              </w:rPr>
              <w:t>城镇污水处理厂</w:t>
            </w:r>
            <w:r>
              <w:rPr>
                <w:sz w:val="24"/>
              </w:rPr>
              <w:t>污染物排放标准》（</w:t>
            </w:r>
            <w:r>
              <w:rPr>
                <w:rFonts w:hint="eastAsia"/>
                <w:sz w:val="24"/>
              </w:rPr>
              <w:t>G</w:t>
            </w:r>
            <w:r>
              <w:rPr>
                <w:sz w:val="24"/>
              </w:rPr>
              <w:t>B</w:t>
            </w:r>
            <w:r>
              <w:rPr>
                <w:rFonts w:hint="eastAsia"/>
                <w:sz w:val="24"/>
              </w:rPr>
              <w:t>18918</w:t>
            </w:r>
            <w:r>
              <w:rPr>
                <w:sz w:val="24"/>
              </w:rPr>
              <w:t>—20</w:t>
            </w:r>
            <w:r>
              <w:rPr>
                <w:rFonts w:hint="eastAsia"/>
                <w:sz w:val="24"/>
              </w:rPr>
              <w:t>02</w:t>
            </w:r>
            <w:r>
              <w:rPr>
                <w:sz w:val="24"/>
              </w:rPr>
              <w:t>）</w:t>
            </w:r>
            <w:r>
              <w:rPr>
                <w:rFonts w:hint="eastAsia"/>
                <w:sz w:val="24"/>
              </w:rPr>
              <w:t>一级A</w:t>
            </w:r>
            <w:r>
              <w:rPr>
                <w:sz w:val="24"/>
              </w:rPr>
              <w:t>标准（COD</w:t>
            </w:r>
            <w:r>
              <w:rPr>
                <w:rFonts w:hint="eastAsia"/>
                <w:sz w:val="24"/>
              </w:rPr>
              <w:t>50</w:t>
            </w:r>
            <w:r>
              <w:rPr>
                <w:sz w:val="24"/>
              </w:rPr>
              <w:t>mg/L，NH</w:t>
            </w:r>
            <w:r>
              <w:rPr>
                <w:sz w:val="24"/>
                <w:vertAlign w:val="subscript"/>
              </w:rPr>
              <w:t>3</w:t>
            </w:r>
            <w:r>
              <w:rPr>
                <w:sz w:val="24"/>
              </w:rPr>
              <w:t>-N</w:t>
            </w:r>
            <w:r>
              <w:rPr>
                <w:rFonts w:hint="eastAsia"/>
                <w:sz w:val="24"/>
              </w:rPr>
              <w:t>5</w:t>
            </w:r>
            <w:r>
              <w:rPr>
                <w:sz w:val="24"/>
              </w:rPr>
              <w:t>mg/L）。</w:t>
            </w:r>
          </w:p>
          <w:p w14:paraId="68A3E1F0">
            <w:pPr>
              <w:adjustRightInd w:val="0"/>
              <w:snapToGrid w:val="0"/>
              <w:spacing w:line="360" w:lineRule="auto"/>
              <w:ind w:firstLine="480" w:firstLineChars="200"/>
              <w:rPr>
                <w:sz w:val="24"/>
              </w:rPr>
            </w:pPr>
            <w:r>
              <w:rPr>
                <w:rFonts w:hint="eastAsia"/>
                <w:bCs/>
                <w:sz w:val="24"/>
              </w:rPr>
              <w:t>本项目排入外环境的COD总量为</w:t>
            </w:r>
            <w:r>
              <w:rPr>
                <w:bCs/>
                <w:sz w:val="24"/>
              </w:rPr>
              <w:t>0.</w:t>
            </w:r>
            <w:r>
              <w:rPr>
                <w:rFonts w:hint="eastAsia"/>
                <w:bCs/>
                <w:sz w:val="24"/>
              </w:rPr>
              <w:t>0957t/a，NH</w:t>
            </w:r>
            <w:r>
              <w:rPr>
                <w:rFonts w:hint="eastAsia"/>
                <w:bCs/>
                <w:sz w:val="24"/>
                <w:vertAlign w:val="subscript"/>
              </w:rPr>
              <w:t>3</w:t>
            </w:r>
            <w:r>
              <w:rPr>
                <w:rFonts w:hint="eastAsia"/>
                <w:bCs/>
                <w:sz w:val="24"/>
              </w:rPr>
              <w:t>-N总量</w:t>
            </w:r>
            <w:r>
              <w:rPr>
                <w:bCs/>
                <w:sz w:val="24"/>
              </w:rPr>
              <w:t>0.0</w:t>
            </w:r>
            <w:r>
              <w:rPr>
                <w:rFonts w:hint="eastAsia"/>
                <w:bCs/>
                <w:sz w:val="24"/>
              </w:rPr>
              <w:t>096t/a。</w:t>
            </w:r>
          </w:p>
          <w:p w14:paraId="34BB9544">
            <w:pPr>
              <w:adjustRightInd w:val="0"/>
              <w:snapToGrid w:val="0"/>
              <w:spacing w:line="360" w:lineRule="auto"/>
              <w:ind w:firstLine="482" w:firstLineChars="200"/>
              <w:rPr>
                <w:b/>
                <w:bCs/>
                <w:sz w:val="24"/>
              </w:rPr>
            </w:pPr>
            <w:r>
              <w:rPr>
                <w:rFonts w:hint="eastAsia"/>
                <w:b/>
                <w:bCs/>
                <w:sz w:val="24"/>
              </w:rPr>
              <w:t>2、废气污染物排放情况</w:t>
            </w:r>
          </w:p>
          <w:p w14:paraId="647689AE">
            <w:pPr>
              <w:adjustRightInd w:val="0"/>
              <w:snapToGrid w:val="0"/>
              <w:spacing w:line="360" w:lineRule="auto"/>
              <w:ind w:firstLine="482" w:firstLineChars="200"/>
              <w:rPr>
                <w:b/>
                <w:sz w:val="24"/>
                <w:u w:val="single"/>
              </w:rPr>
            </w:pPr>
            <w:r>
              <w:rPr>
                <w:rFonts w:hint="eastAsia"/>
                <w:b/>
                <w:sz w:val="24"/>
                <w:u w:val="single"/>
              </w:rPr>
              <w:t>项目废气污染物主要涉及挥发性有机物</w:t>
            </w:r>
            <w:r>
              <w:rPr>
                <w:b/>
                <w:sz w:val="24"/>
                <w:u w:val="single"/>
              </w:rPr>
              <w:t>，以非甲烷总烃计</w:t>
            </w:r>
            <w:r>
              <w:rPr>
                <w:rFonts w:hint="eastAsia"/>
                <w:b/>
                <w:sz w:val="24"/>
                <w:u w:val="single"/>
              </w:rPr>
              <w:t>，有组织</w:t>
            </w:r>
            <w:r>
              <w:rPr>
                <w:b/>
                <w:sz w:val="24"/>
                <w:u w:val="single"/>
              </w:rPr>
              <w:t>排放量为</w:t>
            </w:r>
            <w:r>
              <w:rPr>
                <w:rFonts w:hint="eastAsia"/>
                <w:b/>
                <w:sz w:val="24"/>
                <w:u w:val="single"/>
              </w:rPr>
              <w:t>0.2367</w:t>
            </w:r>
            <w:r>
              <w:rPr>
                <w:b/>
                <w:sz w:val="24"/>
                <w:u w:val="single"/>
              </w:rPr>
              <w:t>t/a</w:t>
            </w:r>
            <w:r>
              <w:rPr>
                <w:rFonts w:hint="eastAsia"/>
                <w:b/>
                <w:sz w:val="24"/>
                <w:u w:val="single"/>
              </w:rPr>
              <w:t>，</w:t>
            </w:r>
            <w:r>
              <w:rPr>
                <w:b/>
                <w:sz w:val="24"/>
                <w:u w:val="single"/>
              </w:rPr>
              <w:t>无组织排放量为</w:t>
            </w:r>
            <w:r>
              <w:rPr>
                <w:rFonts w:hint="eastAsia"/>
                <w:b/>
                <w:sz w:val="24"/>
                <w:u w:val="single"/>
              </w:rPr>
              <w:t>0.1754</w:t>
            </w:r>
            <w:r>
              <w:rPr>
                <w:b/>
                <w:sz w:val="24"/>
                <w:u w:val="single"/>
              </w:rPr>
              <w:t>t/a</w:t>
            </w:r>
            <w:r>
              <w:rPr>
                <w:rFonts w:hint="eastAsia"/>
                <w:b/>
                <w:sz w:val="24"/>
                <w:u w:val="single"/>
              </w:rPr>
              <w:t>。</w:t>
            </w:r>
            <w:r>
              <w:rPr>
                <w:b/>
                <w:sz w:val="24"/>
                <w:u w:val="single"/>
              </w:rPr>
              <w:t>本次需申请废气</w:t>
            </w:r>
            <w:r>
              <w:rPr>
                <w:rFonts w:hint="eastAsia"/>
                <w:b/>
                <w:sz w:val="24"/>
                <w:u w:val="single"/>
              </w:rPr>
              <w:t>污染物</w:t>
            </w:r>
            <w:r>
              <w:rPr>
                <w:b/>
                <w:sz w:val="24"/>
                <w:u w:val="single"/>
              </w:rPr>
              <w:t>非甲烷总烃排放总量为</w:t>
            </w:r>
            <w:r>
              <w:rPr>
                <w:rFonts w:hint="eastAsia"/>
                <w:b/>
                <w:sz w:val="24"/>
                <w:u w:val="single"/>
              </w:rPr>
              <w:t>0.2367</w:t>
            </w:r>
            <w:r>
              <w:rPr>
                <w:b/>
                <w:sz w:val="24"/>
                <w:u w:val="single"/>
              </w:rPr>
              <w:t>t/a</w:t>
            </w:r>
            <w:r>
              <w:rPr>
                <w:rFonts w:hint="eastAsia"/>
                <w:b/>
                <w:sz w:val="24"/>
                <w:u w:val="single"/>
              </w:rPr>
              <w:t>，</w:t>
            </w:r>
            <w:r>
              <w:rPr>
                <w:b/>
                <w:sz w:val="24"/>
                <w:u w:val="single"/>
              </w:rPr>
              <w:t>倍量替代需</w:t>
            </w:r>
            <w:r>
              <w:rPr>
                <w:rFonts w:hint="eastAsia"/>
                <w:b/>
                <w:sz w:val="24"/>
                <w:u w:val="single"/>
              </w:rPr>
              <w:t>0.4</w:t>
            </w:r>
            <w:r>
              <w:rPr>
                <w:b/>
                <w:sz w:val="24"/>
                <w:u w:val="single"/>
              </w:rPr>
              <w:t>734t/a</w:t>
            </w:r>
            <w:r>
              <w:rPr>
                <w:rFonts w:hint="eastAsia"/>
                <w:b/>
                <w:sz w:val="24"/>
                <w:u w:val="single"/>
              </w:rPr>
              <w:t>。</w:t>
            </w:r>
          </w:p>
          <w:p w14:paraId="16088794">
            <w:pPr>
              <w:spacing w:line="360" w:lineRule="auto"/>
              <w:ind w:firstLine="480" w:firstLineChars="200"/>
              <w:rPr>
                <w:sz w:val="24"/>
              </w:rPr>
            </w:pPr>
            <w:r>
              <w:rPr>
                <w:rFonts w:hint="eastAsia"/>
                <w:sz w:val="24"/>
              </w:rPr>
              <w:t>综上，本项目总量控制指标为</w:t>
            </w:r>
            <w:r>
              <w:rPr>
                <w:rFonts w:hint="eastAsia"/>
                <w:bCs/>
                <w:sz w:val="24"/>
              </w:rPr>
              <w:t>COD</w:t>
            </w:r>
            <w:r>
              <w:rPr>
                <w:bCs/>
                <w:sz w:val="24"/>
              </w:rPr>
              <w:t>0.</w:t>
            </w:r>
            <w:r>
              <w:rPr>
                <w:rFonts w:hint="eastAsia"/>
                <w:bCs/>
                <w:sz w:val="24"/>
              </w:rPr>
              <w:t>0957t/a，NH</w:t>
            </w:r>
            <w:r>
              <w:rPr>
                <w:rFonts w:hint="eastAsia"/>
                <w:bCs/>
                <w:sz w:val="24"/>
                <w:vertAlign w:val="subscript"/>
              </w:rPr>
              <w:t>3</w:t>
            </w:r>
            <w:r>
              <w:rPr>
                <w:rFonts w:hint="eastAsia"/>
                <w:bCs/>
                <w:sz w:val="24"/>
              </w:rPr>
              <w:t>-N</w:t>
            </w:r>
            <w:r>
              <w:rPr>
                <w:bCs/>
                <w:sz w:val="24"/>
              </w:rPr>
              <w:t xml:space="preserve"> 0.0</w:t>
            </w:r>
            <w:r>
              <w:rPr>
                <w:rFonts w:hint="eastAsia"/>
                <w:bCs/>
                <w:sz w:val="24"/>
              </w:rPr>
              <w:t>096t/a</w:t>
            </w:r>
            <w:r>
              <w:rPr>
                <w:rFonts w:hint="eastAsia"/>
                <w:sz w:val="24"/>
              </w:rPr>
              <w:t>、</w:t>
            </w:r>
            <w:r>
              <w:rPr>
                <w:bCs/>
                <w:sz w:val="24"/>
              </w:rPr>
              <w:t>VOCs0.2367t/a</w:t>
            </w:r>
            <w:r>
              <w:rPr>
                <w:rFonts w:hint="eastAsia"/>
                <w:sz w:val="24"/>
              </w:rPr>
              <w:t>。</w:t>
            </w:r>
          </w:p>
          <w:p w14:paraId="2BD46F1C">
            <w:pPr>
              <w:spacing w:line="360" w:lineRule="auto"/>
              <w:ind w:firstLine="480" w:firstLineChars="200"/>
              <w:rPr>
                <w:sz w:val="24"/>
              </w:rPr>
            </w:pPr>
            <w:r>
              <w:rPr>
                <w:rFonts w:hint="eastAsia"/>
                <w:sz w:val="24"/>
              </w:rPr>
              <w:t>本项目废水总量从北关镇王公庄村污水处理站减排水污染物排放总量中进行等量替代COD：0.0957t/a，氨氮：0.0096t/a后，北关镇王公庄村污水处理站可用减排量剩余量为：COD：7.36814t/a，氨氮：1.74498t/a，替代完成后，北关镇王公庄村污水处理站可用减排剩余量为：COD7.27244t/a，氨氮1.73538t/a。</w:t>
            </w:r>
          </w:p>
          <w:p w14:paraId="469BF27F">
            <w:pPr>
              <w:spacing w:line="360" w:lineRule="auto"/>
              <w:ind w:firstLine="480" w:firstLineChars="200"/>
              <w:rPr>
                <w:bCs/>
                <w:sz w:val="24"/>
              </w:rPr>
            </w:pPr>
            <w:r>
              <w:rPr>
                <w:rFonts w:hint="eastAsia"/>
                <w:sz w:val="24"/>
              </w:rPr>
              <w:t>因民权县2023年度环境空气质量不达标，因此废气实行区域内倍量替代，替代量为非甲烷总烃：0.4734t/a。废气总量从民权县北关镇雨航蔬菜加工厂减排废气污染物排放总量中进行倍量替代（非甲烷总烃0.719t/a），替代完成后，民权县北关镇雨航蔬菜加工厂可用废气减排剩余量为：非甲烷总烃0.2456t/a。</w:t>
            </w:r>
          </w:p>
          <w:p w14:paraId="0E1A95B9">
            <w:pPr>
              <w:spacing w:line="360" w:lineRule="auto"/>
              <w:ind w:firstLine="480" w:firstLineChars="200"/>
              <w:rPr>
                <w:sz w:val="24"/>
              </w:rPr>
            </w:pPr>
          </w:p>
        </w:tc>
      </w:tr>
    </w:tbl>
    <w:p w14:paraId="48493AE0">
      <w:pPr>
        <w:pStyle w:val="25"/>
        <w:jc w:val="center"/>
        <w:outlineLvl w:val="0"/>
        <w:rPr>
          <w:rFonts w:ascii="黑体" w:hAnsi="黑体" w:eastAsia="黑体"/>
          <w:snapToGrid w:val="0"/>
          <w:sz w:val="36"/>
          <w:szCs w:val="36"/>
        </w:rPr>
        <w:sectPr>
          <w:pgSz w:w="11907" w:h="16840"/>
          <w:pgMar w:top="1701" w:right="1531" w:bottom="2127" w:left="1531" w:header="851" w:footer="851" w:gutter="0"/>
          <w:cols w:space="720" w:num="1"/>
          <w:docGrid w:linePitch="312" w:charSpace="0"/>
        </w:sectPr>
      </w:pPr>
    </w:p>
    <w:p w14:paraId="45E1CBF6">
      <w:pPr>
        <w:pStyle w:val="25"/>
        <w:jc w:val="center"/>
        <w:outlineLvl w:val="0"/>
        <w:rPr>
          <w:rFonts w:ascii="黑体" w:hAnsi="黑体" w:eastAsia="黑体"/>
          <w:snapToGrid w:val="0"/>
          <w:sz w:val="30"/>
          <w:szCs w:val="30"/>
        </w:rPr>
      </w:pPr>
      <w:r>
        <w:rPr>
          <w:rFonts w:hint="eastAsia" w:ascii="黑体" w:hAnsi="黑体" w:eastAsia="黑体"/>
          <w:snapToGrid w:val="0"/>
          <w:sz w:val="30"/>
          <w:szCs w:val="30"/>
        </w:rPr>
        <w:t>四、主要环境影响和保护措施</w:t>
      </w:r>
    </w:p>
    <w:tbl>
      <w:tblPr>
        <w:tblStyle w:val="29"/>
        <w:tblW w:w="522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48"/>
        <w:gridCol w:w="8643"/>
      </w:tblGrid>
      <w:tr w14:paraId="14AB5F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633" w:hRule="atLeast"/>
          <w:jc w:val="center"/>
        </w:trPr>
        <w:tc>
          <w:tcPr>
            <w:tcW w:w="398" w:type="pct"/>
            <w:tcMar>
              <w:left w:w="28" w:type="dxa"/>
              <w:right w:w="28" w:type="dxa"/>
            </w:tcMar>
            <w:vAlign w:val="center"/>
          </w:tcPr>
          <w:p w14:paraId="14E52E7F">
            <w:pPr>
              <w:pStyle w:val="25"/>
              <w:adjustRightInd w:val="0"/>
              <w:snapToGrid w:val="0"/>
              <w:spacing w:before="0" w:beforeAutospacing="0" w:after="0" w:afterAutospacing="0"/>
              <w:jc w:val="center"/>
              <w:rPr>
                <w:rFonts w:ascii="Times New Roman" w:hAnsi="Times New Roman"/>
                <w:kern w:val="2"/>
                <w:szCs w:val="24"/>
              </w:rPr>
            </w:pPr>
            <w:r>
              <w:rPr>
                <w:rFonts w:ascii="Times New Roman" w:hAnsi="Times New Roman"/>
                <w:kern w:val="2"/>
                <w:szCs w:val="24"/>
              </w:rPr>
              <w:t>施工期环境保护措施</w:t>
            </w:r>
          </w:p>
        </w:tc>
        <w:tc>
          <w:tcPr>
            <w:tcW w:w="4602" w:type="pct"/>
            <w:vAlign w:val="center"/>
          </w:tcPr>
          <w:p w14:paraId="08324EB5">
            <w:pPr>
              <w:widowControl/>
              <w:spacing w:line="360" w:lineRule="auto"/>
              <w:ind w:firstLine="480" w:firstLineChars="200"/>
              <w:jc w:val="left"/>
              <w:rPr>
                <w:sz w:val="24"/>
              </w:rPr>
            </w:pPr>
            <w:r>
              <w:rPr>
                <w:rFonts w:hint="eastAsia" w:ascii="宋体" w:hAnsi="宋体" w:cs="宋体"/>
                <w:bCs/>
                <w:sz w:val="24"/>
              </w:rPr>
              <w:t>本项目租赁</w:t>
            </w:r>
            <w:r>
              <w:rPr>
                <w:rFonts w:hint="eastAsia"/>
                <w:bCs/>
                <w:sz w:val="24"/>
              </w:rPr>
              <w:t>现有场地</w:t>
            </w:r>
            <w:r>
              <w:rPr>
                <w:bCs/>
                <w:sz w:val="24"/>
              </w:rPr>
              <w:t>进行建设生产，经现场勘查，厂区现状</w:t>
            </w:r>
            <w:r>
              <w:rPr>
                <w:rFonts w:hint="eastAsia"/>
                <w:bCs/>
                <w:sz w:val="24"/>
              </w:rPr>
              <w:t>仅有主体</w:t>
            </w:r>
            <w:r>
              <w:rPr>
                <w:bCs/>
                <w:sz w:val="24"/>
              </w:rPr>
              <w:t>构筑物，本次工程施工期主要内容为</w:t>
            </w:r>
            <w:r>
              <w:rPr>
                <w:rFonts w:hint="eastAsia"/>
                <w:bCs/>
                <w:sz w:val="24"/>
              </w:rPr>
              <w:t>新建污水处理站、危废间等辅助构筑物</w:t>
            </w:r>
            <w:r>
              <w:rPr>
                <w:bCs/>
                <w:sz w:val="24"/>
              </w:rPr>
              <w:t>，</w:t>
            </w:r>
            <w:r>
              <w:rPr>
                <w:rFonts w:hint="eastAsia"/>
                <w:bCs/>
                <w:sz w:val="24"/>
              </w:rPr>
              <w:t>以及车间</w:t>
            </w:r>
            <w:r>
              <w:rPr>
                <w:bCs/>
                <w:sz w:val="24"/>
              </w:rPr>
              <w:t>内部装修</w:t>
            </w:r>
            <w:r>
              <w:rPr>
                <w:rFonts w:hint="eastAsia"/>
                <w:bCs/>
                <w:sz w:val="24"/>
              </w:rPr>
              <w:t>、设备安装调试，其中沉淀池为</w:t>
            </w:r>
            <w:r>
              <w:rPr>
                <w:bCs/>
                <w:sz w:val="24"/>
              </w:rPr>
              <w:t>地下，</w:t>
            </w:r>
            <w:r>
              <w:rPr>
                <w:rFonts w:hint="eastAsia"/>
                <w:sz w:val="24"/>
              </w:rPr>
              <w:t>施工过程中</w:t>
            </w:r>
            <w:r>
              <w:rPr>
                <w:sz w:val="24"/>
              </w:rPr>
              <w:t>将产生噪声、</w:t>
            </w:r>
            <w:r>
              <w:rPr>
                <w:rFonts w:hint="eastAsia"/>
                <w:sz w:val="24"/>
              </w:rPr>
              <w:t>废气、</w:t>
            </w:r>
            <w:r>
              <w:rPr>
                <w:sz w:val="24"/>
              </w:rPr>
              <w:t>固体废物、</w:t>
            </w:r>
            <w:r>
              <w:rPr>
                <w:rFonts w:hint="eastAsia"/>
                <w:sz w:val="24"/>
              </w:rPr>
              <w:t>废</w:t>
            </w:r>
            <w:r>
              <w:rPr>
                <w:sz w:val="24"/>
              </w:rPr>
              <w:t>水等污染物</w:t>
            </w:r>
            <w:r>
              <w:rPr>
                <w:rFonts w:hint="eastAsia"/>
                <w:sz w:val="24"/>
              </w:rPr>
              <w:t>，产生量较小，产生时间较短。</w:t>
            </w:r>
          </w:p>
          <w:p w14:paraId="362BA450">
            <w:pPr>
              <w:widowControl/>
              <w:spacing w:line="360" w:lineRule="auto"/>
              <w:ind w:firstLine="480" w:firstLineChars="200"/>
              <w:jc w:val="left"/>
              <w:rPr>
                <w:sz w:val="24"/>
              </w:rPr>
            </w:pPr>
            <w:r>
              <w:rPr>
                <w:sz w:val="24"/>
              </w:rPr>
              <w:t>为减少施工期对周围环境的影响，评价建议采取以下保护措施</w:t>
            </w:r>
            <w:r>
              <w:rPr>
                <w:rFonts w:hint="eastAsia"/>
                <w:sz w:val="24"/>
              </w:rPr>
              <w:t>：</w:t>
            </w:r>
          </w:p>
          <w:p w14:paraId="443AFCE0">
            <w:pPr>
              <w:pStyle w:val="66"/>
              <w:spacing w:line="360" w:lineRule="auto"/>
              <w:rPr>
                <w:rFonts w:ascii="黑体" w:hAnsi="黑体" w:eastAsia="黑体" w:cs="黑体"/>
                <w:bCs/>
              </w:rPr>
            </w:pPr>
            <w:r>
              <w:rPr>
                <w:rFonts w:hint="eastAsia" w:ascii="黑体" w:hAnsi="黑体" w:eastAsia="黑体" w:cs="黑体"/>
                <w:bCs/>
              </w:rPr>
              <w:t>1、施工废气</w:t>
            </w:r>
          </w:p>
          <w:p w14:paraId="575B2001">
            <w:pPr>
              <w:spacing w:line="360" w:lineRule="auto"/>
              <w:ind w:firstLine="480" w:firstLineChars="200"/>
              <w:jc w:val="left"/>
              <w:rPr>
                <w:bCs/>
                <w:sz w:val="24"/>
              </w:rPr>
            </w:pPr>
            <w:r>
              <w:rPr>
                <w:rFonts w:hint="eastAsia"/>
                <w:bCs/>
                <w:sz w:val="24"/>
              </w:rPr>
              <w:t>（1）施工扬尘</w:t>
            </w:r>
          </w:p>
          <w:p w14:paraId="4E7F46B5">
            <w:pPr>
              <w:spacing w:line="360" w:lineRule="auto"/>
              <w:ind w:firstLine="480" w:firstLineChars="200"/>
              <w:jc w:val="left"/>
              <w:rPr>
                <w:sz w:val="24"/>
              </w:rPr>
            </w:pPr>
            <w:r>
              <w:rPr>
                <w:sz w:val="24"/>
              </w:rPr>
              <w:t>本项目建设过程中，</w:t>
            </w:r>
            <w:r>
              <w:rPr>
                <w:rFonts w:hint="eastAsia"/>
                <w:sz w:val="24"/>
              </w:rPr>
              <w:t>在风力的作用下，缺少植被覆盖的细小尘土，随风而起形成扬尘，扬尘量大，容易造成地表扬尘污染。</w:t>
            </w:r>
            <w:r>
              <w:rPr>
                <w:sz w:val="24"/>
              </w:rPr>
              <w:t>施工期间应注意施工扬尘的防治问题，减少对周边环境的影响。在施工阶段要对使用物料覆盖，禁止有裸露物料堆存，并定期洒水，建设单位需对施工单位严格要求，控制物料堆存的风力扬尘，需制定必要的防止措施，以减少施工扬尘对周围环境的影响。</w:t>
            </w:r>
          </w:p>
          <w:p w14:paraId="3B5C494B">
            <w:pPr>
              <w:spacing w:line="360" w:lineRule="auto"/>
              <w:ind w:firstLine="480" w:firstLineChars="200"/>
              <w:jc w:val="left"/>
              <w:rPr>
                <w:bCs/>
                <w:sz w:val="24"/>
              </w:rPr>
            </w:pPr>
            <w:r>
              <w:rPr>
                <w:rFonts w:hint="eastAsia"/>
                <w:bCs/>
                <w:sz w:val="24"/>
              </w:rPr>
              <w:t>（2）施工机械废气</w:t>
            </w:r>
          </w:p>
          <w:p w14:paraId="1AF4FEA7">
            <w:pPr>
              <w:spacing w:line="360" w:lineRule="auto"/>
              <w:ind w:firstLine="480" w:firstLineChars="200"/>
              <w:jc w:val="left"/>
              <w:rPr>
                <w:sz w:val="24"/>
              </w:rPr>
            </w:pPr>
            <w:r>
              <w:rPr>
                <w:sz w:val="24"/>
              </w:rPr>
              <w:t>项目运输过程中</w:t>
            </w:r>
            <w:r>
              <w:rPr>
                <w:rFonts w:hint="eastAsia"/>
                <w:sz w:val="24"/>
              </w:rPr>
              <w:t>施工机械和</w:t>
            </w:r>
            <w:r>
              <w:rPr>
                <w:sz w:val="24"/>
              </w:rPr>
              <w:t>汽车尾气，均为无组织排放。评价要求施工过程对运输车辆加强管理，减少其怠速行驶时间，汽车需按环保部门相关要求定期进行尾气检测，合格后方可上路；汽车进入厂区后减速慢行，及时对厂区内地面进行洒水降尘；经采取以上措施后，运输车辆扬尘及汽车尾气对周围环境影响不大。</w:t>
            </w:r>
          </w:p>
          <w:p w14:paraId="6B8486E3">
            <w:pPr>
              <w:spacing w:line="360" w:lineRule="auto"/>
              <w:ind w:firstLine="480" w:firstLineChars="200"/>
              <w:jc w:val="left"/>
              <w:rPr>
                <w:bCs/>
                <w:sz w:val="24"/>
              </w:rPr>
            </w:pPr>
            <w:r>
              <w:rPr>
                <w:bCs/>
                <w:sz w:val="24"/>
              </w:rPr>
              <w:t>为进一步减少项目扬尘对周围环境的影响，根据《</w:t>
            </w:r>
            <w:r>
              <w:rPr>
                <w:rFonts w:hint="eastAsia"/>
                <w:bCs/>
                <w:sz w:val="24"/>
              </w:rPr>
              <w:t>商丘市</w:t>
            </w:r>
            <w:r>
              <w:rPr>
                <w:bCs/>
                <w:sz w:val="24"/>
              </w:rPr>
              <w:t>202</w:t>
            </w:r>
            <w:r>
              <w:rPr>
                <w:rFonts w:hint="eastAsia"/>
                <w:bCs/>
                <w:sz w:val="24"/>
              </w:rPr>
              <w:t>4</w:t>
            </w:r>
            <w:r>
              <w:rPr>
                <w:bCs/>
                <w:sz w:val="24"/>
              </w:rPr>
              <w:t>年</w:t>
            </w:r>
            <w:r>
              <w:rPr>
                <w:rFonts w:hint="eastAsia"/>
                <w:bCs/>
                <w:sz w:val="24"/>
              </w:rPr>
              <w:t>蓝天保卫战实施方案</w:t>
            </w:r>
            <w:r>
              <w:rPr>
                <w:bCs/>
                <w:sz w:val="24"/>
              </w:rPr>
              <w:t>》</w:t>
            </w:r>
            <w:r>
              <w:rPr>
                <w:rFonts w:hint="eastAsia"/>
                <w:bCs/>
                <w:sz w:val="24"/>
              </w:rPr>
              <w:t>等相关政策</w:t>
            </w:r>
            <w:r>
              <w:rPr>
                <w:bCs/>
                <w:sz w:val="24"/>
              </w:rPr>
              <w:t>要求，并结合本项目实际情况，评价建议本项目施工扬尘应严格落实扬尘“</w:t>
            </w:r>
            <w:r>
              <w:rPr>
                <w:rFonts w:hint="eastAsia"/>
                <w:bCs/>
                <w:sz w:val="24"/>
              </w:rPr>
              <w:t>6</w:t>
            </w:r>
            <w:r>
              <w:rPr>
                <w:bCs/>
                <w:sz w:val="24"/>
              </w:rPr>
              <w:t>个100%”。即：工地周边100%围挡、各类物料堆放100%覆盖、土方开挖及拆迁作业100%湿法作业、出入车辆100%清洗、施工现场路面100%硬化、渣土车辆100%密闭运输。具体采取以下控制措施：</w:t>
            </w:r>
          </w:p>
          <w:p w14:paraId="75C206E4">
            <w:pPr>
              <w:numPr>
                <w:ilvl w:val="0"/>
                <w:numId w:val="1"/>
              </w:numPr>
              <w:spacing w:line="360" w:lineRule="auto"/>
              <w:ind w:firstLine="480" w:firstLineChars="200"/>
              <w:jc w:val="left"/>
              <w:rPr>
                <w:bCs/>
                <w:sz w:val="24"/>
              </w:rPr>
            </w:pPr>
            <w:r>
              <w:rPr>
                <w:bCs/>
                <w:sz w:val="24"/>
              </w:rPr>
              <w:t>施工工地开工前必须做到“六个到位”，即审批到位、报备到位、治理方案到位、配套措施到位、监控到位、人员(施工单位管理人员、责任部门监管人员)到位</w:t>
            </w:r>
            <w:r>
              <w:rPr>
                <w:rFonts w:hint="eastAsia"/>
                <w:bCs/>
                <w:sz w:val="24"/>
              </w:rPr>
              <w:t>；</w:t>
            </w:r>
          </w:p>
          <w:p w14:paraId="115D1613">
            <w:pPr>
              <w:spacing w:line="360" w:lineRule="auto"/>
              <w:ind w:firstLine="480" w:firstLineChars="200"/>
              <w:jc w:val="left"/>
              <w:rPr>
                <w:bCs/>
                <w:sz w:val="24"/>
              </w:rPr>
            </w:pPr>
            <w:r>
              <w:rPr>
                <w:bCs/>
                <w:sz w:val="24"/>
              </w:rPr>
              <w:t>（</w:t>
            </w:r>
            <w:r>
              <w:rPr>
                <w:rFonts w:hint="eastAsia"/>
                <w:bCs/>
                <w:sz w:val="24"/>
              </w:rPr>
              <w:t>2</w:t>
            </w:r>
            <w:r>
              <w:rPr>
                <w:bCs/>
                <w:sz w:val="24"/>
              </w:rPr>
              <w:t>）新建工程施工现场必须设置控制扬尘污染责任标志牌，标明扬尘污染防治措施、主管部门、责任人及环保监督电话等内容；</w:t>
            </w:r>
          </w:p>
          <w:p w14:paraId="3C24C3B3">
            <w:pPr>
              <w:spacing w:line="360" w:lineRule="auto"/>
              <w:ind w:firstLine="480" w:firstLineChars="200"/>
              <w:jc w:val="left"/>
              <w:rPr>
                <w:bCs/>
                <w:sz w:val="24"/>
              </w:rPr>
            </w:pPr>
            <w:r>
              <w:rPr>
                <w:bCs/>
                <w:sz w:val="24"/>
              </w:rPr>
              <w:t>（</w:t>
            </w:r>
            <w:r>
              <w:rPr>
                <w:rFonts w:hint="eastAsia"/>
                <w:bCs/>
                <w:sz w:val="24"/>
              </w:rPr>
              <w:t>3</w:t>
            </w:r>
            <w:r>
              <w:rPr>
                <w:bCs/>
                <w:sz w:val="24"/>
              </w:rPr>
              <w:t>）施工现场应保持整洁，场区大门口及主要道路、加工区必须做成混凝土地面，并满足车辆行驶要求。其它部位可采用不同的硬化措施，但现场地面应平整坚实，不得产生泥土和扬尘。施工现场围挡(墙)外地面，也应采取相应的硬化或绿化措施，确保干净、整洁、卫生，无扬尘和垃圾污染；</w:t>
            </w:r>
          </w:p>
          <w:p w14:paraId="48964816">
            <w:pPr>
              <w:spacing w:line="360" w:lineRule="auto"/>
              <w:ind w:firstLine="480" w:firstLineChars="200"/>
              <w:jc w:val="left"/>
              <w:rPr>
                <w:bCs/>
                <w:sz w:val="24"/>
              </w:rPr>
            </w:pPr>
            <w:r>
              <w:rPr>
                <w:bCs/>
                <w:sz w:val="24"/>
              </w:rPr>
              <w:t>（</w:t>
            </w:r>
            <w:r>
              <w:rPr>
                <w:rFonts w:hint="eastAsia"/>
                <w:bCs/>
                <w:sz w:val="24"/>
              </w:rPr>
              <w:t>4</w:t>
            </w:r>
            <w:r>
              <w:rPr>
                <w:bCs/>
                <w:sz w:val="24"/>
              </w:rPr>
              <w:t>）施工现场应砌筑垃圾堆放池，墙体应坚固。建筑垃圾、生活垃圾集中、分类堆放，严密遮盖，日产日清；</w:t>
            </w:r>
          </w:p>
          <w:p w14:paraId="54982BFB">
            <w:pPr>
              <w:spacing w:line="360" w:lineRule="auto"/>
              <w:ind w:firstLine="480" w:firstLineChars="200"/>
              <w:jc w:val="left"/>
              <w:rPr>
                <w:bCs/>
                <w:spacing w:val="-2"/>
                <w:sz w:val="24"/>
              </w:rPr>
            </w:pPr>
            <w:r>
              <w:rPr>
                <w:bCs/>
                <w:sz w:val="24"/>
              </w:rPr>
              <w:t>（</w:t>
            </w:r>
            <w:r>
              <w:rPr>
                <w:rFonts w:hint="eastAsia"/>
                <w:bCs/>
                <w:sz w:val="24"/>
              </w:rPr>
              <w:t>5</w:t>
            </w:r>
            <w:r>
              <w:rPr>
                <w:bCs/>
                <w:sz w:val="24"/>
              </w:rPr>
              <w:t>）四级以上大风天气或市政府发布空气质量预警时，严禁进行土方开挖、回填等可能产生扬尘的施工，同时覆网防尘；</w:t>
            </w:r>
          </w:p>
          <w:p w14:paraId="26929ECB">
            <w:pPr>
              <w:spacing w:line="360" w:lineRule="auto"/>
              <w:ind w:firstLine="480" w:firstLineChars="200"/>
              <w:jc w:val="left"/>
              <w:rPr>
                <w:bCs/>
                <w:sz w:val="24"/>
              </w:rPr>
            </w:pPr>
            <w:r>
              <w:rPr>
                <w:bCs/>
                <w:sz w:val="24"/>
              </w:rPr>
              <w:t>（</w:t>
            </w:r>
            <w:r>
              <w:rPr>
                <w:rFonts w:hint="eastAsia"/>
                <w:bCs/>
                <w:sz w:val="24"/>
              </w:rPr>
              <w:t>6</w:t>
            </w:r>
            <w:r>
              <w:rPr>
                <w:bCs/>
                <w:sz w:val="24"/>
              </w:rPr>
              <w:t>）施工现场严禁熔融沥青、焚烧塑料、垃圾等各类有毒有害物质和废弃物，不得使用煤、碳、木料等污染严重的燃料；</w:t>
            </w:r>
          </w:p>
          <w:p w14:paraId="3E4432BC">
            <w:pPr>
              <w:spacing w:line="360" w:lineRule="auto"/>
              <w:ind w:firstLine="480" w:firstLineChars="200"/>
              <w:jc w:val="left"/>
              <w:rPr>
                <w:bCs/>
                <w:sz w:val="24"/>
              </w:rPr>
            </w:pPr>
            <w:r>
              <w:rPr>
                <w:bCs/>
                <w:sz w:val="24"/>
              </w:rPr>
              <w:t>（</w:t>
            </w:r>
            <w:r>
              <w:rPr>
                <w:rFonts w:hint="eastAsia"/>
                <w:bCs/>
                <w:sz w:val="24"/>
              </w:rPr>
              <w:t>7</w:t>
            </w:r>
            <w:r>
              <w:rPr>
                <w:bCs/>
                <w:sz w:val="24"/>
              </w:rPr>
              <w:t>）施工单位应根据工程规模，设置相应人数的专职保洁人员，负责工地内及工地围墙外周边10米范围内的环境卫生。对于影响范围大的工程, 可视情况扩大施工单位的保洁责任区</w:t>
            </w:r>
            <w:r>
              <w:rPr>
                <w:rFonts w:hint="eastAsia"/>
                <w:bCs/>
                <w:sz w:val="24"/>
              </w:rPr>
              <w:t>。</w:t>
            </w:r>
          </w:p>
          <w:p w14:paraId="290A3881">
            <w:pPr>
              <w:spacing w:line="360" w:lineRule="auto"/>
              <w:ind w:firstLine="480" w:firstLineChars="200"/>
              <w:jc w:val="left"/>
              <w:rPr>
                <w:sz w:val="24"/>
              </w:rPr>
            </w:pPr>
            <w:r>
              <w:rPr>
                <w:rFonts w:hint="eastAsia"/>
                <w:sz w:val="24"/>
              </w:rPr>
              <w:t>因此</w:t>
            </w:r>
            <w:r>
              <w:rPr>
                <w:sz w:val="24"/>
              </w:rPr>
              <w:t>只要在施工时加强管理，采取必要的防治措施，如避免在大风天气条件下施工、对容易起尘的施工地面喷洒适量的水、设置防尘金属围板、运输车辆尽量采取遮盖、及时清扫散落在路面上的泥土和建筑材料，冲洗轮胎等，可以大大减少施工扬尘对周围环境空气和周围环境敏感点的影响。本工程施工过程中扬尘对周边居民的影响是暂时的，只要切实做好了防尘等措施，对周边环境的影响较小。</w:t>
            </w:r>
          </w:p>
          <w:p w14:paraId="044725B0">
            <w:pPr>
              <w:pStyle w:val="11"/>
              <w:ind w:firstLine="0" w:firstLineChars="0"/>
              <w:rPr>
                <w:rFonts w:ascii="黑体" w:hAnsi="黑体" w:eastAsia="黑体" w:cs="黑体"/>
                <w:bCs w:val="0"/>
                <w:sz w:val="24"/>
              </w:rPr>
            </w:pPr>
            <w:r>
              <w:rPr>
                <w:rFonts w:hint="eastAsia" w:ascii="黑体" w:hAnsi="黑体" w:eastAsia="黑体" w:cs="黑体"/>
                <w:bCs w:val="0"/>
                <w:sz w:val="24"/>
              </w:rPr>
              <w:t>2、施工废水</w:t>
            </w:r>
          </w:p>
          <w:p w14:paraId="337A8904">
            <w:pPr>
              <w:spacing w:line="360" w:lineRule="auto"/>
              <w:ind w:firstLine="480" w:firstLineChars="200"/>
              <w:jc w:val="left"/>
              <w:rPr>
                <w:sz w:val="24"/>
              </w:rPr>
            </w:pPr>
            <w:r>
              <w:rPr>
                <w:rFonts w:hint="eastAsia"/>
                <w:sz w:val="24"/>
              </w:rPr>
              <w:t>施工期废水主要</w:t>
            </w:r>
            <w:r>
              <w:rPr>
                <w:sz w:val="24"/>
              </w:rPr>
              <w:t>包括施工机械清洗用水及车辆清洗用水，其主要污染物为悬浮物；施工废水量为2.0m</w:t>
            </w:r>
            <w:r>
              <w:rPr>
                <w:sz w:val="24"/>
                <w:vertAlign w:val="superscript"/>
              </w:rPr>
              <w:t>3</w:t>
            </w:r>
            <w:r>
              <w:rPr>
                <w:sz w:val="24"/>
              </w:rPr>
              <w:t>/d，共产生废水120m</w:t>
            </w:r>
            <w:r>
              <w:rPr>
                <w:sz w:val="24"/>
                <w:vertAlign w:val="superscript"/>
              </w:rPr>
              <w:t>3</w:t>
            </w:r>
            <w:r>
              <w:rPr>
                <w:sz w:val="24"/>
              </w:rPr>
              <w:t>（施工期按6</w:t>
            </w:r>
            <w:r>
              <w:rPr>
                <w:rFonts w:hint="eastAsia"/>
                <w:sz w:val="24"/>
              </w:rPr>
              <w:t>0</w:t>
            </w:r>
            <w:r>
              <w:rPr>
                <w:sz w:val="24"/>
              </w:rPr>
              <w:t>天计）。施工废水经沉淀池（约</w:t>
            </w:r>
            <w:r>
              <w:rPr>
                <w:rFonts w:hint="eastAsia"/>
                <w:sz w:val="24"/>
              </w:rPr>
              <w:t>10</w:t>
            </w:r>
            <w:r>
              <w:rPr>
                <w:sz w:val="24"/>
              </w:rPr>
              <w:t>m</w:t>
            </w:r>
            <w:r>
              <w:rPr>
                <w:sz w:val="24"/>
                <w:vertAlign w:val="superscript"/>
              </w:rPr>
              <w:t>3</w:t>
            </w:r>
            <w:r>
              <w:rPr>
                <w:sz w:val="24"/>
              </w:rPr>
              <w:t>）沉淀后用于场地洒水降尘，不外排。本项目施工人员均不在施工场地食宿，生活污水主要为施工人员的盥洗水，主要污染物是COD、BOD</w:t>
            </w:r>
            <w:r>
              <w:rPr>
                <w:sz w:val="24"/>
                <w:vertAlign w:val="subscript"/>
              </w:rPr>
              <w:t>5</w:t>
            </w:r>
            <w:r>
              <w:rPr>
                <w:sz w:val="24"/>
              </w:rPr>
              <w:t>、SS、氨氮等。施工期间施工人员最多1</w:t>
            </w:r>
            <w:r>
              <w:rPr>
                <w:rFonts w:hint="eastAsia"/>
                <w:sz w:val="24"/>
              </w:rPr>
              <w:t>0</w:t>
            </w:r>
            <w:r>
              <w:rPr>
                <w:sz w:val="24"/>
              </w:rPr>
              <w:t>人，施工人员每人每天生活用水量按50L计，废水产生系数按0.8计，则本项目施工生活污水产生量为0.4m</w:t>
            </w:r>
            <w:r>
              <w:rPr>
                <w:sz w:val="24"/>
                <w:vertAlign w:val="superscript"/>
              </w:rPr>
              <w:t>3</w:t>
            </w:r>
            <w:r>
              <w:rPr>
                <w:sz w:val="24"/>
              </w:rPr>
              <w:t>/d，整个施工期间生活污水产生量为24m</w:t>
            </w:r>
            <w:r>
              <w:rPr>
                <w:sz w:val="24"/>
                <w:vertAlign w:val="superscript"/>
              </w:rPr>
              <w:t>3</w:t>
            </w:r>
            <w:r>
              <w:rPr>
                <w:sz w:val="24"/>
              </w:rPr>
              <w:t>。</w:t>
            </w:r>
            <w:r>
              <w:rPr>
                <w:rFonts w:hint="eastAsia"/>
                <w:sz w:val="24"/>
              </w:rPr>
              <w:t>施工人员生活污水经化粪池暂存后，定期清掏</w:t>
            </w:r>
            <w:r>
              <w:rPr>
                <w:sz w:val="24"/>
              </w:rPr>
              <w:t>外运肥田</w:t>
            </w:r>
            <w:r>
              <w:rPr>
                <w:rFonts w:hint="eastAsia"/>
                <w:sz w:val="24"/>
              </w:rPr>
              <w:t>。</w:t>
            </w:r>
          </w:p>
          <w:p w14:paraId="4C74FAE6">
            <w:pPr>
              <w:pStyle w:val="11"/>
              <w:ind w:firstLine="0" w:firstLineChars="0"/>
              <w:rPr>
                <w:rFonts w:ascii="黑体" w:hAnsi="黑体" w:eastAsia="黑体" w:cs="黑体"/>
                <w:bCs w:val="0"/>
                <w:sz w:val="24"/>
              </w:rPr>
            </w:pPr>
            <w:r>
              <w:rPr>
                <w:rFonts w:hint="eastAsia" w:ascii="黑体" w:hAnsi="黑体" w:eastAsia="黑体" w:cs="黑体"/>
                <w:bCs w:val="0"/>
                <w:sz w:val="24"/>
              </w:rPr>
              <w:t>3、施工噪声</w:t>
            </w:r>
          </w:p>
          <w:p w14:paraId="71F4BE2C">
            <w:pPr>
              <w:adjustRightInd w:val="0"/>
              <w:snapToGrid w:val="0"/>
              <w:spacing w:line="360" w:lineRule="auto"/>
              <w:ind w:firstLine="480" w:firstLineChars="200"/>
              <w:rPr>
                <w:sz w:val="24"/>
              </w:rPr>
            </w:pPr>
            <w:r>
              <w:rPr>
                <w:sz w:val="24"/>
              </w:rPr>
              <w:t>项目施工噪声主要由施工机械和运输车辆产生，项目在不同施工阶段、不同场地、不同作业类型所产生的噪声强度也有所不同。常用的高噪声设备包括发电机、挖掘机、推土机、装载机等，由于施工阶段</w:t>
            </w:r>
            <w:r>
              <w:rPr>
                <w:rFonts w:hint="eastAsia"/>
                <w:sz w:val="24"/>
              </w:rPr>
              <w:t>有</w:t>
            </w:r>
            <w:r>
              <w:rPr>
                <w:sz w:val="24"/>
              </w:rPr>
              <w:t>露天作业，无隔声削减措施，故噪声传播较远，受影响范围较大。因此需尽可能降低项目施工期对周围环境的影响。为减少施工期噪声对周围环境的影响，评价建议采取以下降噪措施：</w:t>
            </w:r>
          </w:p>
          <w:p w14:paraId="273B4FAB">
            <w:pPr>
              <w:snapToGrid w:val="0"/>
              <w:spacing w:line="360" w:lineRule="auto"/>
              <w:ind w:firstLine="480" w:firstLineChars="200"/>
              <w:rPr>
                <w:sz w:val="24"/>
              </w:rPr>
            </w:pPr>
            <w:r>
              <w:rPr>
                <w:sz w:val="24"/>
              </w:rPr>
              <w:t>（1）建设单位在与施工单位签订合同时，应要求其使用低噪声机械设备。同时在施工过程中施工单位应设专人对设备进行定期保养和维护，并负责对现场工作人员进行培训，严格按操作规范使用各类机械。</w:t>
            </w:r>
          </w:p>
          <w:p w14:paraId="6518FFC8">
            <w:pPr>
              <w:snapToGrid w:val="0"/>
              <w:spacing w:line="360" w:lineRule="auto"/>
              <w:ind w:firstLine="480" w:firstLineChars="200"/>
              <w:rPr>
                <w:sz w:val="24"/>
              </w:rPr>
            </w:pPr>
            <w:r>
              <w:rPr>
                <w:sz w:val="24"/>
              </w:rPr>
              <w:t>（2）在施工场地周围设立围挡，以减轻设备噪声对周围环境的影响。</w:t>
            </w:r>
          </w:p>
          <w:p w14:paraId="723D3F00">
            <w:pPr>
              <w:snapToGrid w:val="0"/>
              <w:spacing w:line="360" w:lineRule="auto"/>
              <w:ind w:firstLine="480" w:firstLineChars="200"/>
              <w:rPr>
                <w:sz w:val="24"/>
              </w:rPr>
            </w:pPr>
            <w:r>
              <w:rPr>
                <w:sz w:val="24"/>
              </w:rPr>
              <w:t>（3）对人为的施工噪声应有管理制度和降噪措施，并进行严格控制。施工初始阶段，禁止夜间使用如平地机等高噪声设备；施工中期阶段，禁止夜间使用如振捣机类的高噪声设备；若夜间施工需向主管部门提交申请，经批准后方可进行施工作业。</w:t>
            </w:r>
          </w:p>
          <w:p w14:paraId="4D664297">
            <w:pPr>
              <w:snapToGrid w:val="0"/>
              <w:spacing w:line="360" w:lineRule="auto"/>
              <w:ind w:firstLine="480" w:firstLineChars="200"/>
              <w:rPr>
                <w:sz w:val="24"/>
              </w:rPr>
            </w:pPr>
            <w:r>
              <w:rPr>
                <w:sz w:val="24"/>
              </w:rPr>
              <w:t>（4）安排工人轮流进行机械操作，减少接触高噪声的时间，对在声源附近工作时间较长的工人，发放防声耳塞、头盔等，对工人进行自身保护。</w:t>
            </w:r>
          </w:p>
          <w:p w14:paraId="4F9AA112">
            <w:pPr>
              <w:snapToGrid w:val="0"/>
              <w:spacing w:line="360" w:lineRule="auto"/>
              <w:ind w:firstLine="480" w:firstLineChars="200"/>
              <w:rPr>
                <w:sz w:val="24"/>
              </w:rPr>
            </w:pPr>
            <w:r>
              <w:rPr>
                <w:sz w:val="24"/>
              </w:rPr>
              <w:t>（5）承担材料运输的车辆，行车路线和行车时间进行具体规定，出入口应远离居民区，进入施工现场避免鸣笛，并要减速慢性，装卸材料应做到轻拿轻放，尽量减少对周围居民的不利影响。施工时应满足《建筑施工场界环境噪声排放标准》（GB12523-2011）要求。</w:t>
            </w:r>
          </w:p>
          <w:p w14:paraId="148654FA">
            <w:pPr>
              <w:snapToGrid w:val="0"/>
              <w:spacing w:line="360" w:lineRule="auto"/>
              <w:ind w:firstLine="480" w:firstLineChars="200"/>
              <w:rPr>
                <w:sz w:val="24"/>
              </w:rPr>
            </w:pPr>
            <w:r>
              <w:rPr>
                <w:sz w:val="24"/>
              </w:rPr>
              <w:t>（6）建设管理部门应加强对施工场地的噪声管理，施工单位也应对施工噪声进行自律，文明施工，避免因施工噪声产生纠纷。</w:t>
            </w:r>
          </w:p>
          <w:p w14:paraId="2A482542">
            <w:pPr>
              <w:spacing w:line="360" w:lineRule="auto"/>
              <w:ind w:firstLine="480" w:firstLineChars="200"/>
              <w:rPr>
                <w:sz w:val="24"/>
              </w:rPr>
            </w:pPr>
            <w:r>
              <w:rPr>
                <w:sz w:val="24"/>
              </w:rPr>
              <w:t>经采取以上措施处理后，项目施工期产生的噪声对周围声环境影响较小。且施工周期较短，随着施工期的结束，施工噪声影响也随之消失。</w:t>
            </w:r>
          </w:p>
          <w:p w14:paraId="6B06FD62">
            <w:pPr>
              <w:pStyle w:val="11"/>
              <w:spacing w:line="360" w:lineRule="auto"/>
              <w:ind w:firstLine="0" w:firstLineChars="0"/>
              <w:rPr>
                <w:rFonts w:ascii="黑体" w:hAnsi="黑体" w:eastAsia="黑体" w:cs="黑体"/>
                <w:bCs w:val="0"/>
                <w:sz w:val="24"/>
              </w:rPr>
            </w:pPr>
            <w:r>
              <w:rPr>
                <w:rFonts w:hint="eastAsia" w:ascii="黑体" w:hAnsi="黑体" w:eastAsia="黑体" w:cs="黑体"/>
                <w:bCs w:val="0"/>
                <w:sz w:val="24"/>
              </w:rPr>
              <w:t>4、施工废物</w:t>
            </w:r>
          </w:p>
          <w:p w14:paraId="4D0B3393">
            <w:pPr>
              <w:spacing w:line="336" w:lineRule="auto"/>
              <w:ind w:firstLine="480" w:firstLineChars="200"/>
              <w:rPr>
                <w:color w:val="000000"/>
                <w:sz w:val="24"/>
              </w:rPr>
            </w:pPr>
            <w:r>
              <w:rPr>
                <w:rFonts w:hint="eastAsia"/>
                <w:color w:val="000000"/>
                <w:sz w:val="24"/>
              </w:rPr>
              <w:t>施工</w:t>
            </w:r>
            <w:r>
              <w:rPr>
                <w:color w:val="000000"/>
                <w:sz w:val="24"/>
              </w:rPr>
              <w:t>期的固废主要有建筑垃圾</w:t>
            </w:r>
            <w:r>
              <w:rPr>
                <w:rFonts w:hint="eastAsia"/>
                <w:color w:val="000000"/>
                <w:sz w:val="24"/>
              </w:rPr>
              <w:t>、</w:t>
            </w:r>
            <w:r>
              <w:rPr>
                <w:color w:val="000000"/>
                <w:sz w:val="24"/>
              </w:rPr>
              <w:t>设备和管道安装过程产生边角料和生活垃圾，如果处理不当会对环境造成影响，对施工期固废采取以下污染防治措施：</w:t>
            </w:r>
          </w:p>
          <w:p w14:paraId="402F00D9">
            <w:pPr>
              <w:spacing w:line="336" w:lineRule="auto"/>
              <w:ind w:firstLine="480" w:firstLineChars="200"/>
              <w:rPr>
                <w:color w:val="000000"/>
                <w:sz w:val="24"/>
              </w:rPr>
            </w:pPr>
            <w:r>
              <w:rPr>
                <w:color w:val="000000"/>
                <w:sz w:val="24"/>
              </w:rPr>
              <w:t>（1）工程完工后临时设施拆除时应防止扬尘、噪声及废弃物污染。</w:t>
            </w:r>
          </w:p>
          <w:p w14:paraId="4A48A12E">
            <w:pPr>
              <w:spacing w:line="336" w:lineRule="auto"/>
              <w:ind w:firstLine="480" w:firstLineChars="200"/>
              <w:rPr>
                <w:color w:val="000000"/>
                <w:sz w:val="24"/>
              </w:rPr>
            </w:pPr>
            <w:r>
              <w:rPr>
                <w:color w:val="000000"/>
                <w:sz w:val="24"/>
              </w:rPr>
              <w:t>（2）施工区垃圾堆放点全部拆除并进行消毒；对所有施工工作面和施工活动区进行检查。</w:t>
            </w:r>
          </w:p>
          <w:p w14:paraId="33CF07A9">
            <w:pPr>
              <w:spacing w:line="336" w:lineRule="auto"/>
              <w:ind w:firstLine="480" w:firstLineChars="200"/>
              <w:rPr>
                <w:color w:val="000000"/>
                <w:sz w:val="24"/>
              </w:rPr>
            </w:pPr>
            <w:r>
              <w:rPr>
                <w:color w:val="000000"/>
                <w:sz w:val="24"/>
              </w:rPr>
              <w:t>（</w:t>
            </w:r>
            <w:r>
              <w:rPr>
                <w:rFonts w:hint="eastAsia"/>
                <w:color w:val="000000"/>
                <w:sz w:val="24"/>
              </w:rPr>
              <w:t>3</w:t>
            </w:r>
            <w:r>
              <w:rPr>
                <w:color w:val="000000"/>
                <w:sz w:val="24"/>
              </w:rPr>
              <w:t>）将施工废弃物彻底清除处理，移至渣场，或运送至规定的地点进行堆放或填埋，对其中具有利用价值的加以回收，生活垃圾送到垃圾处置点，由市政环卫部门统一填埋。</w:t>
            </w:r>
          </w:p>
          <w:p w14:paraId="13C9012E">
            <w:pPr>
              <w:adjustRightInd w:val="0"/>
              <w:snapToGrid w:val="0"/>
              <w:spacing w:line="360" w:lineRule="auto"/>
              <w:ind w:firstLine="480" w:firstLineChars="200"/>
              <w:rPr>
                <w:rFonts w:ascii="宋体" w:hAnsi="宋体" w:cs="宋体"/>
                <w:bCs/>
                <w:sz w:val="24"/>
              </w:rPr>
            </w:pPr>
            <w:r>
              <w:rPr>
                <w:color w:val="000000"/>
                <w:sz w:val="24"/>
              </w:rPr>
              <w:t>综上，施工期的环境影响是短期的，并且受人为和自然条件的影响较大，因此应加强对施工现场的管理，并采取有效的防护措施最大限度地减少施工期间对周围环境的影响。</w:t>
            </w:r>
          </w:p>
        </w:tc>
      </w:tr>
    </w:tbl>
    <w:p w14:paraId="6D73C8B9">
      <w:pPr>
        <w:widowControl/>
        <w:jc w:val="left"/>
        <w:rPr>
          <w:rFonts w:ascii="黑体" w:hAnsi="黑体" w:eastAsia="黑体"/>
          <w:snapToGrid w:val="0"/>
          <w:kern w:val="0"/>
          <w:sz w:val="30"/>
          <w:szCs w:val="30"/>
        </w:rPr>
      </w:pPr>
    </w:p>
    <w:p w14:paraId="4AFB124C">
      <w:pPr>
        <w:pStyle w:val="25"/>
        <w:outlineLvl w:val="0"/>
        <w:rPr>
          <w:rFonts w:ascii="黑体" w:hAnsi="黑体" w:eastAsia="黑体"/>
          <w:snapToGrid w:val="0"/>
          <w:sz w:val="30"/>
          <w:szCs w:val="30"/>
        </w:rPr>
        <w:sectPr>
          <w:pgSz w:w="11907" w:h="16840"/>
          <w:pgMar w:top="1701" w:right="1531" w:bottom="2127" w:left="1531" w:header="851" w:footer="851" w:gutter="0"/>
          <w:cols w:space="720" w:num="1"/>
          <w:docGrid w:linePitch="312" w:charSpace="0"/>
        </w:sectPr>
      </w:pPr>
    </w:p>
    <w:tbl>
      <w:tblPr>
        <w:tblStyle w:val="29"/>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76"/>
        <w:gridCol w:w="12372"/>
      </w:tblGrid>
      <w:tr w14:paraId="1A1523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16" w:hRule="atLeast"/>
          <w:jc w:val="center"/>
        </w:trPr>
        <w:tc>
          <w:tcPr>
            <w:tcW w:w="295" w:type="pct"/>
            <w:tcMar>
              <w:left w:w="28" w:type="dxa"/>
              <w:right w:w="28" w:type="dxa"/>
            </w:tcMar>
            <w:vAlign w:val="center"/>
          </w:tcPr>
          <w:p w14:paraId="40CCDEBA">
            <w:pPr>
              <w:adjustRightInd w:val="0"/>
              <w:snapToGrid w:val="0"/>
              <w:jc w:val="center"/>
              <w:rPr>
                <w:bCs/>
                <w:sz w:val="24"/>
              </w:rPr>
            </w:pPr>
            <w:r>
              <w:rPr>
                <w:bCs/>
                <w:sz w:val="24"/>
              </w:rPr>
              <w:t>运营期环境影响和保护措施</w:t>
            </w:r>
          </w:p>
        </w:tc>
        <w:tc>
          <w:tcPr>
            <w:tcW w:w="4705" w:type="pct"/>
            <w:vAlign w:val="center"/>
          </w:tcPr>
          <w:p w14:paraId="69286354">
            <w:pPr>
              <w:spacing w:line="360" w:lineRule="auto"/>
              <w:ind w:firstLine="482" w:firstLineChars="200"/>
              <w:jc w:val="left"/>
              <w:rPr>
                <w:sz w:val="24"/>
              </w:rPr>
            </w:pPr>
            <w:r>
              <w:rPr>
                <w:rFonts w:eastAsia="黑体"/>
                <w:b/>
                <w:sz w:val="24"/>
              </w:rPr>
              <w:t>1</w:t>
            </w:r>
            <w:r>
              <w:rPr>
                <w:rFonts w:hint="eastAsia" w:eastAsia="黑体"/>
                <w:b/>
                <w:sz w:val="24"/>
              </w:rPr>
              <w:t>、废气</w:t>
            </w:r>
          </w:p>
          <w:p w14:paraId="47828D9E">
            <w:pPr>
              <w:spacing w:line="360" w:lineRule="auto"/>
              <w:ind w:firstLine="482" w:firstLineChars="200"/>
              <w:rPr>
                <w:b/>
                <w:sz w:val="24"/>
              </w:rPr>
            </w:pPr>
            <w:r>
              <w:rPr>
                <w:rFonts w:hint="eastAsia"/>
                <w:b/>
                <w:sz w:val="24"/>
              </w:rPr>
              <w:t>1.1废气产排情况</w:t>
            </w:r>
          </w:p>
          <w:p w14:paraId="5DDFFE35">
            <w:pPr>
              <w:spacing w:line="360" w:lineRule="auto"/>
              <w:ind w:firstLine="480" w:firstLineChars="200"/>
              <w:rPr>
                <w:sz w:val="24"/>
              </w:rPr>
            </w:pPr>
            <w:r>
              <w:rPr>
                <w:rFonts w:hint="eastAsia"/>
                <w:sz w:val="24"/>
              </w:rPr>
              <w:t>项目废气产排情况见表18。</w:t>
            </w:r>
          </w:p>
          <w:p w14:paraId="26530491">
            <w:pPr>
              <w:jc w:val="center"/>
              <w:rPr>
                <w:sz w:val="24"/>
              </w:rPr>
            </w:pPr>
            <w:r>
              <w:rPr>
                <w:rFonts w:hint="eastAsia"/>
                <w:b/>
                <w:bCs/>
                <w:sz w:val="24"/>
              </w:rPr>
              <w:t>表18     本次工程废气产排情况一览表</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23"/>
              <w:gridCol w:w="850"/>
              <w:gridCol w:w="1015"/>
              <w:gridCol w:w="649"/>
              <w:gridCol w:w="814"/>
              <w:gridCol w:w="1708"/>
              <w:gridCol w:w="554"/>
              <w:gridCol w:w="862"/>
              <w:gridCol w:w="838"/>
              <w:gridCol w:w="636"/>
              <w:gridCol w:w="527"/>
              <w:gridCol w:w="649"/>
              <w:gridCol w:w="814"/>
              <w:gridCol w:w="1003"/>
              <w:gridCol w:w="1004"/>
            </w:tblGrid>
            <w:tr w14:paraId="5B560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32" w:hRule="atLeast"/>
                <w:jc w:val="center"/>
              </w:trPr>
              <w:tc>
                <w:tcPr>
                  <w:tcW w:w="92" w:type="pct"/>
                  <w:vMerge w:val="restart"/>
                  <w:vAlign w:val="center"/>
                </w:tcPr>
                <w:p w14:paraId="5E7942FC">
                  <w:pPr>
                    <w:widowControl/>
                    <w:adjustRightInd w:val="0"/>
                    <w:snapToGrid w:val="0"/>
                    <w:jc w:val="center"/>
                    <w:rPr>
                      <w:szCs w:val="21"/>
                    </w:rPr>
                  </w:pPr>
                  <w:r>
                    <w:rPr>
                      <w:szCs w:val="21"/>
                    </w:rPr>
                    <w:t>分类</w:t>
                  </w:r>
                </w:p>
              </w:tc>
              <w:tc>
                <w:tcPr>
                  <w:tcW w:w="350" w:type="pct"/>
                  <w:vMerge w:val="restart"/>
                  <w:vAlign w:val="center"/>
                </w:tcPr>
                <w:p w14:paraId="6B9D5DF6">
                  <w:pPr>
                    <w:widowControl/>
                    <w:adjustRightInd w:val="0"/>
                    <w:snapToGrid w:val="0"/>
                    <w:jc w:val="center"/>
                    <w:rPr>
                      <w:szCs w:val="21"/>
                    </w:rPr>
                  </w:pPr>
                  <w:r>
                    <w:rPr>
                      <w:szCs w:val="21"/>
                    </w:rPr>
                    <w:t>产污环节</w:t>
                  </w:r>
                </w:p>
              </w:tc>
              <w:tc>
                <w:tcPr>
                  <w:tcW w:w="418" w:type="pct"/>
                  <w:vMerge w:val="restart"/>
                  <w:vAlign w:val="center"/>
                </w:tcPr>
                <w:p w14:paraId="12615BB9">
                  <w:pPr>
                    <w:widowControl/>
                    <w:adjustRightInd w:val="0"/>
                    <w:snapToGrid w:val="0"/>
                    <w:jc w:val="center"/>
                    <w:rPr>
                      <w:szCs w:val="21"/>
                    </w:rPr>
                  </w:pPr>
                  <w:r>
                    <w:rPr>
                      <w:szCs w:val="21"/>
                    </w:rPr>
                    <w:t>污染物</w:t>
                  </w:r>
                </w:p>
                <w:p w14:paraId="7541923A">
                  <w:pPr>
                    <w:widowControl/>
                    <w:adjustRightInd w:val="0"/>
                    <w:snapToGrid w:val="0"/>
                    <w:jc w:val="center"/>
                    <w:rPr>
                      <w:szCs w:val="21"/>
                    </w:rPr>
                  </w:pPr>
                  <w:r>
                    <w:rPr>
                      <w:szCs w:val="21"/>
                    </w:rPr>
                    <w:t>种类</w:t>
                  </w:r>
                </w:p>
              </w:tc>
              <w:tc>
                <w:tcPr>
                  <w:tcW w:w="602" w:type="pct"/>
                  <w:gridSpan w:val="2"/>
                  <w:vAlign w:val="center"/>
                </w:tcPr>
                <w:p w14:paraId="47D18A01">
                  <w:pPr>
                    <w:widowControl/>
                    <w:adjustRightInd w:val="0"/>
                    <w:snapToGrid w:val="0"/>
                    <w:jc w:val="center"/>
                    <w:rPr>
                      <w:szCs w:val="21"/>
                    </w:rPr>
                  </w:pPr>
                  <w:r>
                    <w:rPr>
                      <w:szCs w:val="21"/>
                    </w:rPr>
                    <w:t>污染物产生量</w:t>
                  </w:r>
                </w:p>
              </w:tc>
              <w:tc>
                <w:tcPr>
                  <w:tcW w:w="1631" w:type="pct"/>
                  <w:gridSpan w:val="4"/>
                  <w:vAlign w:val="center"/>
                </w:tcPr>
                <w:p w14:paraId="37130BD2">
                  <w:pPr>
                    <w:widowControl/>
                    <w:adjustRightInd w:val="0"/>
                    <w:snapToGrid w:val="0"/>
                    <w:jc w:val="center"/>
                    <w:rPr>
                      <w:szCs w:val="21"/>
                    </w:rPr>
                  </w:pPr>
                  <w:r>
                    <w:rPr>
                      <w:szCs w:val="21"/>
                    </w:rPr>
                    <w:t>治理设施</w:t>
                  </w:r>
                </w:p>
              </w:tc>
              <w:tc>
                <w:tcPr>
                  <w:tcW w:w="262" w:type="pct"/>
                  <w:vMerge w:val="restart"/>
                  <w:vAlign w:val="center"/>
                </w:tcPr>
                <w:p w14:paraId="7E03421D">
                  <w:pPr>
                    <w:widowControl/>
                    <w:adjustRightInd w:val="0"/>
                    <w:snapToGrid w:val="0"/>
                    <w:jc w:val="center"/>
                    <w:rPr>
                      <w:szCs w:val="21"/>
                    </w:rPr>
                  </w:pPr>
                  <w:r>
                    <w:rPr>
                      <w:szCs w:val="21"/>
                    </w:rPr>
                    <w:t>排放口编号</w:t>
                  </w:r>
                </w:p>
              </w:tc>
              <w:tc>
                <w:tcPr>
                  <w:tcW w:w="217" w:type="pct"/>
                  <w:vMerge w:val="restart"/>
                  <w:vAlign w:val="center"/>
                </w:tcPr>
                <w:p w14:paraId="1D18A87C">
                  <w:pPr>
                    <w:widowControl/>
                    <w:adjustRightInd w:val="0"/>
                    <w:snapToGrid w:val="0"/>
                    <w:jc w:val="center"/>
                    <w:rPr>
                      <w:szCs w:val="21"/>
                    </w:rPr>
                  </w:pPr>
                  <w:r>
                    <w:rPr>
                      <w:szCs w:val="21"/>
                    </w:rPr>
                    <w:t>排气筒高度</w:t>
                  </w:r>
                </w:p>
              </w:tc>
              <w:tc>
                <w:tcPr>
                  <w:tcW w:w="1015" w:type="pct"/>
                  <w:gridSpan w:val="3"/>
                  <w:vAlign w:val="center"/>
                </w:tcPr>
                <w:p w14:paraId="2B8B483A">
                  <w:pPr>
                    <w:widowControl/>
                    <w:adjustRightInd w:val="0"/>
                    <w:snapToGrid w:val="0"/>
                    <w:jc w:val="center"/>
                    <w:rPr>
                      <w:szCs w:val="21"/>
                    </w:rPr>
                  </w:pPr>
                  <w:r>
                    <w:rPr>
                      <w:szCs w:val="21"/>
                    </w:rPr>
                    <w:t>污染物排放情况</w:t>
                  </w:r>
                </w:p>
              </w:tc>
              <w:tc>
                <w:tcPr>
                  <w:tcW w:w="413" w:type="pct"/>
                  <w:vMerge w:val="restart"/>
                  <w:vAlign w:val="center"/>
                </w:tcPr>
                <w:p w14:paraId="0D11D8B9">
                  <w:pPr>
                    <w:widowControl/>
                    <w:adjustRightInd w:val="0"/>
                    <w:snapToGrid w:val="0"/>
                    <w:jc w:val="center"/>
                    <w:rPr>
                      <w:szCs w:val="21"/>
                    </w:rPr>
                  </w:pPr>
                  <w:r>
                    <w:rPr>
                      <w:szCs w:val="21"/>
                    </w:rPr>
                    <w:t>排放标准（mg/m</w:t>
                  </w:r>
                  <w:r>
                    <w:rPr>
                      <w:szCs w:val="21"/>
                      <w:vertAlign w:val="superscript"/>
                    </w:rPr>
                    <w:t>3</w:t>
                  </w:r>
                  <w:r>
                    <w:rPr>
                      <w:szCs w:val="21"/>
                    </w:rPr>
                    <w:t>）</w:t>
                  </w:r>
                </w:p>
              </w:tc>
            </w:tr>
            <w:tr w14:paraId="6EF88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68" w:hRule="atLeast"/>
                <w:jc w:val="center"/>
              </w:trPr>
              <w:tc>
                <w:tcPr>
                  <w:tcW w:w="92" w:type="pct"/>
                  <w:vMerge w:val="continue"/>
                  <w:vAlign w:val="center"/>
                </w:tcPr>
                <w:p w14:paraId="4D88CA65">
                  <w:pPr>
                    <w:widowControl/>
                    <w:adjustRightInd w:val="0"/>
                    <w:snapToGrid w:val="0"/>
                    <w:jc w:val="center"/>
                    <w:rPr>
                      <w:szCs w:val="21"/>
                    </w:rPr>
                  </w:pPr>
                </w:p>
              </w:tc>
              <w:tc>
                <w:tcPr>
                  <w:tcW w:w="350" w:type="pct"/>
                  <w:vMerge w:val="continue"/>
                  <w:vAlign w:val="center"/>
                </w:tcPr>
                <w:p w14:paraId="47D320CB">
                  <w:pPr>
                    <w:widowControl/>
                    <w:adjustRightInd w:val="0"/>
                    <w:snapToGrid w:val="0"/>
                    <w:jc w:val="center"/>
                    <w:rPr>
                      <w:szCs w:val="21"/>
                    </w:rPr>
                  </w:pPr>
                </w:p>
              </w:tc>
              <w:tc>
                <w:tcPr>
                  <w:tcW w:w="418" w:type="pct"/>
                  <w:vMerge w:val="continue"/>
                  <w:vAlign w:val="center"/>
                </w:tcPr>
                <w:p w14:paraId="5A93AC5C">
                  <w:pPr>
                    <w:widowControl/>
                    <w:adjustRightInd w:val="0"/>
                    <w:snapToGrid w:val="0"/>
                    <w:jc w:val="center"/>
                    <w:rPr>
                      <w:szCs w:val="21"/>
                    </w:rPr>
                  </w:pPr>
                </w:p>
              </w:tc>
              <w:tc>
                <w:tcPr>
                  <w:tcW w:w="267" w:type="pct"/>
                  <w:vAlign w:val="center"/>
                </w:tcPr>
                <w:p w14:paraId="2BECEDBD">
                  <w:pPr>
                    <w:widowControl/>
                    <w:adjustRightInd w:val="0"/>
                    <w:snapToGrid w:val="0"/>
                    <w:jc w:val="center"/>
                    <w:rPr>
                      <w:szCs w:val="21"/>
                    </w:rPr>
                  </w:pPr>
                  <w:r>
                    <w:rPr>
                      <w:szCs w:val="21"/>
                    </w:rPr>
                    <w:t>产生量（t/a）</w:t>
                  </w:r>
                </w:p>
              </w:tc>
              <w:tc>
                <w:tcPr>
                  <w:tcW w:w="335" w:type="pct"/>
                  <w:vAlign w:val="center"/>
                </w:tcPr>
                <w:p w14:paraId="43F07EB1">
                  <w:pPr>
                    <w:widowControl/>
                    <w:adjustRightInd w:val="0"/>
                    <w:snapToGrid w:val="0"/>
                    <w:jc w:val="center"/>
                    <w:rPr>
                      <w:szCs w:val="21"/>
                    </w:rPr>
                  </w:pPr>
                  <w:r>
                    <w:rPr>
                      <w:szCs w:val="21"/>
                    </w:rPr>
                    <w:t>产生速率（kg/h）</w:t>
                  </w:r>
                </w:p>
              </w:tc>
              <w:tc>
                <w:tcPr>
                  <w:tcW w:w="703" w:type="pct"/>
                  <w:vAlign w:val="center"/>
                </w:tcPr>
                <w:p w14:paraId="23418D68">
                  <w:pPr>
                    <w:widowControl/>
                    <w:adjustRightInd w:val="0"/>
                    <w:snapToGrid w:val="0"/>
                    <w:jc w:val="center"/>
                    <w:rPr>
                      <w:szCs w:val="21"/>
                    </w:rPr>
                  </w:pPr>
                  <w:r>
                    <w:rPr>
                      <w:szCs w:val="21"/>
                    </w:rPr>
                    <w:t>治理设施</w:t>
                  </w:r>
                </w:p>
              </w:tc>
              <w:tc>
                <w:tcPr>
                  <w:tcW w:w="228" w:type="pct"/>
                  <w:vAlign w:val="center"/>
                </w:tcPr>
                <w:p w14:paraId="43B33EDF">
                  <w:pPr>
                    <w:widowControl/>
                    <w:adjustRightInd w:val="0"/>
                    <w:snapToGrid w:val="0"/>
                    <w:jc w:val="center"/>
                    <w:rPr>
                      <w:szCs w:val="21"/>
                    </w:rPr>
                  </w:pPr>
                  <w:r>
                    <w:rPr>
                      <w:szCs w:val="21"/>
                    </w:rPr>
                    <w:t>收集效率</w:t>
                  </w:r>
                </w:p>
              </w:tc>
              <w:tc>
                <w:tcPr>
                  <w:tcW w:w="355" w:type="pct"/>
                  <w:vAlign w:val="center"/>
                </w:tcPr>
                <w:p w14:paraId="46B61C3B">
                  <w:pPr>
                    <w:widowControl/>
                    <w:adjustRightInd w:val="0"/>
                    <w:snapToGrid w:val="0"/>
                    <w:jc w:val="center"/>
                    <w:rPr>
                      <w:szCs w:val="21"/>
                    </w:rPr>
                  </w:pPr>
                  <w:r>
                    <w:rPr>
                      <w:szCs w:val="21"/>
                    </w:rPr>
                    <w:t>治理工艺去除率</w:t>
                  </w:r>
                </w:p>
              </w:tc>
              <w:tc>
                <w:tcPr>
                  <w:tcW w:w="345" w:type="pct"/>
                  <w:vAlign w:val="center"/>
                </w:tcPr>
                <w:p w14:paraId="72B92849">
                  <w:pPr>
                    <w:widowControl/>
                    <w:adjustRightInd w:val="0"/>
                    <w:snapToGrid w:val="0"/>
                    <w:jc w:val="center"/>
                    <w:rPr>
                      <w:szCs w:val="21"/>
                    </w:rPr>
                  </w:pPr>
                  <w:r>
                    <w:rPr>
                      <w:szCs w:val="21"/>
                    </w:rPr>
                    <w:t>废气量（m</w:t>
                  </w:r>
                  <w:r>
                    <w:rPr>
                      <w:szCs w:val="21"/>
                      <w:vertAlign w:val="superscript"/>
                    </w:rPr>
                    <w:t>3</w:t>
                  </w:r>
                  <w:r>
                    <w:rPr>
                      <w:szCs w:val="21"/>
                    </w:rPr>
                    <w:t>/h）</w:t>
                  </w:r>
                </w:p>
              </w:tc>
              <w:tc>
                <w:tcPr>
                  <w:tcW w:w="262" w:type="pct"/>
                  <w:vMerge w:val="continue"/>
                  <w:vAlign w:val="center"/>
                </w:tcPr>
                <w:p w14:paraId="23E0BF5B">
                  <w:pPr>
                    <w:widowControl/>
                    <w:adjustRightInd w:val="0"/>
                    <w:snapToGrid w:val="0"/>
                    <w:jc w:val="center"/>
                    <w:rPr>
                      <w:szCs w:val="21"/>
                    </w:rPr>
                  </w:pPr>
                </w:p>
              </w:tc>
              <w:tc>
                <w:tcPr>
                  <w:tcW w:w="217" w:type="pct"/>
                  <w:vMerge w:val="continue"/>
                  <w:vAlign w:val="center"/>
                </w:tcPr>
                <w:p w14:paraId="79660B9A">
                  <w:pPr>
                    <w:widowControl/>
                    <w:adjustRightInd w:val="0"/>
                    <w:snapToGrid w:val="0"/>
                    <w:jc w:val="center"/>
                    <w:rPr>
                      <w:szCs w:val="21"/>
                    </w:rPr>
                  </w:pPr>
                </w:p>
              </w:tc>
              <w:tc>
                <w:tcPr>
                  <w:tcW w:w="267" w:type="pct"/>
                  <w:vAlign w:val="center"/>
                </w:tcPr>
                <w:p w14:paraId="033AD2A3">
                  <w:pPr>
                    <w:widowControl/>
                    <w:adjustRightInd w:val="0"/>
                    <w:snapToGrid w:val="0"/>
                    <w:jc w:val="center"/>
                    <w:rPr>
                      <w:szCs w:val="21"/>
                    </w:rPr>
                  </w:pPr>
                  <w:r>
                    <w:rPr>
                      <w:szCs w:val="21"/>
                    </w:rPr>
                    <w:t>排放量（t/a）</w:t>
                  </w:r>
                </w:p>
              </w:tc>
              <w:tc>
                <w:tcPr>
                  <w:tcW w:w="335" w:type="pct"/>
                  <w:vAlign w:val="center"/>
                </w:tcPr>
                <w:p w14:paraId="34B62F6A">
                  <w:pPr>
                    <w:widowControl/>
                    <w:adjustRightInd w:val="0"/>
                    <w:snapToGrid w:val="0"/>
                    <w:jc w:val="center"/>
                    <w:rPr>
                      <w:szCs w:val="21"/>
                    </w:rPr>
                  </w:pPr>
                  <w:r>
                    <w:rPr>
                      <w:szCs w:val="21"/>
                    </w:rPr>
                    <w:t>排放速率（kg/h）</w:t>
                  </w:r>
                </w:p>
              </w:tc>
              <w:tc>
                <w:tcPr>
                  <w:tcW w:w="413" w:type="pct"/>
                  <w:vAlign w:val="center"/>
                </w:tcPr>
                <w:p w14:paraId="284918D0">
                  <w:pPr>
                    <w:widowControl/>
                    <w:adjustRightInd w:val="0"/>
                    <w:snapToGrid w:val="0"/>
                    <w:jc w:val="center"/>
                    <w:rPr>
                      <w:szCs w:val="21"/>
                    </w:rPr>
                  </w:pPr>
                  <w:r>
                    <w:rPr>
                      <w:szCs w:val="21"/>
                    </w:rPr>
                    <w:t>排放浓度（mg/m</w:t>
                  </w:r>
                  <w:r>
                    <w:rPr>
                      <w:szCs w:val="21"/>
                      <w:vertAlign w:val="superscript"/>
                    </w:rPr>
                    <w:t>3</w:t>
                  </w:r>
                  <w:r>
                    <w:rPr>
                      <w:szCs w:val="21"/>
                    </w:rPr>
                    <w:t>）</w:t>
                  </w:r>
                </w:p>
              </w:tc>
              <w:tc>
                <w:tcPr>
                  <w:tcW w:w="413" w:type="pct"/>
                  <w:vMerge w:val="continue"/>
                  <w:vAlign w:val="center"/>
                </w:tcPr>
                <w:p w14:paraId="0A0281D7">
                  <w:pPr>
                    <w:widowControl/>
                    <w:adjustRightInd w:val="0"/>
                    <w:snapToGrid w:val="0"/>
                    <w:jc w:val="center"/>
                    <w:rPr>
                      <w:szCs w:val="21"/>
                    </w:rPr>
                  </w:pPr>
                </w:p>
              </w:tc>
            </w:tr>
            <w:tr w14:paraId="3BC2E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3" w:hRule="atLeast"/>
                <w:jc w:val="center"/>
              </w:trPr>
              <w:tc>
                <w:tcPr>
                  <w:tcW w:w="92" w:type="pct"/>
                  <w:vAlign w:val="center"/>
                </w:tcPr>
                <w:p w14:paraId="29BC3916">
                  <w:pPr>
                    <w:adjustRightInd w:val="0"/>
                    <w:snapToGrid w:val="0"/>
                    <w:jc w:val="center"/>
                    <w:rPr>
                      <w:szCs w:val="21"/>
                    </w:rPr>
                  </w:pPr>
                  <w:r>
                    <w:rPr>
                      <w:szCs w:val="21"/>
                    </w:rPr>
                    <w:t>有</w:t>
                  </w:r>
                </w:p>
                <w:p w14:paraId="48CA1417">
                  <w:pPr>
                    <w:adjustRightInd w:val="0"/>
                    <w:snapToGrid w:val="0"/>
                    <w:jc w:val="center"/>
                    <w:rPr>
                      <w:szCs w:val="21"/>
                    </w:rPr>
                  </w:pPr>
                  <w:r>
                    <w:rPr>
                      <w:szCs w:val="21"/>
                    </w:rPr>
                    <w:t>组</w:t>
                  </w:r>
                </w:p>
                <w:p w14:paraId="3C0F2775">
                  <w:pPr>
                    <w:adjustRightInd w:val="0"/>
                    <w:snapToGrid w:val="0"/>
                    <w:jc w:val="center"/>
                    <w:rPr>
                      <w:szCs w:val="21"/>
                    </w:rPr>
                  </w:pPr>
                  <w:r>
                    <w:rPr>
                      <w:szCs w:val="21"/>
                    </w:rPr>
                    <w:t>织</w:t>
                  </w:r>
                </w:p>
              </w:tc>
              <w:tc>
                <w:tcPr>
                  <w:tcW w:w="350" w:type="pct"/>
                  <w:vAlign w:val="center"/>
                </w:tcPr>
                <w:p w14:paraId="17A91C6D">
                  <w:pPr>
                    <w:adjustRightInd w:val="0"/>
                    <w:snapToGrid w:val="0"/>
                    <w:jc w:val="center"/>
                    <w:rPr>
                      <w:szCs w:val="21"/>
                    </w:rPr>
                  </w:pPr>
                  <w:r>
                    <w:rPr>
                      <w:rFonts w:hint="eastAsia"/>
                      <w:szCs w:val="21"/>
                    </w:rPr>
                    <w:t>烘干</w:t>
                  </w:r>
                  <w:r>
                    <w:rPr>
                      <w:szCs w:val="21"/>
                    </w:rPr>
                    <w:t>、拉丝</w:t>
                  </w:r>
                  <w:r>
                    <w:rPr>
                      <w:rFonts w:hint="eastAsia"/>
                      <w:szCs w:val="21"/>
                    </w:rPr>
                    <w:t>工序</w:t>
                  </w:r>
                </w:p>
              </w:tc>
              <w:tc>
                <w:tcPr>
                  <w:tcW w:w="418" w:type="pct"/>
                  <w:vAlign w:val="center"/>
                </w:tcPr>
                <w:p w14:paraId="2786E97B">
                  <w:pPr>
                    <w:adjustRightInd w:val="0"/>
                    <w:snapToGrid w:val="0"/>
                    <w:jc w:val="center"/>
                    <w:rPr>
                      <w:szCs w:val="21"/>
                    </w:rPr>
                  </w:pPr>
                  <w:r>
                    <w:rPr>
                      <w:rFonts w:hint="eastAsia"/>
                      <w:szCs w:val="21"/>
                    </w:rPr>
                    <w:t>非甲烷总烃</w:t>
                  </w:r>
                </w:p>
              </w:tc>
              <w:tc>
                <w:tcPr>
                  <w:tcW w:w="267" w:type="pct"/>
                  <w:vAlign w:val="center"/>
                </w:tcPr>
                <w:p w14:paraId="027A9D65">
                  <w:pPr>
                    <w:widowControl/>
                    <w:adjustRightInd w:val="0"/>
                    <w:snapToGrid w:val="0"/>
                    <w:jc w:val="center"/>
                    <w:rPr>
                      <w:szCs w:val="21"/>
                    </w:rPr>
                  </w:pPr>
                  <w:r>
                    <w:rPr>
                      <w:rFonts w:hint="eastAsia"/>
                      <w:szCs w:val="21"/>
                    </w:rPr>
                    <w:t>1.5782</w:t>
                  </w:r>
                </w:p>
              </w:tc>
              <w:tc>
                <w:tcPr>
                  <w:tcW w:w="335" w:type="pct"/>
                  <w:vAlign w:val="center"/>
                </w:tcPr>
                <w:p w14:paraId="572E440A">
                  <w:pPr>
                    <w:adjustRightInd w:val="0"/>
                    <w:snapToGrid w:val="0"/>
                    <w:jc w:val="center"/>
                    <w:rPr>
                      <w:szCs w:val="21"/>
                    </w:rPr>
                  </w:pPr>
                  <w:r>
                    <w:rPr>
                      <w:rFonts w:hint="eastAsia"/>
                      <w:szCs w:val="21"/>
                    </w:rPr>
                    <w:t>7.515</w:t>
                  </w:r>
                </w:p>
              </w:tc>
              <w:tc>
                <w:tcPr>
                  <w:tcW w:w="703" w:type="pct"/>
                  <w:vAlign w:val="center"/>
                </w:tcPr>
                <w:p w14:paraId="56118EBB">
                  <w:pPr>
                    <w:adjustRightInd w:val="0"/>
                    <w:snapToGrid w:val="0"/>
                    <w:jc w:val="center"/>
                    <w:rPr>
                      <w:spacing w:val="-8"/>
                      <w:szCs w:val="21"/>
                    </w:rPr>
                  </w:pPr>
                  <w:r>
                    <w:rPr>
                      <w:rFonts w:hint="eastAsia"/>
                      <w:spacing w:val="-8"/>
                      <w:kern w:val="0"/>
                      <w:szCs w:val="21"/>
                    </w:rPr>
                    <w:t>烘干废气</w:t>
                  </w:r>
                  <w:r>
                    <w:rPr>
                      <w:spacing w:val="-8"/>
                      <w:kern w:val="0"/>
                      <w:szCs w:val="21"/>
                    </w:rPr>
                    <w:t>经管道集气，拉丝废气经集气罩集气，废气进入</w:t>
                  </w:r>
                  <w:r>
                    <w:rPr>
                      <w:rFonts w:asciiTheme="minorEastAsia" w:hAnsiTheme="minorEastAsia" w:eastAsiaTheme="minorEastAsia"/>
                      <w:spacing w:val="-8"/>
                      <w:kern w:val="0"/>
                      <w:szCs w:val="21"/>
                    </w:rPr>
                    <w:t>“</w:t>
                  </w:r>
                  <w:r>
                    <w:rPr>
                      <w:rFonts w:hint="eastAsia" w:asciiTheme="minorEastAsia" w:hAnsiTheme="minorEastAsia" w:eastAsiaTheme="minorEastAsia"/>
                      <w:spacing w:val="-8"/>
                      <w:kern w:val="0"/>
                      <w:szCs w:val="21"/>
                    </w:rPr>
                    <w:t>除雾器</w:t>
                  </w:r>
                  <w:r>
                    <w:rPr>
                      <w:rFonts w:asciiTheme="minorEastAsia" w:hAnsiTheme="minorEastAsia" w:eastAsiaTheme="minorEastAsia"/>
                      <w:spacing w:val="-8"/>
                      <w:kern w:val="0"/>
                      <w:szCs w:val="21"/>
                    </w:rPr>
                    <w:t>+</w:t>
                  </w:r>
                  <w:r>
                    <w:rPr>
                      <w:rFonts w:hint="eastAsia" w:asciiTheme="minorEastAsia" w:hAnsiTheme="minorEastAsia" w:eastAsiaTheme="minorEastAsia"/>
                      <w:spacing w:val="-8"/>
                      <w:kern w:val="0"/>
                      <w:szCs w:val="21"/>
                    </w:rPr>
                    <w:t>二级活性炭吸附装置</w:t>
                  </w:r>
                  <w:r>
                    <w:rPr>
                      <w:rFonts w:eastAsiaTheme="minorEastAsia"/>
                      <w:spacing w:val="-8"/>
                      <w:kern w:val="0"/>
                      <w:szCs w:val="21"/>
                    </w:rPr>
                    <w:t>”</w:t>
                  </w:r>
                  <w:r>
                    <w:rPr>
                      <w:rFonts w:hAnsiTheme="minorEastAsia" w:eastAsiaTheme="minorEastAsia"/>
                      <w:spacing w:val="-8"/>
                      <w:kern w:val="0"/>
                      <w:szCs w:val="21"/>
                    </w:rPr>
                    <w:t>处</w:t>
                  </w:r>
                  <w:r>
                    <w:rPr>
                      <w:spacing w:val="-8"/>
                      <w:kern w:val="0"/>
                      <w:szCs w:val="21"/>
                    </w:rPr>
                    <w:t>理</w:t>
                  </w:r>
                </w:p>
              </w:tc>
              <w:tc>
                <w:tcPr>
                  <w:tcW w:w="228" w:type="pct"/>
                  <w:vAlign w:val="center"/>
                </w:tcPr>
                <w:p w14:paraId="560A5D2F">
                  <w:pPr>
                    <w:widowControl/>
                    <w:adjustRightInd w:val="0"/>
                    <w:snapToGrid w:val="0"/>
                    <w:jc w:val="center"/>
                    <w:rPr>
                      <w:szCs w:val="21"/>
                    </w:rPr>
                  </w:pPr>
                  <w:r>
                    <w:rPr>
                      <w:rFonts w:hAnsiTheme="majorEastAsia" w:eastAsiaTheme="majorEastAsia"/>
                      <w:kern w:val="0"/>
                      <w:szCs w:val="21"/>
                    </w:rPr>
                    <w:t>90</w:t>
                  </w:r>
                  <w:r>
                    <w:rPr>
                      <w:rFonts w:hint="eastAsia" w:hAnsiTheme="majorEastAsia" w:eastAsiaTheme="majorEastAsia"/>
                      <w:kern w:val="0"/>
                      <w:szCs w:val="21"/>
                    </w:rPr>
                    <w:t>%</w:t>
                  </w:r>
                </w:p>
              </w:tc>
              <w:tc>
                <w:tcPr>
                  <w:tcW w:w="355" w:type="pct"/>
                  <w:vAlign w:val="center"/>
                </w:tcPr>
                <w:p w14:paraId="5E093A4A">
                  <w:pPr>
                    <w:widowControl/>
                    <w:adjustRightInd w:val="0"/>
                    <w:snapToGrid w:val="0"/>
                    <w:jc w:val="center"/>
                    <w:rPr>
                      <w:szCs w:val="21"/>
                    </w:rPr>
                  </w:pPr>
                  <w:r>
                    <w:rPr>
                      <w:rFonts w:hAnsiTheme="majorEastAsia" w:eastAsiaTheme="majorEastAsia"/>
                      <w:kern w:val="0"/>
                      <w:szCs w:val="21"/>
                    </w:rPr>
                    <w:t>85</w:t>
                  </w:r>
                  <w:r>
                    <w:rPr>
                      <w:rFonts w:hint="eastAsia" w:hAnsiTheme="majorEastAsia" w:eastAsiaTheme="majorEastAsia"/>
                      <w:kern w:val="0"/>
                      <w:szCs w:val="21"/>
                    </w:rPr>
                    <w:t>%</w:t>
                  </w:r>
                </w:p>
              </w:tc>
              <w:tc>
                <w:tcPr>
                  <w:tcW w:w="345" w:type="pct"/>
                  <w:vAlign w:val="center"/>
                </w:tcPr>
                <w:p w14:paraId="466C649A">
                  <w:pPr>
                    <w:adjustRightInd w:val="0"/>
                    <w:snapToGrid w:val="0"/>
                    <w:jc w:val="center"/>
                    <w:rPr>
                      <w:szCs w:val="21"/>
                    </w:rPr>
                  </w:pPr>
                  <w:r>
                    <w:rPr>
                      <w:szCs w:val="21"/>
                    </w:rPr>
                    <w:t>8</w:t>
                  </w:r>
                  <w:r>
                    <w:rPr>
                      <w:rFonts w:hint="eastAsia"/>
                      <w:szCs w:val="21"/>
                    </w:rPr>
                    <w:t>000</w:t>
                  </w:r>
                </w:p>
              </w:tc>
              <w:tc>
                <w:tcPr>
                  <w:tcW w:w="262" w:type="pct"/>
                  <w:vAlign w:val="center"/>
                </w:tcPr>
                <w:p w14:paraId="6587D4FC">
                  <w:pPr>
                    <w:widowControl/>
                    <w:adjustRightInd w:val="0"/>
                    <w:snapToGrid w:val="0"/>
                    <w:jc w:val="center"/>
                    <w:rPr>
                      <w:szCs w:val="21"/>
                    </w:rPr>
                  </w:pPr>
                  <w:r>
                    <w:rPr>
                      <w:szCs w:val="21"/>
                    </w:rPr>
                    <w:t>DA001</w:t>
                  </w:r>
                </w:p>
              </w:tc>
              <w:tc>
                <w:tcPr>
                  <w:tcW w:w="217" w:type="pct"/>
                  <w:vAlign w:val="center"/>
                </w:tcPr>
                <w:p w14:paraId="29DEDB39">
                  <w:pPr>
                    <w:pStyle w:val="71"/>
                    <w:adjustRightInd w:val="0"/>
                    <w:snapToGrid w:val="0"/>
                    <w:spacing w:line="240" w:lineRule="auto"/>
                    <w:ind w:firstLine="0" w:firstLineChars="0"/>
                    <w:jc w:val="center"/>
                    <w:rPr>
                      <w:color w:val="auto"/>
                      <w:kern w:val="0"/>
                      <w:sz w:val="21"/>
                      <w:szCs w:val="21"/>
                    </w:rPr>
                  </w:pPr>
                  <w:r>
                    <w:rPr>
                      <w:rFonts w:hint="eastAsia"/>
                      <w:color w:val="auto"/>
                      <w:kern w:val="0"/>
                      <w:sz w:val="21"/>
                      <w:szCs w:val="21"/>
                    </w:rPr>
                    <w:t>15m</w:t>
                  </w:r>
                </w:p>
              </w:tc>
              <w:tc>
                <w:tcPr>
                  <w:tcW w:w="267" w:type="pct"/>
                  <w:vAlign w:val="center"/>
                </w:tcPr>
                <w:p w14:paraId="0F52D8AC">
                  <w:pPr>
                    <w:pStyle w:val="71"/>
                    <w:adjustRightInd w:val="0"/>
                    <w:snapToGrid w:val="0"/>
                    <w:spacing w:line="240" w:lineRule="auto"/>
                    <w:ind w:firstLine="0" w:firstLineChars="0"/>
                    <w:jc w:val="center"/>
                    <w:rPr>
                      <w:color w:val="auto"/>
                      <w:kern w:val="0"/>
                      <w:sz w:val="21"/>
                      <w:szCs w:val="21"/>
                    </w:rPr>
                  </w:pPr>
                  <w:r>
                    <w:rPr>
                      <w:rFonts w:hint="eastAsia"/>
                      <w:color w:val="auto"/>
                      <w:kern w:val="0"/>
                      <w:sz w:val="21"/>
                      <w:szCs w:val="21"/>
                    </w:rPr>
                    <w:t>0.</w:t>
                  </w:r>
                  <w:r>
                    <w:rPr>
                      <w:color w:val="auto"/>
                      <w:kern w:val="0"/>
                      <w:sz w:val="21"/>
                      <w:szCs w:val="21"/>
                    </w:rPr>
                    <w:t>2367</w:t>
                  </w:r>
                </w:p>
              </w:tc>
              <w:tc>
                <w:tcPr>
                  <w:tcW w:w="335" w:type="pct"/>
                  <w:vAlign w:val="center"/>
                </w:tcPr>
                <w:p w14:paraId="49D4F7E5">
                  <w:pPr>
                    <w:pStyle w:val="71"/>
                    <w:adjustRightInd w:val="0"/>
                    <w:snapToGrid w:val="0"/>
                    <w:spacing w:line="240" w:lineRule="auto"/>
                    <w:ind w:firstLine="0" w:firstLineChars="0"/>
                    <w:jc w:val="center"/>
                    <w:rPr>
                      <w:color w:val="auto"/>
                      <w:kern w:val="0"/>
                      <w:sz w:val="21"/>
                      <w:szCs w:val="21"/>
                    </w:rPr>
                  </w:pPr>
                  <w:r>
                    <w:rPr>
                      <w:color w:val="auto"/>
                      <w:kern w:val="0"/>
                      <w:sz w:val="21"/>
                      <w:szCs w:val="21"/>
                    </w:rPr>
                    <w:t>0.1127</w:t>
                  </w:r>
                </w:p>
              </w:tc>
              <w:tc>
                <w:tcPr>
                  <w:tcW w:w="413" w:type="pct"/>
                  <w:vAlign w:val="center"/>
                </w:tcPr>
                <w:p w14:paraId="3C450972">
                  <w:pPr>
                    <w:pStyle w:val="71"/>
                    <w:adjustRightInd w:val="0"/>
                    <w:snapToGrid w:val="0"/>
                    <w:spacing w:line="240" w:lineRule="auto"/>
                    <w:ind w:firstLine="0" w:firstLineChars="0"/>
                    <w:jc w:val="center"/>
                    <w:rPr>
                      <w:color w:val="auto"/>
                      <w:kern w:val="0"/>
                      <w:sz w:val="21"/>
                      <w:szCs w:val="21"/>
                    </w:rPr>
                  </w:pPr>
                  <w:r>
                    <w:rPr>
                      <w:color w:val="auto"/>
                      <w:kern w:val="0"/>
                      <w:sz w:val="21"/>
                      <w:szCs w:val="21"/>
                    </w:rPr>
                    <w:t>14.1</w:t>
                  </w:r>
                </w:p>
              </w:tc>
              <w:tc>
                <w:tcPr>
                  <w:tcW w:w="413" w:type="pct"/>
                  <w:vAlign w:val="center"/>
                </w:tcPr>
                <w:p w14:paraId="6C07AB7D">
                  <w:pPr>
                    <w:widowControl/>
                    <w:adjustRightInd w:val="0"/>
                    <w:snapToGrid w:val="0"/>
                    <w:jc w:val="center"/>
                    <w:rPr>
                      <w:szCs w:val="21"/>
                    </w:rPr>
                  </w:pPr>
                  <w:r>
                    <w:rPr>
                      <w:szCs w:val="21"/>
                    </w:rPr>
                    <w:t>2</w:t>
                  </w:r>
                  <w:r>
                    <w:rPr>
                      <w:rFonts w:hint="eastAsia"/>
                      <w:szCs w:val="21"/>
                    </w:rPr>
                    <w:t>0</w:t>
                  </w:r>
                </w:p>
              </w:tc>
            </w:tr>
            <w:tr w14:paraId="39915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3" w:hRule="atLeast"/>
                <w:jc w:val="center"/>
              </w:trPr>
              <w:tc>
                <w:tcPr>
                  <w:tcW w:w="92" w:type="pct"/>
                  <w:vAlign w:val="center"/>
                </w:tcPr>
                <w:p w14:paraId="773B63AD">
                  <w:pPr>
                    <w:pStyle w:val="71"/>
                    <w:adjustRightInd w:val="0"/>
                    <w:snapToGrid w:val="0"/>
                    <w:spacing w:line="240" w:lineRule="auto"/>
                    <w:ind w:firstLine="0" w:firstLineChars="0"/>
                    <w:jc w:val="center"/>
                    <w:rPr>
                      <w:rFonts w:ascii="宋体" w:hAnsi="宋体"/>
                      <w:color w:val="auto"/>
                      <w:sz w:val="21"/>
                      <w:szCs w:val="21"/>
                    </w:rPr>
                  </w:pPr>
                  <w:r>
                    <w:rPr>
                      <w:rFonts w:ascii="宋体" w:hAnsi="宋体"/>
                      <w:color w:val="auto"/>
                      <w:sz w:val="21"/>
                      <w:szCs w:val="21"/>
                    </w:rPr>
                    <w:t>无</w:t>
                  </w:r>
                </w:p>
                <w:p w14:paraId="3AB9269F">
                  <w:pPr>
                    <w:pStyle w:val="71"/>
                    <w:adjustRightInd w:val="0"/>
                    <w:snapToGrid w:val="0"/>
                    <w:spacing w:line="240" w:lineRule="auto"/>
                    <w:ind w:firstLine="0" w:firstLineChars="0"/>
                    <w:jc w:val="center"/>
                    <w:rPr>
                      <w:rFonts w:ascii="宋体" w:hAnsi="宋体"/>
                      <w:color w:val="auto"/>
                      <w:sz w:val="21"/>
                      <w:szCs w:val="21"/>
                    </w:rPr>
                  </w:pPr>
                  <w:r>
                    <w:rPr>
                      <w:rFonts w:ascii="宋体" w:hAnsi="宋体"/>
                      <w:color w:val="auto"/>
                      <w:sz w:val="21"/>
                      <w:szCs w:val="21"/>
                    </w:rPr>
                    <w:t>组</w:t>
                  </w:r>
                </w:p>
                <w:p w14:paraId="23C03115">
                  <w:pPr>
                    <w:pStyle w:val="71"/>
                    <w:adjustRightInd w:val="0"/>
                    <w:snapToGrid w:val="0"/>
                    <w:spacing w:line="240" w:lineRule="auto"/>
                    <w:ind w:firstLine="0" w:firstLineChars="0"/>
                    <w:jc w:val="center"/>
                    <w:rPr>
                      <w:rFonts w:ascii="宋体" w:hAnsi="宋体"/>
                      <w:bCs/>
                      <w:color w:val="auto"/>
                      <w:sz w:val="21"/>
                      <w:szCs w:val="21"/>
                    </w:rPr>
                  </w:pPr>
                  <w:r>
                    <w:rPr>
                      <w:rFonts w:ascii="宋体" w:hAnsi="宋体"/>
                      <w:color w:val="auto"/>
                      <w:sz w:val="21"/>
                      <w:szCs w:val="21"/>
                    </w:rPr>
                    <w:t>织</w:t>
                  </w:r>
                </w:p>
              </w:tc>
              <w:tc>
                <w:tcPr>
                  <w:tcW w:w="350" w:type="pct"/>
                  <w:vAlign w:val="center"/>
                </w:tcPr>
                <w:p w14:paraId="7813F1F5">
                  <w:pPr>
                    <w:adjustRightInd w:val="0"/>
                    <w:snapToGrid w:val="0"/>
                    <w:jc w:val="center"/>
                    <w:rPr>
                      <w:rFonts w:ascii="宋体" w:hAnsi="宋体"/>
                      <w:szCs w:val="21"/>
                    </w:rPr>
                  </w:pPr>
                  <w:r>
                    <w:rPr>
                      <w:rFonts w:hint="eastAsia" w:ascii="宋体" w:hAnsi="宋体"/>
                      <w:szCs w:val="21"/>
                    </w:rPr>
                    <w:t>拉丝工序</w:t>
                  </w:r>
                </w:p>
              </w:tc>
              <w:tc>
                <w:tcPr>
                  <w:tcW w:w="418" w:type="pct"/>
                  <w:vAlign w:val="center"/>
                </w:tcPr>
                <w:p w14:paraId="7F116D90">
                  <w:pPr>
                    <w:adjustRightInd w:val="0"/>
                    <w:snapToGrid w:val="0"/>
                    <w:jc w:val="center"/>
                    <w:rPr>
                      <w:szCs w:val="21"/>
                    </w:rPr>
                  </w:pPr>
                  <w:r>
                    <w:rPr>
                      <w:rFonts w:hint="eastAsia"/>
                      <w:szCs w:val="21"/>
                    </w:rPr>
                    <w:t>非甲烷总烃</w:t>
                  </w:r>
                </w:p>
              </w:tc>
              <w:tc>
                <w:tcPr>
                  <w:tcW w:w="267" w:type="pct"/>
                  <w:vAlign w:val="center"/>
                </w:tcPr>
                <w:p w14:paraId="199A68EC">
                  <w:pPr>
                    <w:pStyle w:val="71"/>
                    <w:adjustRightInd w:val="0"/>
                    <w:snapToGrid w:val="0"/>
                    <w:spacing w:line="240" w:lineRule="auto"/>
                    <w:ind w:firstLine="0" w:firstLineChars="0"/>
                    <w:jc w:val="center"/>
                    <w:rPr>
                      <w:color w:val="auto"/>
                      <w:kern w:val="0"/>
                      <w:sz w:val="21"/>
                      <w:szCs w:val="21"/>
                    </w:rPr>
                  </w:pPr>
                  <w:r>
                    <w:rPr>
                      <w:rFonts w:hint="eastAsia"/>
                      <w:color w:val="auto"/>
                      <w:kern w:val="0"/>
                      <w:sz w:val="21"/>
                      <w:szCs w:val="21"/>
                    </w:rPr>
                    <w:t>0.1754</w:t>
                  </w:r>
                </w:p>
              </w:tc>
              <w:tc>
                <w:tcPr>
                  <w:tcW w:w="335" w:type="pct"/>
                  <w:vAlign w:val="center"/>
                </w:tcPr>
                <w:p w14:paraId="67859238">
                  <w:pPr>
                    <w:pStyle w:val="71"/>
                    <w:adjustRightInd w:val="0"/>
                    <w:snapToGrid w:val="0"/>
                    <w:spacing w:line="240" w:lineRule="auto"/>
                    <w:ind w:firstLine="0" w:firstLineChars="0"/>
                    <w:jc w:val="center"/>
                    <w:rPr>
                      <w:color w:val="auto"/>
                      <w:kern w:val="0"/>
                      <w:sz w:val="21"/>
                      <w:szCs w:val="21"/>
                    </w:rPr>
                  </w:pPr>
                  <w:r>
                    <w:rPr>
                      <w:rFonts w:hint="eastAsia"/>
                      <w:color w:val="auto"/>
                      <w:kern w:val="0"/>
                      <w:sz w:val="21"/>
                      <w:szCs w:val="21"/>
                    </w:rPr>
                    <w:t>0.0835</w:t>
                  </w:r>
                </w:p>
              </w:tc>
              <w:tc>
                <w:tcPr>
                  <w:tcW w:w="703" w:type="pct"/>
                  <w:vAlign w:val="center"/>
                </w:tcPr>
                <w:p w14:paraId="1CF7364A">
                  <w:pPr>
                    <w:pStyle w:val="71"/>
                    <w:adjustRightInd w:val="0"/>
                    <w:snapToGrid w:val="0"/>
                    <w:spacing w:line="240" w:lineRule="auto"/>
                    <w:ind w:firstLine="0" w:firstLineChars="0"/>
                    <w:jc w:val="center"/>
                    <w:rPr>
                      <w:rFonts w:ascii="宋体" w:hAnsi="宋体"/>
                      <w:bCs/>
                      <w:color w:val="auto"/>
                      <w:sz w:val="21"/>
                      <w:szCs w:val="21"/>
                    </w:rPr>
                  </w:pPr>
                  <w:r>
                    <w:rPr>
                      <w:rFonts w:ascii="宋体" w:hAnsi="宋体"/>
                      <w:bCs/>
                      <w:color w:val="auto"/>
                      <w:sz w:val="21"/>
                      <w:szCs w:val="21"/>
                    </w:rPr>
                    <w:t>二次封闭，降低废气无组织排放</w:t>
                  </w:r>
                </w:p>
              </w:tc>
              <w:tc>
                <w:tcPr>
                  <w:tcW w:w="228" w:type="pct"/>
                  <w:vAlign w:val="center"/>
                </w:tcPr>
                <w:p w14:paraId="45EA75A8">
                  <w:pPr>
                    <w:widowControl/>
                    <w:adjustRightInd w:val="0"/>
                    <w:snapToGrid w:val="0"/>
                    <w:jc w:val="center"/>
                    <w:rPr>
                      <w:szCs w:val="21"/>
                    </w:rPr>
                  </w:pPr>
                  <w:r>
                    <w:rPr>
                      <w:rFonts w:hint="eastAsia"/>
                      <w:szCs w:val="21"/>
                    </w:rPr>
                    <w:t>/</w:t>
                  </w:r>
                </w:p>
              </w:tc>
              <w:tc>
                <w:tcPr>
                  <w:tcW w:w="355" w:type="pct"/>
                  <w:vAlign w:val="center"/>
                </w:tcPr>
                <w:p w14:paraId="2D5C78D1">
                  <w:pPr>
                    <w:widowControl/>
                    <w:adjustRightInd w:val="0"/>
                    <w:snapToGrid w:val="0"/>
                    <w:jc w:val="center"/>
                    <w:rPr>
                      <w:szCs w:val="21"/>
                    </w:rPr>
                  </w:pPr>
                  <w:r>
                    <w:rPr>
                      <w:rFonts w:hint="eastAsia"/>
                      <w:szCs w:val="21"/>
                    </w:rPr>
                    <w:t>/</w:t>
                  </w:r>
                </w:p>
              </w:tc>
              <w:tc>
                <w:tcPr>
                  <w:tcW w:w="345" w:type="pct"/>
                  <w:vAlign w:val="center"/>
                </w:tcPr>
                <w:p w14:paraId="21703890">
                  <w:pPr>
                    <w:widowControl/>
                    <w:adjustRightInd w:val="0"/>
                    <w:snapToGrid w:val="0"/>
                    <w:jc w:val="center"/>
                    <w:rPr>
                      <w:szCs w:val="21"/>
                    </w:rPr>
                  </w:pPr>
                  <w:r>
                    <w:rPr>
                      <w:rFonts w:hint="eastAsia"/>
                      <w:szCs w:val="21"/>
                    </w:rPr>
                    <w:t>/</w:t>
                  </w:r>
                </w:p>
              </w:tc>
              <w:tc>
                <w:tcPr>
                  <w:tcW w:w="262" w:type="pct"/>
                  <w:vAlign w:val="center"/>
                </w:tcPr>
                <w:p w14:paraId="5EB8B0C6">
                  <w:pPr>
                    <w:widowControl/>
                    <w:adjustRightInd w:val="0"/>
                    <w:snapToGrid w:val="0"/>
                    <w:jc w:val="center"/>
                    <w:rPr>
                      <w:szCs w:val="21"/>
                    </w:rPr>
                  </w:pPr>
                  <w:r>
                    <w:rPr>
                      <w:rFonts w:hint="eastAsia"/>
                      <w:szCs w:val="21"/>
                    </w:rPr>
                    <w:t>/</w:t>
                  </w:r>
                </w:p>
              </w:tc>
              <w:tc>
                <w:tcPr>
                  <w:tcW w:w="217" w:type="pct"/>
                  <w:vAlign w:val="center"/>
                </w:tcPr>
                <w:p w14:paraId="4D434B05">
                  <w:pPr>
                    <w:widowControl/>
                    <w:adjustRightInd w:val="0"/>
                    <w:snapToGrid w:val="0"/>
                    <w:jc w:val="center"/>
                    <w:rPr>
                      <w:szCs w:val="21"/>
                    </w:rPr>
                  </w:pPr>
                  <w:r>
                    <w:rPr>
                      <w:rFonts w:hint="eastAsia"/>
                      <w:szCs w:val="21"/>
                    </w:rPr>
                    <w:t>/</w:t>
                  </w:r>
                </w:p>
              </w:tc>
              <w:tc>
                <w:tcPr>
                  <w:tcW w:w="267" w:type="pct"/>
                  <w:vAlign w:val="center"/>
                </w:tcPr>
                <w:p w14:paraId="50FA504E">
                  <w:pPr>
                    <w:pStyle w:val="71"/>
                    <w:adjustRightInd w:val="0"/>
                    <w:snapToGrid w:val="0"/>
                    <w:spacing w:line="240" w:lineRule="auto"/>
                    <w:ind w:firstLine="0" w:firstLineChars="0"/>
                    <w:jc w:val="center"/>
                    <w:rPr>
                      <w:color w:val="auto"/>
                      <w:kern w:val="0"/>
                      <w:sz w:val="21"/>
                      <w:szCs w:val="21"/>
                    </w:rPr>
                  </w:pPr>
                  <w:r>
                    <w:rPr>
                      <w:rFonts w:hint="eastAsia"/>
                      <w:color w:val="auto"/>
                      <w:kern w:val="0"/>
                      <w:sz w:val="21"/>
                      <w:szCs w:val="21"/>
                    </w:rPr>
                    <w:t>0.1754</w:t>
                  </w:r>
                </w:p>
              </w:tc>
              <w:tc>
                <w:tcPr>
                  <w:tcW w:w="335" w:type="pct"/>
                  <w:vAlign w:val="center"/>
                </w:tcPr>
                <w:p w14:paraId="2DFC4204">
                  <w:pPr>
                    <w:pStyle w:val="71"/>
                    <w:adjustRightInd w:val="0"/>
                    <w:snapToGrid w:val="0"/>
                    <w:spacing w:line="240" w:lineRule="auto"/>
                    <w:ind w:firstLine="0" w:firstLineChars="0"/>
                    <w:jc w:val="center"/>
                    <w:rPr>
                      <w:color w:val="auto"/>
                      <w:kern w:val="0"/>
                      <w:sz w:val="21"/>
                      <w:szCs w:val="21"/>
                    </w:rPr>
                  </w:pPr>
                  <w:r>
                    <w:rPr>
                      <w:rFonts w:hint="eastAsia"/>
                      <w:color w:val="auto"/>
                      <w:kern w:val="0"/>
                      <w:sz w:val="21"/>
                      <w:szCs w:val="21"/>
                    </w:rPr>
                    <w:t>0.0835</w:t>
                  </w:r>
                </w:p>
              </w:tc>
              <w:tc>
                <w:tcPr>
                  <w:tcW w:w="413" w:type="pct"/>
                  <w:vAlign w:val="center"/>
                </w:tcPr>
                <w:p w14:paraId="06337E91">
                  <w:pPr>
                    <w:widowControl/>
                    <w:adjustRightInd w:val="0"/>
                    <w:snapToGrid w:val="0"/>
                    <w:jc w:val="center"/>
                    <w:rPr>
                      <w:szCs w:val="21"/>
                    </w:rPr>
                  </w:pPr>
                  <w:r>
                    <w:rPr>
                      <w:szCs w:val="21"/>
                    </w:rPr>
                    <w:t>/</w:t>
                  </w:r>
                </w:p>
              </w:tc>
              <w:tc>
                <w:tcPr>
                  <w:tcW w:w="413" w:type="pct"/>
                  <w:vAlign w:val="center"/>
                </w:tcPr>
                <w:p w14:paraId="68942D24">
                  <w:pPr>
                    <w:widowControl/>
                    <w:adjustRightInd w:val="0"/>
                    <w:snapToGrid w:val="0"/>
                    <w:jc w:val="center"/>
                    <w:rPr>
                      <w:szCs w:val="21"/>
                    </w:rPr>
                  </w:pPr>
                  <w:r>
                    <w:rPr>
                      <w:szCs w:val="21"/>
                    </w:rPr>
                    <w:t>2.0</w:t>
                  </w:r>
                </w:p>
              </w:tc>
            </w:tr>
          </w:tbl>
          <w:p w14:paraId="2ED44257">
            <w:pPr>
              <w:snapToGrid w:val="0"/>
              <w:spacing w:line="360" w:lineRule="auto"/>
              <w:rPr>
                <w:b/>
                <w:bCs/>
                <w:szCs w:val="21"/>
              </w:rPr>
            </w:pPr>
          </w:p>
        </w:tc>
      </w:tr>
    </w:tbl>
    <w:p w14:paraId="09826ECF">
      <w:pPr>
        <w:pStyle w:val="25"/>
        <w:spacing w:before="0" w:beforeAutospacing="0" w:after="0" w:afterAutospacing="0"/>
        <w:rPr>
          <w:rFonts w:ascii="黑体" w:hAnsi="黑体" w:eastAsia="黑体"/>
          <w:snapToGrid w:val="0"/>
          <w:sz w:val="10"/>
          <w:szCs w:val="10"/>
        </w:rPr>
        <w:sectPr>
          <w:pgSz w:w="16840" w:h="11907" w:orient="landscape"/>
          <w:pgMar w:top="1531" w:right="1701" w:bottom="1531" w:left="2127" w:header="851" w:footer="851" w:gutter="0"/>
          <w:cols w:space="720" w:num="1"/>
          <w:docGrid w:linePitch="312" w:charSpace="0"/>
        </w:sectPr>
      </w:pPr>
    </w:p>
    <w:p w14:paraId="2F4E3DA4">
      <w:pPr>
        <w:pStyle w:val="25"/>
        <w:spacing w:before="0" w:beforeAutospacing="0" w:after="0" w:afterAutospacing="0"/>
        <w:rPr>
          <w:rFonts w:ascii="黑体" w:hAnsi="黑体" w:eastAsia="黑体"/>
          <w:snapToGrid w:val="0"/>
          <w:sz w:val="10"/>
          <w:szCs w:val="10"/>
        </w:rPr>
      </w:pPr>
    </w:p>
    <w:tbl>
      <w:tblPr>
        <w:tblStyle w:val="29"/>
        <w:tblW w:w="94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64"/>
        <w:gridCol w:w="9025"/>
      </w:tblGrid>
      <w:tr w14:paraId="7702E9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600" w:hRule="atLeast"/>
          <w:jc w:val="center"/>
        </w:trPr>
        <w:tc>
          <w:tcPr>
            <w:tcW w:w="464" w:type="dxa"/>
            <w:tcMar>
              <w:left w:w="28" w:type="dxa"/>
              <w:right w:w="28" w:type="dxa"/>
            </w:tcMar>
            <w:vAlign w:val="center"/>
          </w:tcPr>
          <w:p w14:paraId="49979FA8">
            <w:pPr>
              <w:adjustRightInd w:val="0"/>
              <w:snapToGrid w:val="0"/>
              <w:jc w:val="center"/>
              <w:rPr>
                <w:bCs/>
                <w:sz w:val="24"/>
              </w:rPr>
            </w:pPr>
            <w:r>
              <w:rPr>
                <w:bCs/>
                <w:sz w:val="24"/>
              </w:rPr>
              <w:t>运营期环境影响和保护措施</w:t>
            </w:r>
          </w:p>
        </w:tc>
        <w:tc>
          <w:tcPr>
            <w:tcW w:w="9025" w:type="dxa"/>
            <w:vAlign w:val="center"/>
          </w:tcPr>
          <w:p w14:paraId="68824A7C">
            <w:pPr>
              <w:adjustRightInd w:val="0"/>
              <w:snapToGrid w:val="0"/>
              <w:spacing w:line="360" w:lineRule="auto"/>
              <w:ind w:firstLine="482" w:firstLineChars="200"/>
              <w:rPr>
                <w:b/>
                <w:sz w:val="24"/>
              </w:rPr>
            </w:pPr>
            <w:r>
              <w:rPr>
                <w:rFonts w:hint="eastAsia"/>
                <w:b/>
                <w:sz w:val="24"/>
              </w:rPr>
              <w:t>1.</w:t>
            </w:r>
            <w:r>
              <w:rPr>
                <w:b/>
                <w:sz w:val="24"/>
              </w:rPr>
              <w:t>2</w:t>
            </w:r>
            <w:r>
              <w:rPr>
                <w:rFonts w:hint="eastAsia"/>
                <w:b/>
                <w:sz w:val="24"/>
              </w:rPr>
              <w:t>废气</w:t>
            </w:r>
          </w:p>
          <w:p w14:paraId="20269D88">
            <w:pPr>
              <w:adjustRightInd w:val="0"/>
              <w:snapToGrid w:val="0"/>
              <w:spacing w:line="360" w:lineRule="auto"/>
              <w:ind w:firstLine="482" w:firstLineChars="200"/>
              <w:rPr>
                <w:b/>
                <w:sz w:val="24"/>
              </w:rPr>
            </w:pPr>
            <w:r>
              <w:rPr>
                <w:rFonts w:hint="eastAsia"/>
                <w:b/>
                <w:sz w:val="24"/>
              </w:rPr>
              <w:t>（1）有机废气产排分析</w:t>
            </w:r>
          </w:p>
          <w:p w14:paraId="112A36FE">
            <w:pPr>
              <w:adjustRightInd w:val="0"/>
              <w:snapToGrid w:val="0"/>
              <w:spacing w:line="360" w:lineRule="auto"/>
              <w:ind w:firstLine="480" w:firstLineChars="200"/>
              <w:rPr>
                <w:bCs/>
                <w:sz w:val="24"/>
              </w:rPr>
            </w:pPr>
            <w:r>
              <w:rPr>
                <w:rFonts w:hint="eastAsia"/>
                <w:bCs/>
                <w:sz w:val="24"/>
              </w:rPr>
              <w:t>本项目烘干</w:t>
            </w:r>
            <w:r>
              <w:rPr>
                <w:bCs/>
                <w:sz w:val="24"/>
              </w:rPr>
              <w:t>工序温度为</w:t>
            </w:r>
            <w:r>
              <w:rPr>
                <w:rFonts w:hint="eastAsia"/>
                <w:bCs/>
                <w:sz w:val="24"/>
              </w:rPr>
              <w:t>80℃</w:t>
            </w:r>
            <w:r>
              <w:rPr>
                <w:bCs/>
                <w:sz w:val="24"/>
              </w:rPr>
              <w:t>，</w:t>
            </w:r>
            <w:r>
              <w:rPr>
                <w:rFonts w:hint="eastAsia"/>
                <w:bCs/>
                <w:sz w:val="24"/>
              </w:rPr>
              <w:t>而PET最高</w:t>
            </w:r>
            <w:r>
              <w:rPr>
                <w:bCs/>
                <w:sz w:val="24"/>
              </w:rPr>
              <w:t>使用温度可达</w:t>
            </w:r>
            <w:r>
              <w:rPr>
                <w:rFonts w:hint="eastAsia"/>
                <w:bCs/>
                <w:sz w:val="24"/>
              </w:rPr>
              <w:t>140℃</w:t>
            </w:r>
            <w:r>
              <w:rPr>
                <w:bCs/>
                <w:sz w:val="24"/>
              </w:rPr>
              <w:t>，</w:t>
            </w:r>
            <w:r>
              <w:rPr>
                <w:rFonts w:hint="eastAsia"/>
                <w:bCs/>
                <w:sz w:val="24"/>
              </w:rPr>
              <w:t>PBT最高</w:t>
            </w:r>
            <w:r>
              <w:rPr>
                <w:bCs/>
                <w:sz w:val="24"/>
              </w:rPr>
              <w:t>使用温度可达</w:t>
            </w:r>
            <w:r>
              <w:rPr>
                <w:rFonts w:hint="eastAsia"/>
                <w:bCs/>
                <w:sz w:val="24"/>
              </w:rPr>
              <w:t>1</w:t>
            </w:r>
            <w:r>
              <w:rPr>
                <w:bCs/>
                <w:sz w:val="24"/>
              </w:rPr>
              <w:t>5</w:t>
            </w:r>
            <w:r>
              <w:rPr>
                <w:rFonts w:hint="eastAsia"/>
                <w:bCs/>
                <w:sz w:val="24"/>
              </w:rPr>
              <w:t>0℃</w:t>
            </w:r>
            <w:r>
              <w:rPr>
                <w:bCs/>
                <w:sz w:val="24"/>
              </w:rPr>
              <w:t>，</w:t>
            </w:r>
            <w:r>
              <w:rPr>
                <w:rFonts w:hint="eastAsia"/>
                <w:bCs/>
                <w:sz w:val="24"/>
              </w:rPr>
              <w:t>因此80℃</w:t>
            </w:r>
            <w:r>
              <w:rPr>
                <w:bCs/>
                <w:sz w:val="24"/>
              </w:rPr>
              <w:t>下原料性质稳定，未达到软化和</w:t>
            </w:r>
            <w:r>
              <w:rPr>
                <w:rFonts w:hint="eastAsia"/>
                <w:bCs/>
                <w:sz w:val="24"/>
              </w:rPr>
              <w:t>分解</w:t>
            </w:r>
            <w:r>
              <w:rPr>
                <w:bCs/>
                <w:sz w:val="24"/>
              </w:rPr>
              <w:t>温度，</w:t>
            </w:r>
            <w:r>
              <w:rPr>
                <w:rFonts w:hint="eastAsia"/>
                <w:bCs/>
                <w:sz w:val="24"/>
              </w:rPr>
              <w:t>烘干</w:t>
            </w:r>
            <w:r>
              <w:rPr>
                <w:bCs/>
                <w:sz w:val="24"/>
              </w:rPr>
              <w:t>主要目的是</w:t>
            </w:r>
            <w:r>
              <w:rPr>
                <w:rFonts w:hint="eastAsia"/>
                <w:bCs/>
                <w:sz w:val="24"/>
              </w:rPr>
              <w:t>烘干</w:t>
            </w:r>
            <w:r>
              <w:rPr>
                <w:bCs/>
                <w:sz w:val="24"/>
              </w:rPr>
              <w:t>原料表面的水分，以及少量残留的挥发性单体，</w:t>
            </w:r>
            <w:r>
              <w:rPr>
                <w:rFonts w:hint="eastAsia"/>
                <w:bCs/>
                <w:sz w:val="24"/>
              </w:rPr>
              <w:t>以</w:t>
            </w:r>
            <w:r>
              <w:rPr>
                <w:bCs/>
                <w:sz w:val="24"/>
              </w:rPr>
              <w:t>非甲烷总烃计，</w:t>
            </w:r>
            <w:r>
              <w:rPr>
                <w:rFonts w:hint="eastAsia"/>
                <w:bCs/>
                <w:sz w:val="24"/>
              </w:rPr>
              <w:t>由于</w:t>
            </w:r>
            <w:r>
              <w:rPr>
                <w:bCs/>
                <w:sz w:val="24"/>
              </w:rPr>
              <w:t>这部分废气产生量较小，本次评价不再定量分析其产生量，</w:t>
            </w:r>
            <w:r>
              <w:rPr>
                <w:rFonts w:hint="eastAsia"/>
                <w:bCs/>
                <w:sz w:val="24"/>
              </w:rPr>
              <w:t>该工序</w:t>
            </w:r>
            <w:r>
              <w:rPr>
                <w:bCs/>
                <w:sz w:val="24"/>
              </w:rPr>
              <w:t>是拉丝工序的预处理工序，评价将其</w:t>
            </w:r>
            <w:r>
              <w:rPr>
                <w:rFonts w:hint="eastAsia"/>
                <w:bCs/>
                <w:sz w:val="24"/>
              </w:rPr>
              <w:t>与</w:t>
            </w:r>
            <w:r>
              <w:rPr>
                <w:bCs/>
                <w:sz w:val="24"/>
              </w:rPr>
              <w:t>拉丝工序</w:t>
            </w:r>
            <w:r>
              <w:rPr>
                <w:rFonts w:hint="eastAsia"/>
                <w:bCs/>
                <w:sz w:val="24"/>
              </w:rPr>
              <w:t>合并</w:t>
            </w:r>
            <w:r>
              <w:rPr>
                <w:bCs/>
                <w:sz w:val="24"/>
              </w:rPr>
              <w:t>考虑</w:t>
            </w:r>
            <w:r>
              <w:rPr>
                <w:rFonts w:hint="eastAsia"/>
                <w:bCs/>
                <w:sz w:val="24"/>
              </w:rPr>
              <w:t>；项目</w:t>
            </w:r>
            <w:r>
              <w:rPr>
                <w:bCs/>
                <w:sz w:val="24"/>
              </w:rPr>
              <w:t>磨尖工序采用湿式工艺，因此本项目</w:t>
            </w:r>
            <w:r>
              <w:rPr>
                <w:rFonts w:hint="eastAsia"/>
                <w:bCs/>
                <w:sz w:val="24"/>
              </w:rPr>
              <w:t>生产过程中产生的废气主要为拉丝过程</w:t>
            </w:r>
            <w:r>
              <w:rPr>
                <w:bCs/>
                <w:sz w:val="24"/>
              </w:rPr>
              <w:t>中产生的非甲烷总烃</w:t>
            </w:r>
            <w:r>
              <w:rPr>
                <w:rFonts w:hint="eastAsia"/>
                <w:bCs/>
                <w:sz w:val="24"/>
              </w:rPr>
              <w:t>。</w:t>
            </w:r>
          </w:p>
          <w:p w14:paraId="5E8E6EDA">
            <w:pPr>
              <w:pStyle w:val="71"/>
              <w:spacing w:line="360" w:lineRule="auto"/>
              <w:ind w:firstLine="480"/>
              <w:rPr>
                <w:color w:val="auto"/>
                <w:szCs w:val="24"/>
              </w:rPr>
            </w:pPr>
            <w:r>
              <w:rPr>
                <w:color w:val="auto"/>
                <w:szCs w:val="24"/>
              </w:rPr>
              <w:t>本项目设置</w:t>
            </w:r>
            <w:r>
              <w:rPr>
                <w:rFonts w:hint="eastAsia"/>
                <w:color w:val="auto"/>
                <w:szCs w:val="24"/>
              </w:rPr>
              <w:t>1</w:t>
            </w:r>
            <w:r>
              <w:rPr>
                <w:color w:val="auto"/>
                <w:szCs w:val="24"/>
              </w:rPr>
              <w:t>台</w:t>
            </w:r>
            <w:r>
              <w:rPr>
                <w:rFonts w:hint="eastAsia"/>
                <w:color w:val="auto"/>
                <w:szCs w:val="24"/>
              </w:rPr>
              <w:t>电烘干</w:t>
            </w:r>
            <w:r>
              <w:rPr>
                <w:color w:val="auto"/>
                <w:szCs w:val="24"/>
              </w:rPr>
              <w:t>机</w:t>
            </w:r>
            <w:r>
              <w:rPr>
                <w:rFonts w:hint="eastAsia"/>
                <w:color w:val="auto"/>
                <w:szCs w:val="24"/>
              </w:rPr>
              <w:t>和</w:t>
            </w:r>
            <w:r>
              <w:rPr>
                <w:color w:val="auto"/>
                <w:szCs w:val="24"/>
              </w:rPr>
              <w:t>2</w:t>
            </w:r>
            <w:r>
              <w:rPr>
                <w:rFonts w:hint="eastAsia"/>
                <w:color w:val="auto"/>
                <w:szCs w:val="24"/>
              </w:rPr>
              <w:t>台拉丝机</w:t>
            </w:r>
            <w:r>
              <w:rPr>
                <w:color w:val="auto"/>
                <w:szCs w:val="24"/>
              </w:rPr>
              <w:t>，</w:t>
            </w:r>
            <w:r>
              <w:rPr>
                <w:rFonts w:hint="eastAsia"/>
                <w:color w:val="auto"/>
                <w:szCs w:val="24"/>
              </w:rPr>
              <w:t>烘干及</w:t>
            </w:r>
            <w:r>
              <w:rPr>
                <w:color w:val="auto"/>
                <w:szCs w:val="24"/>
              </w:rPr>
              <w:t>拉丝过程中产生的有机废气源强参考</w:t>
            </w:r>
            <w:r>
              <w:rPr>
                <w:rFonts w:hint="eastAsia"/>
                <w:color w:val="auto"/>
                <w:szCs w:val="24"/>
              </w:rPr>
              <w:t>参考</w:t>
            </w:r>
            <w:r>
              <w:rPr>
                <w:rFonts w:hint="eastAsia"/>
              </w:rPr>
              <w:t>《空气污染物排放和控制手册工业污染源调查与研究第二辑》（美国环保局制）》中相关数据，一般塑料热熔过程中非甲烷总烃计产污系数为</w:t>
            </w:r>
            <w:r>
              <w:t>0.35kg/t-</w:t>
            </w:r>
            <w:r>
              <w:rPr>
                <w:rFonts w:hint="eastAsia"/>
              </w:rPr>
              <w:t>原料</w:t>
            </w:r>
            <w:r>
              <w:rPr>
                <w:color w:val="auto"/>
                <w:szCs w:val="24"/>
              </w:rPr>
              <w:t>，本项目</w:t>
            </w:r>
            <w:r>
              <w:rPr>
                <w:rFonts w:hint="eastAsia"/>
                <w:color w:val="auto"/>
                <w:szCs w:val="24"/>
              </w:rPr>
              <w:t>年用</w:t>
            </w:r>
            <w:r>
              <w:rPr>
                <w:color w:val="auto"/>
                <w:szCs w:val="24"/>
              </w:rPr>
              <w:t>PET</w:t>
            </w:r>
            <w:r>
              <w:rPr>
                <w:rFonts w:hint="eastAsia"/>
                <w:color w:val="auto"/>
                <w:szCs w:val="24"/>
              </w:rPr>
              <w:t>和PBT量</w:t>
            </w:r>
            <w:r>
              <w:rPr>
                <w:color w:val="auto"/>
                <w:szCs w:val="24"/>
              </w:rPr>
              <w:t>为</w:t>
            </w:r>
            <w:r>
              <w:rPr>
                <w:rFonts w:hint="eastAsia"/>
                <w:color w:val="auto"/>
                <w:szCs w:val="24"/>
              </w:rPr>
              <w:t>50</w:t>
            </w:r>
            <w:r>
              <w:rPr>
                <w:color w:val="auto"/>
                <w:szCs w:val="24"/>
              </w:rPr>
              <w:t>10t，</w:t>
            </w:r>
            <w:r>
              <w:rPr>
                <w:rFonts w:hint="eastAsia"/>
                <w:color w:val="auto"/>
                <w:szCs w:val="24"/>
              </w:rPr>
              <w:t>年工作时间约</w:t>
            </w:r>
            <w:r>
              <w:rPr>
                <w:color w:val="auto"/>
                <w:szCs w:val="24"/>
              </w:rPr>
              <w:t>2100</w:t>
            </w:r>
            <w:r>
              <w:rPr>
                <w:rFonts w:hint="eastAsia"/>
                <w:color w:val="auto"/>
                <w:szCs w:val="24"/>
              </w:rPr>
              <w:t>小时</w:t>
            </w:r>
            <w:r>
              <w:rPr>
                <w:color w:val="auto"/>
                <w:szCs w:val="24"/>
              </w:rPr>
              <w:t>，则</w:t>
            </w:r>
            <w:r>
              <w:rPr>
                <w:rFonts w:hint="eastAsia"/>
                <w:color w:val="auto"/>
                <w:szCs w:val="24"/>
              </w:rPr>
              <w:t>非甲烷总烃</w:t>
            </w:r>
            <w:r>
              <w:rPr>
                <w:color w:val="auto"/>
                <w:szCs w:val="24"/>
              </w:rPr>
              <w:t>产生量约1.7535t/a</w:t>
            </w:r>
            <w:r>
              <w:rPr>
                <w:rFonts w:hint="eastAsia"/>
                <w:color w:val="auto"/>
                <w:szCs w:val="24"/>
              </w:rPr>
              <w:t>、</w:t>
            </w:r>
            <w:r>
              <w:rPr>
                <w:color w:val="auto"/>
                <w:szCs w:val="24"/>
              </w:rPr>
              <w:t>产生速率</w:t>
            </w:r>
            <w:r>
              <w:rPr>
                <w:rFonts w:hint="eastAsia"/>
                <w:color w:val="auto"/>
                <w:szCs w:val="24"/>
              </w:rPr>
              <w:t>约</w:t>
            </w:r>
            <w:r>
              <w:rPr>
                <w:color w:val="auto"/>
                <w:szCs w:val="24"/>
              </w:rPr>
              <w:t>0.835kg/h。</w:t>
            </w:r>
          </w:p>
          <w:p w14:paraId="62D44EA5">
            <w:pPr>
              <w:pStyle w:val="71"/>
              <w:spacing w:line="360" w:lineRule="auto"/>
              <w:ind w:firstLine="482"/>
              <w:rPr>
                <w:b/>
                <w:szCs w:val="24"/>
                <w:u w:val="single"/>
              </w:rPr>
            </w:pPr>
            <w:r>
              <w:rPr>
                <w:b/>
                <w:color w:val="auto"/>
                <w:szCs w:val="24"/>
                <w:u w:val="single"/>
              </w:rPr>
              <w:t>本次评价要求</w:t>
            </w:r>
            <w:r>
              <w:rPr>
                <w:rFonts w:hint="eastAsia"/>
                <w:b/>
                <w:color w:val="auto"/>
                <w:szCs w:val="24"/>
                <w:u w:val="single"/>
              </w:rPr>
              <w:t>电</w:t>
            </w:r>
            <w:r>
              <w:rPr>
                <w:b/>
                <w:color w:val="auto"/>
                <w:szCs w:val="24"/>
                <w:u w:val="single"/>
              </w:rPr>
              <w:t>烘干设备产生的烘干废气经管道</w:t>
            </w:r>
            <w:r>
              <w:rPr>
                <w:rFonts w:hint="eastAsia"/>
                <w:b/>
                <w:color w:val="auto"/>
                <w:szCs w:val="24"/>
                <w:u w:val="single"/>
              </w:rPr>
              <w:t>集气</w:t>
            </w:r>
            <w:r>
              <w:rPr>
                <w:b/>
                <w:color w:val="auto"/>
                <w:szCs w:val="24"/>
                <w:u w:val="single"/>
              </w:rPr>
              <w:t>，企业</w:t>
            </w:r>
            <w:r>
              <w:rPr>
                <w:rFonts w:hint="eastAsia"/>
                <w:b/>
                <w:color w:val="auto"/>
                <w:szCs w:val="24"/>
                <w:u w:val="single"/>
              </w:rPr>
              <w:t>拟</w:t>
            </w:r>
            <w:r>
              <w:rPr>
                <w:b/>
                <w:color w:val="auto"/>
                <w:szCs w:val="24"/>
                <w:u w:val="single"/>
              </w:rPr>
              <w:t>对2</w:t>
            </w:r>
            <w:r>
              <w:rPr>
                <w:rFonts w:hint="eastAsia"/>
                <w:b/>
                <w:color w:val="auto"/>
                <w:szCs w:val="24"/>
                <w:u w:val="single"/>
              </w:rPr>
              <w:t>台</w:t>
            </w:r>
            <w:r>
              <w:rPr>
                <w:b/>
                <w:color w:val="auto"/>
                <w:szCs w:val="24"/>
                <w:u w:val="single"/>
              </w:rPr>
              <w:t>拉丝机工位</w:t>
            </w:r>
            <w:r>
              <w:rPr>
                <w:rFonts w:hint="eastAsia"/>
                <w:b/>
                <w:color w:val="auto"/>
                <w:szCs w:val="24"/>
                <w:u w:val="single"/>
              </w:rPr>
              <w:t>设置一个</w:t>
            </w:r>
            <w:r>
              <w:rPr>
                <w:b/>
                <w:color w:val="auto"/>
                <w:szCs w:val="24"/>
                <w:u w:val="single"/>
              </w:rPr>
              <w:t>密闭的负压集气罩，</w:t>
            </w:r>
            <w:r>
              <w:rPr>
                <w:rFonts w:hint="eastAsia"/>
                <w:b/>
                <w:color w:val="auto"/>
                <w:szCs w:val="24"/>
                <w:u w:val="single"/>
              </w:rPr>
              <w:t>尺寸为</w:t>
            </w:r>
            <w:r>
              <w:rPr>
                <w:b/>
                <w:color w:val="auto"/>
                <w:szCs w:val="24"/>
                <w:u w:val="single"/>
              </w:rPr>
              <w:t>1m</w:t>
            </w:r>
            <w:r>
              <w:rPr>
                <w:rFonts w:hint="eastAsia"/>
                <w:b/>
                <w:color w:val="auto"/>
                <w:szCs w:val="24"/>
                <w:u w:val="single"/>
              </w:rPr>
              <w:t>（长）</w:t>
            </w:r>
            <w:r>
              <w:rPr>
                <w:b/>
                <w:color w:val="auto"/>
                <w:szCs w:val="24"/>
                <w:u w:val="single"/>
              </w:rPr>
              <w:t>*1.0m</w:t>
            </w:r>
            <w:r>
              <w:rPr>
                <w:rFonts w:hint="eastAsia"/>
                <w:b/>
                <w:color w:val="auto"/>
                <w:szCs w:val="24"/>
                <w:u w:val="single"/>
              </w:rPr>
              <w:t>（宽）</w:t>
            </w:r>
            <w:r>
              <w:rPr>
                <w:b/>
                <w:color w:val="auto"/>
                <w:szCs w:val="24"/>
                <w:u w:val="single"/>
              </w:rPr>
              <w:t>*1.5m</w:t>
            </w:r>
            <w:r>
              <w:rPr>
                <w:rFonts w:hint="eastAsia"/>
                <w:b/>
                <w:color w:val="auto"/>
                <w:szCs w:val="24"/>
                <w:u w:val="single"/>
              </w:rPr>
              <w:t>（高），生产</w:t>
            </w:r>
            <w:r>
              <w:rPr>
                <w:b/>
                <w:color w:val="auto"/>
                <w:szCs w:val="24"/>
                <w:u w:val="single"/>
              </w:rPr>
              <w:t>时集气罩扣在挤出设备挤出口处，</w:t>
            </w:r>
            <w:r>
              <w:rPr>
                <w:rFonts w:hint="eastAsia"/>
                <w:b/>
                <w:color w:val="auto"/>
                <w:szCs w:val="24"/>
                <w:u w:val="single"/>
              </w:rPr>
              <w:t>将</w:t>
            </w:r>
            <w:r>
              <w:rPr>
                <w:b/>
                <w:color w:val="auto"/>
                <w:szCs w:val="24"/>
                <w:u w:val="single"/>
              </w:rPr>
              <w:t>有机废气</w:t>
            </w:r>
            <w:r>
              <w:rPr>
                <w:rFonts w:hint="eastAsia"/>
                <w:b/>
                <w:color w:val="auto"/>
                <w:szCs w:val="24"/>
                <w:u w:val="single"/>
              </w:rPr>
              <w:t>负压</w:t>
            </w:r>
            <w:r>
              <w:rPr>
                <w:b/>
                <w:color w:val="auto"/>
                <w:szCs w:val="24"/>
                <w:u w:val="single"/>
              </w:rPr>
              <w:t>收集后</w:t>
            </w:r>
            <w:r>
              <w:rPr>
                <w:b/>
                <w:u w:val="single"/>
              </w:rPr>
              <w:t>引至1套</w:t>
            </w:r>
            <w:r>
              <w:rPr>
                <w:rFonts w:hint="eastAsia"/>
                <w:b/>
                <w:u w:val="single"/>
              </w:rPr>
              <w:t>除雾器+二级</w:t>
            </w:r>
            <w:r>
              <w:rPr>
                <w:b/>
                <w:u w:val="single"/>
              </w:rPr>
              <w:t>活性炭吸附装置（TA001）</w:t>
            </w:r>
            <w:r>
              <w:rPr>
                <w:rFonts w:hint="eastAsia"/>
                <w:b/>
                <w:u w:val="single"/>
              </w:rPr>
              <w:t>处理</w:t>
            </w:r>
            <w:r>
              <w:rPr>
                <w:b/>
                <w:u w:val="single"/>
              </w:rPr>
              <w:t>，由1根15m高排气筒（DA001）达标排放。</w:t>
            </w:r>
            <w:r>
              <w:rPr>
                <w:rFonts w:ascii="宋体" w:hAnsi="宋体"/>
                <w:b/>
                <w:u w:val="single"/>
              </w:rPr>
              <w:t>单台</w:t>
            </w:r>
            <w:r>
              <w:rPr>
                <w:rFonts w:hint="eastAsia" w:ascii="宋体" w:hAnsi="宋体"/>
                <w:b/>
                <w:u w:val="single"/>
              </w:rPr>
              <w:t>密闭集气罩</w:t>
            </w:r>
            <w:r>
              <w:rPr>
                <w:rFonts w:ascii="宋体" w:hAnsi="宋体"/>
                <w:b/>
                <w:u w:val="single"/>
              </w:rPr>
              <w:t>开口面积约</w:t>
            </w:r>
            <w:r>
              <w:rPr>
                <w:b/>
                <w:u w:val="single"/>
              </w:rPr>
              <w:t>0.5m</w:t>
            </w:r>
            <w:r>
              <w:rPr>
                <w:b/>
                <w:u w:val="single"/>
                <w:vertAlign w:val="superscript"/>
              </w:rPr>
              <w:t>2</w:t>
            </w:r>
            <w:r>
              <w:rPr>
                <w:rFonts w:ascii="宋体" w:hAnsi="宋体"/>
                <w:b/>
                <w:u w:val="single"/>
              </w:rPr>
              <w:t>，罩口平均风速为</w:t>
            </w:r>
            <w:r>
              <w:rPr>
                <w:b/>
                <w:u w:val="single"/>
              </w:rPr>
              <w:t>0.8m/s</w:t>
            </w:r>
            <w:r>
              <w:rPr>
                <w:rFonts w:ascii="宋体" w:hAnsi="宋体"/>
                <w:b/>
                <w:u w:val="single"/>
              </w:rPr>
              <w:t>。</w:t>
            </w:r>
            <w:r>
              <w:rPr>
                <w:rFonts w:hint="eastAsia" w:ascii="宋体" w:hAnsi="宋体"/>
                <w:b/>
                <w:u w:val="single"/>
              </w:rPr>
              <w:t>风机</w:t>
            </w:r>
            <w:r>
              <w:rPr>
                <w:rFonts w:ascii="宋体" w:hAnsi="宋体"/>
                <w:b/>
                <w:u w:val="single"/>
              </w:rPr>
              <w:t>风量依据下式计算：</w:t>
            </w:r>
          </w:p>
          <w:p w14:paraId="0867B97D">
            <w:pPr>
              <w:pStyle w:val="71"/>
              <w:spacing w:line="360" w:lineRule="auto"/>
              <w:ind w:firstLine="482"/>
              <w:jc w:val="center"/>
              <w:rPr>
                <w:rFonts w:ascii="宋体" w:hAnsi="宋体"/>
                <w:b/>
                <w:u w:val="single"/>
              </w:rPr>
            </w:pPr>
            <w:r>
              <w:rPr>
                <w:rFonts w:hint="eastAsia"/>
                <w:b/>
                <w:u w:val="single"/>
              </w:rPr>
              <w:t>L</w:t>
            </w:r>
            <w:r>
              <w:rPr>
                <w:rFonts w:hint="eastAsia"/>
                <w:b/>
                <w:u w:val="single"/>
                <w:vertAlign w:val="subscript"/>
              </w:rPr>
              <w:t>3</w:t>
            </w:r>
            <w:r>
              <w:rPr>
                <w:b/>
                <w:u w:val="single"/>
              </w:rPr>
              <w:t>=V</w:t>
            </w:r>
            <w:r>
              <w:rPr>
                <w:rFonts w:hint="eastAsia" w:ascii="宋体" w:hAnsi="宋体"/>
                <w:b/>
                <w:u w:val="single"/>
              </w:rPr>
              <w:t>×</w:t>
            </w:r>
            <w:r>
              <w:rPr>
                <w:b/>
                <w:u w:val="single"/>
              </w:rPr>
              <w:t>F</w:t>
            </w:r>
            <w:r>
              <w:rPr>
                <w:rFonts w:hint="eastAsia" w:ascii="宋体" w:hAnsi="宋体"/>
                <w:b/>
                <w:u w:val="single"/>
              </w:rPr>
              <w:t>×</w:t>
            </w:r>
            <w:r>
              <w:rPr>
                <w:b/>
                <w:u w:val="single"/>
              </w:rPr>
              <w:t xml:space="preserve">3600             </w:t>
            </w:r>
            <w:r>
              <w:rPr>
                <w:rFonts w:hint="eastAsia" w:ascii="宋体" w:hAnsi="宋体"/>
                <w:b/>
                <w:u w:val="single"/>
              </w:rPr>
              <w:t>公式</w:t>
            </w:r>
            <w:r>
              <w:rPr>
                <w:rFonts w:ascii="宋体" w:hAnsi="宋体"/>
                <w:b/>
                <w:u w:val="single"/>
              </w:rPr>
              <w:t>（</w:t>
            </w:r>
            <w:r>
              <w:rPr>
                <w:rFonts w:hint="eastAsia"/>
                <w:b/>
                <w:u w:val="single"/>
              </w:rPr>
              <w:t>1</w:t>
            </w:r>
            <w:r>
              <w:rPr>
                <w:rFonts w:ascii="宋体" w:hAnsi="宋体"/>
                <w:b/>
                <w:u w:val="single"/>
              </w:rPr>
              <w:t>）</w:t>
            </w:r>
          </w:p>
          <w:p w14:paraId="6BB85D14">
            <w:pPr>
              <w:pStyle w:val="71"/>
              <w:spacing w:line="360" w:lineRule="auto"/>
              <w:ind w:firstLine="482"/>
              <w:rPr>
                <w:rFonts w:hint="eastAsia"/>
                <w:b/>
                <w:u w:val="single"/>
              </w:rPr>
            </w:pPr>
            <w:r>
              <w:rPr>
                <w:rFonts w:hint="eastAsia" w:ascii="宋体" w:hAnsi="宋体"/>
                <w:b/>
                <w:u w:val="single"/>
              </w:rPr>
              <w:t>式中：</w:t>
            </w:r>
            <w:r>
              <w:rPr>
                <w:rFonts w:hint="eastAsia"/>
                <w:b/>
                <w:u w:val="single"/>
              </w:rPr>
              <w:t>L</w:t>
            </w:r>
            <w:r>
              <w:rPr>
                <w:rFonts w:hint="eastAsia"/>
                <w:b/>
                <w:u w:val="single"/>
                <w:vertAlign w:val="subscript"/>
              </w:rPr>
              <w:t>3</w:t>
            </w:r>
            <w:r>
              <w:rPr>
                <w:b/>
                <w:u w:val="single"/>
              </w:rPr>
              <w:t>—</w:t>
            </w:r>
            <w:r>
              <w:rPr>
                <w:rFonts w:ascii="宋体" w:hAnsi="宋体"/>
                <w:b/>
                <w:u w:val="single"/>
              </w:rPr>
              <w:t>顶吸罩的计算风量，</w:t>
            </w:r>
            <w:r>
              <w:rPr>
                <w:b/>
                <w:u w:val="single"/>
              </w:rPr>
              <w:t>m</w:t>
            </w:r>
            <w:r>
              <w:rPr>
                <w:b/>
                <w:u w:val="single"/>
                <w:vertAlign w:val="superscript"/>
              </w:rPr>
              <w:t>3</w:t>
            </w:r>
            <w:r>
              <w:rPr>
                <w:b/>
                <w:u w:val="single"/>
              </w:rPr>
              <w:t>/h</w:t>
            </w:r>
            <w:r>
              <w:rPr>
                <w:rFonts w:hint="eastAsia" w:ascii="宋体" w:hAnsi="宋体"/>
                <w:b/>
                <w:u w:val="single"/>
              </w:rPr>
              <w:t>；</w:t>
            </w:r>
          </w:p>
          <w:p w14:paraId="7A98A812">
            <w:pPr>
              <w:pStyle w:val="71"/>
              <w:spacing w:line="360" w:lineRule="auto"/>
              <w:ind w:firstLine="482"/>
              <w:rPr>
                <w:b/>
                <w:u w:val="single"/>
              </w:rPr>
            </w:pPr>
            <w:r>
              <w:rPr>
                <w:rFonts w:hint="eastAsia"/>
                <w:b/>
                <w:u w:val="single"/>
              </w:rPr>
              <w:t>V</w:t>
            </w:r>
            <w:r>
              <w:rPr>
                <w:b/>
                <w:u w:val="single"/>
              </w:rPr>
              <w:t>—</w:t>
            </w:r>
            <w:r>
              <w:rPr>
                <w:rFonts w:ascii="宋体" w:hAnsi="宋体"/>
                <w:b/>
                <w:u w:val="single"/>
              </w:rPr>
              <w:t>罩口平均风速，</w:t>
            </w:r>
            <w:r>
              <w:rPr>
                <w:b/>
                <w:u w:val="single"/>
              </w:rPr>
              <w:t>m/s</w:t>
            </w:r>
            <w:r>
              <w:rPr>
                <w:rFonts w:hint="eastAsia" w:ascii="宋体" w:hAnsi="宋体"/>
                <w:b/>
                <w:u w:val="single"/>
              </w:rPr>
              <w:t>，</w:t>
            </w:r>
            <w:r>
              <w:rPr>
                <w:rFonts w:ascii="宋体" w:hAnsi="宋体"/>
                <w:b/>
                <w:u w:val="single"/>
              </w:rPr>
              <w:t>可取</w:t>
            </w:r>
            <w:r>
              <w:rPr>
                <w:rFonts w:hint="eastAsia"/>
                <w:b/>
                <w:u w:val="single"/>
              </w:rPr>
              <w:t>0.</w:t>
            </w:r>
            <w:r>
              <w:rPr>
                <w:b/>
                <w:u w:val="single"/>
              </w:rPr>
              <w:t>3-1.0</w:t>
            </w:r>
            <w:r>
              <w:rPr>
                <w:rFonts w:hint="eastAsia" w:ascii="宋体" w:hAnsi="宋体"/>
                <w:b/>
                <w:u w:val="single"/>
              </w:rPr>
              <w:t>；</w:t>
            </w:r>
          </w:p>
          <w:p w14:paraId="43208119">
            <w:pPr>
              <w:pStyle w:val="71"/>
              <w:spacing w:line="360" w:lineRule="auto"/>
              <w:ind w:firstLine="482"/>
              <w:rPr>
                <w:b/>
                <w:u w:val="single"/>
              </w:rPr>
            </w:pPr>
            <w:r>
              <w:rPr>
                <w:rFonts w:hint="eastAsia"/>
                <w:b/>
                <w:u w:val="single"/>
              </w:rPr>
              <w:t>F</w:t>
            </w:r>
            <w:r>
              <w:rPr>
                <w:b/>
                <w:u w:val="single"/>
              </w:rPr>
              <w:t>—</w:t>
            </w:r>
            <w:r>
              <w:rPr>
                <w:rFonts w:ascii="宋体" w:hAnsi="宋体"/>
                <w:b/>
                <w:u w:val="single"/>
              </w:rPr>
              <w:t>排风罩开口面面积，</w:t>
            </w:r>
            <w:r>
              <w:rPr>
                <w:b/>
                <w:u w:val="single"/>
              </w:rPr>
              <w:t>m</w:t>
            </w:r>
            <w:r>
              <w:rPr>
                <w:b/>
                <w:u w:val="single"/>
                <w:vertAlign w:val="superscript"/>
              </w:rPr>
              <w:t>2</w:t>
            </w:r>
            <w:r>
              <w:rPr>
                <w:rFonts w:hint="eastAsia" w:ascii="宋体" w:hAnsi="宋体"/>
                <w:b/>
                <w:u w:val="single"/>
              </w:rPr>
              <w:t>；</w:t>
            </w:r>
          </w:p>
          <w:p w14:paraId="34A08620">
            <w:pPr>
              <w:pStyle w:val="71"/>
              <w:spacing w:line="460" w:lineRule="exact"/>
              <w:ind w:firstLine="482"/>
              <w:rPr>
                <w:b/>
                <w:u w:val="single"/>
              </w:rPr>
            </w:pPr>
            <w:r>
              <w:rPr>
                <w:rFonts w:ascii="宋体" w:hAnsi="宋体"/>
                <w:b/>
                <w:u w:val="single"/>
              </w:rPr>
              <w:t>经计算得到</w:t>
            </w:r>
            <w:r>
              <w:rPr>
                <w:rFonts w:hint="eastAsia" w:ascii="宋体" w:hAnsi="宋体"/>
                <w:b/>
                <w:u w:val="single"/>
              </w:rPr>
              <w:t>单台热熔挤出设备需</w:t>
            </w:r>
            <w:r>
              <w:rPr>
                <w:rFonts w:ascii="宋体" w:hAnsi="宋体"/>
                <w:b/>
                <w:u w:val="single"/>
              </w:rPr>
              <w:t>风量</w:t>
            </w:r>
            <w:r>
              <w:rPr>
                <w:b/>
                <w:u w:val="single"/>
              </w:rPr>
              <w:t>2880m</w:t>
            </w:r>
            <w:r>
              <w:rPr>
                <w:b/>
                <w:u w:val="single"/>
                <w:vertAlign w:val="superscript"/>
              </w:rPr>
              <w:t>3</w:t>
            </w:r>
            <w:r>
              <w:rPr>
                <w:b/>
                <w:u w:val="single"/>
              </w:rPr>
              <w:t>/h</w:t>
            </w:r>
            <w:r>
              <w:rPr>
                <w:rFonts w:ascii="宋体" w:hAnsi="宋体"/>
                <w:b/>
                <w:u w:val="single"/>
              </w:rPr>
              <w:t>，</w:t>
            </w:r>
            <w:r>
              <w:rPr>
                <w:rFonts w:hint="eastAsia" w:ascii="宋体" w:hAnsi="宋体"/>
                <w:b/>
                <w:u w:val="single"/>
              </w:rPr>
              <w:t>考虑风阻，企业拟</w:t>
            </w:r>
            <w:r>
              <w:rPr>
                <w:rFonts w:hint="eastAsia"/>
                <w:b/>
                <w:u w:val="single"/>
              </w:rPr>
              <w:t>配备</w:t>
            </w:r>
            <w:r>
              <w:rPr>
                <w:b/>
                <w:u w:val="single"/>
              </w:rPr>
              <w:t>风机风量为8000m</w:t>
            </w:r>
            <w:r>
              <w:rPr>
                <w:b/>
                <w:u w:val="single"/>
                <w:vertAlign w:val="superscript"/>
              </w:rPr>
              <w:t>3</w:t>
            </w:r>
            <w:r>
              <w:rPr>
                <w:b/>
                <w:u w:val="single"/>
              </w:rPr>
              <w:t>/h，废气集气效率按90%计，</w:t>
            </w:r>
            <w:r>
              <w:rPr>
                <w:rFonts w:hint="eastAsia"/>
                <w:b/>
                <w:u w:val="single"/>
              </w:rPr>
              <w:t>活性炭吸附</w:t>
            </w:r>
            <w:r>
              <w:rPr>
                <w:b/>
                <w:u w:val="single"/>
              </w:rPr>
              <w:t>效率以85%计，则</w:t>
            </w:r>
            <w:r>
              <w:rPr>
                <w:rFonts w:hint="eastAsia"/>
                <w:b/>
                <w:u w:val="single"/>
              </w:rPr>
              <w:t>有机废气</w:t>
            </w:r>
            <w:r>
              <w:rPr>
                <w:b/>
                <w:u w:val="single"/>
              </w:rPr>
              <w:t>有组织</w:t>
            </w:r>
            <w:r>
              <w:rPr>
                <w:rFonts w:hint="eastAsia"/>
                <w:b/>
                <w:u w:val="single"/>
              </w:rPr>
              <w:t>产生量为</w:t>
            </w:r>
            <w:r>
              <w:rPr>
                <w:b/>
                <w:u w:val="single"/>
              </w:rPr>
              <w:t>1.5782</w:t>
            </w:r>
            <w:r>
              <w:rPr>
                <w:rFonts w:hint="eastAsia"/>
                <w:b/>
                <w:u w:val="single"/>
              </w:rPr>
              <w:t>t/a，有组织</w:t>
            </w:r>
            <w:r>
              <w:rPr>
                <w:b/>
                <w:u w:val="single"/>
              </w:rPr>
              <w:t>排放量为0.2367t/a，排放速率为0.1127kg/h，排放浓度为14.1mg/m</w:t>
            </w:r>
            <w:r>
              <w:rPr>
                <w:b/>
                <w:u w:val="single"/>
                <w:vertAlign w:val="superscript"/>
              </w:rPr>
              <w:t>3</w:t>
            </w:r>
            <w:r>
              <w:rPr>
                <w:b/>
                <w:u w:val="single"/>
              </w:rPr>
              <w:t>，</w:t>
            </w:r>
            <w:r>
              <w:rPr>
                <w:rFonts w:hint="eastAsia"/>
                <w:b/>
                <w:u w:val="single"/>
              </w:rPr>
              <w:t>单位</w:t>
            </w:r>
            <w:r>
              <w:rPr>
                <w:b/>
                <w:u w:val="single"/>
              </w:rPr>
              <w:t>产品非甲烷总烃排放量</w:t>
            </w:r>
            <w:r>
              <w:rPr>
                <w:rFonts w:hint="eastAsia"/>
                <w:b/>
                <w:u w:val="single"/>
              </w:rPr>
              <w:t>0.0</w:t>
            </w:r>
            <w:r>
              <w:rPr>
                <w:b/>
                <w:u w:val="single"/>
              </w:rPr>
              <w:t>473kg/t</w:t>
            </w:r>
            <w:r>
              <w:rPr>
                <w:rFonts w:hint="eastAsia"/>
                <w:b/>
                <w:u w:val="single"/>
              </w:rPr>
              <w:t>，</w:t>
            </w:r>
            <w:r>
              <w:rPr>
                <w:b/>
                <w:u w:val="single"/>
              </w:rPr>
              <w:t>满足《合成树脂工业污染物排放标准》（GB31572-2015）</w:t>
            </w:r>
            <w:r>
              <w:rPr>
                <w:rFonts w:hint="eastAsia"/>
                <w:b/>
                <w:u w:val="single"/>
              </w:rPr>
              <w:t>（含2024年</w:t>
            </w:r>
            <w:r>
              <w:rPr>
                <w:b/>
                <w:u w:val="single"/>
              </w:rPr>
              <w:t>修改单）表5有组织排放限值要求（排放浓度≤60mg/m</w:t>
            </w:r>
            <w:r>
              <w:rPr>
                <w:b/>
                <w:u w:val="single"/>
                <w:vertAlign w:val="superscript"/>
              </w:rPr>
              <w:t>3</w:t>
            </w:r>
            <w:r>
              <w:rPr>
                <w:b/>
                <w:u w:val="single"/>
              </w:rPr>
              <w:t>，单位产品非甲烷总烃排放量0.3kg/t产品）、《河南省重污染天气重点行业应急减排措施制定技术指南》（2024年修订版）塑料制品行业NMHC≤20mg/m</w:t>
            </w:r>
            <w:r>
              <w:rPr>
                <w:b/>
                <w:u w:val="single"/>
                <w:vertAlign w:val="superscript"/>
              </w:rPr>
              <w:t>3</w:t>
            </w:r>
            <w:r>
              <w:rPr>
                <w:b/>
                <w:u w:val="single"/>
              </w:rPr>
              <w:t>要求</w:t>
            </w:r>
            <w:r>
              <w:rPr>
                <w:rFonts w:hint="eastAsia"/>
                <w:b/>
                <w:u w:val="single"/>
              </w:rPr>
              <w:t>。</w:t>
            </w:r>
          </w:p>
          <w:p w14:paraId="1EB8199B">
            <w:pPr>
              <w:pStyle w:val="138"/>
              <w:widowControl/>
              <w:autoSpaceDE/>
              <w:autoSpaceDN/>
              <w:spacing w:line="360" w:lineRule="auto"/>
              <w:ind w:firstLine="480" w:firstLineChars="200"/>
              <w:textAlignment w:val="auto"/>
              <w:rPr>
                <w:rFonts w:eastAsia="宋体"/>
                <w:bCs/>
                <w:kern w:val="2"/>
              </w:rPr>
            </w:pPr>
            <w:r>
              <w:rPr>
                <w:rFonts w:hint="eastAsia" w:eastAsia="宋体"/>
                <w:bCs/>
                <w:kern w:val="2"/>
              </w:rPr>
              <w:t>拉丝</w:t>
            </w:r>
            <w:r>
              <w:rPr>
                <w:rFonts w:eastAsia="宋体"/>
                <w:bCs/>
                <w:kern w:val="2"/>
              </w:rPr>
              <w:t>工序非甲烷总烃</w:t>
            </w:r>
            <w:r>
              <w:rPr>
                <w:rFonts w:hint="eastAsia" w:eastAsia="宋体"/>
                <w:bCs/>
                <w:kern w:val="2"/>
              </w:rPr>
              <w:t>无组织排放</w:t>
            </w:r>
            <w:r>
              <w:rPr>
                <w:rFonts w:eastAsia="宋体"/>
                <w:bCs/>
                <w:kern w:val="2"/>
              </w:rPr>
              <w:t>量为</w:t>
            </w:r>
            <w:r>
              <w:rPr>
                <w:rFonts w:hint="eastAsia" w:eastAsia="宋体"/>
                <w:bCs/>
                <w:kern w:val="2"/>
              </w:rPr>
              <w:t>0.</w:t>
            </w:r>
            <w:r>
              <w:rPr>
                <w:rFonts w:eastAsia="宋体"/>
                <w:bCs/>
                <w:kern w:val="2"/>
              </w:rPr>
              <w:t>1754t/a</w:t>
            </w:r>
            <w:r>
              <w:rPr>
                <w:rFonts w:hint="eastAsia" w:eastAsia="宋体"/>
                <w:bCs/>
                <w:kern w:val="2"/>
              </w:rPr>
              <w:t>，</w:t>
            </w:r>
            <w:r>
              <w:rPr>
                <w:rFonts w:eastAsia="宋体"/>
                <w:bCs/>
                <w:kern w:val="2"/>
              </w:rPr>
              <w:t>排放速率</w:t>
            </w:r>
            <w:r>
              <w:rPr>
                <w:rFonts w:hint="eastAsia" w:eastAsia="宋体"/>
                <w:bCs/>
                <w:kern w:val="2"/>
              </w:rPr>
              <w:t>为0.0835</w:t>
            </w:r>
            <w:r>
              <w:rPr>
                <w:rFonts w:eastAsia="宋体"/>
                <w:bCs/>
                <w:kern w:val="2"/>
              </w:rPr>
              <w:t>kg/h</w:t>
            </w:r>
            <w:r>
              <w:rPr>
                <w:rFonts w:hint="eastAsia" w:eastAsia="宋体"/>
                <w:bCs/>
                <w:kern w:val="2"/>
              </w:rPr>
              <w:t>。</w:t>
            </w:r>
          </w:p>
          <w:p w14:paraId="73273132">
            <w:pPr>
              <w:pStyle w:val="11"/>
              <w:spacing w:line="360" w:lineRule="auto"/>
              <w:ind w:firstLine="482"/>
              <w:rPr>
                <w:b/>
                <w:sz w:val="24"/>
                <w:u w:val="single"/>
              </w:rPr>
            </w:pPr>
            <w:r>
              <w:rPr>
                <w:rFonts w:hint="eastAsia"/>
                <w:b/>
                <w:sz w:val="24"/>
                <w:u w:val="single"/>
              </w:rPr>
              <w:t>（</w:t>
            </w:r>
            <w:r>
              <w:rPr>
                <w:b/>
                <w:sz w:val="24"/>
                <w:u w:val="single"/>
              </w:rPr>
              <w:t>2</w:t>
            </w:r>
            <w:r>
              <w:rPr>
                <w:rFonts w:hint="eastAsia"/>
                <w:b/>
                <w:sz w:val="24"/>
                <w:u w:val="single"/>
              </w:rPr>
              <w:t>）废气治理设施可行性</w:t>
            </w:r>
            <w:r>
              <w:rPr>
                <w:b/>
                <w:sz w:val="24"/>
                <w:u w:val="single"/>
              </w:rPr>
              <w:t>分析</w:t>
            </w:r>
          </w:p>
          <w:p w14:paraId="1FC86906">
            <w:pPr>
              <w:pStyle w:val="11"/>
              <w:spacing w:line="360" w:lineRule="auto"/>
              <w:ind w:firstLine="482"/>
              <w:rPr>
                <w:b/>
                <w:sz w:val="24"/>
                <w:u w:val="single"/>
              </w:rPr>
            </w:pPr>
            <w:r>
              <w:rPr>
                <w:rFonts w:hint="eastAsia"/>
                <w:b/>
                <w:sz w:val="24"/>
                <w:u w:val="single"/>
              </w:rPr>
              <w:t>二级活性炭吸附装置：</w:t>
            </w:r>
            <w:r>
              <w:rPr>
                <w:b/>
                <w:kern w:val="0"/>
                <w:sz w:val="24"/>
                <w:u w:val="single"/>
              </w:rPr>
              <w:t>活性炭吸附装置的最大优点是在满足经济条件的情况下，可有效去除废气中的挥发性有机气体，因此，在空气污染防治方面，特别适用于处理有机废气浓度低、温度不高的有机废气，一般采取活性炭吸附后，各有机废气污染物的浓度可满足排放标准要求，且活性炭回收、再生方便。为此，活性炭吸附法一般使用在污染控制技术上，设计良好的吸附系统效率可达</w:t>
            </w:r>
            <w:r>
              <w:rPr>
                <w:rFonts w:eastAsia="TimesNewRomanPSMT"/>
                <w:b/>
                <w:kern w:val="0"/>
                <w:sz w:val="24"/>
                <w:u w:val="single"/>
              </w:rPr>
              <w:t>90%</w:t>
            </w:r>
            <w:r>
              <w:rPr>
                <w:b/>
                <w:kern w:val="0"/>
                <w:sz w:val="24"/>
                <w:u w:val="single"/>
              </w:rPr>
              <w:t>以上，设计最大的进气浓度一般可达</w:t>
            </w:r>
            <w:r>
              <w:rPr>
                <w:rFonts w:eastAsia="TimesNewRomanPSMT"/>
                <w:b/>
                <w:kern w:val="0"/>
                <w:sz w:val="24"/>
                <w:u w:val="single"/>
              </w:rPr>
              <w:t>10000ppm</w:t>
            </w:r>
            <w:r>
              <w:rPr>
                <w:b/>
                <w:kern w:val="0"/>
                <w:sz w:val="24"/>
                <w:u w:val="single"/>
              </w:rPr>
              <w:t>，处理后排放浓度一般正常操作下，可以降到</w:t>
            </w:r>
            <w:r>
              <w:rPr>
                <w:rFonts w:eastAsia="TimesNewRomanPSMT"/>
                <w:b/>
                <w:kern w:val="0"/>
                <w:sz w:val="24"/>
                <w:u w:val="single"/>
              </w:rPr>
              <w:t>50~100ppm</w:t>
            </w:r>
            <w:r>
              <w:rPr>
                <w:b/>
                <w:kern w:val="0"/>
                <w:sz w:val="24"/>
                <w:u w:val="single"/>
              </w:rPr>
              <w:t>。可见，活性炭在有机废气处理方面由于吸附效率高、净化彻底、能耗低、工艺成熟、易推广等原因，已经得到了广泛的应用，是</w:t>
            </w:r>
            <w:r>
              <w:rPr>
                <w:b/>
                <w:sz w:val="24"/>
                <w:u w:val="single"/>
              </w:rPr>
              <w:t>《排污许可证申请与核发技术规范橡胶和塑料制品工业》（HJ1122-2020）</w:t>
            </w:r>
            <w:r>
              <w:rPr>
                <w:rFonts w:hint="eastAsia"/>
                <w:b/>
                <w:sz w:val="24"/>
                <w:u w:val="single"/>
              </w:rPr>
              <w:t>附录</w:t>
            </w:r>
            <w:r>
              <w:rPr>
                <w:b/>
                <w:sz w:val="24"/>
                <w:u w:val="single"/>
              </w:rPr>
              <w:t>表</w:t>
            </w:r>
            <w:r>
              <w:rPr>
                <w:rFonts w:hint="eastAsia"/>
                <w:b/>
                <w:sz w:val="24"/>
                <w:u w:val="single"/>
              </w:rPr>
              <w:t>A.</w:t>
            </w:r>
            <w:r>
              <w:rPr>
                <w:b/>
                <w:sz w:val="24"/>
                <w:u w:val="single"/>
              </w:rPr>
              <w:t>2</w:t>
            </w:r>
            <w:r>
              <w:rPr>
                <w:rFonts w:hint="eastAsia"/>
                <w:b/>
                <w:sz w:val="24"/>
                <w:u w:val="single"/>
              </w:rPr>
              <w:t>塑料制品工</w:t>
            </w:r>
            <w:r>
              <w:rPr>
                <w:b/>
                <w:sz w:val="24"/>
                <w:u w:val="single"/>
              </w:rPr>
              <w:t>业</w:t>
            </w:r>
            <w:r>
              <w:rPr>
                <w:rFonts w:hint="eastAsia"/>
                <w:b/>
                <w:sz w:val="24"/>
                <w:u w:val="single"/>
              </w:rPr>
              <w:t>排污</w:t>
            </w:r>
            <w:r>
              <w:rPr>
                <w:b/>
                <w:sz w:val="24"/>
                <w:u w:val="single"/>
              </w:rPr>
              <w:t>单位废气污染防治可行技术参考表</w:t>
            </w:r>
            <w:r>
              <w:rPr>
                <w:rFonts w:hint="eastAsia"/>
                <w:b/>
                <w:sz w:val="24"/>
                <w:u w:val="single"/>
              </w:rPr>
              <w:t>和《河南省重污染天气重点行业应急减排措施制定技术指南》（202</w:t>
            </w:r>
            <w:r>
              <w:rPr>
                <w:b/>
                <w:sz w:val="24"/>
                <w:u w:val="single"/>
              </w:rPr>
              <w:t>4</w:t>
            </w:r>
            <w:r>
              <w:rPr>
                <w:rFonts w:hint="eastAsia"/>
                <w:b/>
                <w:sz w:val="24"/>
                <w:u w:val="single"/>
              </w:rPr>
              <w:t>年修订版）</w:t>
            </w:r>
            <w:r>
              <w:rPr>
                <w:rFonts w:hint="eastAsia"/>
                <w:b/>
                <w:bCs w:val="0"/>
                <w:color w:val="000000"/>
                <w:sz w:val="24"/>
                <w:u w:val="single"/>
              </w:rPr>
              <w:t>塑料制品行业A级企业</w:t>
            </w:r>
            <w:r>
              <w:rPr>
                <w:b/>
                <w:kern w:val="0"/>
                <w:sz w:val="24"/>
                <w:u w:val="single"/>
              </w:rPr>
              <w:t>推荐的含</w:t>
            </w:r>
            <w:r>
              <w:rPr>
                <w:rFonts w:eastAsia="TimesNewRomanPSMT"/>
                <w:b/>
                <w:kern w:val="0"/>
                <w:sz w:val="24"/>
                <w:u w:val="single"/>
              </w:rPr>
              <w:t>VOCs</w:t>
            </w:r>
            <w:r>
              <w:rPr>
                <w:b/>
                <w:kern w:val="0"/>
                <w:sz w:val="24"/>
                <w:u w:val="single"/>
              </w:rPr>
              <w:t>废气净化技术之一。</w:t>
            </w:r>
            <w:r>
              <w:rPr>
                <w:b/>
                <w:sz w:val="24"/>
                <w:u w:val="single"/>
              </w:rPr>
              <w:t>本项目有机废气采用二级活性炭吸附装置处理后，能够达标排放。因此，项目采用二级活性炭吸附装置处理有机废气可行。</w:t>
            </w:r>
          </w:p>
          <w:p w14:paraId="4DFD8580">
            <w:pPr>
              <w:pStyle w:val="11"/>
              <w:spacing w:line="360" w:lineRule="auto"/>
              <w:ind w:firstLine="480"/>
              <w:rPr>
                <w:sz w:val="24"/>
              </w:rPr>
            </w:pPr>
            <w:r>
              <w:rPr>
                <w:rFonts w:hint="eastAsia"/>
                <w:sz w:val="24"/>
              </w:rPr>
              <w:t>（</w:t>
            </w:r>
            <w:r>
              <w:rPr>
                <w:sz w:val="24"/>
              </w:rPr>
              <w:t>3</w:t>
            </w:r>
            <w:r>
              <w:rPr>
                <w:rFonts w:hint="eastAsia"/>
                <w:sz w:val="24"/>
              </w:rPr>
              <w:t>）非正常工况</w:t>
            </w:r>
          </w:p>
          <w:p w14:paraId="699B2AFC">
            <w:pPr>
              <w:spacing w:line="360" w:lineRule="auto"/>
              <w:ind w:firstLine="480"/>
              <w:rPr>
                <w:bCs/>
                <w:sz w:val="24"/>
              </w:rPr>
            </w:pPr>
            <w:r>
              <w:rPr>
                <w:rFonts w:hint="eastAsia"/>
                <w:bCs/>
                <w:sz w:val="24"/>
              </w:rPr>
              <w:t>非正常工况指生产设施非正常工况或污染防治（控制）设施非正常状况，其中生产设施非正常工况指开停机、设备检修、工艺设备运转异常等工况，污染防治（控制）设施非正常状况指达不到应有治理效率或同步运转率等情况。本项目废气非正常工况主要为活性炭吸附装置饱和未及时更换活性炭，导致废气处理效率仅为40%，本项目非正常工况废气排放量核算见表</w:t>
            </w:r>
            <w:r>
              <w:rPr>
                <w:bCs/>
                <w:sz w:val="24"/>
              </w:rPr>
              <w:t>19</w:t>
            </w:r>
            <w:r>
              <w:rPr>
                <w:rFonts w:hint="eastAsia"/>
                <w:bCs/>
                <w:sz w:val="24"/>
              </w:rPr>
              <w:t>。</w:t>
            </w:r>
          </w:p>
          <w:p w14:paraId="33D61B1F">
            <w:pPr>
              <w:jc w:val="center"/>
              <w:rPr>
                <w:b/>
                <w:sz w:val="24"/>
              </w:rPr>
            </w:pPr>
            <w:r>
              <w:rPr>
                <w:rFonts w:hint="eastAsia"/>
                <w:b/>
                <w:sz w:val="24"/>
              </w:rPr>
              <w:t>表</w:t>
            </w:r>
            <w:r>
              <w:rPr>
                <w:b/>
                <w:sz w:val="24"/>
              </w:rPr>
              <w:t>19</w:t>
            </w:r>
            <w:r>
              <w:rPr>
                <w:rFonts w:hint="eastAsia"/>
                <w:b/>
                <w:sz w:val="24"/>
              </w:rPr>
              <w:t xml:space="preserve">   本项目污染源非正常工况废气排放量核算一览表</w:t>
            </w:r>
          </w:p>
          <w:tbl>
            <w:tblPr>
              <w:tblStyle w:val="29"/>
              <w:tblW w:w="87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47"/>
              <w:gridCol w:w="1179"/>
              <w:gridCol w:w="1098"/>
              <w:gridCol w:w="922"/>
              <w:gridCol w:w="704"/>
              <w:gridCol w:w="943"/>
              <w:gridCol w:w="709"/>
              <w:gridCol w:w="722"/>
              <w:gridCol w:w="632"/>
              <w:gridCol w:w="1343"/>
            </w:tblGrid>
            <w:tr w14:paraId="57471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11" w:type="pct"/>
                  <w:vAlign w:val="center"/>
                </w:tcPr>
                <w:p w14:paraId="14D7772A">
                  <w:pPr>
                    <w:snapToGrid w:val="0"/>
                    <w:jc w:val="center"/>
                  </w:pPr>
                  <w:r>
                    <w:t>序号</w:t>
                  </w:r>
                </w:p>
              </w:tc>
              <w:tc>
                <w:tcPr>
                  <w:tcW w:w="670" w:type="pct"/>
                  <w:vAlign w:val="center"/>
                </w:tcPr>
                <w:p w14:paraId="69755CF8">
                  <w:pPr>
                    <w:snapToGrid w:val="0"/>
                    <w:jc w:val="center"/>
                  </w:pPr>
                  <w:r>
                    <w:t>污染源</w:t>
                  </w:r>
                </w:p>
              </w:tc>
              <w:tc>
                <w:tcPr>
                  <w:tcW w:w="624" w:type="pct"/>
                  <w:vAlign w:val="center"/>
                </w:tcPr>
                <w:p w14:paraId="5E802BDB">
                  <w:pPr>
                    <w:snapToGrid w:val="0"/>
                    <w:jc w:val="center"/>
                  </w:pPr>
                  <w:r>
                    <w:t>非正常排放原因</w:t>
                  </w:r>
                </w:p>
              </w:tc>
              <w:tc>
                <w:tcPr>
                  <w:tcW w:w="524" w:type="pct"/>
                  <w:vAlign w:val="center"/>
                </w:tcPr>
                <w:p w14:paraId="441C3B49">
                  <w:pPr>
                    <w:snapToGrid w:val="0"/>
                    <w:jc w:val="center"/>
                  </w:pPr>
                  <w:r>
                    <w:rPr>
                      <w:rFonts w:hint="eastAsia"/>
                    </w:rPr>
                    <w:t>环保装置处理效率</w:t>
                  </w:r>
                </w:p>
              </w:tc>
              <w:tc>
                <w:tcPr>
                  <w:tcW w:w="400" w:type="pct"/>
                  <w:vAlign w:val="center"/>
                </w:tcPr>
                <w:p w14:paraId="76943D0D">
                  <w:pPr>
                    <w:snapToGrid w:val="0"/>
                    <w:jc w:val="center"/>
                  </w:pPr>
                  <w:r>
                    <w:t>污染物</w:t>
                  </w:r>
                </w:p>
              </w:tc>
              <w:tc>
                <w:tcPr>
                  <w:tcW w:w="536" w:type="pct"/>
                  <w:vAlign w:val="center"/>
                </w:tcPr>
                <w:p w14:paraId="30402090">
                  <w:pPr>
                    <w:snapToGrid w:val="0"/>
                    <w:jc w:val="center"/>
                  </w:pPr>
                  <w:r>
                    <w:t>非正常排放速率/（kg/h）</w:t>
                  </w:r>
                </w:p>
              </w:tc>
              <w:tc>
                <w:tcPr>
                  <w:tcW w:w="403" w:type="pct"/>
                  <w:vAlign w:val="center"/>
                </w:tcPr>
                <w:p w14:paraId="4F887E7B">
                  <w:pPr>
                    <w:snapToGrid w:val="0"/>
                    <w:jc w:val="center"/>
                  </w:pPr>
                  <w:r>
                    <w:t>单次持续时间/h</w:t>
                  </w:r>
                </w:p>
              </w:tc>
              <w:tc>
                <w:tcPr>
                  <w:tcW w:w="410" w:type="pct"/>
                  <w:vAlign w:val="center"/>
                </w:tcPr>
                <w:p w14:paraId="0DCB918C">
                  <w:pPr>
                    <w:snapToGrid w:val="0"/>
                    <w:jc w:val="center"/>
                  </w:pPr>
                  <w:r>
                    <w:rPr>
                      <w:rFonts w:hint="eastAsia"/>
                    </w:rPr>
                    <w:t>非正常排放量kg</w:t>
                  </w:r>
                </w:p>
              </w:tc>
              <w:tc>
                <w:tcPr>
                  <w:tcW w:w="359" w:type="pct"/>
                  <w:vAlign w:val="center"/>
                </w:tcPr>
                <w:p w14:paraId="73DB85D7">
                  <w:pPr>
                    <w:snapToGrid w:val="0"/>
                    <w:jc w:val="center"/>
                  </w:pPr>
                  <w:r>
                    <w:t>年发生频次/次</w:t>
                  </w:r>
                </w:p>
              </w:tc>
              <w:tc>
                <w:tcPr>
                  <w:tcW w:w="763" w:type="pct"/>
                  <w:vAlign w:val="center"/>
                </w:tcPr>
                <w:p w14:paraId="1103C286">
                  <w:pPr>
                    <w:snapToGrid w:val="0"/>
                    <w:jc w:val="center"/>
                  </w:pPr>
                  <w:r>
                    <w:t>应对措施</w:t>
                  </w:r>
                </w:p>
              </w:tc>
            </w:tr>
            <w:tr w14:paraId="2EF2E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9" w:hRule="atLeast"/>
                <w:jc w:val="center"/>
              </w:trPr>
              <w:tc>
                <w:tcPr>
                  <w:tcW w:w="311" w:type="pct"/>
                  <w:vAlign w:val="center"/>
                </w:tcPr>
                <w:p w14:paraId="536621C5">
                  <w:pPr>
                    <w:snapToGrid w:val="0"/>
                    <w:jc w:val="center"/>
                  </w:pPr>
                  <w:r>
                    <w:t>1</w:t>
                  </w:r>
                </w:p>
              </w:tc>
              <w:tc>
                <w:tcPr>
                  <w:tcW w:w="670" w:type="pct"/>
                  <w:vAlign w:val="center"/>
                </w:tcPr>
                <w:p w14:paraId="7F29B43E">
                  <w:pPr>
                    <w:jc w:val="center"/>
                    <w:rPr>
                      <w:rFonts w:ascii="宋体" w:cs="宋体"/>
                    </w:rPr>
                  </w:pPr>
                  <w:r>
                    <w:rPr>
                      <w:rFonts w:hint="eastAsia" w:ascii="宋体" w:cs="宋体"/>
                    </w:rPr>
                    <w:t>烘干、</w:t>
                  </w:r>
                  <w:r>
                    <w:rPr>
                      <w:rFonts w:ascii="宋体" w:cs="宋体"/>
                    </w:rPr>
                    <w:t>拉丝废气</w:t>
                  </w:r>
                </w:p>
              </w:tc>
              <w:tc>
                <w:tcPr>
                  <w:tcW w:w="624" w:type="pct"/>
                  <w:vAlign w:val="center"/>
                </w:tcPr>
                <w:p w14:paraId="7E9A28AC">
                  <w:pPr>
                    <w:snapToGrid w:val="0"/>
                    <w:jc w:val="center"/>
                  </w:pPr>
                  <w:r>
                    <w:rPr>
                      <w:rFonts w:hint="eastAsia"/>
                    </w:rPr>
                    <w:t>活性炭饱和未及时更换活性炭</w:t>
                  </w:r>
                </w:p>
              </w:tc>
              <w:tc>
                <w:tcPr>
                  <w:tcW w:w="524" w:type="pct"/>
                  <w:vAlign w:val="center"/>
                </w:tcPr>
                <w:p w14:paraId="07DE31B4">
                  <w:pPr>
                    <w:snapToGrid w:val="0"/>
                    <w:jc w:val="center"/>
                  </w:pPr>
                  <w:r>
                    <w:rPr>
                      <w:rFonts w:hint="eastAsia"/>
                    </w:rPr>
                    <w:t>40</w:t>
                  </w:r>
                </w:p>
              </w:tc>
              <w:tc>
                <w:tcPr>
                  <w:tcW w:w="400" w:type="pct"/>
                  <w:vAlign w:val="center"/>
                </w:tcPr>
                <w:p w14:paraId="13FFC4D8">
                  <w:pPr>
                    <w:snapToGrid w:val="0"/>
                    <w:jc w:val="center"/>
                  </w:pPr>
                  <w:r>
                    <w:rPr>
                      <w:rFonts w:hint="eastAsia"/>
                    </w:rPr>
                    <w:t>非甲烷总烃</w:t>
                  </w:r>
                </w:p>
              </w:tc>
              <w:tc>
                <w:tcPr>
                  <w:tcW w:w="536" w:type="pct"/>
                  <w:vAlign w:val="center"/>
                </w:tcPr>
                <w:p w14:paraId="0B0D44FB">
                  <w:pPr>
                    <w:snapToGrid w:val="0"/>
                    <w:jc w:val="center"/>
                  </w:pPr>
                  <w:r>
                    <w:t>0.4509</w:t>
                  </w:r>
                </w:p>
              </w:tc>
              <w:tc>
                <w:tcPr>
                  <w:tcW w:w="403" w:type="pct"/>
                  <w:vAlign w:val="center"/>
                </w:tcPr>
                <w:p w14:paraId="0A48D848">
                  <w:pPr>
                    <w:jc w:val="center"/>
                  </w:pPr>
                  <w:r>
                    <w:t>1</w:t>
                  </w:r>
                </w:p>
              </w:tc>
              <w:tc>
                <w:tcPr>
                  <w:tcW w:w="410" w:type="pct"/>
                  <w:vAlign w:val="center"/>
                </w:tcPr>
                <w:p w14:paraId="50EF4652">
                  <w:pPr>
                    <w:snapToGrid w:val="0"/>
                    <w:jc w:val="center"/>
                  </w:pPr>
                  <w:r>
                    <w:rPr>
                      <w:rFonts w:hint="eastAsia"/>
                    </w:rPr>
                    <w:t>0.</w:t>
                  </w:r>
                  <w:r>
                    <w:t>4509</w:t>
                  </w:r>
                </w:p>
              </w:tc>
              <w:tc>
                <w:tcPr>
                  <w:tcW w:w="359" w:type="pct"/>
                  <w:vAlign w:val="center"/>
                </w:tcPr>
                <w:p w14:paraId="7A2D7E0B">
                  <w:pPr>
                    <w:snapToGrid w:val="0"/>
                    <w:jc w:val="center"/>
                  </w:pPr>
                  <w:r>
                    <w:rPr>
                      <w:rFonts w:hint="eastAsia"/>
                    </w:rPr>
                    <w:t>1</w:t>
                  </w:r>
                </w:p>
              </w:tc>
              <w:tc>
                <w:tcPr>
                  <w:tcW w:w="763" w:type="pct"/>
                  <w:vAlign w:val="center"/>
                </w:tcPr>
                <w:p w14:paraId="300CEA04">
                  <w:pPr>
                    <w:snapToGrid w:val="0"/>
                    <w:jc w:val="center"/>
                  </w:pPr>
                  <w:r>
                    <w:t>加强环保设备日常管理维护，发生事故时立即停产检修</w:t>
                  </w:r>
                </w:p>
              </w:tc>
            </w:tr>
          </w:tbl>
          <w:p w14:paraId="1DB3A1FC">
            <w:pPr>
              <w:spacing w:line="360" w:lineRule="auto"/>
              <w:ind w:firstLine="480" w:firstLineChars="200"/>
              <w:rPr>
                <w:bCs/>
                <w:sz w:val="24"/>
              </w:rPr>
            </w:pPr>
            <w:r>
              <w:rPr>
                <w:rFonts w:hint="eastAsia"/>
                <w:bCs/>
                <w:sz w:val="24"/>
              </w:rPr>
              <w:t>非正常工况下污染物排放量增加，会对周边环境造成一定影响，但非正常工况持续时间较短，不会对周围环境产生较大影响。为确保项目废气处理装置正常运行，建设单位在日常运行过程中，拟采取如下措施：</w:t>
            </w:r>
          </w:p>
          <w:p w14:paraId="4F347649">
            <w:pPr>
              <w:spacing w:line="360" w:lineRule="auto"/>
              <w:ind w:firstLine="480" w:firstLineChars="200"/>
              <w:rPr>
                <w:bCs/>
                <w:sz w:val="24"/>
              </w:rPr>
            </w:pPr>
            <w:r>
              <w:rPr>
                <w:rFonts w:hint="eastAsia"/>
                <w:bCs/>
                <w:sz w:val="24"/>
              </w:rPr>
              <w:t>①由公司委派专人负责每日巡检废气处理装置，做好巡检记录。</w:t>
            </w:r>
          </w:p>
          <w:p w14:paraId="5ED6B307">
            <w:pPr>
              <w:spacing w:line="360" w:lineRule="auto"/>
              <w:ind w:firstLine="480" w:firstLineChars="200"/>
              <w:rPr>
                <w:bCs/>
                <w:sz w:val="24"/>
              </w:rPr>
            </w:pPr>
            <w:r>
              <w:rPr>
                <w:rFonts w:hint="eastAsia"/>
                <w:bCs/>
                <w:sz w:val="24"/>
              </w:rPr>
              <w:t>②当发现废气处理设施故障并导致废气非正常排放时，应立即停止生产，待废气处理装置故障排除后并可正常运行时方可恢复生产等。</w:t>
            </w:r>
          </w:p>
          <w:p w14:paraId="14BA3BB7">
            <w:pPr>
              <w:spacing w:line="360" w:lineRule="auto"/>
              <w:ind w:firstLine="480" w:firstLineChars="200"/>
              <w:rPr>
                <w:bCs/>
                <w:sz w:val="24"/>
              </w:rPr>
            </w:pPr>
            <w:r>
              <w:rPr>
                <w:rFonts w:hint="eastAsia"/>
                <w:bCs/>
                <w:sz w:val="24"/>
              </w:rPr>
              <w:t>③按照环评要求定期对废气处理装置进行维护保养，保证废气处理装置的正常运行，以减少废气的非正常排放。</w:t>
            </w:r>
          </w:p>
          <w:p w14:paraId="2A1CD590">
            <w:pPr>
              <w:adjustRightInd w:val="0"/>
              <w:snapToGrid w:val="0"/>
              <w:spacing w:line="360" w:lineRule="auto"/>
              <w:ind w:firstLine="480" w:firstLineChars="200"/>
              <w:rPr>
                <w:b/>
                <w:sz w:val="24"/>
              </w:rPr>
            </w:pPr>
            <w:r>
              <w:rPr>
                <w:rFonts w:hint="eastAsia"/>
                <w:bCs/>
                <w:sz w:val="24"/>
              </w:rPr>
              <w:t>在建设单位措施落实到位的情况下，可以最大程度上避免非正常工况下废气排放对周围环境产生不利影响。</w:t>
            </w:r>
          </w:p>
          <w:p w14:paraId="29980522">
            <w:pPr>
              <w:pStyle w:val="11"/>
            </w:pPr>
            <w:r>
              <w:rPr>
                <w:rFonts w:hint="eastAsia"/>
              </w:rPr>
              <w:t>（</w:t>
            </w:r>
            <w:r>
              <w:t>4</w:t>
            </w:r>
            <w:r>
              <w:rPr>
                <w:rFonts w:hint="eastAsia"/>
              </w:rPr>
              <w:t>）排放口基本情况</w:t>
            </w:r>
          </w:p>
          <w:p w14:paraId="12C73E3F">
            <w:pPr>
              <w:tabs>
                <w:tab w:val="left" w:pos="210"/>
              </w:tabs>
              <w:spacing w:line="360" w:lineRule="auto"/>
              <w:ind w:firstLine="480"/>
              <w:rPr>
                <w:sz w:val="24"/>
              </w:rPr>
            </w:pPr>
            <w:r>
              <w:rPr>
                <w:sz w:val="24"/>
              </w:rPr>
              <w:t>本项目排放口基本情况见下表：</w:t>
            </w:r>
          </w:p>
          <w:p w14:paraId="3766D41B">
            <w:pPr>
              <w:pStyle w:val="61"/>
              <w:rPr>
                <w:b w:val="0"/>
                <w:sz w:val="24"/>
              </w:rPr>
            </w:pPr>
            <w:r>
              <w:rPr>
                <w:sz w:val="24"/>
              </w:rPr>
              <w:t>表</w:t>
            </w:r>
            <w:r>
              <w:rPr>
                <w:rFonts w:hint="eastAsia"/>
                <w:sz w:val="24"/>
              </w:rPr>
              <w:t>2</w:t>
            </w:r>
            <w:r>
              <w:rPr>
                <w:sz w:val="24"/>
              </w:rPr>
              <w:t>0    废气排放口基本情况</w:t>
            </w:r>
          </w:p>
          <w:tbl>
            <w:tblPr>
              <w:tblStyle w:val="29"/>
              <w:tblW w:w="4995"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0" w:type="dxa"/>
                <w:bottom w:w="0" w:type="dxa"/>
                <w:right w:w="0" w:type="dxa"/>
              </w:tblCellMar>
            </w:tblPr>
            <w:tblGrid>
              <w:gridCol w:w="236"/>
              <w:gridCol w:w="792"/>
              <w:gridCol w:w="1592"/>
              <w:gridCol w:w="1230"/>
              <w:gridCol w:w="1321"/>
              <w:gridCol w:w="1225"/>
              <w:gridCol w:w="808"/>
              <w:gridCol w:w="803"/>
              <w:gridCol w:w="778"/>
            </w:tblGrid>
            <w:tr w14:paraId="20A861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13" w:hRule="atLeast"/>
              </w:trPr>
              <w:tc>
                <w:tcPr>
                  <w:tcW w:w="135" w:type="pct"/>
                  <w:vMerge w:val="restart"/>
                  <w:tcBorders>
                    <w:top w:val="single" w:color="auto" w:sz="6" w:space="0"/>
                    <w:left w:val="single" w:color="auto" w:sz="6" w:space="0"/>
                    <w:bottom w:val="single" w:color="auto" w:sz="6" w:space="0"/>
                    <w:right w:val="single" w:color="auto" w:sz="6" w:space="0"/>
                  </w:tcBorders>
                  <w:vAlign w:val="center"/>
                </w:tcPr>
                <w:p w14:paraId="159A5755">
                  <w:pPr>
                    <w:jc w:val="center"/>
                    <w:textAlignment w:val="baseline"/>
                    <w:rPr>
                      <w:bCs/>
                    </w:rPr>
                  </w:pPr>
                  <w:r>
                    <w:t>序号</w:t>
                  </w:r>
                </w:p>
              </w:tc>
              <w:tc>
                <w:tcPr>
                  <w:tcW w:w="451" w:type="pct"/>
                  <w:vMerge w:val="restart"/>
                  <w:tcBorders>
                    <w:top w:val="single" w:color="auto" w:sz="6" w:space="0"/>
                    <w:left w:val="single" w:color="auto" w:sz="6" w:space="0"/>
                    <w:bottom w:val="single" w:color="auto" w:sz="6" w:space="0"/>
                    <w:right w:val="single" w:color="auto" w:sz="6" w:space="0"/>
                  </w:tcBorders>
                  <w:vAlign w:val="center"/>
                </w:tcPr>
                <w:p w14:paraId="3F056F4B">
                  <w:pPr>
                    <w:jc w:val="center"/>
                    <w:textAlignment w:val="baseline"/>
                    <w:rPr>
                      <w:bCs/>
                    </w:rPr>
                  </w:pPr>
                  <w:r>
                    <w:t>排放口</w:t>
                  </w:r>
                </w:p>
                <w:p w14:paraId="101F5A18">
                  <w:pPr>
                    <w:jc w:val="center"/>
                    <w:textAlignment w:val="baseline"/>
                    <w:rPr>
                      <w:bCs/>
                    </w:rPr>
                  </w:pPr>
                  <w:r>
                    <w:t>编号</w:t>
                  </w:r>
                </w:p>
              </w:tc>
              <w:tc>
                <w:tcPr>
                  <w:tcW w:w="906" w:type="pct"/>
                  <w:vMerge w:val="restart"/>
                  <w:tcBorders>
                    <w:top w:val="single" w:color="auto" w:sz="6" w:space="0"/>
                    <w:left w:val="single" w:color="auto" w:sz="6" w:space="0"/>
                    <w:bottom w:val="single" w:color="auto" w:sz="6" w:space="0"/>
                    <w:right w:val="single" w:color="auto" w:sz="6" w:space="0"/>
                  </w:tcBorders>
                  <w:vAlign w:val="center"/>
                </w:tcPr>
                <w:p w14:paraId="19B3B3D0">
                  <w:pPr>
                    <w:jc w:val="center"/>
                    <w:textAlignment w:val="baseline"/>
                  </w:pPr>
                  <w:r>
                    <w:t>排放口</w:t>
                  </w:r>
                </w:p>
                <w:p w14:paraId="2E68AA24">
                  <w:pPr>
                    <w:jc w:val="center"/>
                    <w:textAlignment w:val="baseline"/>
                    <w:rPr>
                      <w:bCs/>
                    </w:rPr>
                  </w:pPr>
                  <w:r>
                    <w:t>名称</w:t>
                  </w:r>
                </w:p>
              </w:tc>
              <w:tc>
                <w:tcPr>
                  <w:tcW w:w="700" w:type="pct"/>
                  <w:vMerge w:val="restart"/>
                  <w:tcBorders>
                    <w:top w:val="single" w:color="auto" w:sz="6" w:space="0"/>
                    <w:left w:val="single" w:color="auto" w:sz="6" w:space="0"/>
                    <w:bottom w:val="single" w:color="auto" w:sz="6" w:space="0"/>
                    <w:right w:val="single" w:color="auto" w:sz="6" w:space="0"/>
                  </w:tcBorders>
                  <w:vAlign w:val="center"/>
                </w:tcPr>
                <w:p w14:paraId="4841812F">
                  <w:pPr>
                    <w:jc w:val="center"/>
                    <w:textAlignment w:val="baseline"/>
                    <w:rPr>
                      <w:bCs/>
                    </w:rPr>
                  </w:pPr>
                  <w:r>
                    <w:t>污染物</w:t>
                  </w:r>
                </w:p>
              </w:tc>
              <w:tc>
                <w:tcPr>
                  <w:tcW w:w="1448" w:type="pct"/>
                  <w:gridSpan w:val="2"/>
                  <w:tcBorders>
                    <w:top w:val="single" w:color="auto" w:sz="6" w:space="0"/>
                    <w:left w:val="single" w:color="auto" w:sz="6" w:space="0"/>
                    <w:bottom w:val="single" w:color="auto" w:sz="6" w:space="0"/>
                    <w:right w:val="single" w:color="auto" w:sz="6" w:space="0"/>
                  </w:tcBorders>
                  <w:vAlign w:val="center"/>
                </w:tcPr>
                <w:p w14:paraId="07B09B61">
                  <w:pPr>
                    <w:jc w:val="center"/>
                    <w:textAlignment w:val="baseline"/>
                    <w:rPr>
                      <w:bCs/>
                    </w:rPr>
                  </w:pPr>
                  <w:r>
                    <w:t>排放口地理坐标</w:t>
                  </w:r>
                </w:p>
              </w:tc>
              <w:tc>
                <w:tcPr>
                  <w:tcW w:w="1361" w:type="pct"/>
                  <w:gridSpan w:val="3"/>
                  <w:tcBorders>
                    <w:top w:val="single" w:color="auto" w:sz="6" w:space="0"/>
                    <w:left w:val="single" w:color="auto" w:sz="6" w:space="0"/>
                    <w:bottom w:val="single" w:color="auto" w:sz="6" w:space="0"/>
                    <w:right w:val="single" w:color="auto" w:sz="6" w:space="0"/>
                  </w:tcBorders>
                  <w:vAlign w:val="center"/>
                </w:tcPr>
                <w:p w14:paraId="4A9AE935">
                  <w:pPr>
                    <w:jc w:val="center"/>
                    <w:textAlignment w:val="baseline"/>
                  </w:pPr>
                  <w:r>
                    <w:rPr>
                      <w:bCs/>
                    </w:rPr>
                    <w:t>排放口基本情况</w:t>
                  </w:r>
                </w:p>
              </w:tc>
            </w:tr>
            <w:tr w14:paraId="4F45A8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13" w:hRule="atLeast"/>
              </w:trPr>
              <w:tc>
                <w:tcPr>
                  <w:tcW w:w="135" w:type="pct"/>
                  <w:vMerge w:val="continue"/>
                  <w:tcBorders>
                    <w:top w:val="single" w:color="auto" w:sz="6" w:space="0"/>
                    <w:left w:val="single" w:color="auto" w:sz="6" w:space="0"/>
                    <w:bottom w:val="single" w:color="auto" w:sz="6" w:space="0"/>
                    <w:right w:val="single" w:color="auto" w:sz="6" w:space="0"/>
                  </w:tcBorders>
                  <w:vAlign w:val="center"/>
                </w:tcPr>
                <w:p w14:paraId="58888D12">
                  <w:pPr>
                    <w:widowControl/>
                    <w:jc w:val="center"/>
                    <w:rPr>
                      <w:bCs/>
                    </w:rPr>
                  </w:pPr>
                </w:p>
              </w:tc>
              <w:tc>
                <w:tcPr>
                  <w:tcW w:w="451" w:type="pct"/>
                  <w:vMerge w:val="continue"/>
                  <w:tcBorders>
                    <w:top w:val="single" w:color="auto" w:sz="6" w:space="0"/>
                    <w:left w:val="single" w:color="auto" w:sz="6" w:space="0"/>
                    <w:bottom w:val="single" w:color="auto" w:sz="6" w:space="0"/>
                    <w:right w:val="single" w:color="auto" w:sz="6" w:space="0"/>
                  </w:tcBorders>
                  <w:vAlign w:val="center"/>
                </w:tcPr>
                <w:p w14:paraId="60540E05">
                  <w:pPr>
                    <w:widowControl/>
                    <w:jc w:val="center"/>
                    <w:rPr>
                      <w:bCs/>
                    </w:rPr>
                  </w:pPr>
                </w:p>
              </w:tc>
              <w:tc>
                <w:tcPr>
                  <w:tcW w:w="906" w:type="pct"/>
                  <w:vMerge w:val="continue"/>
                  <w:tcBorders>
                    <w:top w:val="single" w:color="auto" w:sz="6" w:space="0"/>
                    <w:left w:val="single" w:color="auto" w:sz="6" w:space="0"/>
                    <w:bottom w:val="single" w:color="auto" w:sz="6" w:space="0"/>
                    <w:right w:val="single" w:color="auto" w:sz="6" w:space="0"/>
                  </w:tcBorders>
                  <w:vAlign w:val="center"/>
                </w:tcPr>
                <w:p w14:paraId="11790939">
                  <w:pPr>
                    <w:widowControl/>
                    <w:jc w:val="center"/>
                    <w:rPr>
                      <w:bCs/>
                    </w:rPr>
                  </w:pPr>
                </w:p>
              </w:tc>
              <w:tc>
                <w:tcPr>
                  <w:tcW w:w="700" w:type="pct"/>
                  <w:vMerge w:val="continue"/>
                  <w:tcBorders>
                    <w:top w:val="single" w:color="auto" w:sz="6" w:space="0"/>
                    <w:left w:val="single" w:color="auto" w:sz="6" w:space="0"/>
                    <w:bottom w:val="single" w:color="auto" w:sz="6" w:space="0"/>
                    <w:right w:val="single" w:color="auto" w:sz="6" w:space="0"/>
                  </w:tcBorders>
                  <w:vAlign w:val="center"/>
                </w:tcPr>
                <w:p w14:paraId="706502C4">
                  <w:pPr>
                    <w:widowControl/>
                    <w:jc w:val="center"/>
                    <w:rPr>
                      <w:bCs/>
                    </w:rPr>
                  </w:pPr>
                </w:p>
              </w:tc>
              <w:tc>
                <w:tcPr>
                  <w:tcW w:w="751" w:type="pct"/>
                  <w:tcBorders>
                    <w:top w:val="single" w:color="auto" w:sz="6" w:space="0"/>
                    <w:left w:val="single" w:color="auto" w:sz="6" w:space="0"/>
                    <w:bottom w:val="single" w:color="auto" w:sz="6" w:space="0"/>
                    <w:right w:val="single" w:color="auto" w:sz="6" w:space="0"/>
                  </w:tcBorders>
                  <w:vAlign w:val="center"/>
                </w:tcPr>
                <w:p w14:paraId="580C5286">
                  <w:pPr>
                    <w:jc w:val="center"/>
                    <w:textAlignment w:val="baseline"/>
                    <w:rPr>
                      <w:bCs/>
                    </w:rPr>
                  </w:pPr>
                  <w:r>
                    <w:rPr>
                      <w:rFonts w:hint="eastAsia"/>
                      <w:bCs/>
                    </w:rPr>
                    <w:t>经度</w:t>
                  </w:r>
                </w:p>
              </w:tc>
              <w:tc>
                <w:tcPr>
                  <w:tcW w:w="696" w:type="pct"/>
                  <w:tcBorders>
                    <w:top w:val="single" w:color="auto" w:sz="6" w:space="0"/>
                    <w:left w:val="single" w:color="auto" w:sz="6" w:space="0"/>
                    <w:bottom w:val="single" w:color="auto" w:sz="6" w:space="0"/>
                    <w:right w:val="single" w:color="auto" w:sz="6" w:space="0"/>
                  </w:tcBorders>
                  <w:vAlign w:val="center"/>
                </w:tcPr>
                <w:p w14:paraId="0BA018EA">
                  <w:pPr>
                    <w:jc w:val="center"/>
                    <w:textAlignment w:val="baseline"/>
                    <w:rPr>
                      <w:bCs/>
                      <w:kern w:val="0"/>
                    </w:rPr>
                  </w:pPr>
                  <w:r>
                    <w:rPr>
                      <w:rFonts w:hint="eastAsia"/>
                      <w:bCs/>
                      <w:kern w:val="0"/>
                    </w:rPr>
                    <w:t>纬度</w:t>
                  </w:r>
                </w:p>
              </w:tc>
              <w:tc>
                <w:tcPr>
                  <w:tcW w:w="460" w:type="pct"/>
                  <w:tcBorders>
                    <w:top w:val="single" w:color="auto" w:sz="6" w:space="0"/>
                    <w:left w:val="single" w:color="auto" w:sz="6" w:space="0"/>
                    <w:bottom w:val="single" w:color="auto" w:sz="6" w:space="0"/>
                    <w:right w:val="single" w:color="auto" w:sz="6" w:space="0"/>
                  </w:tcBorders>
                  <w:vAlign w:val="center"/>
                </w:tcPr>
                <w:p w14:paraId="75A2844A">
                  <w:pPr>
                    <w:jc w:val="center"/>
                    <w:textAlignment w:val="baseline"/>
                    <w:rPr>
                      <w:bCs/>
                    </w:rPr>
                  </w:pPr>
                  <w:r>
                    <w:t>排气筒高度（m）</w:t>
                  </w:r>
                </w:p>
              </w:tc>
              <w:tc>
                <w:tcPr>
                  <w:tcW w:w="457" w:type="pct"/>
                  <w:tcBorders>
                    <w:left w:val="single" w:color="auto" w:sz="6" w:space="0"/>
                    <w:bottom w:val="single" w:color="auto" w:sz="6" w:space="0"/>
                    <w:right w:val="single" w:color="auto" w:sz="6" w:space="0"/>
                  </w:tcBorders>
                  <w:vAlign w:val="center"/>
                </w:tcPr>
                <w:p w14:paraId="14883A1B">
                  <w:pPr>
                    <w:jc w:val="center"/>
                    <w:textAlignment w:val="baseline"/>
                  </w:pPr>
                  <w:r>
                    <w:t>排气筒内径（m）</w:t>
                  </w:r>
                </w:p>
              </w:tc>
              <w:tc>
                <w:tcPr>
                  <w:tcW w:w="445" w:type="pct"/>
                  <w:tcBorders>
                    <w:left w:val="single" w:color="auto" w:sz="6" w:space="0"/>
                    <w:bottom w:val="single" w:color="auto" w:sz="6" w:space="0"/>
                    <w:right w:val="single" w:color="auto" w:sz="6" w:space="0"/>
                  </w:tcBorders>
                  <w:vAlign w:val="center"/>
                </w:tcPr>
                <w:p w14:paraId="538898FE">
                  <w:pPr>
                    <w:jc w:val="center"/>
                    <w:textAlignment w:val="baseline"/>
                  </w:pPr>
                  <w:r>
                    <w:t>排气温度（℃）</w:t>
                  </w:r>
                </w:p>
              </w:tc>
            </w:tr>
            <w:tr w14:paraId="0EE3F6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13" w:hRule="atLeast"/>
              </w:trPr>
              <w:tc>
                <w:tcPr>
                  <w:tcW w:w="135" w:type="pct"/>
                  <w:tcBorders>
                    <w:top w:val="single" w:color="auto" w:sz="6" w:space="0"/>
                    <w:left w:val="single" w:color="auto" w:sz="6" w:space="0"/>
                    <w:bottom w:val="single" w:color="auto" w:sz="6" w:space="0"/>
                    <w:right w:val="single" w:color="auto" w:sz="6" w:space="0"/>
                  </w:tcBorders>
                  <w:vAlign w:val="center"/>
                </w:tcPr>
                <w:p w14:paraId="32851B93">
                  <w:pPr>
                    <w:jc w:val="center"/>
                    <w:textAlignment w:val="baseline"/>
                    <w:rPr>
                      <w:bCs/>
                    </w:rPr>
                  </w:pPr>
                  <w:r>
                    <w:t>1</w:t>
                  </w:r>
                </w:p>
              </w:tc>
              <w:tc>
                <w:tcPr>
                  <w:tcW w:w="451" w:type="pct"/>
                  <w:tcBorders>
                    <w:top w:val="single" w:color="auto" w:sz="6" w:space="0"/>
                    <w:left w:val="single" w:color="auto" w:sz="6" w:space="0"/>
                    <w:bottom w:val="single" w:color="auto" w:sz="6" w:space="0"/>
                    <w:right w:val="single" w:color="auto" w:sz="6" w:space="0"/>
                  </w:tcBorders>
                  <w:vAlign w:val="center"/>
                </w:tcPr>
                <w:p w14:paraId="119E0A12">
                  <w:pPr>
                    <w:snapToGrid w:val="0"/>
                    <w:jc w:val="center"/>
                  </w:pPr>
                  <w:r>
                    <w:rPr>
                      <w:rFonts w:hint="eastAsia"/>
                    </w:rPr>
                    <w:t>DA001</w:t>
                  </w:r>
                </w:p>
              </w:tc>
              <w:tc>
                <w:tcPr>
                  <w:tcW w:w="906" w:type="pct"/>
                  <w:tcBorders>
                    <w:top w:val="single" w:color="auto" w:sz="6" w:space="0"/>
                    <w:left w:val="single" w:color="auto" w:sz="6" w:space="0"/>
                    <w:bottom w:val="single" w:color="auto" w:sz="6" w:space="0"/>
                    <w:right w:val="single" w:color="auto" w:sz="6" w:space="0"/>
                  </w:tcBorders>
                  <w:vAlign w:val="center"/>
                </w:tcPr>
                <w:p w14:paraId="42CFB34D">
                  <w:pPr>
                    <w:widowControl/>
                    <w:jc w:val="center"/>
                    <w:rPr>
                      <w:bCs/>
                    </w:rPr>
                  </w:pPr>
                  <w:r>
                    <w:rPr>
                      <w:rFonts w:hint="eastAsia" w:ascii="宋体" w:cs="宋体"/>
                    </w:rPr>
                    <w:t>烘干、</w:t>
                  </w:r>
                  <w:r>
                    <w:rPr>
                      <w:rFonts w:ascii="宋体" w:cs="宋体"/>
                    </w:rPr>
                    <w:t>拉丝废气</w:t>
                  </w:r>
                  <w:r>
                    <w:rPr>
                      <w:rFonts w:hint="eastAsia" w:ascii="宋体" w:cs="宋体"/>
                    </w:rPr>
                    <w:t>排气筒</w:t>
                  </w:r>
                </w:p>
              </w:tc>
              <w:tc>
                <w:tcPr>
                  <w:tcW w:w="700" w:type="pct"/>
                  <w:tcBorders>
                    <w:top w:val="single" w:color="auto" w:sz="6" w:space="0"/>
                    <w:left w:val="single" w:color="auto" w:sz="6" w:space="0"/>
                    <w:bottom w:val="single" w:color="auto" w:sz="6" w:space="0"/>
                    <w:right w:val="single" w:color="auto" w:sz="6" w:space="0"/>
                  </w:tcBorders>
                  <w:vAlign w:val="center"/>
                </w:tcPr>
                <w:p w14:paraId="08E8F826">
                  <w:pPr>
                    <w:widowControl/>
                    <w:jc w:val="center"/>
                    <w:rPr>
                      <w:bCs/>
                    </w:rPr>
                  </w:pPr>
                  <w:r>
                    <w:rPr>
                      <w:rFonts w:hint="eastAsia"/>
                      <w:bCs/>
                    </w:rPr>
                    <w:t>非甲烷总烃</w:t>
                  </w:r>
                </w:p>
              </w:tc>
              <w:tc>
                <w:tcPr>
                  <w:tcW w:w="751" w:type="pct"/>
                  <w:tcBorders>
                    <w:top w:val="single" w:color="auto" w:sz="6" w:space="0"/>
                    <w:left w:val="single" w:color="auto" w:sz="6" w:space="0"/>
                    <w:bottom w:val="single" w:color="auto" w:sz="6" w:space="0"/>
                    <w:right w:val="single" w:color="auto" w:sz="6" w:space="0"/>
                  </w:tcBorders>
                  <w:vAlign w:val="center"/>
                </w:tcPr>
                <w:p w14:paraId="7F294064">
                  <w:pPr>
                    <w:jc w:val="center"/>
                    <w:textAlignment w:val="baseline"/>
                    <w:rPr>
                      <w:bCs/>
                    </w:rPr>
                  </w:pPr>
                  <w:r>
                    <w:rPr>
                      <w:rFonts w:hint="eastAsia"/>
                      <w:bCs/>
                    </w:rPr>
                    <w:t>115.280918028</w:t>
                  </w:r>
                </w:p>
              </w:tc>
              <w:tc>
                <w:tcPr>
                  <w:tcW w:w="696" w:type="pct"/>
                  <w:tcBorders>
                    <w:top w:val="single" w:color="auto" w:sz="6" w:space="0"/>
                    <w:left w:val="single" w:color="auto" w:sz="6" w:space="0"/>
                    <w:bottom w:val="single" w:color="auto" w:sz="6" w:space="0"/>
                    <w:right w:val="single" w:color="auto" w:sz="6" w:space="0"/>
                  </w:tcBorders>
                  <w:vAlign w:val="center"/>
                </w:tcPr>
                <w:p w14:paraId="3154C4B3">
                  <w:pPr>
                    <w:jc w:val="center"/>
                    <w:textAlignment w:val="baseline"/>
                    <w:rPr>
                      <w:bCs/>
                      <w:kern w:val="0"/>
                    </w:rPr>
                  </w:pPr>
                  <w:r>
                    <w:rPr>
                      <w:rFonts w:hint="eastAsia"/>
                      <w:bCs/>
                      <w:kern w:val="0"/>
                    </w:rPr>
                    <w:t>34.777705385</w:t>
                  </w:r>
                </w:p>
              </w:tc>
              <w:tc>
                <w:tcPr>
                  <w:tcW w:w="460" w:type="pct"/>
                  <w:tcBorders>
                    <w:top w:val="single" w:color="auto" w:sz="6" w:space="0"/>
                    <w:left w:val="single" w:color="auto" w:sz="6" w:space="0"/>
                    <w:bottom w:val="single" w:color="auto" w:sz="6" w:space="0"/>
                    <w:right w:val="single" w:color="auto" w:sz="6" w:space="0"/>
                  </w:tcBorders>
                  <w:vAlign w:val="center"/>
                </w:tcPr>
                <w:p w14:paraId="0AC1CD4D">
                  <w:pPr>
                    <w:jc w:val="center"/>
                    <w:rPr>
                      <w:bCs/>
                    </w:rPr>
                  </w:pPr>
                  <w:r>
                    <w:rPr>
                      <w:rFonts w:hint="eastAsia"/>
                      <w:bCs/>
                    </w:rPr>
                    <w:t>15</w:t>
                  </w:r>
                </w:p>
              </w:tc>
              <w:tc>
                <w:tcPr>
                  <w:tcW w:w="457" w:type="pct"/>
                  <w:tcBorders>
                    <w:left w:val="single" w:color="auto" w:sz="6" w:space="0"/>
                    <w:bottom w:val="single" w:color="auto" w:sz="6" w:space="0"/>
                    <w:right w:val="single" w:color="auto" w:sz="6" w:space="0"/>
                  </w:tcBorders>
                  <w:vAlign w:val="center"/>
                </w:tcPr>
                <w:p w14:paraId="52B97379">
                  <w:pPr>
                    <w:jc w:val="center"/>
                    <w:rPr>
                      <w:bCs/>
                      <w:highlight w:val="yellow"/>
                    </w:rPr>
                  </w:pPr>
                  <w:r>
                    <w:rPr>
                      <w:rFonts w:hint="eastAsia"/>
                      <w:bCs/>
                    </w:rPr>
                    <w:t>0.</w:t>
                  </w:r>
                  <w:r>
                    <w:rPr>
                      <w:bCs/>
                    </w:rPr>
                    <w:t>4</w:t>
                  </w:r>
                </w:p>
              </w:tc>
              <w:tc>
                <w:tcPr>
                  <w:tcW w:w="445" w:type="pct"/>
                  <w:tcBorders>
                    <w:left w:val="single" w:color="auto" w:sz="6" w:space="0"/>
                    <w:bottom w:val="single" w:color="auto" w:sz="6" w:space="0"/>
                    <w:right w:val="single" w:color="auto" w:sz="6" w:space="0"/>
                  </w:tcBorders>
                  <w:vAlign w:val="center"/>
                </w:tcPr>
                <w:p w14:paraId="293D862D">
                  <w:pPr>
                    <w:jc w:val="center"/>
                    <w:rPr>
                      <w:bCs/>
                    </w:rPr>
                  </w:pPr>
                  <w:r>
                    <w:rPr>
                      <w:bCs/>
                    </w:rPr>
                    <w:t>30</w:t>
                  </w:r>
                </w:p>
              </w:tc>
            </w:tr>
          </w:tbl>
          <w:p w14:paraId="1244010B">
            <w:pPr>
              <w:pStyle w:val="11"/>
              <w:spacing w:line="360" w:lineRule="auto"/>
              <w:ind w:firstLine="480"/>
              <w:rPr>
                <w:sz w:val="24"/>
              </w:rPr>
            </w:pPr>
            <w:r>
              <w:rPr>
                <w:rFonts w:hint="eastAsia"/>
                <w:sz w:val="24"/>
              </w:rPr>
              <w:t>（</w:t>
            </w:r>
            <w:r>
              <w:rPr>
                <w:sz w:val="24"/>
              </w:rPr>
              <w:t>5</w:t>
            </w:r>
            <w:r>
              <w:rPr>
                <w:rFonts w:hint="eastAsia"/>
                <w:sz w:val="24"/>
              </w:rPr>
              <w:t>）自行监测</w:t>
            </w:r>
          </w:p>
          <w:p w14:paraId="4151ABD9">
            <w:pPr>
              <w:adjustRightInd w:val="0"/>
              <w:snapToGrid w:val="0"/>
              <w:spacing w:line="360" w:lineRule="auto"/>
              <w:ind w:firstLine="480" w:firstLineChars="200"/>
              <w:rPr>
                <w:sz w:val="24"/>
              </w:rPr>
            </w:pPr>
            <w:r>
              <w:rPr>
                <w:rFonts w:hint="eastAsia"/>
                <w:sz w:val="24"/>
              </w:rPr>
              <w:t>根据</w:t>
            </w:r>
            <w:r>
              <w:rPr>
                <w:rFonts w:hint="eastAsia"/>
                <w:bCs/>
                <w:color w:val="000000"/>
                <w:sz w:val="24"/>
              </w:rPr>
              <w:t>《排污单位自行监测技术指南 橡胶和</w:t>
            </w:r>
            <w:r>
              <w:rPr>
                <w:bCs/>
                <w:color w:val="000000"/>
                <w:sz w:val="24"/>
              </w:rPr>
              <w:t>塑料制品</w:t>
            </w:r>
            <w:r>
              <w:rPr>
                <w:rFonts w:hint="eastAsia"/>
                <w:bCs/>
                <w:color w:val="000000"/>
                <w:sz w:val="24"/>
              </w:rPr>
              <w:t>》（HJ</w:t>
            </w:r>
            <w:r>
              <w:rPr>
                <w:bCs/>
                <w:color w:val="000000"/>
                <w:sz w:val="24"/>
              </w:rPr>
              <w:t>1207</w:t>
            </w:r>
            <w:r>
              <w:rPr>
                <w:rFonts w:hint="eastAsia"/>
                <w:bCs/>
                <w:color w:val="000000"/>
                <w:sz w:val="24"/>
              </w:rPr>
              <w:t>-20</w:t>
            </w:r>
            <w:r>
              <w:rPr>
                <w:bCs/>
                <w:color w:val="000000"/>
                <w:sz w:val="24"/>
              </w:rPr>
              <w:t>21</w:t>
            </w:r>
            <w:r>
              <w:rPr>
                <w:rFonts w:hint="eastAsia"/>
                <w:bCs/>
                <w:color w:val="000000"/>
                <w:sz w:val="24"/>
              </w:rPr>
              <w:t>）</w:t>
            </w:r>
            <w:r>
              <w:rPr>
                <w:rFonts w:hint="eastAsia"/>
                <w:sz w:val="24"/>
              </w:rPr>
              <w:t>、《排污许可证申请与核发技术规范 总则》（HJ942-2018）和本项目废气排放情况，对本项目废气污染物的日常监测要求如下表：</w:t>
            </w:r>
          </w:p>
          <w:p w14:paraId="286D52C7">
            <w:pPr>
              <w:pStyle w:val="61"/>
              <w:spacing w:line="360" w:lineRule="auto"/>
              <w:rPr>
                <w:sz w:val="24"/>
              </w:rPr>
            </w:pPr>
            <w:r>
              <w:rPr>
                <w:sz w:val="24"/>
              </w:rPr>
              <w:t>表</w:t>
            </w:r>
            <w:r>
              <w:rPr>
                <w:rFonts w:hint="eastAsia"/>
                <w:sz w:val="24"/>
              </w:rPr>
              <w:t>2</w:t>
            </w:r>
            <w:r>
              <w:rPr>
                <w:sz w:val="24"/>
              </w:rPr>
              <w:t>1   本项目营运期废气监测方案</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83"/>
              <w:gridCol w:w="690"/>
              <w:gridCol w:w="1308"/>
              <w:gridCol w:w="1251"/>
              <w:gridCol w:w="1276"/>
              <w:gridCol w:w="3291"/>
            </w:tblGrid>
            <w:tr w14:paraId="7A617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559" w:type="pct"/>
                  <w:tcBorders>
                    <w:top w:val="single" w:color="auto" w:sz="4" w:space="0"/>
                    <w:left w:val="single" w:color="auto" w:sz="4" w:space="0"/>
                    <w:bottom w:val="single" w:color="auto" w:sz="4" w:space="0"/>
                    <w:right w:val="single" w:color="auto" w:sz="4" w:space="0"/>
                  </w:tcBorders>
                  <w:vAlign w:val="center"/>
                </w:tcPr>
                <w:p w14:paraId="741884EA">
                  <w:pPr>
                    <w:jc w:val="center"/>
                    <w:textAlignment w:val="baseline"/>
                    <w:rPr>
                      <w:bCs/>
                      <w:lang w:bidi="ar"/>
                    </w:rPr>
                  </w:pPr>
                  <w:r>
                    <w:rPr>
                      <w:lang w:bidi="ar"/>
                    </w:rPr>
                    <w:t>监测类别</w:t>
                  </w:r>
                </w:p>
              </w:tc>
              <w:tc>
                <w:tcPr>
                  <w:tcW w:w="1135" w:type="pct"/>
                  <w:gridSpan w:val="2"/>
                  <w:tcBorders>
                    <w:top w:val="single" w:color="auto" w:sz="4" w:space="0"/>
                    <w:left w:val="single" w:color="auto" w:sz="4" w:space="0"/>
                    <w:bottom w:val="single" w:color="auto" w:sz="4" w:space="0"/>
                    <w:right w:val="single" w:color="auto" w:sz="4" w:space="0"/>
                  </w:tcBorders>
                  <w:vAlign w:val="center"/>
                </w:tcPr>
                <w:p w14:paraId="4227A142">
                  <w:pPr>
                    <w:jc w:val="center"/>
                    <w:textAlignment w:val="baseline"/>
                    <w:rPr>
                      <w:bCs/>
                      <w:lang w:bidi="ar"/>
                    </w:rPr>
                  </w:pPr>
                  <w:r>
                    <w:rPr>
                      <w:lang w:bidi="ar"/>
                    </w:rPr>
                    <w:t>监测点位</w:t>
                  </w:r>
                </w:p>
              </w:tc>
              <w:tc>
                <w:tcPr>
                  <w:tcW w:w="711" w:type="pct"/>
                  <w:tcBorders>
                    <w:top w:val="single" w:color="auto" w:sz="4" w:space="0"/>
                    <w:left w:val="single" w:color="auto" w:sz="4" w:space="0"/>
                    <w:bottom w:val="single" w:color="auto" w:sz="4" w:space="0"/>
                    <w:right w:val="single" w:color="auto" w:sz="4" w:space="0"/>
                  </w:tcBorders>
                  <w:vAlign w:val="center"/>
                </w:tcPr>
                <w:p w14:paraId="1AF27D9A">
                  <w:pPr>
                    <w:jc w:val="center"/>
                    <w:textAlignment w:val="baseline"/>
                    <w:rPr>
                      <w:bCs/>
                      <w:lang w:bidi="ar"/>
                    </w:rPr>
                  </w:pPr>
                  <w:r>
                    <w:rPr>
                      <w:lang w:bidi="ar"/>
                    </w:rPr>
                    <w:t>监测项目</w:t>
                  </w:r>
                </w:p>
              </w:tc>
              <w:tc>
                <w:tcPr>
                  <w:tcW w:w="725" w:type="pct"/>
                  <w:tcBorders>
                    <w:top w:val="single" w:color="auto" w:sz="4" w:space="0"/>
                    <w:left w:val="single" w:color="auto" w:sz="4" w:space="0"/>
                    <w:bottom w:val="single" w:color="auto" w:sz="4" w:space="0"/>
                    <w:right w:val="single" w:color="auto" w:sz="4" w:space="0"/>
                  </w:tcBorders>
                  <w:vAlign w:val="center"/>
                </w:tcPr>
                <w:p w14:paraId="326317A3">
                  <w:pPr>
                    <w:jc w:val="center"/>
                    <w:textAlignment w:val="baseline"/>
                    <w:rPr>
                      <w:lang w:bidi="ar"/>
                    </w:rPr>
                  </w:pPr>
                  <w:r>
                    <w:rPr>
                      <w:lang w:bidi="ar"/>
                    </w:rPr>
                    <w:t>监测频次</w:t>
                  </w:r>
                </w:p>
              </w:tc>
              <w:tc>
                <w:tcPr>
                  <w:tcW w:w="1870" w:type="pct"/>
                  <w:tcBorders>
                    <w:top w:val="single" w:color="auto" w:sz="4" w:space="0"/>
                    <w:left w:val="single" w:color="auto" w:sz="4" w:space="0"/>
                    <w:bottom w:val="single" w:color="auto" w:sz="4" w:space="0"/>
                    <w:right w:val="single" w:color="auto" w:sz="4" w:space="0"/>
                  </w:tcBorders>
                  <w:vAlign w:val="center"/>
                </w:tcPr>
                <w:p w14:paraId="04240543">
                  <w:pPr>
                    <w:jc w:val="center"/>
                    <w:textAlignment w:val="baseline"/>
                    <w:rPr>
                      <w:lang w:bidi="ar"/>
                    </w:rPr>
                  </w:pPr>
                  <w:r>
                    <w:rPr>
                      <w:lang w:bidi="ar"/>
                    </w:rPr>
                    <w:t>执行标准</w:t>
                  </w:r>
                </w:p>
              </w:tc>
            </w:tr>
            <w:tr w14:paraId="35926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559" w:type="pct"/>
                  <w:vMerge w:val="restart"/>
                  <w:tcBorders>
                    <w:top w:val="single" w:color="auto" w:sz="4" w:space="0"/>
                    <w:left w:val="single" w:color="auto" w:sz="4" w:space="0"/>
                    <w:right w:val="single" w:color="auto" w:sz="4" w:space="0"/>
                  </w:tcBorders>
                  <w:vAlign w:val="center"/>
                </w:tcPr>
                <w:p w14:paraId="1E7C656E">
                  <w:pPr>
                    <w:jc w:val="center"/>
                    <w:textAlignment w:val="baseline"/>
                    <w:rPr>
                      <w:bCs/>
                      <w:lang w:bidi="ar"/>
                    </w:rPr>
                  </w:pPr>
                  <w:r>
                    <w:rPr>
                      <w:bCs/>
                      <w:lang w:bidi="ar"/>
                    </w:rPr>
                    <w:t>大气</w:t>
                  </w:r>
                </w:p>
              </w:tc>
              <w:tc>
                <w:tcPr>
                  <w:tcW w:w="392" w:type="pct"/>
                  <w:tcBorders>
                    <w:top w:val="single" w:color="auto" w:sz="4" w:space="0"/>
                    <w:left w:val="single" w:color="auto" w:sz="4" w:space="0"/>
                    <w:right w:val="single" w:color="auto" w:sz="4" w:space="0"/>
                  </w:tcBorders>
                  <w:vAlign w:val="center"/>
                </w:tcPr>
                <w:p w14:paraId="077C84AB">
                  <w:pPr>
                    <w:jc w:val="center"/>
                    <w:textAlignment w:val="baseline"/>
                    <w:rPr>
                      <w:bCs/>
                      <w:lang w:bidi="ar"/>
                    </w:rPr>
                  </w:pPr>
                  <w:r>
                    <w:rPr>
                      <w:bCs/>
                      <w:lang w:bidi="ar"/>
                    </w:rPr>
                    <w:t>有组织废气</w:t>
                  </w:r>
                </w:p>
              </w:tc>
              <w:tc>
                <w:tcPr>
                  <w:tcW w:w="743" w:type="pct"/>
                  <w:tcBorders>
                    <w:top w:val="single" w:color="auto" w:sz="4" w:space="0"/>
                    <w:left w:val="single" w:color="auto" w:sz="4" w:space="0"/>
                    <w:bottom w:val="single" w:color="auto" w:sz="4" w:space="0"/>
                    <w:right w:val="single" w:color="auto" w:sz="4" w:space="0"/>
                  </w:tcBorders>
                  <w:vAlign w:val="center"/>
                </w:tcPr>
                <w:p w14:paraId="7AE3999F">
                  <w:pPr>
                    <w:widowControl/>
                    <w:jc w:val="center"/>
                    <w:rPr>
                      <w:bCs/>
                    </w:rPr>
                  </w:pPr>
                  <w:r>
                    <w:rPr>
                      <w:rFonts w:hint="eastAsia" w:ascii="宋体" w:cs="宋体"/>
                    </w:rPr>
                    <w:t>烘干、</w:t>
                  </w:r>
                  <w:r>
                    <w:rPr>
                      <w:rFonts w:ascii="宋体" w:cs="宋体"/>
                    </w:rPr>
                    <w:t>拉丝废气</w:t>
                  </w:r>
                  <w:r>
                    <w:rPr>
                      <w:rFonts w:hint="eastAsia" w:ascii="宋体" w:cs="宋体"/>
                    </w:rPr>
                    <w:t>排气筒</w:t>
                  </w:r>
                </w:p>
              </w:tc>
              <w:tc>
                <w:tcPr>
                  <w:tcW w:w="711" w:type="pct"/>
                  <w:tcBorders>
                    <w:top w:val="single" w:color="auto" w:sz="4" w:space="0"/>
                    <w:left w:val="single" w:color="auto" w:sz="4" w:space="0"/>
                    <w:bottom w:val="single" w:color="auto" w:sz="4" w:space="0"/>
                    <w:right w:val="single" w:color="auto" w:sz="4" w:space="0"/>
                  </w:tcBorders>
                  <w:vAlign w:val="center"/>
                </w:tcPr>
                <w:p w14:paraId="48FE935B">
                  <w:pPr>
                    <w:widowControl/>
                    <w:jc w:val="center"/>
                    <w:rPr>
                      <w:bCs/>
                    </w:rPr>
                  </w:pPr>
                  <w:r>
                    <w:rPr>
                      <w:rFonts w:hint="eastAsia"/>
                      <w:bCs/>
                    </w:rPr>
                    <w:t>非甲烷总烃</w:t>
                  </w:r>
                </w:p>
              </w:tc>
              <w:tc>
                <w:tcPr>
                  <w:tcW w:w="725" w:type="pct"/>
                  <w:tcBorders>
                    <w:top w:val="single" w:color="auto" w:sz="4" w:space="0"/>
                    <w:left w:val="single" w:color="auto" w:sz="4" w:space="0"/>
                    <w:bottom w:val="single" w:color="auto" w:sz="4" w:space="0"/>
                    <w:right w:val="single" w:color="auto" w:sz="4" w:space="0"/>
                  </w:tcBorders>
                  <w:vAlign w:val="center"/>
                </w:tcPr>
                <w:p w14:paraId="4FD786DA">
                  <w:pPr>
                    <w:jc w:val="center"/>
                    <w:textAlignment w:val="baseline"/>
                    <w:rPr>
                      <w:bCs/>
                      <w:lang w:bidi="ar"/>
                    </w:rPr>
                  </w:pPr>
                  <w:r>
                    <w:rPr>
                      <w:rFonts w:hint="eastAsia"/>
                      <w:bCs/>
                    </w:rPr>
                    <w:t>1</w:t>
                  </w:r>
                  <w:r>
                    <w:rPr>
                      <w:bCs/>
                    </w:rPr>
                    <w:t>次/年</w:t>
                  </w:r>
                </w:p>
              </w:tc>
              <w:tc>
                <w:tcPr>
                  <w:tcW w:w="1870" w:type="pct"/>
                  <w:vMerge w:val="restart"/>
                  <w:tcBorders>
                    <w:top w:val="single" w:color="auto" w:sz="4" w:space="0"/>
                    <w:left w:val="single" w:color="auto" w:sz="4" w:space="0"/>
                    <w:right w:val="single" w:color="auto" w:sz="4" w:space="0"/>
                  </w:tcBorders>
                  <w:vAlign w:val="center"/>
                </w:tcPr>
                <w:p w14:paraId="1DE26403">
                  <w:pPr>
                    <w:jc w:val="center"/>
                    <w:textAlignment w:val="baseline"/>
                    <w:rPr>
                      <w:bCs/>
                    </w:rPr>
                  </w:pPr>
                  <w:r>
                    <w:t>《合成树脂工业污染物排放标准》（GB31572-2015）</w:t>
                  </w:r>
                  <w:r>
                    <w:rPr>
                      <w:rFonts w:hint="eastAsia"/>
                    </w:rPr>
                    <w:t>（含2024年</w:t>
                  </w:r>
                  <w:r>
                    <w:t>修改单）表5有组织排放限值要求、《河南省重污染天气重点行业应急减排措施制定技术指南》（2024年修订版）塑料制品行业</w:t>
                  </w:r>
                  <w:r>
                    <w:rPr>
                      <w:rFonts w:hint="eastAsia"/>
                    </w:rPr>
                    <w:t>A级</w:t>
                  </w:r>
                  <w:r>
                    <w:t>企业要求</w:t>
                  </w:r>
                </w:p>
              </w:tc>
            </w:tr>
            <w:tr w14:paraId="2DB45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559" w:type="pct"/>
                  <w:vMerge w:val="continue"/>
                  <w:tcBorders>
                    <w:left w:val="single" w:color="auto" w:sz="4" w:space="0"/>
                    <w:right w:val="single" w:color="auto" w:sz="4" w:space="0"/>
                  </w:tcBorders>
                  <w:vAlign w:val="center"/>
                </w:tcPr>
                <w:p w14:paraId="66AC1632">
                  <w:pPr>
                    <w:widowControl/>
                    <w:jc w:val="center"/>
                    <w:rPr>
                      <w:bCs/>
                      <w:lang w:bidi="ar"/>
                    </w:rPr>
                  </w:pPr>
                </w:p>
              </w:tc>
              <w:tc>
                <w:tcPr>
                  <w:tcW w:w="392" w:type="pct"/>
                  <w:tcBorders>
                    <w:top w:val="single" w:color="auto" w:sz="4" w:space="0"/>
                    <w:left w:val="single" w:color="auto" w:sz="4" w:space="0"/>
                    <w:right w:val="single" w:color="auto" w:sz="4" w:space="0"/>
                  </w:tcBorders>
                  <w:vAlign w:val="center"/>
                </w:tcPr>
                <w:p w14:paraId="4F9A4E5B">
                  <w:pPr>
                    <w:jc w:val="center"/>
                    <w:textAlignment w:val="baseline"/>
                    <w:rPr>
                      <w:bCs/>
                      <w:lang w:bidi="ar"/>
                    </w:rPr>
                  </w:pPr>
                  <w:r>
                    <w:rPr>
                      <w:bCs/>
                      <w:lang w:bidi="ar"/>
                    </w:rPr>
                    <w:t>无组织废气</w:t>
                  </w:r>
                </w:p>
              </w:tc>
              <w:tc>
                <w:tcPr>
                  <w:tcW w:w="743" w:type="pct"/>
                  <w:tcBorders>
                    <w:top w:val="single" w:color="auto" w:sz="4" w:space="0"/>
                    <w:left w:val="single" w:color="auto" w:sz="4" w:space="0"/>
                    <w:bottom w:val="single" w:color="auto" w:sz="4" w:space="0"/>
                    <w:right w:val="single" w:color="auto" w:sz="4" w:space="0"/>
                  </w:tcBorders>
                  <w:vAlign w:val="center"/>
                </w:tcPr>
                <w:p w14:paraId="0D0D2711">
                  <w:pPr>
                    <w:jc w:val="center"/>
                    <w:textAlignment w:val="baseline"/>
                    <w:rPr>
                      <w:bCs/>
                      <w:lang w:bidi="ar"/>
                    </w:rPr>
                  </w:pPr>
                  <w:r>
                    <w:rPr>
                      <w:rFonts w:hint="eastAsia"/>
                    </w:rPr>
                    <w:t>厂界</w:t>
                  </w:r>
                </w:p>
              </w:tc>
              <w:tc>
                <w:tcPr>
                  <w:tcW w:w="711" w:type="pct"/>
                  <w:tcBorders>
                    <w:top w:val="single" w:color="auto" w:sz="4" w:space="0"/>
                    <w:left w:val="single" w:color="auto" w:sz="4" w:space="0"/>
                    <w:bottom w:val="single" w:color="auto" w:sz="4" w:space="0"/>
                    <w:right w:val="single" w:color="auto" w:sz="4" w:space="0"/>
                  </w:tcBorders>
                  <w:vAlign w:val="center"/>
                </w:tcPr>
                <w:p w14:paraId="31115575">
                  <w:pPr>
                    <w:jc w:val="center"/>
                    <w:textAlignment w:val="baseline"/>
                    <w:rPr>
                      <w:kern w:val="0"/>
                    </w:rPr>
                  </w:pPr>
                  <w:r>
                    <w:rPr>
                      <w:rFonts w:hint="eastAsia"/>
                      <w:kern w:val="0"/>
                    </w:rPr>
                    <w:t>非甲烷总烃</w:t>
                  </w:r>
                </w:p>
              </w:tc>
              <w:tc>
                <w:tcPr>
                  <w:tcW w:w="725" w:type="pct"/>
                  <w:tcBorders>
                    <w:top w:val="single" w:color="auto" w:sz="4" w:space="0"/>
                    <w:left w:val="single" w:color="auto" w:sz="4" w:space="0"/>
                    <w:bottom w:val="single" w:color="auto" w:sz="4" w:space="0"/>
                    <w:right w:val="single" w:color="auto" w:sz="4" w:space="0"/>
                  </w:tcBorders>
                  <w:vAlign w:val="center"/>
                </w:tcPr>
                <w:p w14:paraId="2FD0E9D5">
                  <w:pPr>
                    <w:jc w:val="center"/>
                    <w:textAlignment w:val="baseline"/>
                    <w:rPr>
                      <w:bCs/>
                    </w:rPr>
                  </w:pPr>
                  <w:r>
                    <w:rPr>
                      <w:rFonts w:hint="eastAsia"/>
                    </w:rPr>
                    <w:t>1次/年</w:t>
                  </w:r>
                </w:p>
              </w:tc>
              <w:tc>
                <w:tcPr>
                  <w:tcW w:w="1870" w:type="pct"/>
                  <w:vMerge w:val="continue"/>
                  <w:tcBorders>
                    <w:left w:val="single" w:color="auto" w:sz="4" w:space="0"/>
                    <w:right w:val="single" w:color="auto" w:sz="4" w:space="0"/>
                  </w:tcBorders>
                  <w:vAlign w:val="center"/>
                </w:tcPr>
                <w:p w14:paraId="1674072D">
                  <w:pPr>
                    <w:jc w:val="center"/>
                    <w:textAlignment w:val="baseline"/>
                    <w:rPr>
                      <w:bCs/>
                    </w:rPr>
                  </w:pPr>
                </w:p>
              </w:tc>
            </w:tr>
          </w:tbl>
          <w:p w14:paraId="38AB76A4">
            <w:pPr>
              <w:pStyle w:val="11"/>
              <w:spacing w:line="360" w:lineRule="auto"/>
              <w:ind w:firstLine="480"/>
              <w:rPr>
                <w:rFonts w:eastAsiaTheme="majorEastAsia"/>
                <w:sz w:val="24"/>
              </w:rPr>
            </w:pPr>
            <w:r>
              <w:rPr>
                <w:rFonts w:eastAsiaTheme="majorEastAsia"/>
                <w:sz w:val="24"/>
              </w:rPr>
              <w:t>（6）废气环境影响分析</w:t>
            </w:r>
          </w:p>
          <w:p w14:paraId="5C022C6D">
            <w:pPr>
              <w:spacing w:line="360" w:lineRule="auto"/>
              <w:ind w:firstLine="464" w:firstLineChars="200"/>
              <w:jc w:val="left"/>
              <w:rPr>
                <w:rFonts w:eastAsiaTheme="majorEastAsia"/>
                <w:spacing w:val="-4"/>
                <w:sz w:val="24"/>
              </w:rPr>
            </w:pPr>
            <w:r>
              <w:rPr>
                <w:rFonts w:eastAsiaTheme="majorEastAsia"/>
                <w:spacing w:val="-4"/>
                <w:sz w:val="24"/>
              </w:rPr>
              <w:t>本项目废气污染因子主要为非甲烷总烃，项目生产车间为全密闭生产车间，</w:t>
            </w:r>
            <w:r>
              <w:rPr>
                <w:rFonts w:hint="eastAsia" w:eastAsiaTheme="majorEastAsia"/>
                <w:spacing w:val="-4"/>
                <w:sz w:val="24"/>
              </w:rPr>
              <w:t>有机</w:t>
            </w:r>
            <w:r>
              <w:rPr>
                <w:rFonts w:eastAsiaTheme="majorEastAsia"/>
                <w:spacing w:val="-4"/>
                <w:sz w:val="24"/>
              </w:rPr>
              <w:t>废气经集气罩收集后，经1套二级活性炭吸附装置处理</w:t>
            </w:r>
            <w:r>
              <w:rPr>
                <w:rFonts w:hint="eastAsia" w:eastAsiaTheme="majorEastAsia"/>
                <w:spacing w:val="-4"/>
                <w:sz w:val="24"/>
              </w:rPr>
              <w:t>后</w:t>
            </w:r>
            <w:r>
              <w:rPr>
                <w:rFonts w:eastAsiaTheme="majorEastAsia"/>
                <w:spacing w:val="-4"/>
                <w:sz w:val="24"/>
              </w:rPr>
              <w:t>经排气筒达标排放</w:t>
            </w:r>
            <w:r>
              <w:rPr>
                <w:rFonts w:eastAsiaTheme="majorEastAsia"/>
                <w:bCs/>
                <w:sz w:val="24"/>
              </w:rPr>
              <w:t>，能够满足标准要求</w:t>
            </w:r>
            <w:r>
              <w:rPr>
                <w:rFonts w:eastAsiaTheme="majorEastAsia"/>
                <w:spacing w:val="-4"/>
                <w:sz w:val="24"/>
              </w:rPr>
              <w:t>；</w:t>
            </w:r>
            <w:r>
              <w:rPr>
                <w:rFonts w:eastAsiaTheme="majorEastAsia"/>
                <w:sz w:val="24"/>
              </w:rPr>
              <w:t>距项目最近环境保护目标为厂区</w:t>
            </w:r>
            <w:r>
              <w:rPr>
                <w:rFonts w:hint="eastAsia" w:eastAsiaTheme="majorEastAsia"/>
                <w:sz w:val="24"/>
              </w:rPr>
              <w:t>西</w:t>
            </w:r>
            <w:r>
              <w:rPr>
                <w:rFonts w:eastAsiaTheme="majorEastAsia"/>
                <w:spacing w:val="-4"/>
                <w:sz w:val="24"/>
              </w:rPr>
              <w:t>侧</w:t>
            </w:r>
            <w:r>
              <w:rPr>
                <w:rFonts w:hint="eastAsia" w:eastAsiaTheme="majorEastAsia"/>
                <w:spacing w:val="-4"/>
                <w:sz w:val="24"/>
              </w:rPr>
              <w:t>的</w:t>
            </w:r>
            <w:r>
              <w:rPr>
                <w:rFonts w:eastAsiaTheme="majorEastAsia"/>
                <w:spacing w:val="-4"/>
                <w:sz w:val="24"/>
              </w:rPr>
              <w:t>民权慧佳幼儿园</w:t>
            </w:r>
            <w:r>
              <w:rPr>
                <w:rFonts w:eastAsiaTheme="majorEastAsia"/>
                <w:sz w:val="24"/>
              </w:rPr>
              <w:t>，</w:t>
            </w:r>
            <w:r>
              <w:rPr>
                <w:rFonts w:eastAsiaTheme="majorEastAsia"/>
                <w:spacing w:val="-4"/>
                <w:sz w:val="24"/>
              </w:rPr>
              <w:t>本项目</w:t>
            </w:r>
            <w:r>
              <w:rPr>
                <w:rFonts w:hint="eastAsia" w:eastAsiaTheme="majorEastAsia"/>
                <w:spacing w:val="-4"/>
                <w:sz w:val="24"/>
              </w:rPr>
              <w:t>为减少生产</w:t>
            </w:r>
            <w:r>
              <w:rPr>
                <w:rFonts w:eastAsiaTheme="majorEastAsia"/>
                <w:spacing w:val="-4"/>
                <w:sz w:val="24"/>
              </w:rPr>
              <w:t>过程中废气对</w:t>
            </w:r>
            <w:r>
              <w:rPr>
                <w:rFonts w:hint="eastAsia" w:eastAsiaTheme="majorEastAsia"/>
                <w:spacing w:val="-4"/>
                <w:sz w:val="24"/>
              </w:rPr>
              <w:t>敏感点</w:t>
            </w:r>
            <w:r>
              <w:rPr>
                <w:rFonts w:eastAsiaTheme="majorEastAsia"/>
                <w:spacing w:val="-4"/>
                <w:sz w:val="24"/>
              </w:rPr>
              <w:t>的影响，将生产线布置在车间内，</w:t>
            </w:r>
            <w:r>
              <w:rPr>
                <w:rFonts w:hint="eastAsia" w:eastAsiaTheme="majorEastAsia"/>
                <w:spacing w:val="-4"/>
                <w:sz w:val="24"/>
              </w:rPr>
              <w:t>拉丝机</w:t>
            </w:r>
            <w:r>
              <w:rPr>
                <w:rFonts w:eastAsiaTheme="majorEastAsia"/>
                <w:spacing w:val="-4"/>
                <w:sz w:val="24"/>
              </w:rPr>
              <w:t>布置在厂房的中部，距离西边的幼儿园</w:t>
            </w:r>
            <w:r>
              <w:rPr>
                <w:rFonts w:hint="eastAsia" w:eastAsiaTheme="majorEastAsia"/>
                <w:spacing w:val="-4"/>
                <w:sz w:val="24"/>
              </w:rPr>
              <w:t>约60</w:t>
            </w:r>
            <w:r>
              <w:rPr>
                <w:rFonts w:eastAsiaTheme="majorEastAsia"/>
                <w:spacing w:val="-4"/>
                <w:sz w:val="24"/>
              </w:rPr>
              <w:t>m，与环境保护目标距离较远且废气经处理后达标排放，项目建设对其影响较小，综上可知，项目废气对周围环境影响较小。</w:t>
            </w:r>
          </w:p>
          <w:p w14:paraId="70B2D3AA">
            <w:pPr>
              <w:spacing w:line="360" w:lineRule="auto"/>
              <w:ind w:firstLine="482" w:firstLineChars="200"/>
              <w:jc w:val="left"/>
              <w:rPr>
                <w:rFonts w:eastAsia="黑体"/>
                <w:b/>
                <w:sz w:val="24"/>
              </w:rPr>
            </w:pPr>
            <w:r>
              <w:rPr>
                <w:rFonts w:eastAsia="黑体"/>
                <w:b/>
                <w:sz w:val="24"/>
              </w:rPr>
              <w:t>2、废水</w:t>
            </w:r>
          </w:p>
          <w:p w14:paraId="52D69A14">
            <w:pPr>
              <w:spacing w:line="348" w:lineRule="auto"/>
              <w:ind w:firstLine="480" w:firstLineChars="200"/>
              <w:rPr>
                <w:sz w:val="24"/>
              </w:rPr>
            </w:pPr>
            <w:r>
              <w:rPr>
                <w:rFonts w:hint="eastAsia"/>
                <w:sz w:val="24"/>
              </w:rPr>
              <w:t>项目运营期废水主要包括生产废水及生活污水。</w:t>
            </w:r>
          </w:p>
          <w:p w14:paraId="0FA0620B">
            <w:pPr>
              <w:spacing w:line="348" w:lineRule="auto"/>
              <w:ind w:firstLine="482" w:firstLineChars="200"/>
              <w:rPr>
                <w:b/>
                <w:bCs/>
                <w:sz w:val="24"/>
              </w:rPr>
            </w:pPr>
            <w:r>
              <w:rPr>
                <w:rFonts w:hint="eastAsia"/>
                <w:b/>
                <w:bCs/>
                <w:sz w:val="24"/>
              </w:rPr>
              <w:t>2.</w:t>
            </w:r>
            <w:r>
              <w:rPr>
                <w:b/>
                <w:bCs/>
                <w:sz w:val="24"/>
              </w:rPr>
              <w:t>1</w:t>
            </w:r>
            <w:r>
              <w:rPr>
                <w:rFonts w:hint="eastAsia"/>
                <w:b/>
                <w:bCs/>
                <w:sz w:val="24"/>
              </w:rPr>
              <w:t>生活污水产排</w:t>
            </w:r>
            <w:r>
              <w:rPr>
                <w:b/>
                <w:bCs/>
                <w:sz w:val="24"/>
              </w:rPr>
              <w:t>情况分析</w:t>
            </w:r>
          </w:p>
          <w:p w14:paraId="0BE2F033">
            <w:pPr>
              <w:spacing w:line="348" w:lineRule="auto"/>
              <w:ind w:firstLine="480" w:firstLineChars="200"/>
              <w:rPr>
                <w:b/>
                <w:bCs/>
                <w:sz w:val="24"/>
              </w:rPr>
            </w:pPr>
            <w:r>
              <w:rPr>
                <w:rFonts w:hint="eastAsia"/>
                <w:sz w:val="24"/>
              </w:rPr>
              <w:t>根据工程</w:t>
            </w:r>
            <w:r>
              <w:rPr>
                <w:sz w:val="24"/>
              </w:rPr>
              <w:t>分析，项目</w:t>
            </w:r>
            <w:r>
              <w:rPr>
                <w:rFonts w:hint="eastAsia"/>
                <w:sz w:val="24"/>
                <w:szCs w:val="20"/>
              </w:rPr>
              <w:t>生活</w:t>
            </w:r>
            <w:r>
              <w:rPr>
                <w:rFonts w:hint="eastAsia" w:hAnsi="宋体"/>
                <w:sz w:val="24"/>
              </w:rPr>
              <w:t>用水量为</w:t>
            </w:r>
            <w:r>
              <w:rPr>
                <w:rFonts w:hAnsi="宋体"/>
                <w:sz w:val="24"/>
              </w:rPr>
              <w:t>2</w:t>
            </w:r>
            <w:r>
              <w:rPr>
                <w:rFonts w:hint="eastAsia" w:hAnsi="宋体"/>
                <w:sz w:val="24"/>
                <w:lang w:val="en-GB"/>
              </w:rPr>
              <w:t>m</w:t>
            </w:r>
            <w:r>
              <w:rPr>
                <w:rFonts w:hint="eastAsia" w:hAnsi="宋体"/>
                <w:sz w:val="24"/>
                <w:vertAlign w:val="superscript"/>
                <w:lang w:val="en-GB"/>
              </w:rPr>
              <w:t>3</w:t>
            </w:r>
            <w:r>
              <w:rPr>
                <w:rFonts w:hint="eastAsia" w:hAnsi="宋体"/>
                <w:sz w:val="24"/>
                <w:lang w:val="en-GB"/>
              </w:rPr>
              <w:t>/d</w:t>
            </w:r>
            <w:r>
              <w:rPr>
                <w:rFonts w:hint="eastAsia" w:hAnsi="宋体"/>
                <w:sz w:val="24"/>
              </w:rPr>
              <w:t>，</w:t>
            </w:r>
            <w:r>
              <w:rPr>
                <w:rFonts w:hAnsi="宋体"/>
                <w:sz w:val="24"/>
              </w:rPr>
              <w:t>60</w:t>
            </w:r>
            <w:r>
              <w:rPr>
                <w:rFonts w:hint="eastAsia" w:hAnsi="宋体"/>
                <w:sz w:val="24"/>
              </w:rPr>
              <w:t>0m</w:t>
            </w:r>
            <w:r>
              <w:rPr>
                <w:rFonts w:hint="eastAsia" w:hAnsi="宋体"/>
                <w:sz w:val="24"/>
                <w:vertAlign w:val="superscript"/>
              </w:rPr>
              <w:t>3</w:t>
            </w:r>
            <w:r>
              <w:rPr>
                <w:rFonts w:hint="eastAsia" w:hAnsi="宋体"/>
                <w:sz w:val="24"/>
              </w:rPr>
              <w:t>/a，排放系数按0.8计，产生量为1.</w:t>
            </w:r>
            <w:r>
              <w:rPr>
                <w:rFonts w:hAnsi="宋体"/>
                <w:sz w:val="24"/>
              </w:rPr>
              <w:t>6</w:t>
            </w:r>
            <w:r>
              <w:rPr>
                <w:rFonts w:hint="eastAsia" w:hAnsi="宋体"/>
                <w:sz w:val="24"/>
                <w:lang w:val="en-GB"/>
              </w:rPr>
              <w:t>m</w:t>
            </w:r>
            <w:r>
              <w:rPr>
                <w:rFonts w:hint="eastAsia" w:hAnsi="宋体"/>
                <w:sz w:val="24"/>
                <w:vertAlign w:val="superscript"/>
                <w:lang w:val="en-GB"/>
              </w:rPr>
              <w:t>3</w:t>
            </w:r>
            <w:r>
              <w:rPr>
                <w:rFonts w:hint="eastAsia" w:hAnsi="宋体"/>
                <w:sz w:val="24"/>
                <w:lang w:val="en-GB"/>
              </w:rPr>
              <w:t>/d</w:t>
            </w:r>
            <w:r>
              <w:rPr>
                <w:rFonts w:hint="eastAsia" w:hAnsi="宋体"/>
                <w:sz w:val="24"/>
              </w:rPr>
              <w:t>，</w:t>
            </w:r>
            <w:r>
              <w:rPr>
                <w:rFonts w:hAnsi="宋体"/>
                <w:sz w:val="24"/>
              </w:rPr>
              <w:t>480</w:t>
            </w:r>
            <w:r>
              <w:rPr>
                <w:rFonts w:hint="eastAsia" w:hAnsi="宋体"/>
                <w:sz w:val="24"/>
              </w:rPr>
              <w:t>m</w:t>
            </w:r>
            <w:r>
              <w:rPr>
                <w:rFonts w:hint="eastAsia" w:hAnsi="宋体"/>
                <w:sz w:val="24"/>
                <w:vertAlign w:val="superscript"/>
              </w:rPr>
              <w:t>3</w:t>
            </w:r>
            <w:r>
              <w:rPr>
                <w:rFonts w:hint="eastAsia" w:hAnsi="宋体"/>
                <w:sz w:val="24"/>
              </w:rPr>
              <w:t>/a，</w:t>
            </w:r>
            <w:r>
              <w:rPr>
                <w:rFonts w:hint="eastAsia"/>
                <w:bCs/>
                <w:sz w:val="24"/>
              </w:rPr>
              <w:t>生活污水主要污染物含量约为COD300</w:t>
            </w:r>
            <w:r>
              <w:rPr>
                <w:sz w:val="24"/>
              </w:rPr>
              <w:t>mg/L</w:t>
            </w:r>
            <w:r>
              <w:rPr>
                <w:rFonts w:hint="eastAsia"/>
                <w:bCs/>
                <w:sz w:val="24"/>
              </w:rPr>
              <w:t>、BOD</w:t>
            </w:r>
            <w:r>
              <w:rPr>
                <w:rFonts w:hint="eastAsia"/>
                <w:bCs/>
                <w:sz w:val="24"/>
                <w:vertAlign w:val="subscript"/>
              </w:rPr>
              <w:t>5</w:t>
            </w:r>
            <w:r>
              <w:rPr>
                <w:rFonts w:hint="eastAsia"/>
                <w:bCs/>
                <w:sz w:val="24"/>
              </w:rPr>
              <w:t>200</w:t>
            </w:r>
            <w:r>
              <w:rPr>
                <w:sz w:val="24"/>
              </w:rPr>
              <w:t>mg/L</w:t>
            </w:r>
            <w:r>
              <w:rPr>
                <w:rFonts w:hint="eastAsia"/>
                <w:bCs/>
                <w:sz w:val="24"/>
              </w:rPr>
              <w:t>、SS200</w:t>
            </w:r>
            <w:r>
              <w:rPr>
                <w:sz w:val="24"/>
              </w:rPr>
              <w:t>mg/L</w:t>
            </w:r>
            <w:r>
              <w:rPr>
                <w:rFonts w:hint="eastAsia"/>
                <w:bCs/>
                <w:sz w:val="24"/>
              </w:rPr>
              <w:t>、氨氮20</w:t>
            </w:r>
            <w:r>
              <w:rPr>
                <w:sz w:val="24"/>
              </w:rPr>
              <w:t>mg/L</w:t>
            </w:r>
            <w:r>
              <w:rPr>
                <w:rFonts w:hint="eastAsia"/>
                <w:sz w:val="24"/>
              </w:rPr>
              <w:t>，</w:t>
            </w:r>
            <w:r>
              <w:rPr>
                <w:rFonts w:hint="eastAsia" w:hAnsi="宋体"/>
                <w:sz w:val="24"/>
              </w:rPr>
              <w:t>生活污水经厂区化粪池暂存后，</w:t>
            </w:r>
            <w:r>
              <w:rPr>
                <w:rFonts w:hint="eastAsia"/>
                <w:color w:val="000000"/>
                <w:sz w:val="24"/>
              </w:rPr>
              <w:t>与厂区污水处理站处理后的生产废水一起进入北关镇污水处理厂处理。</w:t>
            </w:r>
          </w:p>
          <w:p w14:paraId="2D10184A">
            <w:pPr>
              <w:spacing w:line="348" w:lineRule="auto"/>
              <w:ind w:firstLine="482" w:firstLineChars="200"/>
              <w:rPr>
                <w:b/>
                <w:bCs/>
                <w:sz w:val="24"/>
              </w:rPr>
            </w:pPr>
            <w:r>
              <w:rPr>
                <w:rFonts w:hint="eastAsia"/>
                <w:b/>
                <w:bCs/>
                <w:sz w:val="24"/>
              </w:rPr>
              <w:t>2.</w:t>
            </w:r>
            <w:r>
              <w:rPr>
                <w:b/>
                <w:bCs/>
                <w:sz w:val="24"/>
              </w:rPr>
              <w:t>2</w:t>
            </w:r>
            <w:r>
              <w:rPr>
                <w:rFonts w:hint="eastAsia"/>
                <w:b/>
                <w:bCs/>
                <w:sz w:val="24"/>
              </w:rPr>
              <w:t>生产废水产排</w:t>
            </w:r>
            <w:r>
              <w:rPr>
                <w:b/>
                <w:bCs/>
                <w:sz w:val="24"/>
              </w:rPr>
              <w:t>情况分析</w:t>
            </w:r>
          </w:p>
          <w:p w14:paraId="105760F4">
            <w:pPr>
              <w:spacing w:line="348" w:lineRule="auto"/>
              <w:ind w:firstLine="480" w:firstLineChars="200"/>
              <w:rPr>
                <w:bCs/>
                <w:sz w:val="24"/>
              </w:rPr>
            </w:pPr>
            <w:r>
              <w:rPr>
                <w:rFonts w:hint="eastAsia"/>
                <w:bCs/>
                <w:sz w:val="24"/>
              </w:rPr>
              <w:t>（1）生产废水</w:t>
            </w:r>
          </w:p>
          <w:p w14:paraId="125E0009">
            <w:pPr>
              <w:adjustRightInd w:val="0"/>
              <w:snapToGrid w:val="0"/>
              <w:spacing w:line="360" w:lineRule="auto"/>
              <w:ind w:firstLine="480" w:firstLineChars="200"/>
              <w:rPr>
                <w:rFonts w:hAnsi="宋体"/>
                <w:kern w:val="0"/>
                <w:sz w:val="24"/>
              </w:rPr>
            </w:pPr>
            <w:r>
              <w:rPr>
                <w:rFonts w:hint="eastAsia" w:hAnsi="宋体"/>
                <w:kern w:val="0"/>
                <w:sz w:val="24"/>
              </w:rPr>
              <w:t>根据</w:t>
            </w:r>
            <w:r>
              <w:rPr>
                <w:rFonts w:hAnsi="宋体"/>
                <w:kern w:val="0"/>
                <w:sz w:val="24"/>
              </w:rPr>
              <w:t>工程分析，本项目</w:t>
            </w:r>
            <w:r>
              <w:rPr>
                <w:rFonts w:hint="eastAsia" w:hAnsi="宋体"/>
                <w:kern w:val="0"/>
                <w:sz w:val="24"/>
              </w:rPr>
              <w:t>生产废水主要为磨尖废水和产品清洗废水，每日去三级</w:t>
            </w:r>
            <w:r>
              <w:rPr>
                <w:rFonts w:hAnsi="宋体"/>
                <w:kern w:val="0"/>
                <w:sz w:val="24"/>
              </w:rPr>
              <w:t>沉淀池沉淀处理的废水量为</w:t>
            </w:r>
            <w:r>
              <w:rPr>
                <w:rFonts w:hint="eastAsia" w:hAnsi="宋体"/>
                <w:kern w:val="0"/>
                <w:sz w:val="24"/>
              </w:rPr>
              <w:t>14.4</w:t>
            </w:r>
            <w:r>
              <w:rPr>
                <w:rFonts w:hAnsi="宋体"/>
                <w:kern w:val="0"/>
                <w:sz w:val="24"/>
              </w:rPr>
              <w:t>t/d</w:t>
            </w:r>
            <w:r>
              <w:rPr>
                <w:rFonts w:hint="eastAsia" w:hAnsi="宋体"/>
                <w:kern w:val="0"/>
                <w:sz w:val="24"/>
              </w:rPr>
              <w:t>，由于</w:t>
            </w:r>
            <w:r>
              <w:rPr>
                <w:rFonts w:hAnsi="宋体"/>
                <w:kern w:val="0"/>
                <w:sz w:val="24"/>
              </w:rPr>
              <w:t>本项目生产所用原料均为新料，</w:t>
            </w:r>
            <w:r>
              <w:rPr>
                <w:rFonts w:hint="eastAsia" w:hAnsi="宋体"/>
                <w:kern w:val="0"/>
                <w:sz w:val="24"/>
              </w:rPr>
              <w:t>生产过程中无其他污染物带入，仅在磨尖过程中产生磨尖碎屑，磨尖</w:t>
            </w:r>
            <w:r>
              <w:rPr>
                <w:rFonts w:hAnsi="宋体"/>
                <w:kern w:val="0"/>
                <w:sz w:val="24"/>
              </w:rPr>
              <w:t>废水和清洗废水</w:t>
            </w:r>
            <w:r>
              <w:rPr>
                <w:rFonts w:hint="eastAsia" w:hAnsi="宋体"/>
                <w:kern w:val="0"/>
                <w:sz w:val="24"/>
              </w:rPr>
              <w:t>主要</w:t>
            </w:r>
            <w:r>
              <w:rPr>
                <w:rFonts w:hAnsi="宋体"/>
                <w:kern w:val="0"/>
                <w:sz w:val="24"/>
              </w:rPr>
              <w:t>污染物为</w:t>
            </w:r>
            <w:r>
              <w:rPr>
                <w:rFonts w:hint="eastAsia" w:hAnsi="宋体"/>
                <w:kern w:val="0"/>
                <w:sz w:val="24"/>
              </w:rPr>
              <w:t>SS，根据</w:t>
            </w:r>
            <w:r>
              <w:rPr>
                <w:rFonts w:hAnsi="宋体"/>
                <w:kern w:val="0"/>
                <w:sz w:val="24"/>
              </w:rPr>
              <w:t>企业提供的资料，本项目需要磨尖的产品量为</w:t>
            </w:r>
            <w:r>
              <w:rPr>
                <w:rFonts w:hint="eastAsia" w:hAnsi="宋体"/>
                <w:kern w:val="0"/>
                <w:sz w:val="24"/>
              </w:rPr>
              <w:t>2500</w:t>
            </w:r>
            <w:r>
              <w:rPr>
                <w:rFonts w:hAnsi="宋体"/>
                <w:kern w:val="0"/>
                <w:sz w:val="24"/>
              </w:rPr>
              <w:t>t/a</w:t>
            </w:r>
            <w:r>
              <w:rPr>
                <w:rFonts w:hint="eastAsia" w:hAnsi="宋体"/>
                <w:kern w:val="0"/>
                <w:sz w:val="24"/>
              </w:rPr>
              <w:t>，</w:t>
            </w:r>
            <w:r>
              <w:rPr>
                <w:rFonts w:hAnsi="宋体"/>
                <w:kern w:val="0"/>
                <w:sz w:val="24"/>
              </w:rPr>
              <w:t>磨尖过程中产生的磨粉量约产品量的</w:t>
            </w:r>
            <w:r>
              <w:rPr>
                <w:rFonts w:hint="eastAsia" w:hAnsi="宋体"/>
                <w:kern w:val="0"/>
                <w:sz w:val="24"/>
              </w:rPr>
              <w:t>1</w:t>
            </w:r>
            <w:r>
              <w:rPr>
                <w:rFonts w:hAnsi="宋体"/>
                <w:kern w:val="0"/>
                <w:sz w:val="24"/>
              </w:rPr>
              <w:t>%，即</w:t>
            </w:r>
            <w:r>
              <w:rPr>
                <w:rFonts w:hint="eastAsia" w:hAnsi="宋体"/>
                <w:kern w:val="0"/>
                <w:sz w:val="24"/>
              </w:rPr>
              <w:t>25</w:t>
            </w:r>
            <w:r>
              <w:rPr>
                <w:rFonts w:hAnsi="宋体"/>
                <w:kern w:val="0"/>
                <w:sz w:val="24"/>
              </w:rPr>
              <w:t>t/a</w:t>
            </w:r>
            <w:r>
              <w:rPr>
                <w:rFonts w:hint="eastAsia" w:hAnsi="宋体"/>
                <w:kern w:val="0"/>
                <w:sz w:val="24"/>
              </w:rPr>
              <w:t>，</w:t>
            </w:r>
            <w:r>
              <w:rPr>
                <w:rFonts w:hAnsi="宋体"/>
                <w:kern w:val="0"/>
                <w:sz w:val="24"/>
              </w:rPr>
              <w:t>本次评价按最不利情况考虑，磨粉均进入废水中，以</w:t>
            </w:r>
            <w:r>
              <w:rPr>
                <w:rFonts w:hint="eastAsia" w:hAnsi="宋体"/>
                <w:kern w:val="0"/>
                <w:sz w:val="24"/>
              </w:rPr>
              <w:t>SS计</w:t>
            </w:r>
            <w:r>
              <w:rPr>
                <w:rFonts w:hAnsi="宋体"/>
                <w:kern w:val="0"/>
                <w:sz w:val="24"/>
              </w:rPr>
              <w:t>，则生产废水中的</w:t>
            </w:r>
            <w:r>
              <w:rPr>
                <w:rFonts w:hint="eastAsia" w:hAnsi="宋体"/>
                <w:kern w:val="0"/>
                <w:sz w:val="24"/>
              </w:rPr>
              <w:t>SS含量</w:t>
            </w:r>
            <w:r>
              <w:rPr>
                <w:rFonts w:hAnsi="宋体"/>
                <w:kern w:val="0"/>
                <w:sz w:val="24"/>
              </w:rPr>
              <w:t>为</w:t>
            </w:r>
            <w:r>
              <w:rPr>
                <w:rFonts w:hint="eastAsia" w:hAnsi="宋体"/>
                <w:kern w:val="0"/>
                <w:sz w:val="24"/>
              </w:rPr>
              <w:t>5</w:t>
            </w:r>
            <w:r>
              <w:rPr>
                <w:rFonts w:hAnsi="宋体"/>
                <w:kern w:val="0"/>
                <w:sz w:val="24"/>
              </w:rPr>
              <w:t>787mg/L，经三级沉淀装置物理</w:t>
            </w:r>
            <w:r>
              <w:rPr>
                <w:rFonts w:hint="eastAsia" w:hAnsi="宋体"/>
                <w:kern w:val="0"/>
                <w:sz w:val="24"/>
              </w:rPr>
              <w:t>沉淀</w:t>
            </w:r>
            <w:r>
              <w:rPr>
                <w:rFonts w:hAnsi="宋体"/>
                <w:kern w:val="0"/>
                <w:sz w:val="24"/>
              </w:rPr>
              <w:t>后，</w:t>
            </w:r>
            <w:r>
              <w:rPr>
                <w:rFonts w:hint="eastAsia" w:hAnsi="宋体"/>
                <w:kern w:val="0"/>
                <w:sz w:val="24"/>
              </w:rPr>
              <w:t>废水</w:t>
            </w:r>
            <w:r>
              <w:rPr>
                <w:rFonts w:hAnsi="宋体"/>
                <w:kern w:val="0"/>
                <w:sz w:val="24"/>
              </w:rPr>
              <w:t>中的</w:t>
            </w:r>
            <w:r>
              <w:rPr>
                <w:rFonts w:hint="eastAsia" w:hAnsi="宋体"/>
                <w:kern w:val="0"/>
                <w:sz w:val="24"/>
              </w:rPr>
              <w:t>SS去除率</w:t>
            </w:r>
            <w:r>
              <w:rPr>
                <w:rFonts w:hAnsi="宋体"/>
                <w:kern w:val="0"/>
                <w:sz w:val="24"/>
              </w:rPr>
              <w:t>可达</w:t>
            </w:r>
            <w:r>
              <w:rPr>
                <w:rFonts w:hint="eastAsia" w:hAnsi="宋体"/>
                <w:kern w:val="0"/>
                <w:sz w:val="24"/>
              </w:rPr>
              <w:t>9</w:t>
            </w:r>
            <w:r>
              <w:rPr>
                <w:rFonts w:hAnsi="宋体"/>
                <w:kern w:val="0"/>
                <w:sz w:val="24"/>
              </w:rPr>
              <w:t>9%，即58mg/L，</w:t>
            </w:r>
            <w:r>
              <w:rPr>
                <w:rFonts w:hint="eastAsia" w:hAnsi="宋体"/>
                <w:kern w:val="0"/>
                <w:sz w:val="24"/>
              </w:rPr>
              <w:t>为保障</w:t>
            </w:r>
            <w:r>
              <w:rPr>
                <w:rFonts w:hAnsi="宋体"/>
                <w:kern w:val="0"/>
                <w:sz w:val="24"/>
              </w:rPr>
              <w:t>回用水质，</w:t>
            </w:r>
            <w:r>
              <w:rPr>
                <w:rFonts w:hint="eastAsia" w:hAnsi="宋体"/>
                <w:kern w:val="0"/>
                <w:sz w:val="24"/>
              </w:rPr>
              <w:t>生产废水</w:t>
            </w:r>
            <w:r>
              <w:rPr>
                <w:rFonts w:hAnsi="宋体"/>
                <w:kern w:val="0"/>
                <w:sz w:val="24"/>
              </w:rPr>
              <w:t>每三天需</w:t>
            </w:r>
            <w:r>
              <w:rPr>
                <w:rFonts w:hint="eastAsia" w:hAnsi="宋体"/>
                <w:kern w:val="0"/>
                <w:sz w:val="24"/>
              </w:rPr>
              <w:t>用</w:t>
            </w:r>
            <w:r>
              <w:rPr>
                <w:rFonts w:hAnsi="宋体"/>
                <w:kern w:val="0"/>
                <w:sz w:val="24"/>
              </w:rPr>
              <w:t>罐车</w:t>
            </w:r>
            <w:r>
              <w:rPr>
                <w:rFonts w:hint="eastAsia" w:hAnsi="宋体"/>
                <w:kern w:val="0"/>
                <w:sz w:val="24"/>
              </w:rPr>
              <w:t>运至</w:t>
            </w:r>
            <w:r>
              <w:rPr>
                <w:rFonts w:hint="eastAsia"/>
                <w:sz w:val="24"/>
              </w:rPr>
              <w:t>民权县北关镇污水处理厂处理，此时</w:t>
            </w:r>
            <w:r>
              <w:rPr>
                <w:sz w:val="24"/>
              </w:rPr>
              <w:t>对三级沉淀池的沉淀物进行彻底清理，因生产废</w:t>
            </w:r>
            <w:r>
              <w:rPr>
                <w:rFonts w:hint="eastAsia"/>
                <w:sz w:val="24"/>
              </w:rPr>
              <w:t>水</w:t>
            </w:r>
            <w:r>
              <w:rPr>
                <w:sz w:val="24"/>
              </w:rPr>
              <w:t>去</w:t>
            </w:r>
            <w:r>
              <w:rPr>
                <w:rFonts w:hint="eastAsia"/>
                <w:sz w:val="24"/>
              </w:rPr>
              <w:t>民权县北关镇污水处理厂进一步处理，外运</w:t>
            </w:r>
            <w:r>
              <w:rPr>
                <w:sz w:val="24"/>
              </w:rPr>
              <w:t>时生产废水</w:t>
            </w:r>
            <w:r>
              <w:rPr>
                <w:rFonts w:hint="eastAsia"/>
                <w:sz w:val="24"/>
              </w:rPr>
              <w:t>仅</w:t>
            </w:r>
            <w:r>
              <w:rPr>
                <w:sz w:val="24"/>
              </w:rPr>
              <w:t>进行一级沉淀处理即可，</w:t>
            </w:r>
            <w:r>
              <w:rPr>
                <w:rFonts w:hint="eastAsia" w:hAnsi="宋体"/>
                <w:kern w:val="0"/>
                <w:sz w:val="24"/>
              </w:rPr>
              <w:t>SS去除率</w:t>
            </w:r>
            <w:r>
              <w:rPr>
                <w:rFonts w:hAnsi="宋体"/>
                <w:kern w:val="0"/>
                <w:sz w:val="24"/>
              </w:rPr>
              <w:t>可达</w:t>
            </w:r>
            <w:r>
              <w:rPr>
                <w:rFonts w:hint="eastAsia" w:hAnsi="宋体"/>
                <w:kern w:val="0"/>
                <w:sz w:val="24"/>
              </w:rPr>
              <w:t>9</w:t>
            </w:r>
            <w:r>
              <w:rPr>
                <w:rFonts w:hAnsi="宋体"/>
                <w:kern w:val="0"/>
                <w:sz w:val="24"/>
              </w:rPr>
              <w:t>5%，即289.4mg/L，</w:t>
            </w:r>
            <w:r>
              <w:rPr>
                <w:rFonts w:hint="eastAsia" w:hAnsi="宋体"/>
                <w:kern w:val="0"/>
                <w:sz w:val="24"/>
              </w:rPr>
              <w:t>满足</w:t>
            </w:r>
            <w:r>
              <w:rPr>
                <w:rFonts w:hint="eastAsia"/>
                <w:sz w:val="24"/>
              </w:rPr>
              <w:t>民权县北关镇污水处理厂的收水</w:t>
            </w:r>
            <w:r>
              <w:rPr>
                <w:sz w:val="24"/>
              </w:rPr>
              <w:t>水质。</w:t>
            </w:r>
          </w:p>
          <w:p w14:paraId="68E3CF91">
            <w:pPr>
              <w:spacing w:line="348" w:lineRule="auto"/>
              <w:ind w:firstLine="482" w:firstLineChars="200"/>
              <w:jc w:val="center"/>
              <w:rPr>
                <w:bCs/>
                <w:sz w:val="24"/>
              </w:rPr>
            </w:pPr>
            <w:r>
              <w:rPr>
                <w:rFonts w:eastAsia="黑体"/>
                <w:b/>
                <w:sz w:val="24"/>
              </w:rPr>
              <mc:AlternateContent>
                <mc:Choice Requires="wps">
                  <w:drawing>
                    <wp:anchor distT="0" distB="0" distL="114300" distR="114300" simplePos="0" relativeHeight="251702272" behindDoc="0" locked="0" layoutInCell="1" allowOverlap="1">
                      <wp:simplePos x="0" y="0"/>
                      <wp:positionH relativeFrom="column">
                        <wp:posOffset>1376680</wp:posOffset>
                      </wp:positionH>
                      <wp:positionV relativeFrom="paragraph">
                        <wp:posOffset>1348740</wp:posOffset>
                      </wp:positionV>
                      <wp:extent cx="2651125" cy="298450"/>
                      <wp:effectExtent l="0" t="0" r="0" b="0"/>
                      <wp:wrapNone/>
                      <wp:docPr id="56" name="文本框 56"/>
                      <wp:cNvGraphicFramePr/>
                      <a:graphic xmlns:a="http://schemas.openxmlformats.org/drawingml/2006/main">
                        <a:graphicData uri="http://schemas.microsoft.com/office/word/2010/wordprocessingShape">
                          <wps:wsp>
                            <wps:cNvSpPr txBox="1">
                              <a:spLocks noChangeArrowheads="1"/>
                            </wps:cNvSpPr>
                            <wps:spPr bwMode="auto">
                              <a:xfrm>
                                <a:off x="0" y="0"/>
                                <a:ext cx="2651125" cy="298450"/>
                              </a:xfrm>
                              <a:prstGeom prst="rect">
                                <a:avLst/>
                              </a:prstGeom>
                              <a:noFill/>
                              <a:ln>
                                <a:noFill/>
                              </a:ln>
                            </wps:spPr>
                            <wps:txbx>
                              <w:txbxContent>
                                <w:p w14:paraId="618CF245">
                                  <w:pPr>
                                    <w:adjustRightInd w:val="0"/>
                                    <w:snapToGrid w:val="0"/>
                                    <w:rPr>
                                      <w:rFonts w:ascii="宋体" w:hAnsi="宋体"/>
                                      <w:b/>
                                      <w:bCs/>
                                      <w:sz w:val="24"/>
                                    </w:rPr>
                                  </w:pPr>
                                  <w:r>
                                    <w:rPr>
                                      <w:rFonts w:hint="eastAsia"/>
                                      <w:b/>
                                      <w:bCs/>
                                      <w:sz w:val="24"/>
                                    </w:rPr>
                                    <w:t>图</w:t>
                                  </w:r>
                                  <w:r>
                                    <w:rPr>
                                      <w:b/>
                                      <w:bCs/>
                                      <w:sz w:val="24"/>
                                    </w:rPr>
                                    <w:t>3</w:t>
                                  </w:r>
                                  <w:r>
                                    <w:rPr>
                                      <w:rFonts w:hint="eastAsia"/>
                                      <w:b/>
                                      <w:bCs/>
                                      <w:sz w:val="24"/>
                                    </w:rPr>
                                    <w:t xml:space="preserve">    </w:t>
                                  </w:r>
                                  <w:r>
                                    <w:rPr>
                                      <w:rFonts w:hint="eastAsia" w:ascii="宋体" w:hAnsi="宋体"/>
                                      <w:b/>
                                      <w:bCs/>
                                      <w:sz w:val="24"/>
                                    </w:rPr>
                                    <w:t>生产废水处理工艺流程图</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08.4pt;margin-top:106.2pt;height:23.5pt;width:208.75pt;z-index:251702272;mso-width-relative:page;mso-height-relative:page;" filled="f" stroked="f" coordsize="21600,21600" o:gfxdata="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L5u6y9gAAAALAQAA&#10;DwAAAAAAAAABACAAAAAiAAAAZHJzL2Rvd25yZXYueG1sUEsBAhQAFAAAAAgAh07iQPVTQWQZAgAA&#10;FwQAAA4AAAAAAAAAAQAgAAAAJwEAAGRycy9lMm9Eb2MueG1sUEsFBgAAAAAGAAYAWQEAALIFAAAA&#10;AA==&#10;">
                      <v:fill on="f" focussize="0,0"/>
                      <v:stroke on="f"/>
                      <v:imagedata o:title=""/>
                      <o:lock v:ext="edit" aspectratio="f"/>
                      <v:textbox>
                        <w:txbxContent>
                          <w:p w14:paraId="618CF245">
                            <w:pPr>
                              <w:adjustRightInd w:val="0"/>
                              <w:snapToGrid w:val="0"/>
                              <w:rPr>
                                <w:rFonts w:ascii="宋体" w:hAnsi="宋体"/>
                                <w:b/>
                                <w:bCs/>
                                <w:sz w:val="24"/>
                              </w:rPr>
                            </w:pPr>
                            <w:r>
                              <w:rPr>
                                <w:rFonts w:hint="eastAsia"/>
                                <w:b/>
                                <w:bCs/>
                                <w:sz w:val="24"/>
                              </w:rPr>
                              <w:t>图</w:t>
                            </w:r>
                            <w:r>
                              <w:rPr>
                                <w:b/>
                                <w:bCs/>
                                <w:sz w:val="24"/>
                              </w:rPr>
                              <w:t>3</w:t>
                            </w:r>
                            <w:r>
                              <w:rPr>
                                <w:rFonts w:hint="eastAsia"/>
                                <w:b/>
                                <w:bCs/>
                                <w:sz w:val="24"/>
                              </w:rPr>
                              <w:t xml:space="preserve">    </w:t>
                            </w:r>
                            <w:r>
                              <w:rPr>
                                <w:rFonts w:hint="eastAsia" w:ascii="宋体" w:hAnsi="宋体"/>
                                <w:b/>
                                <w:bCs/>
                                <w:sz w:val="24"/>
                              </w:rPr>
                              <w:t>生产废水处理工艺流程图</w:t>
                            </w:r>
                          </w:p>
                        </w:txbxContent>
                      </v:textbox>
                    </v:shape>
                  </w:pict>
                </mc:Fallback>
              </mc:AlternateContent>
            </w:r>
            <w:r>
              <w:object>
                <v:shape id="_x0000_i1025" o:spt="75" type="#_x0000_t75" style="height:103.2pt;width:352.65pt;" o:ole="t" filled="f" o:preferrelative="t" stroked="f" coordsize="21600,21600">
                  <v:path/>
                  <v:fill on="f" focussize="0,0"/>
                  <v:stroke on="f"/>
                  <v:imagedata r:id="rId9" o:title=""/>
                  <o:lock v:ext="edit" aspectratio="t"/>
                  <w10:wrap type="none"/>
                  <w10:anchorlock/>
                </v:shape>
                <o:OLEObject Type="Embed" ProgID="Visio.Drawing.11" ShapeID="_x0000_i1025" DrawAspect="Content" ObjectID="_1468075726" r:id="rId8">
                  <o:LockedField>false</o:LockedField>
                </o:OLEObject>
              </w:object>
            </w:r>
          </w:p>
          <w:p w14:paraId="479A54CE">
            <w:pPr>
              <w:spacing w:line="360" w:lineRule="auto"/>
              <w:ind w:firstLine="480" w:firstLineChars="200"/>
              <w:rPr>
                <w:bCs/>
                <w:sz w:val="24"/>
              </w:rPr>
            </w:pPr>
          </w:p>
          <w:p w14:paraId="3A9C1924">
            <w:pPr>
              <w:pStyle w:val="11"/>
              <w:tabs>
                <w:tab w:val="left" w:pos="72"/>
              </w:tabs>
              <w:autoSpaceDE w:val="0"/>
              <w:autoSpaceDN w:val="0"/>
              <w:snapToGrid w:val="0"/>
              <w:ind w:firstLine="0" w:firstLineChars="0"/>
              <w:jc w:val="center"/>
              <w:rPr>
                <w:rFonts w:hAnsi="宋体"/>
                <w:b/>
                <w:sz w:val="24"/>
              </w:rPr>
            </w:pPr>
            <w:r>
              <w:rPr>
                <w:rFonts w:hAnsi="宋体"/>
                <w:b/>
                <w:sz w:val="24"/>
              </w:rPr>
              <w:t>表</w:t>
            </w:r>
            <w:r>
              <w:rPr>
                <w:b/>
                <w:sz w:val="24"/>
              </w:rPr>
              <w:t>22</w:t>
            </w:r>
            <w:r>
              <w:rPr>
                <w:rFonts w:hint="eastAsia"/>
                <w:b/>
                <w:sz w:val="24"/>
              </w:rPr>
              <w:t xml:space="preserve">   </w:t>
            </w:r>
            <w:r>
              <w:rPr>
                <w:rFonts w:hint="eastAsia" w:hAnsi="宋体"/>
                <w:b/>
                <w:sz w:val="24"/>
              </w:rPr>
              <w:t>项目生产废水产排汇总一览表</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596"/>
              <w:gridCol w:w="1681"/>
              <w:gridCol w:w="1241"/>
              <w:gridCol w:w="1133"/>
              <w:gridCol w:w="3148"/>
            </w:tblGrid>
            <w:tr w14:paraId="74DD0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862" w:type="pct"/>
                  <w:gridSpan w:val="2"/>
                  <w:vAlign w:val="center"/>
                </w:tcPr>
                <w:p w14:paraId="420E3F4B">
                  <w:pPr>
                    <w:pStyle w:val="11"/>
                    <w:tabs>
                      <w:tab w:val="left" w:pos="72"/>
                    </w:tabs>
                    <w:autoSpaceDE w:val="0"/>
                    <w:autoSpaceDN w:val="0"/>
                    <w:adjustRightInd w:val="0"/>
                    <w:snapToGrid w:val="0"/>
                    <w:ind w:firstLine="0" w:firstLineChars="0"/>
                    <w:jc w:val="center"/>
                    <w:rPr>
                      <w:rFonts w:hAnsi="宋体"/>
                      <w:szCs w:val="21"/>
                    </w:rPr>
                  </w:pPr>
                  <w:r>
                    <w:rPr>
                      <w:rFonts w:hint="eastAsia" w:hAnsi="宋体"/>
                      <w:szCs w:val="21"/>
                    </w:rPr>
                    <w:t>处理工艺</w:t>
                  </w:r>
                </w:p>
              </w:tc>
              <w:tc>
                <w:tcPr>
                  <w:tcW w:w="705" w:type="pct"/>
                  <w:vAlign w:val="center"/>
                </w:tcPr>
                <w:p w14:paraId="706288AA">
                  <w:pPr>
                    <w:pStyle w:val="11"/>
                    <w:tabs>
                      <w:tab w:val="left" w:pos="72"/>
                    </w:tabs>
                    <w:autoSpaceDE w:val="0"/>
                    <w:autoSpaceDN w:val="0"/>
                    <w:adjustRightInd w:val="0"/>
                    <w:snapToGrid w:val="0"/>
                    <w:ind w:firstLine="0" w:firstLineChars="0"/>
                    <w:jc w:val="center"/>
                    <w:rPr>
                      <w:rFonts w:hAnsi="宋体"/>
                      <w:szCs w:val="21"/>
                    </w:rPr>
                  </w:pPr>
                  <w:r>
                    <w:rPr>
                      <w:rFonts w:hint="eastAsia" w:hAnsi="宋体"/>
                      <w:szCs w:val="21"/>
                    </w:rPr>
                    <w:t>水量</w:t>
                  </w:r>
                </w:p>
              </w:tc>
              <w:tc>
                <w:tcPr>
                  <w:tcW w:w="644" w:type="pct"/>
                  <w:vAlign w:val="center"/>
                </w:tcPr>
                <w:p w14:paraId="5CD450A1">
                  <w:pPr>
                    <w:pStyle w:val="11"/>
                    <w:tabs>
                      <w:tab w:val="left" w:pos="72"/>
                    </w:tabs>
                    <w:autoSpaceDE w:val="0"/>
                    <w:autoSpaceDN w:val="0"/>
                    <w:adjustRightInd w:val="0"/>
                    <w:snapToGrid w:val="0"/>
                    <w:ind w:firstLine="0" w:firstLineChars="0"/>
                    <w:jc w:val="center"/>
                    <w:rPr>
                      <w:rFonts w:hAnsi="宋体"/>
                      <w:szCs w:val="21"/>
                    </w:rPr>
                  </w:pPr>
                  <w:r>
                    <w:rPr>
                      <w:rFonts w:hint="eastAsia"/>
                      <w:color w:val="000000"/>
                      <w:szCs w:val="21"/>
                    </w:rPr>
                    <w:t>S</w:t>
                  </w:r>
                  <w:r>
                    <w:rPr>
                      <w:color w:val="000000"/>
                      <w:szCs w:val="21"/>
                    </w:rPr>
                    <w:t>S</w:t>
                  </w:r>
                </w:p>
              </w:tc>
              <w:tc>
                <w:tcPr>
                  <w:tcW w:w="1789" w:type="pct"/>
                  <w:vAlign w:val="center"/>
                </w:tcPr>
                <w:p w14:paraId="2EE25D5E">
                  <w:pPr>
                    <w:pStyle w:val="11"/>
                    <w:tabs>
                      <w:tab w:val="left" w:pos="72"/>
                    </w:tabs>
                    <w:autoSpaceDE w:val="0"/>
                    <w:autoSpaceDN w:val="0"/>
                    <w:adjustRightInd w:val="0"/>
                    <w:snapToGrid w:val="0"/>
                    <w:ind w:firstLine="0" w:firstLineChars="0"/>
                    <w:jc w:val="center"/>
                    <w:rPr>
                      <w:color w:val="000000"/>
                      <w:szCs w:val="21"/>
                    </w:rPr>
                  </w:pPr>
                  <w:r>
                    <w:rPr>
                      <w:rFonts w:hint="eastAsia"/>
                      <w:color w:val="000000"/>
                      <w:szCs w:val="21"/>
                    </w:rPr>
                    <w:t>备注</w:t>
                  </w:r>
                </w:p>
              </w:tc>
            </w:tr>
            <w:tr w14:paraId="529A7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862" w:type="pct"/>
                  <w:gridSpan w:val="2"/>
                  <w:vAlign w:val="center"/>
                </w:tcPr>
                <w:p w14:paraId="74D01049">
                  <w:pPr>
                    <w:pStyle w:val="11"/>
                    <w:tabs>
                      <w:tab w:val="left" w:pos="72"/>
                    </w:tabs>
                    <w:autoSpaceDE w:val="0"/>
                    <w:autoSpaceDN w:val="0"/>
                    <w:adjustRightInd w:val="0"/>
                    <w:snapToGrid w:val="0"/>
                    <w:ind w:firstLine="0" w:firstLineChars="0"/>
                    <w:jc w:val="center"/>
                    <w:rPr>
                      <w:rFonts w:hAnsi="宋体"/>
                      <w:szCs w:val="21"/>
                    </w:rPr>
                  </w:pPr>
                  <w:r>
                    <w:rPr>
                      <w:rFonts w:hint="eastAsia" w:hAnsi="宋体"/>
                      <w:color w:val="000000"/>
                      <w:szCs w:val="21"/>
                    </w:rPr>
                    <w:t>生产</w:t>
                  </w:r>
                  <w:r>
                    <w:rPr>
                      <w:rFonts w:hAnsi="宋体"/>
                      <w:color w:val="000000"/>
                      <w:szCs w:val="21"/>
                    </w:rPr>
                    <w:t>废水</w:t>
                  </w:r>
                  <w:r>
                    <w:rPr>
                      <w:rFonts w:hint="eastAsia" w:hAnsi="宋体"/>
                      <w:szCs w:val="21"/>
                    </w:rPr>
                    <w:t>（mg/L）</w:t>
                  </w:r>
                </w:p>
              </w:tc>
              <w:tc>
                <w:tcPr>
                  <w:tcW w:w="705" w:type="pct"/>
                  <w:vAlign w:val="center"/>
                </w:tcPr>
                <w:p w14:paraId="6DD028E9">
                  <w:pPr>
                    <w:pStyle w:val="11"/>
                    <w:tabs>
                      <w:tab w:val="left" w:pos="72"/>
                    </w:tabs>
                    <w:autoSpaceDE w:val="0"/>
                    <w:autoSpaceDN w:val="0"/>
                    <w:adjustRightInd w:val="0"/>
                    <w:snapToGrid w:val="0"/>
                    <w:ind w:firstLine="0" w:firstLineChars="0"/>
                    <w:jc w:val="center"/>
                    <w:rPr>
                      <w:rFonts w:hAnsi="宋体"/>
                      <w:szCs w:val="21"/>
                    </w:rPr>
                  </w:pPr>
                  <w:r>
                    <w:rPr>
                      <w:szCs w:val="21"/>
                    </w:rPr>
                    <w:t>14.4</w:t>
                  </w:r>
                  <w:r>
                    <w:rPr>
                      <w:rFonts w:hint="eastAsia"/>
                      <w:szCs w:val="21"/>
                    </w:rPr>
                    <w:t>m</w:t>
                  </w:r>
                  <w:r>
                    <w:rPr>
                      <w:rFonts w:hint="eastAsia"/>
                      <w:szCs w:val="21"/>
                      <w:vertAlign w:val="superscript"/>
                    </w:rPr>
                    <w:t>3</w:t>
                  </w:r>
                  <w:r>
                    <w:rPr>
                      <w:rFonts w:hint="eastAsia"/>
                      <w:szCs w:val="21"/>
                    </w:rPr>
                    <w:t>/d</w:t>
                  </w:r>
                </w:p>
              </w:tc>
              <w:tc>
                <w:tcPr>
                  <w:tcW w:w="644" w:type="pct"/>
                  <w:vAlign w:val="center"/>
                </w:tcPr>
                <w:p w14:paraId="0D224F43">
                  <w:pPr>
                    <w:pStyle w:val="11"/>
                    <w:tabs>
                      <w:tab w:val="left" w:pos="72"/>
                    </w:tabs>
                    <w:autoSpaceDE w:val="0"/>
                    <w:autoSpaceDN w:val="0"/>
                    <w:adjustRightInd w:val="0"/>
                    <w:snapToGrid w:val="0"/>
                    <w:ind w:firstLine="0" w:firstLineChars="0"/>
                    <w:jc w:val="center"/>
                    <w:rPr>
                      <w:rFonts w:hAnsi="宋体"/>
                      <w:szCs w:val="21"/>
                    </w:rPr>
                  </w:pPr>
                  <w:r>
                    <w:rPr>
                      <w:rFonts w:hAnsi="宋体"/>
                      <w:szCs w:val="21"/>
                    </w:rPr>
                    <w:t>5787</w:t>
                  </w:r>
                </w:p>
              </w:tc>
              <w:tc>
                <w:tcPr>
                  <w:tcW w:w="1789" w:type="pct"/>
                  <w:vAlign w:val="center"/>
                </w:tcPr>
                <w:p w14:paraId="50B09105">
                  <w:pPr>
                    <w:pStyle w:val="11"/>
                    <w:tabs>
                      <w:tab w:val="left" w:pos="72"/>
                    </w:tabs>
                    <w:autoSpaceDE w:val="0"/>
                    <w:autoSpaceDN w:val="0"/>
                    <w:adjustRightInd w:val="0"/>
                    <w:snapToGrid w:val="0"/>
                    <w:ind w:firstLine="0" w:firstLineChars="0"/>
                    <w:jc w:val="center"/>
                    <w:rPr>
                      <w:rFonts w:hAnsi="宋体"/>
                      <w:szCs w:val="21"/>
                    </w:rPr>
                  </w:pPr>
                  <w:r>
                    <w:rPr>
                      <w:rFonts w:hint="eastAsia" w:hAnsi="宋体"/>
                      <w:szCs w:val="21"/>
                    </w:rPr>
                    <w:t>/</w:t>
                  </w:r>
                </w:p>
              </w:tc>
            </w:tr>
            <w:tr w14:paraId="53201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907" w:type="pct"/>
                  <w:vMerge w:val="restart"/>
                  <w:vAlign w:val="center"/>
                </w:tcPr>
                <w:p w14:paraId="34C08996">
                  <w:pPr>
                    <w:pStyle w:val="11"/>
                    <w:tabs>
                      <w:tab w:val="left" w:pos="72"/>
                    </w:tabs>
                    <w:autoSpaceDE w:val="0"/>
                    <w:autoSpaceDN w:val="0"/>
                    <w:adjustRightInd w:val="0"/>
                    <w:snapToGrid w:val="0"/>
                    <w:ind w:firstLine="0" w:firstLineChars="0"/>
                    <w:jc w:val="center"/>
                    <w:rPr>
                      <w:rFonts w:hAnsi="宋体"/>
                      <w:color w:val="000000"/>
                      <w:szCs w:val="21"/>
                    </w:rPr>
                  </w:pPr>
                  <w:r>
                    <w:rPr>
                      <w:rFonts w:hint="eastAsia" w:hAnsi="宋体"/>
                      <w:szCs w:val="21"/>
                    </w:rPr>
                    <w:t>三级沉淀</w:t>
                  </w:r>
                </w:p>
              </w:tc>
              <w:tc>
                <w:tcPr>
                  <w:tcW w:w="955" w:type="pct"/>
                  <w:vAlign w:val="center"/>
                </w:tcPr>
                <w:p w14:paraId="0929071A">
                  <w:pPr>
                    <w:pStyle w:val="11"/>
                    <w:tabs>
                      <w:tab w:val="left" w:pos="72"/>
                    </w:tabs>
                    <w:autoSpaceDE w:val="0"/>
                    <w:autoSpaceDN w:val="0"/>
                    <w:adjustRightInd w:val="0"/>
                    <w:snapToGrid w:val="0"/>
                    <w:ind w:firstLine="0" w:firstLineChars="0"/>
                    <w:jc w:val="center"/>
                    <w:rPr>
                      <w:rFonts w:hAnsi="宋体"/>
                      <w:color w:val="000000"/>
                      <w:szCs w:val="21"/>
                    </w:rPr>
                  </w:pPr>
                  <w:r>
                    <w:rPr>
                      <w:rFonts w:hint="eastAsia" w:hAnsi="宋体"/>
                      <w:szCs w:val="21"/>
                    </w:rPr>
                    <w:t>去除率（%）</w:t>
                  </w:r>
                </w:p>
              </w:tc>
              <w:tc>
                <w:tcPr>
                  <w:tcW w:w="705" w:type="pct"/>
                  <w:vMerge w:val="restart"/>
                  <w:vAlign w:val="center"/>
                </w:tcPr>
                <w:p w14:paraId="4FB50ADB">
                  <w:pPr>
                    <w:pStyle w:val="11"/>
                    <w:tabs>
                      <w:tab w:val="left" w:pos="72"/>
                    </w:tabs>
                    <w:autoSpaceDE w:val="0"/>
                    <w:autoSpaceDN w:val="0"/>
                    <w:adjustRightInd w:val="0"/>
                    <w:snapToGrid w:val="0"/>
                    <w:ind w:firstLine="0" w:firstLineChars="0"/>
                    <w:jc w:val="center"/>
                    <w:rPr>
                      <w:szCs w:val="21"/>
                    </w:rPr>
                  </w:pPr>
                  <w:r>
                    <w:rPr>
                      <w:rFonts w:hint="eastAsia"/>
                      <w:szCs w:val="21"/>
                    </w:rPr>
                    <w:t>14.</w:t>
                  </w:r>
                  <w:r>
                    <w:rPr>
                      <w:szCs w:val="21"/>
                    </w:rPr>
                    <w:t>34</w:t>
                  </w:r>
                  <w:r>
                    <w:rPr>
                      <w:rFonts w:hint="eastAsia"/>
                      <w:szCs w:val="21"/>
                    </w:rPr>
                    <w:t>m</w:t>
                  </w:r>
                  <w:r>
                    <w:rPr>
                      <w:rFonts w:hint="eastAsia"/>
                      <w:szCs w:val="21"/>
                      <w:vertAlign w:val="superscript"/>
                    </w:rPr>
                    <w:t>3</w:t>
                  </w:r>
                  <w:r>
                    <w:rPr>
                      <w:rFonts w:hint="eastAsia"/>
                      <w:szCs w:val="21"/>
                    </w:rPr>
                    <w:t>/d</w:t>
                  </w:r>
                </w:p>
              </w:tc>
              <w:tc>
                <w:tcPr>
                  <w:tcW w:w="644" w:type="pct"/>
                  <w:vAlign w:val="center"/>
                </w:tcPr>
                <w:p w14:paraId="185F95F6">
                  <w:pPr>
                    <w:pStyle w:val="11"/>
                    <w:tabs>
                      <w:tab w:val="left" w:pos="72"/>
                    </w:tabs>
                    <w:autoSpaceDE w:val="0"/>
                    <w:autoSpaceDN w:val="0"/>
                    <w:adjustRightInd w:val="0"/>
                    <w:snapToGrid w:val="0"/>
                    <w:ind w:firstLine="0" w:firstLineChars="0"/>
                    <w:jc w:val="center"/>
                    <w:rPr>
                      <w:rFonts w:hAnsi="宋体"/>
                      <w:szCs w:val="21"/>
                    </w:rPr>
                  </w:pPr>
                  <w:r>
                    <w:rPr>
                      <w:rFonts w:hAnsi="宋体"/>
                      <w:szCs w:val="21"/>
                    </w:rPr>
                    <w:t>99</w:t>
                  </w:r>
                </w:p>
              </w:tc>
              <w:tc>
                <w:tcPr>
                  <w:tcW w:w="1789" w:type="pct"/>
                  <w:vMerge w:val="restart"/>
                  <w:vAlign w:val="center"/>
                </w:tcPr>
                <w:p w14:paraId="10F98C8D">
                  <w:pPr>
                    <w:pStyle w:val="11"/>
                    <w:tabs>
                      <w:tab w:val="left" w:pos="72"/>
                    </w:tabs>
                    <w:autoSpaceDE w:val="0"/>
                    <w:autoSpaceDN w:val="0"/>
                    <w:adjustRightInd w:val="0"/>
                    <w:snapToGrid w:val="0"/>
                    <w:ind w:firstLine="0" w:firstLineChars="0"/>
                    <w:jc w:val="center"/>
                    <w:rPr>
                      <w:rFonts w:hAnsi="宋体"/>
                      <w:szCs w:val="21"/>
                    </w:rPr>
                  </w:pPr>
                  <w:r>
                    <w:rPr>
                      <w:rFonts w:hint="eastAsia" w:hAnsi="宋体"/>
                      <w:szCs w:val="21"/>
                    </w:rPr>
                    <w:t>三级</w:t>
                  </w:r>
                  <w:r>
                    <w:rPr>
                      <w:rFonts w:hAnsi="宋体"/>
                      <w:szCs w:val="21"/>
                    </w:rPr>
                    <w:t>沉淀后</w:t>
                  </w:r>
                  <w:r>
                    <w:rPr>
                      <w:rFonts w:hint="eastAsia" w:hAnsi="宋体"/>
                      <w:szCs w:val="21"/>
                    </w:rPr>
                    <w:t>出水</w:t>
                  </w:r>
                  <w:r>
                    <w:rPr>
                      <w:rFonts w:hAnsi="宋体"/>
                      <w:szCs w:val="21"/>
                    </w:rPr>
                    <w:t>回用于生产</w:t>
                  </w:r>
                </w:p>
              </w:tc>
            </w:tr>
            <w:tr w14:paraId="5C241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907" w:type="pct"/>
                  <w:vMerge w:val="continue"/>
                  <w:vAlign w:val="center"/>
                </w:tcPr>
                <w:p w14:paraId="7020FD15">
                  <w:pPr>
                    <w:pStyle w:val="11"/>
                    <w:tabs>
                      <w:tab w:val="left" w:pos="72"/>
                    </w:tabs>
                    <w:autoSpaceDE w:val="0"/>
                    <w:autoSpaceDN w:val="0"/>
                    <w:adjustRightInd w:val="0"/>
                    <w:snapToGrid w:val="0"/>
                    <w:ind w:firstLine="0" w:firstLineChars="0"/>
                    <w:jc w:val="center"/>
                    <w:rPr>
                      <w:rFonts w:hAnsi="宋体"/>
                      <w:szCs w:val="21"/>
                    </w:rPr>
                  </w:pPr>
                </w:p>
              </w:tc>
              <w:tc>
                <w:tcPr>
                  <w:tcW w:w="955" w:type="pct"/>
                  <w:vAlign w:val="center"/>
                </w:tcPr>
                <w:p w14:paraId="33619E36">
                  <w:pPr>
                    <w:pStyle w:val="11"/>
                    <w:tabs>
                      <w:tab w:val="left" w:pos="72"/>
                    </w:tabs>
                    <w:autoSpaceDE w:val="0"/>
                    <w:autoSpaceDN w:val="0"/>
                    <w:adjustRightInd w:val="0"/>
                    <w:snapToGrid w:val="0"/>
                    <w:ind w:firstLine="0" w:firstLineChars="0"/>
                    <w:jc w:val="center"/>
                    <w:rPr>
                      <w:rFonts w:hAnsi="宋体"/>
                      <w:szCs w:val="21"/>
                    </w:rPr>
                  </w:pPr>
                  <w:r>
                    <w:rPr>
                      <w:rFonts w:hint="eastAsia" w:hAnsi="宋体"/>
                      <w:szCs w:val="21"/>
                    </w:rPr>
                    <w:t>出水（mg/L）</w:t>
                  </w:r>
                </w:p>
              </w:tc>
              <w:tc>
                <w:tcPr>
                  <w:tcW w:w="705" w:type="pct"/>
                  <w:vMerge w:val="continue"/>
                  <w:vAlign w:val="center"/>
                </w:tcPr>
                <w:p w14:paraId="0110B197">
                  <w:pPr>
                    <w:pStyle w:val="11"/>
                    <w:tabs>
                      <w:tab w:val="left" w:pos="72"/>
                    </w:tabs>
                    <w:autoSpaceDE w:val="0"/>
                    <w:autoSpaceDN w:val="0"/>
                    <w:adjustRightInd w:val="0"/>
                    <w:snapToGrid w:val="0"/>
                    <w:ind w:firstLine="0" w:firstLineChars="0"/>
                    <w:jc w:val="center"/>
                    <w:rPr>
                      <w:szCs w:val="21"/>
                    </w:rPr>
                  </w:pPr>
                </w:p>
              </w:tc>
              <w:tc>
                <w:tcPr>
                  <w:tcW w:w="644" w:type="pct"/>
                  <w:vAlign w:val="center"/>
                </w:tcPr>
                <w:p w14:paraId="4BF817AD">
                  <w:pPr>
                    <w:pStyle w:val="11"/>
                    <w:tabs>
                      <w:tab w:val="left" w:pos="72"/>
                    </w:tabs>
                    <w:autoSpaceDE w:val="0"/>
                    <w:autoSpaceDN w:val="0"/>
                    <w:adjustRightInd w:val="0"/>
                    <w:snapToGrid w:val="0"/>
                    <w:ind w:firstLine="0" w:firstLineChars="0"/>
                    <w:jc w:val="center"/>
                    <w:rPr>
                      <w:rFonts w:hAnsi="宋体"/>
                      <w:szCs w:val="21"/>
                    </w:rPr>
                  </w:pPr>
                  <w:r>
                    <w:rPr>
                      <w:rFonts w:hAnsi="宋体"/>
                      <w:szCs w:val="21"/>
                    </w:rPr>
                    <w:t>58</w:t>
                  </w:r>
                </w:p>
              </w:tc>
              <w:tc>
                <w:tcPr>
                  <w:tcW w:w="1789" w:type="pct"/>
                  <w:vMerge w:val="continue"/>
                  <w:vAlign w:val="center"/>
                </w:tcPr>
                <w:p w14:paraId="2D8DD154">
                  <w:pPr>
                    <w:pStyle w:val="11"/>
                    <w:tabs>
                      <w:tab w:val="left" w:pos="72"/>
                    </w:tabs>
                    <w:autoSpaceDE w:val="0"/>
                    <w:autoSpaceDN w:val="0"/>
                    <w:adjustRightInd w:val="0"/>
                    <w:snapToGrid w:val="0"/>
                    <w:ind w:firstLine="0" w:firstLineChars="0"/>
                    <w:jc w:val="center"/>
                    <w:rPr>
                      <w:rFonts w:hAnsi="宋体"/>
                      <w:szCs w:val="21"/>
                    </w:rPr>
                  </w:pPr>
                </w:p>
              </w:tc>
            </w:tr>
            <w:tr w14:paraId="01AD6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907" w:type="pct"/>
                  <w:vMerge w:val="restart"/>
                  <w:vAlign w:val="center"/>
                </w:tcPr>
                <w:p w14:paraId="0952027D">
                  <w:pPr>
                    <w:pStyle w:val="11"/>
                    <w:tabs>
                      <w:tab w:val="left" w:pos="72"/>
                    </w:tabs>
                    <w:autoSpaceDE w:val="0"/>
                    <w:autoSpaceDN w:val="0"/>
                    <w:adjustRightInd w:val="0"/>
                    <w:snapToGrid w:val="0"/>
                    <w:ind w:firstLine="0" w:firstLineChars="0"/>
                    <w:jc w:val="center"/>
                    <w:rPr>
                      <w:rFonts w:hAnsi="宋体"/>
                      <w:szCs w:val="21"/>
                    </w:rPr>
                  </w:pPr>
                  <w:r>
                    <w:rPr>
                      <w:rFonts w:hint="eastAsia" w:hAnsi="宋体"/>
                      <w:szCs w:val="21"/>
                    </w:rPr>
                    <w:t>一级</w:t>
                  </w:r>
                  <w:r>
                    <w:rPr>
                      <w:rFonts w:hAnsi="宋体"/>
                      <w:szCs w:val="21"/>
                    </w:rPr>
                    <w:t>沉淀</w:t>
                  </w:r>
                </w:p>
              </w:tc>
              <w:tc>
                <w:tcPr>
                  <w:tcW w:w="955" w:type="pct"/>
                  <w:vAlign w:val="center"/>
                </w:tcPr>
                <w:p w14:paraId="4E8E03F8">
                  <w:pPr>
                    <w:pStyle w:val="11"/>
                    <w:tabs>
                      <w:tab w:val="left" w:pos="72"/>
                    </w:tabs>
                    <w:autoSpaceDE w:val="0"/>
                    <w:autoSpaceDN w:val="0"/>
                    <w:adjustRightInd w:val="0"/>
                    <w:snapToGrid w:val="0"/>
                    <w:ind w:firstLine="0" w:firstLineChars="0"/>
                    <w:jc w:val="center"/>
                    <w:rPr>
                      <w:rFonts w:hAnsi="宋体"/>
                      <w:color w:val="000000"/>
                      <w:szCs w:val="21"/>
                    </w:rPr>
                  </w:pPr>
                  <w:r>
                    <w:rPr>
                      <w:rFonts w:hint="eastAsia" w:hAnsi="宋体"/>
                      <w:szCs w:val="21"/>
                    </w:rPr>
                    <w:t>去除率（%）</w:t>
                  </w:r>
                </w:p>
              </w:tc>
              <w:tc>
                <w:tcPr>
                  <w:tcW w:w="705" w:type="pct"/>
                  <w:vMerge w:val="restart"/>
                  <w:vAlign w:val="center"/>
                </w:tcPr>
                <w:p w14:paraId="7239CAF0">
                  <w:pPr>
                    <w:pStyle w:val="11"/>
                    <w:tabs>
                      <w:tab w:val="left" w:pos="72"/>
                    </w:tabs>
                    <w:autoSpaceDE w:val="0"/>
                    <w:autoSpaceDN w:val="0"/>
                    <w:adjustRightInd w:val="0"/>
                    <w:snapToGrid w:val="0"/>
                    <w:ind w:firstLine="0" w:firstLineChars="0"/>
                    <w:jc w:val="center"/>
                    <w:rPr>
                      <w:szCs w:val="21"/>
                    </w:rPr>
                  </w:pPr>
                  <w:r>
                    <w:rPr>
                      <w:rFonts w:hint="eastAsia"/>
                      <w:szCs w:val="21"/>
                    </w:rPr>
                    <w:t>14.</w:t>
                  </w:r>
                  <w:r>
                    <w:rPr>
                      <w:szCs w:val="21"/>
                    </w:rPr>
                    <w:t>34</w:t>
                  </w:r>
                  <w:r>
                    <w:rPr>
                      <w:rFonts w:hint="eastAsia"/>
                      <w:szCs w:val="21"/>
                    </w:rPr>
                    <w:t>m</w:t>
                  </w:r>
                  <w:r>
                    <w:rPr>
                      <w:rFonts w:hint="eastAsia"/>
                      <w:szCs w:val="21"/>
                      <w:vertAlign w:val="superscript"/>
                    </w:rPr>
                    <w:t>3</w:t>
                  </w:r>
                  <w:r>
                    <w:rPr>
                      <w:rFonts w:hint="eastAsia"/>
                      <w:szCs w:val="21"/>
                    </w:rPr>
                    <w:t>/3</w:t>
                  </w:r>
                  <w:r>
                    <w:rPr>
                      <w:szCs w:val="21"/>
                    </w:rPr>
                    <w:t>d</w:t>
                  </w:r>
                </w:p>
              </w:tc>
              <w:tc>
                <w:tcPr>
                  <w:tcW w:w="644" w:type="pct"/>
                  <w:vAlign w:val="center"/>
                </w:tcPr>
                <w:p w14:paraId="36C3796A">
                  <w:pPr>
                    <w:pStyle w:val="11"/>
                    <w:tabs>
                      <w:tab w:val="left" w:pos="72"/>
                    </w:tabs>
                    <w:autoSpaceDE w:val="0"/>
                    <w:autoSpaceDN w:val="0"/>
                    <w:adjustRightInd w:val="0"/>
                    <w:snapToGrid w:val="0"/>
                    <w:ind w:firstLine="0" w:firstLineChars="0"/>
                    <w:jc w:val="center"/>
                    <w:rPr>
                      <w:rFonts w:hAnsi="宋体"/>
                      <w:szCs w:val="21"/>
                    </w:rPr>
                  </w:pPr>
                  <w:r>
                    <w:rPr>
                      <w:rFonts w:hint="eastAsia" w:hAnsi="宋体"/>
                      <w:szCs w:val="21"/>
                    </w:rPr>
                    <w:t>95</w:t>
                  </w:r>
                </w:p>
              </w:tc>
              <w:tc>
                <w:tcPr>
                  <w:tcW w:w="1789" w:type="pct"/>
                  <w:vMerge w:val="restart"/>
                  <w:vAlign w:val="center"/>
                </w:tcPr>
                <w:p w14:paraId="6A7837B0">
                  <w:pPr>
                    <w:pStyle w:val="11"/>
                    <w:tabs>
                      <w:tab w:val="left" w:pos="72"/>
                    </w:tabs>
                    <w:autoSpaceDE w:val="0"/>
                    <w:autoSpaceDN w:val="0"/>
                    <w:adjustRightInd w:val="0"/>
                    <w:snapToGrid w:val="0"/>
                    <w:ind w:firstLine="0" w:firstLineChars="0"/>
                    <w:jc w:val="center"/>
                    <w:rPr>
                      <w:rFonts w:hAnsi="宋体"/>
                      <w:szCs w:val="21"/>
                    </w:rPr>
                  </w:pPr>
                  <w:r>
                    <w:rPr>
                      <w:rFonts w:hint="eastAsia" w:hAnsi="宋体"/>
                      <w:szCs w:val="21"/>
                    </w:rPr>
                    <w:t>一级</w:t>
                  </w:r>
                  <w:r>
                    <w:rPr>
                      <w:rFonts w:hAnsi="宋体"/>
                      <w:szCs w:val="21"/>
                    </w:rPr>
                    <w:t>沉淀后</w:t>
                  </w:r>
                  <w:r>
                    <w:rPr>
                      <w:rFonts w:hint="eastAsia" w:hAnsi="宋体"/>
                      <w:szCs w:val="21"/>
                    </w:rPr>
                    <w:t>出水</w:t>
                  </w:r>
                  <w:r>
                    <w:rPr>
                      <w:rFonts w:hAnsi="宋体"/>
                      <w:szCs w:val="21"/>
                    </w:rPr>
                    <w:t>经罐车运至</w:t>
                  </w:r>
                  <w:r>
                    <w:rPr>
                      <w:rFonts w:hint="eastAsia"/>
                      <w:szCs w:val="21"/>
                    </w:rPr>
                    <w:t>民权县北关镇污水处理厂处理，</w:t>
                  </w:r>
                  <w:r>
                    <w:rPr>
                      <w:szCs w:val="21"/>
                    </w:rPr>
                    <w:t>同时对三级沉淀池底部进行清理</w:t>
                  </w:r>
                </w:p>
              </w:tc>
            </w:tr>
            <w:tr w14:paraId="6FFB7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907" w:type="pct"/>
                  <w:vMerge w:val="continue"/>
                  <w:vAlign w:val="center"/>
                </w:tcPr>
                <w:p w14:paraId="2DD6E102">
                  <w:pPr>
                    <w:pStyle w:val="11"/>
                    <w:tabs>
                      <w:tab w:val="left" w:pos="72"/>
                    </w:tabs>
                    <w:autoSpaceDE w:val="0"/>
                    <w:autoSpaceDN w:val="0"/>
                    <w:adjustRightInd w:val="0"/>
                    <w:snapToGrid w:val="0"/>
                    <w:ind w:firstLine="0" w:firstLineChars="0"/>
                    <w:jc w:val="center"/>
                    <w:rPr>
                      <w:rFonts w:hAnsi="宋体"/>
                      <w:szCs w:val="21"/>
                    </w:rPr>
                  </w:pPr>
                </w:p>
              </w:tc>
              <w:tc>
                <w:tcPr>
                  <w:tcW w:w="955" w:type="pct"/>
                  <w:vAlign w:val="center"/>
                </w:tcPr>
                <w:p w14:paraId="23FD1920">
                  <w:pPr>
                    <w:pStyle w:val="11"/>
                    <w:tabs>
                      <w:tab w:val="left" w:pos="72"/>
                    </w:tabs>
                    <w:autoSpaceDE w:val="0"/>
                    <w:autoSpaceDN w:val="0"/>
                    <w:adjustRightInd w:val="0"/>
                    <w:snapToGrid w:val="0"/>
                    <w:ind w:firstLine="0" w:firstLineChars="0"/>
                    <w:jc w:val="center"/>
                    <w:rPr>
                      <w:rFonts w:hAnsi="宋体"/>
                      <w:szCs w:val="21"/>
                    </w:rPr>
                  </w:pPr>
                  <w:r>
                    <w:rPr>
                      <w:rFonts w:hint="eastAsia" w:hAnsi="宋体"/>
                      <w:szCs w:val="21"/>
                    </w:rPr>
                    <w:t>出水（mg/L）</w:t>
                  </w:r>
                </w:p>
              </w:tc>
              <w:tc>
                <w:tcPr>
                  <w:tcW w:w="705" w:type="pct"/>
                  <w:vMerge w:val="continue"/>
                  <w:vAlign w:val="center"/>
                </w:tcPr>
                <w:p w14:paraId="4E118613">
                  <w:pPr>
                    <w:pStyle w:val="11"/>
                    <w:tabs>
                      <w:tab w:val="left" w:pos="72"/>
                    </w:tabs>
                    <w:autoSpaceDE w:val="0"/>
                    <w:autoSpaceDN w:val="0"/>
                    <w:adjustRightInd w:val="0"/>
                    <w:snapToGrid w:val="0"/>
                    <w:ind w:firstLine="0" w:firstLineChars="0"/>
                    <w:jc w:val="center"/>
                    <w:rPr>
                      <w:szCs w:val="21"/>
                    </w:rPr>
                  </w:pPr>
                </w:p>
              </w:tc>
              <w:tc>
                <w:tcPr>
                  <w:tcW w:w="644" w:type="pct"/>
                  <w:vAlign w:val="center"/>
                </w:tcPr>
                <w:p w14:paraId="4422128D">
                  <w:pPr>
                    <w:pStyle w:val="11"/>
                    <w:tabs>
                      <w:tab w:val="left" w:pos="72"/>
                    </w:tabs>
                    <w:autoSpaceDE w:val="0"/>
                    <w:autoSpaceDN w:val="0"/>
                    <w:adjustRightInd w:val="0"/>
                    <w:snapToGrid w:val="0"/>
                    <w:ind w:firstLine="0" w:firstLineChars="0"/>
                    <w:jc w:val="center"/>
                    <w:rPr>
                      <w:rFonts w:hAnsi="宋体"/>
                      <w:szCs w:val="21"/>
                    </w:rPr>
                  </w:pPr>
                  <w:r>
                    <w:rPr>
                      <w:rFonts w:hint="eastAsia" w:hAnsi="宋体"/>
                      <w:szCs w:val="21"/>
                    </w:rPr>
                    <w:t>289.4</w:t>
                  </w:r>
                </w:p>
              </w:tc>
              <w:tc>
                <w:tcPr>
                  <w:tcW w:w="1789" w:type="pct"/>
                  <w:vMerge w:val="continue"/>
                  <w:vAlign w:val="center"/>
                </w:tcPr>
                <w:p w14:paraId="30ACD1D4">
                  <w:pPr>
                    <w:pStyle w:val="11"/>
                    <w:tabs>
                      <w:tab w:val="left" w:pos="72"/>
                    </w:tabs>
                    <w:autoSpaceDE w:val="0"/>
                    <w:autoSpaceDN w:val="0"/>
                    <w:adjustRightInd w:val="0"/>
                    <w:snapToGrid w:val="0"/>
                    <w:ind w:firstLine="0" w:firstLineChars="0"/>
                    <w:jc w:val="center"/>
                    <w:rPr>
                      <w:rFonts w:hAnsi="宋体"/>
                      <w:szCs w:val="21"/>
                    </w:rPr>
                  </w:pPr>
                </w:p>
              </w:tc>
            </w:tr>
          </w:tbl>
          <w:p w14:paraId="151BA517">
            <w:pPr>
              <w:pStyle w:val="11"/>
              <w:tabs>
                <w:tab w:val="left" w:pos="72"/>
              </w:tabs>
              <w:autoSpaceDE w:val="0"/>
              <w:autoSpaceDN w:val="0"/>
              <w:snapToGrid w:val="0"/>
              <w:ind w:firstLine="0" w:firstLineChars="0"/>
              <w:jc w:val="center"/>
              <w:rPr>
                <w:rFonts w:hAnsi="宋体"/>
                <w:b/>
                <w:sz w:val="24"/>
              </w:rPr>
            </w:pPr>
            <w:r>
              <w:rPr>
                <w:rFonts w:hAnsi="宋体"/>
                <w:b/>
                <w:sz w:val="24"/>
              </w:rPr>
              <w:t>表</w:t>
            </w:r>
            <w:r>
              <w:rPr>
                <w:b/>
                <w:sz w:val="24"/>
              </w:rPr>
              <w:t>23</w:t>
            </w:r>
            <w:r>
              <w:rPr>
                <w:rFonts w:hint="eastAsia"/>
                <w:b/>
                <w:sz w:val="24"/>
              </w:rPr>
              <w:t xml:space="preserve">   </w:t>
            </w:r>
            <w:r>
              <w:rPr>
                <w:rFonts w:hint="eastAsia" w:hAnsi="宋体"/>
                <w:b/>
                <w:sz w:val="24"/>
              </w:rPr>
              <w:t>项目废水排放情况汇总一览表</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3470"/>
              <w:gridCol w:w="1853"/>
              <w:gridCol w:w="797"/>
              <w:gridCol w:w="876"/>
              <w:gridCol w:w="876"/>
              <w:gridCol w:w="927"/>
            </w:tblGrid>
            <w:tr w14:paraId="21BE4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972" w:type="pct"/>
                  <w:vAlign w:val="center"/>
                </w:tcPr>
                <w:p w14:paraId="016DD69E">
                  <w:pPr>
                    <w:pStyle w:val="11"/>
                    <w:tabs>
                      <w:tab w:val="left" w:pos="72"/>
                    </w:tabs>
                    <w:autoSpaceDE w:val="0"/>
                    <w:autoSpaceDN w:val="0"/>
                    <w:adjustRightInd w:val="0"/>
                    <w:snapToGrid w:val="0"/>
                    <w:ind w:firstLine="0" w:firstLineChars="0"/>
                    <w:jc w:val="center"/>
                    <w:rPr>
                      <w:rFonts w:hAnsi="宋体"/>
                      <w:szCs w:val="21"/>
                    </w:rPr>
                  </w:pPr>
                  <w:r>
                    <w:rPr>
                      <w:rFonts w:hint="eastAsia" w:hAnsi="宋体"/>
                      <w:szCs w:val="21"/>
                    </w:rPr>
                    <w:t>废水类别</w:t>
                  </w:r>
                </w:p>
              </w:tc>
              <w:tc>
                <w:tcPr>
                  <w:tcW w:w="1053" w:type="pct"/>
                  <w:vAlign w:val="center"/>
                </w:tcPr>
                <w:p w14:paraId="2B223F52">
                  <w:pPr>
                    <w:pStyle w:val="11"/>
                    <w:tabs>
                      <w:tab w:val="left" w:pos="72"/>
                    </w:tabs>
                    <w:autoSpaceDE w:val="0"/>
                    <w:autoSpaceDN w:val="0"/>
                    <w:adjustRightInd w:val="0"/>
                    <w:snapToGrid w:val="0"/>
                    <w:ind w:firstLine="0" w:firstLineChars="0"/>
                    <w:jc w:val="center"/>
                    <w:rPr>
                      <w:rFonts w:hAnsi="宋体"/>
                      <w:szCs w:val="21"/>
                    </w:rPr>
                  </w:pPr>
                  <w:r>
                    <w:rPr>
                      <w:rFonts w:hint="eastAsia" w:hAnsi="宋体"/>
                      <w:szCs w:val="21"/>
                    </w:rPr>
                    <w:t>水量</w:t>
                  </w:r>
                </w:p>
              </w:tc>
              <w:tc>
                <w:tcPr>
                  <w:tcW w:w="453" w:type="pct"/>
                  <w:vAlign w:val="center"/>
                </w:tcPr>
                <w:p w14:paraId="00C97B43">
                  <w:pPr>
                    <w:pStyle w:val="11"/>
                    <w:tabs>
                      <w:tab w:val="left" w:pos="72"/>
                    </w:tabs>
                    <w:autoSpaceDE w:val="0"/>
                    <w:autoSpaceDN w:val="0"/>
                    <w:adjustRightInd w:val="0"/>
                    <w:snapToGrid w:val="0"/>
                    <w:ind w:firstLine="0" w:firstLineChars="0"/>
                    <w:jc w:val="center"/>
                    <w:rPr>
                      <w:rFonts w:hAnsi="宋体"/>
                      <w:szCs w:val="21"/>
                    </w:rPr>
                  </w:pPr>
                  <w:r>
                    <w:rPr>
                      <w:color w:val="000000"/>
                      <w:szCs w:val="21"/>
                    </w:rPr>
                    <w:t>COD</w:t>
                  </w:r>
                </w:p>
              </w:tc>
              <w:tc>
                <w:tcPr>
                  <w:tcW w:w="498" w:type="pct"/>
                  <w:vAlign w:val="center"/>
                </w:tcPr>
                <w:p w14:paraId="570BEAED">
                  <w:pPr>
                    <w:pStyle w:val="11"/>
                    <w:tabs>
                      <w:tab w:val="left" w:pos="72"/>
                    </w:tabs>
                    <w:autoSpaceDE w:val="0"/>
                    <w:autoSpaceDN w:val="0"/>
                    <w:adjustRightInd w:val="0"/>
                    <w:snapToGrid w:val="0"/>
                    <w:ind w:firstLine="0" w:firstLineChars="0"/>
                    <w:jc w:val="center"/>
                    <w:rPr>
                      <w:bCs w:val="0"/>
                      <w:color w:val="000000"/>
                      <w:szCs w:val="21"/>
                    </w:rPr>
                  </w:pPr>
                  <w:r>
                    <w:rPr>
                      <w:color w:val="000000"/>
                      <w:szCs w:val="21"/>
                    </w:rPr>
                    <w:t>BOD</w:t>
                  </w:r>
                  <w:r>
                    <w:rPr>
                      <w:color w:val="000000"/>
                      <w:szCs w:val="21"/>
                      <w:vertAlign w:val="subscript"/>
                    </w:rPr>
                    <w:t>5</w:t>
                  </w:r>
                </w:p>
              </w:tc>
              <w:tc>
                <w:tcPr>
                  <w:tcW w:w="498" w:type="pct"/>
                  <w:vAlign w:val="center"/>
                </w:tcPr>
                <w:p w14:paraId="270B1D4D">
                  <w:pPr>
                    <w:pStyle w:val="11"/>
                    <w:tabs>
                      <w:tab w:val="left" w:pos="72"/>
                    </w:tabs>
                    <w:autoSpaceDE w:val="0"/>
                    <w:autoSpaceDN w:val="0"/>
                    <w:adjustRightInd w:val="0"/>
                    <w:snapToGrid w:val="0"/>
                    <w:ind w:firstLine="0" w:firstLineChars="0"/>
                    <w:jc w:val="center"/>
                    <w:rPr>
                      <w:rFonts w:hAnsi="宋体"/>
                      <w:szCs w:val="21"/>
                    </w:rPr>
                  </w:pPr>
                  <w:r>
                    <w:rPr>
                      <w:rFonts w:hAnsi="宋体"/>
                      <w:color w:val="000000"/>
                      <w:szCs w:val="21"/>
                    </w:rPr>
                    <w:t>氨氮</w:t>
                  </w:r>
                </w:p>
              </w:tc>
              <w:tc>
                <w:tcPr>
                  <w:tcW w:w="526" w:type="pct"/>
                  <w:vAlign w:val="center"/>
                </w:tcPr>
                <w:p w14:paraId="2D5C8374">
                  <w:pPr>
                    <w:pStyle w:val="11"/>
                    <w:tabs>
                      <w:tab w:val="left" w:pos="72"/>
                    </w:tabs>
                    <w:autoSpaceDE w:val="0"/>
                    <w:autoSpaceDN w:val="0"/>
                    <w:adjustRightInd w:val="0"/>
                    <w:snapToGrid w:val="0"/>
                    <w:ind w:firstLine="0" w:firstLineChars="0"/>
                    <w:jc w:val="center"/>
                    <w:rPr>
                      <w:rFonts w:hAnsi="宋体"/>
                      <w:szCs w:val="21"/>
                    </w:rPr>
                  </w:pPr>
                  <w:r>
                    <w:rPr>
                      <w:rFonts w:hint="eastAsia"/>
                      <w:color w:val="000000"/>
                      <w:szCs w:val="21"/>
                    </w:rPr>
                    <w:t>S</w:t>
                  </w:r>
                  <w:r>
                    <w:rPr>
                      <w:color w:val="000000"/>
                      <w:szCs w:val="21"/>
                    </w:rPr>
                    <w:t>S</w:t>
                  </w:r>
                </w:p>
              </w:tc>
            </w:tr>
            <w:tr w14:paraId="28DFA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972" w:type="pct"/>
                  <w:vAlign w:val="center"/>
                </w:tcPr>
                <w:p w14:paraId="02983F34">
                  <w:pPr>
                    <w:pStyle w:val="11"/>
                    <w:tabs>
                      <w:tab w:val="left" w:pos="72"/>
                    </w:tabs>
                    <w:autoSpaceDE w:val="0"/>
                    <w:autoSpaceDN w:val="0"/>
                    <w:adjustRightInd w:val="0"/>
                    <w:snapToGrid w:val="0"/>
                    <w:ind w:firstLine="0" w:firstLineChars="0"/>
                    <w:jc w:val="center"/>
                    <w:rPr>
                      <w:rFonts w:hAnsi="宋体"/>
                      <w:szCs w:val="21"/>
                    </w:rPr>
                  </w:pPr>
                  <w:r>
                    <w:rPr>
                      <w:rFonts w:hint="eastAsia" w:hAnsi="宋体"/>
                      <w:color w:val="000000"/>
                      <w:szCs w:val="21"/>
                    </w:rPr>
                    <w:t>处理</w:t>
                  </w:r>
                  <w:r>
                    <w:rPr>
                      <w:rFonts w:hAnsi="宋体"/>
                      <w:color w:val="000000"/>
                      <w:szCs w:val="21"/>
                    </w:rPr>
                    <w:t>后的</w:t>
                  </w:r>
                  <w:r>
                    <w:rPr>
                      <w:rFonts w:hint="eastAsia" w:hAnsi="宋体"/>
                      <w:color w:val="000000"/>
                      <w:szCs w:val="21"/>
                    </w:rPr>
                    <w:t>生产</w:t>
                  </w:r>
                  <w:r>
                    <w:rPr>
                      <w:rFonts w:hAnsi="宋体"/>
                      <w:color w:val="000000"/>
                      <w:szCs w:val="21"/>
                    </w:rPr>
                    <w:t>废水</w:t>
                  </w:r>
                  <w:r>
                    <w:rPr>
                      <w:rFonts w:hint="eastAsia" w:hAnsi="宋体"/>
                      <w:szCs w:val="21"/>
                    </w:rPr>
                    <w:t>（mg/L）</w:t>
                  </w:r>
                </w:p>
              </w:tc>
              <w:tc>
                <w:tcPr>
                  <w:tcW w:w="1053" w:type="pct"/>
                  <w:vAlign w:val="center"/>
                </w:tcPr>
                <w:p w14:paraId="23A5E712">
                  <w:pPr>
                    <w:pStyle w:val="11"/>
                    <w:tabs>
                      <w:tab w:val="left" w:pos="72"/>
                    </w:tabs>
                    <w:autoSpaceDE w:val="0"/>
                    <w:autoSpaceDN w:val="0"/>
                    <w:adjustRightInd w:val="0"/>
                    <w:snapToGrid w:val="0"/>
                    <w:ind w:firstLine="0" w:firstLineChars="0"/>
                    <w:jc w:val="center"/>
                    <w:rPr>
                      <w:rFonts w:hAnsi="宋体"/>
                      <w:szCs w:val="21"/>
                    </w:rPr>
                  </w:pPr>
                  <w:r>
                    <w:rPr>
                      <w:szCs w:val="21"/>
                    </w:rPr>
                    <w:t>14.34</w:t>
                  </w:r>
                  <w:r>
                    <w:rPr>
                      <w:rFonts w:hint="eastAsia"/>
                      <w:szCs w:val="21"/>
                    </w:rPr>
                    <w:t>m</w:t>
                  </w:r>
                  <w:r>
                    <w:rPr>
                      <w:rFonts w:hint="eastAsia"/>
                      <w:szCs w:val="21"/>
                      <w:vertAlign w:val="superscript"/>
                    </w:rPr>
                    <w:t>3</w:t>
                  </w:r>
                  <w:r>
                    <w:rPr>
                      <w:rFonts w:hint="eastAsia"/>
                      <w:szCs w:val="21"/>
                    </w:rPr>
                    <w:t>/</w:t>
                  </w:r>
                  <w:r>
                    <w:rPr>
                      <w:szCs w:val="21"/>
                    </w:rPr>
                    <w:t>3</w:t>
                  </w:r>
                  <w:r>
                    <w:rPr>
                      <w:rFonts w:hint="eastAsia"/>
                      <w:szCs w:val="21"/>
                    </w:rPr>
                    <w:t>d</w:t>
                  </w:r>
                </w:p>
              </w:tc>
              <w:tc>
                <w:tcPr>
                  <w:tcW w:w="453" w:type="pct"/>
                  <w:vAlign w:val="center"/>
                </w:tcPr>
                <w:p w14:paraId="275C7F76">
                  <w:pPr>
                    <w:pStyle w:val="11"/>
                    <w:tabs>
                      <w:tab w:val="left" w:pos="72"/>
                    </w:tabs>
                    <w:autoSpaceDE w:val="0"/>
                    <w:autoSpaceDN w:val="0"/>
                    <w:adjustRightInd w:val="0"/>
                    <w:snapToGrid w:val="0"/>
                    <w:ind w:firstLine="0" w:firstLineChars="0"/>
                    <w:jc w:val="center"/>
                    <w:rPr>
                      <w:rFonts w:hAnsi="宋体"/>
                      <w:szCs w:val="21"/>
                    </w:rPr>
                  </w:pPr>
                  <w:r>
                    <w:rPr>
                      <w:rFonts w:hint="eastAsia" w:hAnsi="宋体"/>
                      <w:szCs w:val="21"/>
                    </w:rPr>
                    <w:t>/</w:t>
                  </w:r>
                </w:p>
              </w:tc>
              <w:tc>
                <w:tcPr>
                  <w:tcW w:w="498" w:type="pct"/>
                  <w:vAlign w:val="center"/>
                </w:tcPr>
                <w:p w14:paraId="0EEECBBC">
                  <w:pPr>
                    <w:pStyle w:val="11"/>
                    <w:tabs>
                      <w:tab w:val="left" w:pos="72"/>
                    </w:tabs>
                    <w:autoSpaceDE w:val="0"/>
                    <w:autoSpaceDN w:val="0"/>
                    <w:adjustRightInd w:val="0"/>
                    <w:snapToGrid w:val="0"/>
                    <w:ind w:firstLine="0" w:firstLineChars="0"/>
                    <w:jc w:val="center"/>
                    <w:rPr>
                      <w:rFonts w:hAnsi="宋体"/>
                      <w:szCs w:val="21"/>
                    </w:rPr>
                  </w:pPr>
                  <w:r>
                    <w:rPr>
                      <w:rFonts w:hAnsi="宋体"/>
                      <w:szCs w:val="21"/>
                    </w:rPr>
                    <w:t>/</w:t>
                  </w:r>
                </w:p>
              </w:tc>
              <w:tc>
                <w:tcPr>
                  <w:tcW w:w="498" w:type="pct"/>
                  <w:vAlign w:val="center"/>
                </w:tcPr>
                <w:p w14:paraId="23C017F7">
                  <w:pPr>
                    <w:pStyle w:val="11"/>
                    <w:tabs>
                      <w:tab w:val="left" w:pos="72"/>
                    </w:tabs>
                    <w:autoSpaceDE w:val="0"/>
                    <w:autoSpaceDN w:val="0"/>
                    <w:adjustRightInd w:val="0"/>
                    <w:snapToGrid w:val="0"/>
                    <w:ind w:firstLine="0" w:firstLineChars="0"/>
                    <w:jc w:val="center"/>
                    <w:rPr>
                      <w:rFonts w:hAnsi="宋体"/>
                      <w:szCs w:val="21"/>
                    </w:rPr>
                  </w:pPr>
                  <w:r>
                    <w:rPr>
                      <w:rFonts w:hAnsi="宋体"/>
                      <w:szCs w:val="21"/>
                    </w:rPr>
                    <w:t>/</w:t>
                  </w:r>
                </w:p>
              </w:tc>
              <w:tc>
                <w:tcPr>
                  <w:tcW w:w="526" w:type="pct"/>
                  <w:vAlign w:val="center"/>
                </w:tcPr>
                <w:p w14:paraId="2D0F90B1">
                  <w:pPr>
                    <w:pStyle w:val="11"/>
                    <w:tabs>
                      <w:tab w:val="left" w:pos="72"/>
                    </w:tabs>
                    <w:autoSpaceDE w:val="0"/>
                    <w:autoSpaceDN w:val="0"/>
                    <w:adjustRightInd w:val="0"/>
                    <w:snapToGrid w:val="0"/>
                    <w:ind w:firstLine="0" w:firstLineChars="0"/>
                    <w:jc w:val="center"/>
                    <w:rPr>
                      <w:rFonts w:hAnsi="宋体"/>
                      <w:szCs w:val="21"/>
                    </w:rPr>
                  </w:pPr>
                  <w:r>
                    <w:rPr>
                      <w:rFonts w:hAnsi="宋体"/>
                      <w:szCs w:val="21"/>
                    </w:rPr>
                    <w:t>289.4</w:t>
                  </w:r>
                </w:p>
              </w:tc>
            </w:tr>
            <w:tr w14:paraId="48D50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972" w:type="pct"/>
                  <w:vAlign w:val="center"/>
                </w:tcPr>
                <w:p w14:paraId="1CCEB401">
                  <w:pPr>
                    <w:pStyle w:val="11"/>
                    <w:tabs>
                      <w:tab w:val="left" w:pos="72"/>
                    </w:tabs>
                    <w:autoSpaceDE w:val="0"/>
                    <w:autoSpaceDN w:val="0"/>
                    <w:adjustRightInd w:val="0"/>
                    <w:snapToGrid w:val="0"/>
                    <w:ind w:firstLine="0" w:firstLineChars="0"/>
                    <w:jc w:val="center"/>
                    <w:rPr>
                      <w:rFonts w:hAnsi="宋体"/>
                      <w:color w:val="000000"/>
                      <w:szCs w:val="21"/>
                    </w:rPr>
                  </w:pPr>
                  <w:r>
                    <w:rPr>
                      <w:rFonts w:hint="eastAsia" w:hAnsi="宋体"/>
                      <w:color w:val="000000"/>
                      <w:szCs w:val="21"/>
                    </w:rPr>
                    <w:t>生活</w:t>
                  </w:r>
                  <w:r>
                    <w:rPr>
                      <w:rFonts w:hAnsi="宋体"/>
                      <w:color w:val="000000"/>
                      <w:szCs w:val="21"/>
                    </w:rPr>
                    <w:t>污水</w:t>
                  </w:r>
                  <w:r>
                    <w:rPr>
                      <w:rFonts w:hint="eastAsia" w:hAnsi="宋体"/>
                      <w:szCs w:val="21"/>
                    </w:rPr>
                    <w:t>（mg/L）</w:t>
                  </w:r>
                </w:p>
              </w:tc>
              <w:tc>
                <w:tcPr>
                  <w:tcW w:w="1053" w:type="pct"/>
                  <w:vAlign w:val="center"/>
                </w:tcPr>
                <w:p w14:paraId="776D83E0">
                  <w:pPr>
                    <w:pStyle w:val="11"/>
                    <w:tabs>
                      <w:tab w:val="left" w:pos="72"/>
                    </w:tabs>
                    <w:autoSpaceDE w:val="0"/>
                    <w:autoSpaceDN w:val="0"/>
                    <w:adjustRightInd w:val="0"/>
                    <w:snapToGrid w:val="0"/>
                    <w:ind w:firstLine="0" w:firstLineChars="0"/>
                    <w:jc w:val="center"/>
                    <w:rPr>
                      <w:szCs w:val="21"/>
                    </w:rPr>
                  </w:pPr>
                  <w:r>
                    <w:rPr>
                      <w:szCs w:val="21"/>
                    </w:rPr>
                    <w:t>4.8</w:t>
                  </w:r>
                  <w:r>
                    <w:rPr>
                      <w:rFonts w:hint="eastAsia"/>
                      <w:szCs w:val="21"/>
                    </w:rPr>
                    <w:t>m</w:t>
                  </w:r>
                  <w:r>
                    <w:rPr>
                      <w:rFonts w:hint="eastAsia"/>
                      <w:szCs w:val="21"/>
                      <w:vertAlign w:val="superscript"/>
                    </w:rPr>
                    <w:t>3</w:t>
                  </w:r>
                  <w:r>
                    <w:rPr>
                      <w:rFonts w:hint="eastAsia"/>
                      <w:szCs w:val="21"/>
                    </w:rPr>
                    <w:t>/</w:t>
                  </w:r>
                  <w:r>
                    <w:rPr>
                      <w:szCs w:val="21"/>
                    </w:rPr>
                    <w:t>3</w:t>
                  </w:r>
                  <w:r>
                    <w:rPr>
                      <w:rFonts w:hint="eastAsia"/>
                      <w:szCs w:val="21"/>
                    </w:rPr>
                    <w:t>d</w:t>
                  </w:r>
                </w:p>
              </w:tc>
              <w:tc>
                <w:tcPr>
                  <w:tcW w:w="453" w:type="pct"/>
                  <w:vAlign w:val="center"/>
                </w:tcPr>
                <w:p w14:paraId="69C0C198">
                  <w:pPr>
                    <w:pStyle w:val="11"/>
                    <w:tabs>
                      <w:tab w:val="left" w:pos="72"/>
                    </w:tabs>
                    <w:autoSpaceDE w:val="0"/>
                    <w:autoSpaceDN w:val="0"/>
                    <w:adjustRightInd w:val="0"/>
                    <w:snapToGrid w:val="0"/>
                    <w:ind w:firstLine="0" w:firstLineChars="0"/>
                    <w:jc w:val="center"/>
                    <w:rPr>
                      <w:rFonts w:hAnsi="宋体"/>
                      <w:szCs w:val="21"/>
                    </w:rPr>
                  </w:pPr>
                  <w:r>
                    <w:rPr>
                      <w:rFonts w:hAnsi="宋体"/>
                      <w:szCs w:val="21"/>
                    </w:rPr>
                    <w:t>30</w:t>
                  </w:r>
                  <w:r>
                    <w:rPr>
                      <w:rFonts w:hint="eastAsia" w:hAnsi="宋体"/>
                      <w:szCs w:val="21"/>
                    </w:rPr>
                    <w:t>0</w:t>
                  </w:r>
                </w:p>
              </w:tc>
              <w:tc>
                <w:tcPr>
                  <w:tcW w:w="498" w:type="pct"/>
                  <w:vAlign w:val="center"/>
                </w:tcPr>
                <w:p w14:paraId="68CF5A99">
                  <w:pPr>
                    <w:pStyle w:val="11"/>
                    <w:tabs>
                      <w:tab w:val="left" w:pos="72"/>
                    </w:tabs>
                    <w:autoSpaceDE w:val="0"/>
                    <w:autoSpaceDN w:val="0"/>
                    <w:adjustRightInd w:val="0"/>
                    <w:snapToGrid w:val="0"/>
                    <w:ind w:firstLine="0" w:firstLineChars="0"/>
                    <w:jc w:val="center"/>
                    <w:rPr>
                      <w:rFonts w:hAnsi="宋体"/>
                      <w:szCs w:val="21"/>
                    </w:rPr>
                  </w:pPr>
                  <w:r>
                    <w:rPr>
                      <w:rFonts w:hAnsi="宋体"/>
                      <w:szCs w:val="21"/>
                    </w:rPr>
                    <w:t>200</w:t>
                  </w:r>
                </w:p>
              </w:tc>
              <w:tc>
                <w:tcPr>
                  <w:tcW w:w="498" w:type="pct"/>
                  <w:vAlign w:val="center"/>
                </w:tcPr>
                <w:p w14:paraId="02FD5707">
                  <w:pPr>
                    <w:pStyle w:val="11"/>
                    <w:tabs>
                      <w:tab w:val="left" w:pos="72"/>
                    </w:tabs>
                    <w:autoSpaceDE w:val="0"/>
                    <w:autoSpaceDN w:val="0"/>
                    <w:adjustRightInd w:val="0"/>
                    <w:snapToGrid w:val="0"/>
                    <w:ind w:firstLine="0" w:firstLineChars="0"/>
                    <w:jc w:val="center"/>
                    <w:rPr>
                      <w:rFonts w:hAnsi="宋体"/>
                      <w:szCs w:val="21"/>
                    </w:rPr>
                  </w:pPr>
                  <w:r>
                    <w:rPr>
                      <w:rFonts w:hAnsi="宋体"/>
                      <w:szCs w:val="21"/>
                    </w:rPr>
                    <w:t>20</w:t>
                  </w:r>
                </w:p>
              </w:tc>
              <w:tc>
                <w:tcPr>
                  <w:tcW w:w="526" w:type="pct"/>
                  <w:vAlign w:val="center"/>
                </w:tcPr>
                <w:p w14:paraId="56690695">
                  <w:pPr>
                    <w:pStyle w:val="11"/>
                    <w:tabs>
                      <w:tab w:val="left" w:pos="72"/>
                    </w:tabs>
                    <w:autoSpaceDE w:val="0"/>
                    <w:autoSpaceDN w:val="0"/>
                    <w:adjustRightInd w:val="0"/>
                    <w:snapToGrid w:val="0"/>
                    <w:ind w:firstLine="0" w:firstLineChars="0"/>
                    <w:jc w:val="center"/>
                    <w:rPr>
                      <w:rFonts w:hAnsi="宋体"/>
                      <w:szCs w:val="21"/>
                    </w:rPr>
                  </w:pPr>
                  <w:r>
                    <w:rPr>
                      <w:rFonts w:hint="eastAsia" w:hAnsi="宋体"/>
                      <w:szCs w:val="21"/>
                    </w:rPr>
                    <w:t>200</w:t>
                  </w:r>
                </w:p>
              </w:tc>
            </w:tr>
            <w:tr w14:paraId="72AE8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972" w:type="pct"/>
                  <w:vAlign w:val="center"/>
                </w:tcPr>
                <w:p w14:paraId="6070E5CE">
                  <w:pPr>
                    <w:pStyle w:val="11"/>
                    <w:tabs>
                      <w:tab w:val="left" w:pos="72"/>
                    </w:tabs>
                    <w:autoSpaceDE w:val="0"/>
                    <w:autoSpaceDN w:val="0"/>
                    <w:adjustRightInd w:val="0"/>
                    <w:snapToGrid w:val="0"/>
                    <w:ind w:firstLine="0" w:firstLineChars="0"/>
                    <w:jc w:val="center"/>
                    <w:rPr>
                      <w:rFonts w:hAnsi="宋体"/>
                      <w:color w:val="000000"/>
                      <w:szCs w:val="21"/>
                    </w:rPr>
                  </w:pPr>
                  <w:r>
                    <w:rPr>
                      <w:rFonts w:hint="eastAsia" w:hAnsi="宋体"/>
                      <w:color w:val="000000"/>
                      <w:szCs w:val="21"/>
                    </w:rPr>
                    <w:t>外运</w:t>
                  </w:r>
                  <w:r>
                    <w:rPr>
                      <w:rFonts w:hAnsi="宋体"/>
                      <w:color w:val="000000"/>
                      <w:szCs w:val="21"/>
                    </w:rPr>
                    <w:t>废水</w:t>
                  </w:r>
                  <w:r>
                    <w:rPr>
                      <w:rFonts w:hint="eastAsia" w:hAnsi="宋体"/>
                      <w:szCs w:val="21"/>
                    </w:rPr>
                    <w:t>（mg/L）</w:t>
                  </w:r>
                </w:p>
              </w:tc>
              <w:tc>
                <w:tcPr>
                  <w:tcW w:w="1053" w:type="pct"/>
                  <w:vAlign w:val="center"/>
                </w:tcPr>
                <w:p w14:paraId="06B152B1">
                  <w:pPr>
                    <w:pStyle w:val="11"/>
                    <w:tabs>
                      <w:tab w:val="left" w:pos="72"/>
                    </w:tabs>
                    <w:autoSpaceDE w:val="0"/>
                    <w:autoSpaceDN w:val="0"/>
                    <w:adjustRightInd w:val="0"/>
                    <w:snapToGrid w:val="0"/>
                    <w:ind w:firstLine="0" w:firstLineChars="0"/>
                    <w:jc w:val="center"/>
                    <w:rPr>
                      <w:szCs w:val="21"/>
                    </w:rPr>
                  </w:pPr>
                  <w:r>
                    <w:rPr>
                      <w:szCs w:val="21"/>
                    </w:rPr>
                    <w:t>19.14</w:t>
                  </w:r>
                  <w:r>
                    <w:rPr>
                      <w:rFonts w:hint="eastAsia"/>
                      <w:szCs w:val="21"/>
                    </w:rPr>
                    <w:t>m</w:t>
                  </w:r>
                  <w:r>
                    <w:rPr>
                      <w:rFonts w:hint="eastAsia"/>
                      <w:szCs w:val="21"/>
                      <w:vertAlign w:val="superscript"/>
                    </w:rPr>
                    <w:t>3</w:t>
                  </w:r>
                  <w:r>
                    <w:rPr>
                      <w:rFonts w:hint="eastAsia"/>
                      <w:szCs w:val="21"/>
                    </w:rPr>
                    <w:t>/</w:t>
                  </w:r>
                  <w:r>
                    <w:rPr>
                      <w:szCs w:val="21"/>
                    </w:rPr>
                    <w:t>3</w:t>
                  </w:r>
                  <w:r>
                    <w:rPr>
                      <w:rFonts w:hint="eastAsia"/>
                      <w:szCs w:val="21"/>
                    </w:rPr>
                    <w:t>d</w:t>
                  </w:r>
                </w:p>
              </w:tc>
              <w:tc>
                <w:tcPr>
                  <w:tcW w:w="453" w:type="pct"/>
                  <w:vAlign w:val="center"/>
                </w:tcPr>
                <w:p w14:paraId="09A9FE07">
                  <w:pPr>
                    <w:pStyle w:val="11"/>
                    <w:tabs>
                      <w:tab w:val="left" w:pos="72"/>
                    </w:tabs>
                    <w:autoSpaceDE w:val="0"/>
                    <w:autoSpaceDN w:val="0"/>
                    <w:adjustRightInd w:val="0"/>
                    <w:snapToGrid w:val="0"/>
                    <w:ind w:firstLine="0" w:firstLineChars="0"/>
                    <w:jc w:val="center"/>
                    <w:rPr>
                      <w:rFonts w:hAnsi="宋体"/>
                      <w:szCs w:val="21"/>
                    </w:rPr>
                  </w:pPr>
                  <w:r>
                    <w:rPr>
                      <w:rFonts w:hint="eastAsia" w:hAnsi="宋体"/>
                      <w:szCs w:val="21"/>
                    </w:rPr>
                    <w:t>75.2</w:t>
                  </w:r>
                </w:p>
              </w:tc>
              <w:tc>
                <w:tcPr>
                  <w:tcW w:w="498" w:type="pct"/>
                  <w:vAlign w:val="center"/>
                </w:tcPr>
                <w:p w14:paraId="0DBD9B87">
                  <w:pPr>
                    <w:pStyle w:val="11"/>
                    <w:tabs>
                      <w:tab w:val="left" w:pos="72"/>
                    </w:tabs>
                    <w:autoSpaceDE w:val="0"/>
                    <w:autoSpaceDN w:val="0"/>
                    <w:adjustRightInd w:val="0"/>
                    <w:snapToGrid w:val="0"/>
                    <w:ind w:firstLine="0" w:firstLineChars="0"/>
                    <w:jc w:val="center"/>
                    <w:rPr>
                      <w:rFonts w:hAnsi="宋体"/>
                      <w:szCs w:val="21"/>
                    </w:rPr>
                  </w:pPr>
                  <w:r>
                    <w:rPr>
                      <w:rFonts w:hint="eastAsia" w:hAnsi="宋体"/>
                      <w:szCs w:val="21"/>
                    </w:rPr>
                    <w:t>50.2</w:t>
                  </w:r>
                </w:p>
              </w:tc>
              <w:tc>
                <w:tcPr>
                  <w:tcW w:w="498" w:type="pct"/>
                  <w:vAlign w:val="center"/>
                </w:tcPr>
                <w:p w14:paraId="2356BB23">
                  <w:pPr>
                    <w:pStyle w:val="11"/>
                    <w:tabs>
                      <w:tab w:val="left" w:pos="72"/>
                    </w:tabs>
                    <w:autoSpaceDE w:val="0"/>
                    <w:autoSpaceDN w:val="0"/>
                    <w:adjustRightInd w:val="0"/>
                    <w:snapToGrid w:val="0"/>
                    <w:ind w:firstLine="0" w:firstLineChars="0"/>
                    <w:jc w:val="center"/>
                    <w:rPr>
                      <w:rFonts w:hAnsi="宋体"/>
                      <w:szCs w:val="21"/>
                    </w:rPr>
                  </w:pPr>
                  <w:r>
                    <w:rPr>
                      <w:rFonts w:hint="eastAsia" w:hAnsi="宋体"/>
                      <w:szCs w:val="21"/>
                    </w:rPr>
                    <w:t>5</w:t>
                  </w:r>
                </w:p>
              </w:tc>
              <w:tc>
                <w:tcPr>
                  <w:tcW w:w="526" w:type="pct"/>
                  <w:vAlign w:val="center"/>
                </w:tcPr>
                <w:p w14:paraId="25FAECFC">
                  <w:pPr>
                    <w:pStyle w:val="11"/>
                    <w:tabs>
                      <w:tab w:val="left" w:pos="72"/>
                    </w:tabs>
                    <w:autoSpaceDE w:val="0"/>
                    <w:autoSpaceDN w:val="0"/>
                    <w:adjustRightInd w:val="0"/>
                    <w:snapToGrid w:val="0"/>
                    <w:ind w:firstLine="0" w:firstLineChars="0"/>
                    <w:jc w:val="center"/>
                    <w:rPr>
                      <w:rFonts w:hAnsi="宋体"/>
                      <w:szCs w:val="21"/>
                    </w:rPr>
                  </w:pPr>
                  <w:r>
                    <w:rPr>
                      <w:rFonts w:hint="eastAsia" w:hAnsi="宋体"/>
                      <w:szCs w:val="21"/>
                    </w:rPr>
                    <w:t>267</w:t>
                  </w:r>
                </w:p>
              </w:tc>
            </w:tr>
            <w:tr w14:paraId="08E16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trPr>
              <w:tc>
                <w:tcPr>
                  <w:tcW w:w="1972" w:type="pct"/>
                  <w:vAlign w:val="center"/>
                </w:tcPr>
                <w:p w14:paraId="0C895252">
                  <w:pPr>
                    <w:pStyle w:val="11"/>
                    <w:tabs>
                      <w:tab w:val="left" w:pos="72"/>
                    </w:tabs>
                    <w:autoSpaceDE w:val="0"/>
                    <w:autoSpaceDN w:val="0"/>
                    <w:adjustRightInd w:val="0"/>
                    <w:snapToGrid w:val="0"/>
                    <w:ind w:firstLine="0" w:firstLineChars="0"/>
                    <w:jc w:val="center"/>
                    <w:rPr>
                      <w:rFonts w:hAnsi="宋体"/>
                      <w:szCs w:val="21"/>
                    </w:rPr>
                  </w:pPr>
                  <w:r>
                    <w:rPr>
                      <w:rFonts w:hint="eastAsia"/>
                      <w:szCs w:val="21"/>
                    </w:rPr>
                    <w:t>《污水综合排放标准》（GB8978-1996）表4三级标准</w:t>
                  </w:r>
                </w:p>
              </w:tc>
              <w:tc>
                <w:tcPr>
                  <w:tcW w:w="1053" w:type="pct"/>
                  <w:vAlign w:val="center"/>
                </w:tcPr>
                <w:p w14:paraId="52C09EB9">
                  <w:pPr>
                    <w:pStyle w:val="11"/>
                    <w:tabs>
                      <w:tab w:val="left" w:pos="72"/>
                    </w:tabs>
                    <w:autoSpaceDE w:val="0"/>
                    <w:autoSpaceDN w:val="0"/>
                    <w:adjustRightInd w:val="0"/>
                    <w:snapToGrid w:val="0"/>
                    <w:ind w:firstLine="0" w:firstLineChars="0"/>
                    <w:jc w:val="center"/>
                    <w:rPr>
                      <w:szCs w:val="21"/>
                    </w:rPr>
                  </w:pPr>
                  <w:r>
                    <w:rPr>
                      <w:rFonts w:hint="eastAsia"/>
                      <w:szCs w:val="21"/>
                    </w:rPr>
                    <w:t>/</w:t>
                  </w:r>
                </w:p>
              </w:tc>
              <w:tc>
                <w:tcPr>
                  <w:tcW w:w="453" w:type="pct"/>
                  <w:vAlign w:val="center"/>
                </w:tcPr>
                <w:p w14:paraId="781C1C3F">
                  <w:pPr>
                    <w:autoSpaceDE w:val="0"/>
                    <w:autoSpaceDN w:val="0"/>
                    <w:adjustRightInd w:val="0"/>
                    <w:snapToGrid w:val="0"/>
                    <w:jc w:val="center"/>
                    <w:rPr>
                      <w:szCs w:val="21"/>
                    </w:rPr>
                  </w:pPr>
                  <w:r>
                    <w:rPr>
                      <w:rFonts w:hint="eastAsia"/>
                      <w:szCs w:val="21"/>
                    </w:rPr>
                    <w:t>500</w:t>
                  </w:r>
                </w:p>
              </w:tc>
              <w:tc>
                <w:tcPr>
                  <w:tcW w:w="498" w:type="pct"/>
                  <w:vAlign w:val="center"/>
                </w:tcPr>
                <w:p w14:paraId="2541152B">
                  <w:pPr>
                    <w:autoSpaceDE w:val="0"/>
                    <w:autoSpaceDN w:val="0"/>
                    <w:adjustRightInd w:val="0"/>
                    <w:snapToGrid w:val="0"/>
                    <w:jc w:val="center"/>
                    <w:rPr>
                      <w:szCs w:val="21"/>
                    </w:rPr>
                  </w:pPr>
                  <w:r>
                    <w:rPr>
                      <w:rFonts w:hint="eastAsia"/>
                      <w:szCs w:val="21"/>
                    </w:rPr>
                    <w:t>300</w:t>
                  </w:r>
                </w:p>
              </w:tc>
              <w:tc>
                <w:tcPr>
                  <w:tcW w:w="498" w:type="pct"/>
                  <w:vAlign w:val="center"/>
                </w:tcPr>
                <w:p w14:paraId="66D5925C">
                  <w:pPr>
                    <w:pStyle w:val="11"/>
                    <w:tabs>
                      <w:tab w:val="left" w:pos="72"/>
                    </w:tabs>
                    <w:autoSpaceDE w:val="0"/>
                    <w:autoSpaceDN w:val="0"/>
                    <w:adjustRightInd w:val="0"/>
                    <w:snapToGrid w:val="0"/>
                    <w:ind w:firstLine="0" w:firstLineChars="0"/>
                    <w:jc w:val="center"/>
                    <w:rPr>
                      <w:rFonts w:hAnsi="宋体"/>
                      <w:szCs w:val="21"/>
                    </w:rPr>
                  </w:pPr>
                  <w:r>
                    <w:rPr>
                      <w:rFonts w:hint="eastAsia" w:hAnsi="宋体"/>
                      <w:szCs w:val="21"/>
                    </w:rPr>
                    <w:t>/</w:t>
                  </w:r>
                </w:p>
              </w:tc>
              <w:tc>
                <w:tcPr>
                  <w:tcW w:w="526" w:type="pct"/>
                  <w:vAlign w:val="center"/>
                </w:tcPr>
                <w:p w14:paraId="7ABAE8DF">
                  <w:pPr>
                    <w:autoSpaceDE w:val="0"/>
                    <w:autoSpaceDN w:val="0"/>
                    <w:adjustRightInd w:val="0"/>
                    <w:snapToGrid w:val="0"/>
                    <w:jc w:val="center"/>
                    <w:rPr>
                      <w:szCs w:val="21"/>
                    </w:rPr>
                  </w:pPr>
                  <w:r>
                    <w:rPr>
                      <w:rFonts w:hint="eastAsia"/>
                      <w:szCs w:val="21"/>
                    </w:rPr>
                    <w:t>400</w:t>
                  </w:r>
                </w:p>
              </w:tc>
            </w:tr>
            <w:tr w14:paraId="059CA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trPr>
              <w:tc>
                <w:tcPr>
                  <w:tcW w:w="1972" w:type="pct"/>
                  <w:vAlign w:val="center"/>
                </w:tcPr>
                <w:p w14:paraId="08312727">
                  <w:pPr>
                    <w:pStyle w:val="11"/>
                    <w:tabs>
                      <w:tab w:val="left" w:pos="72"/>
                    </w:tabs>
                    <w:autoSpaceDE w:val="0"/>
                    <w:autoSpaceDN w:val="0"/>
                    <w:adjustRightInd w:val="0"/>
                    <w:snapToGrid w:val="0"/>
                    <w:ind w:firstLine="0" w:firstLineChars="0"/>
                    <w:jc w:val="center"/>
                    <w:rPr>
                      <w:szCs w:val="21"/>
                    </w:rPr>
                  </w:pPr>
                  <w:r>
                    <w:rPr>
                      <w:rFonts w:hint="eastAsia"/>
                      <w:szCs w:val="21"/>
                    </w:rPr>
                    <w:t>民权县北关镇污水处理厂收水水质（参照</w:t>
                  </w:r>
                  <w:r>
                    <w:rPr>
                      <w:szCs w:val="21"/>
                    </w:rPr>
                    <w:t>《污水综合排放标准》（GB8978-1996）</w:t>
                  </w:r>
                  <w:r>
                    <w:rPr>
                      <w:rFonts w:hint="eastAsia"/>
                      <w:szCs w:val="21"/>
                    </w:rPr>
                    <w:t>其他排污单位）</w:t>
                  </w:r>
                </w:p>
              </w:tc>
              <w:tc>
                <w:tcPr>
                  <w:tcW w:w="1053" w:type="pct"/>
                  <w:vAlign w:val="center"/>
                </w:tcPr>
                <w:p w14:paraId="1A53CF2A">
                  <w:pPr>
                    <w:pStyle w:val="11"/>
                    <w:tabs>
                      <w:tab w:val="left" w:pos="72"/>
                    </w:tabs>
                    <w:autoSpaceDE w:val="0"/>
                    <w:autoSpaceDN w:val="0"/>
                    <w:adjustRightInd w:val="0"/>
                    <w:snapToGrid w:val="0"/>
                    <w:ind w:firstLine="0" w:firstLineChars="0"/>
                    <w:jc w:val="center"/>
                    <w:rPr>
                      <w:szCs w:val="21"/>
                    </w:rPr>
                  </w:pPr>
                  <w:r>
                    <w:rPr>
                      <w:rFonts w:hint="eastAsia"/>
                      <w:szCs w:val="21"/>
                    </w:rPr>
                    <w:t>/</w:t>
                  </w:r>
                </w:p>
              </w:tc>
              <w:tc>
                <w:tcPr>
                  <w:tcW w:w="453" w:type="pct"/>
                  <w:vAlign w:val="center"/>
                </w:tcPr>
                <w:p w14:paraId="55BE93D0">
                  <w:pPr>
                    <w:autoSpaceDE w:val="0"/>
                    <w:autoSpaceDN w:val="0"/>
                    <w:adjustRightInd w:val="0"/>
                    <w:snapToGrid w:val="0"/>
                    <w:jc w:val="center"/>
                    <w:rPr>
                      <w:szCs w:val="21"/>
                    </w:rPr>
                  </w:pPr>
                  <w:r>
                    <w:rPr>
                      <w:szCs w:val="21"/>
                    </w:rPr>
                    <w:t>5</w:t>
                  </w:r>
                  <w:r>
                    <w:rPr>
                      <w:rFonts w:hint="eastAsia"/>
                      <w:szCs w:val="21"/>
                    </w:rPr>
                    <w:t>00</w:t>
                  </w:r>
                </w:p>
              </w:tc>
              <w:tc>
                <w:tcPr>
                  <w:tcW w:w="498" w:type="pct"/>
                  <w:vAlign w:val="center"/>
                </w:tcPr>
                <w:p w14:paraId="5106308A">
                  <w:pPr>
                    <w:autoSpaceDE w:val="0"/>
                    <w:autoSpaceDN w:val="0"/>
                    <w:adjustRightInd w:val="0"/>
                    <w:snapToGrid w:val="0"/>
                    <w:jc w:val="center"/>
                    <w:rPr>
                      <w:szCs w:val="21"/>
                    </w:rPr>
                  </w:pPr>
                  <w:r>
                    <w:rPr>
                      <w:szCs w:val="21"/>
                    </w:rPr>
                    <w:t>30</w:t>
                  </w:r>
                  <w:r>
                    <w:rPr>
                      <w:rFonts w:hint="eastAsia"/>
                      <w:szCs w:val="21"/>
                    </w:rPr>
                    <w:t>0</w:t>
                  </w:r>
                </w:p>
              </w:tc>
              <w:tc>
                <w:tcPr>
                  <w:tcW w:w="498" w:type="pct"/>
                  <w:vAlign w:val="center"/>
                </w:tcPr>
                <w:p w14:paraId="3A02EBDA">
                  <w:pPr>
                    <w:pStyle w:val="11"/>
                    <w:tabs>
                      <w:tab w:val="left" w:pos="72"/>
                    </w:tabs>
                    <w:autoSpaceDE w:val="0"/>
                    <w:autoSpaceDN w:val="0"/>
                    <w:adjustRightInd w:val="0"/>
                    <w:snapToGrid w:val="0"/>
                    <w:ind w:firstLine="0" w:firstLineChars="0"/>
                    <w:jc w:val="center"/>
                    <w:rPr>
                      <w:rFonts w:hAnsi="宋体"/>
                      <w:szCs w:val="21"/>
                    </w:rPr>
                  </w:pPr>
                  <w:r>
                    <w:rPr>
                      <w:szCs w:val="21"/>
                    </w:rPr>
                    <w:t>/</w:t>
                  </w:r>
                </w:p>
              </w:tc>
              <w:tc>
                <w:tcPr>
                  <w:tcW w:w="526" w:type="pct"/>
                  <w:vAlign w:val="center"/>
                </w:tcPr>
                <w:p w14:paraId="476CE187">
                  <w:pPr>
                    <w:autoSpaceDE w:val="0"/>
                    <w:autoSpaceDN w:val="0"/>
                    <w:adjustRightInd w:val="0"/>
                    <w:snapToGrid w:val="0"/>
                    <w:jc w:val="center"/>
                    <w:rPr>
                      <w:szCs w:val="21"/>
                    </w:rPr>
                  </w:pPr>
                  <w:r>
                    <w:rPr>
                      <w:rFonts w:hint="eastAsia"/>
                      <w:szCs w:val="21"/>
                    </w:rPr>
                    <w:t>200</w:t>
                  </w:r>
                </w:p>
              </w:tc>
            </w:tr>
          </w:tbl>
          <w:p w14:paraId="41877294">
            <w:pPr>
              <w:spacing w:line="360" w:lineRule="auto"/>
              <w:ind w:firstLine="480" w:firstLineChars="200"/>
              <w:rPr>
                <w:rFonts w:hAnsi="宋体"/>
                <w:b/>
                <w:kern w:val="0"/>
                <w:sz w:val="24"/>
                <w:u w:val="single"/>
              </w:rPr>
            </w:pPr>
            <w:r>
              <w:rPr>
                <w:bCs/>
                <w:sz w:val="24"/>
              </w:rPr>
              <w:t>本项目</w:t>
            </w:r>
            <w:r>
              <w:rPr>
                <w:rFonts w:hint="eastAsia"/>
                <w:bCs/>
                <w:sz w:val="24"/>
              </w:rPr>
              <w:t>废水中</w:t>
            </w:r>
            <w:r>
              <w:rPr>
                <w:bCs/>
                <w:sz w:val="24"/>
              </w:rPr>
              <w:t>主要污染物为</w:t>
            </w:r>
            <w:r>
              <w:rPr>
                <w:rFonts w:hint="eastAsia"/>
                <w:bCs/>
                <w:sz w:val="24"/>
              </w:rPr>
              <w:t>SS，属于</w:t>
            </w:r>
            <w:r>
              <w:rPr>
                <w:bCs/>
                <w:sz w:val="24"/>
              </w:rPr>
              <w:t>可沉降</w:t>
            </w:r>
            <w:r>
              <w:rPr>
                <w:rFonts w:hint="eastAsia"/>
                <w:bCs/>
                <w:sz w:val="24"/>
              </w:rPr>
              <w:t>型</w:t>
            </w:r>
            <w:r>
              <w:rPr>
                <w:bCs/>
                <w:sz w:val="24"/>
              </w:rPr>
              <w:t>悬浮物，</w:t>
            </w:r>
            <w:r>
              <w:rPr>
                <w:rFonts w:hint="eastAsia"/>
                <w:bCs/>
                <w:sz w:val="24"/>
              </w:rPr>
              <w:t>经三级</w:t>
            </w:r>
            <w:r>
              <w:rPr>
                <w:bCs/>
                <w:sz w:val="24"/>
              </w:rPr>
              <w:t>沉淀处理后</w:t>
            </w:r>
            <w:r>
              <w:rPr>
                <w:rFonts w:hint="eastAsia"/>
                <w:bCs/>
                <w:sz w:val="24"/>
              </w:rPr>
              <w:t>水质循环使用</w:t>
            </w:r>
            <w:r>
              <w:rPr>
                <w:bCs/>
                <w:sz w:val="24"/>
              </w:rPr>
              <w:t>可行。</w:t>
            </w:r>
            <w:r>
              <w:rPr>
                <w:sz w:val="24"/>
              </w:rPr>
              <w:t>项目</w:t>
            </w:r>
            <w:r>
              <w:rPr>
                <w:rFonts w:hint="eastAsia"/>
                <w:bCs/>
                <w:sz w:val="24"/>
              </w:rPr>
              <w:t>生产</w:t>
            </w:r>
            <w:r>
              <w:rPr>
                <w:bCs/>
                <w:sz w:val="24"/>
              </w:rPr>
              <w:t>废水经</w:t>
            </w:r>
            <w:r>
              <w:rPr>
                <w:rFonts w:hint="eastAsia"/>
                <w:bCs/>
                <w:sz w:val="24"/>
              </w:rPr>
              <w:t>一级</w:t>
            </w:r>
            <w:r>
              <w:rPr>
                <w:rFonts w:hAnsi="宋体"/>
                <w:sz w:val="24"/>
              </w:rPr>
              <w:t>沉淀</w:t>
            </w:r>
            <w:r>
              <w:rPr>
                <w:rFonts w:hint="eastAsia" w:hAnsi="宋体"/>
                <w:sz w:val="24"/>
              </w:rPr>
              <w:t>预处理</w:t>
            </w:r>
            <w:r>
              <w:rPr>
                <w:rFonts w:hint="eastAsia"/>
                <w:bCs/>
                <w:color w:val="000000"/>
                <w:sz w:val="24"/>
              </w:rPr>
              <w:t>后，排放水质可满足《污水综合排放标准》（GB8978-1996）表4三级标准，且满足民权县北关镇污水处理厂进水指标（</w:t>
            </w:r>
            <w:r>
              <w:rPr>
                <w:rFonts w:hint="eastAsia"/>
                <w:sz w:val="24"/>
              </w:rPr>
              <w:t>参照</w:t>
            </w:r>
            <w:r>
              <w:rPr>
                <w:sz w:val="24"/>
              </w:rPr>
              <w:t>《污水综合排放标准》（GB8978-1996）</w:t>
            </w:r>
            <w:r>
              <w:rPr>
                <w:rFonts w:hint="eastAsia"/>
                <w:sz w:val="24"/>
              </w:rPr>
              <w:t>其他排污单位）</w:t>
            </w:r>
            <w:r>
              <w:rPr>
                <w:rFonts w:hint="eastAsia"/>
                <w:bCs/>
                <w:color w:val="000000"/>
                <w:sz w:val="24"/>
              </w:rPr>
              <w:t>要求。</w:t>
            </w:r>
            <w:r>
              <w:rPr>
                <w:rFonts w:hint="eastAsia"/>
                <w:sz w:val="24"/>
              </w:rPr>
              <w:t>根据</w:t>
            </w:r>
            <w:r>
              <w:rPr>
                <w:sz w:val="24"/>
              </w:rPr>
              <w:t>《排污许可证申请与核发技术规范橡胶和塑料制品工业》（HJ1122-2020）</w:t>
            </w:r>
            <w:r>
              <w:rPr>
                <w:rFonts w:hint="eastAsia"/>
                <w:sz w:val="24"/>
              </w:rPr>
              <w:t>推荐</w:t>
            </w:r>
            <w:r>
              <w:rPr>
                <w:sz w:val="24"/>
              </w:rPr>
              <w:t>的污染防治设施一览表，本</w:t>
            </w:r>
            <w:r>
              <w:rPr>
                <w:rFonts w:hint="eastAsia"/>
                <w:sz w:val="24"/>
              </w:rPr>
              <w:t>项目</w:t>
            </w:r>
            <w:r>
              <w:rPr>
                <w:sz w:val="24"/>
              </w:rPr>
              <w:t>采用的预处理措施属于推荐的可行技术</w:t>
            </w:r>
            <w:r>
              <w:rPr>
                <w:rFonts w:hint="eastAsia"/>
                <w:sz w:val="24"/>
              </w:rPr>
              <w:t>之一</w:t>
            </w:r>
            <w:r>
              <w:rPr>
                <w:sz w:val="24"/>
              </w:rPr>
              <w:t>。</w:t>
            </w:r>
          </w:p>
          <w:p w14:paraId="5F563BDF">
            <w:pPr>
              <w:spacing w:line="348" w:lineRule="auto"/>
              <w:ind w:firstLine="482" w:firstLineChars="200"/>
              <w:rPr>
                <w:b/>
                <w:bCs/>
                <w:sz w:val="24"/>
              </w:rPr>
            </w:pPr>
            <w:r>
              <w:rPr>
                <w:rFonts w:hint="eastAsia"/>
                <w:b/>
                <w:bCs/>
                <w:sz w:val="24"/>
              </w:rPr>
              <w:t>2.</w:t>
            </w:r>
            <w:r>
              <w:rPr>
                <w:b/>
                <w:bCs/>
                <w:sz w:val="24"/>
              </w:rPr>
              <w:t>3</w:t>
            </w:r>
            <w:r>
              <w:rPr>
                <w:rFonts w:hint="eastAsia"/>
                <w:b/>
                <w:bCs/>
                <w:sz w:val="24"/>
              </w:rPr>
              <w:t>依托北关镇污水处理厂可行性分析</w:t>
            </w:r>
          </w:p>
          <w:p w14:paraId="7C7049B1">
            <w:pPr>
              <w:spacing w:line="360" w:lineRule="auto"/>
              <w:ind w:firstLine="480" w:firstLineChars="200"/>
              <w:rPr>
                <w:sz w:val="24"/>
                <w:highlight w:val="green"/>
              </w:rPr>
            </w:pPr>
            <w:r>
              <w:rPr>
                <w:rFonts w:hint="eastAsia"/>
                <w:sz w:val="24"/>
              </w:rPr>
              <w:t>民权县北关镇污水处理厂位于民权县北关镇刘楼村西侧，该污水处理厂已于2018年8月建成，并正常运行，处理规模为500m</w:t>
            </w:r>
            <w:r>
              <w:rPr>
                <w:rFonts w:hint="eastAsia"/>
                <w:sz w:val="24"/>
                <w:vertAlign w:val="superscript"/>
              </w:rPr>
              <w:t>3</w:t>
            </w:r>
            <w:r>
              <w:rPr>
                <w:rFonts w:hint="eastAsia"/>
                <w:sz w:val="24"/>
              </w:rPr>
              <w:t>/d，处理工艺为预处理+生物接触氧化+人工湿地，</w:t>
            </w:r>
            <w:r>
              <w:rPr>
                <w:sz w:val="24"/>
              </w:rPr>
              <w:t>排放执行《</w:t>
            </w:r>
            <w:r>
              <w:rPr>
                <w:rFonts w:hint="eastAsia"/>
                <w:sz w:val="24"/>
              </w:rPr>
              <w:t>城镇污水处理厂</w:t>
            </w:r>
            <w:r>
              <w:rPr>
                <w:sz w:val="24"/>
              </w:rPr>
              <w:t>污染物排放标准》（</w:t>
            </w:r>
            <w:r>
              <w:rPr>
                <w:rFonts w:hint="eastAsia"/>
                <w:sz w:val="24"/>
              </w:rPr>
              <w:t>G</w:t>
            </w:r>
            <w:r>
              <w:rPr>
                <w:sz w:val="24"/>
              </w:rPr>
              <w:t>B</w:t>
            </w:r>
            <w:r>
              <w:rPr>
                <w:rFonts w:hint="eastAsia"/>
                <w:sz w:val="24"/>
              </w:rPr>
              <w:t>18918</w:t>
            </w:r>
            <w:r>
              <w:rPr>
                <w:sz w:val="24"/>
              </w:rPr>
              <w:t>—20</w:t>
            </w:r>
            <w:r>
              <w:rPr>
                <w:rFonts w:hint="eastAsia"/>
                <w:sz w:val="24"/>
              </w:rPr>
              <w:t>02</w:t>
            </w:r>
            <w:r>
              <w:rPr>
                <w:sz w:val="24"/>
              </w:rPr>
              <w:t>）</w:t>
            </w:r>
            <w:r>
              <w:rPr>
                <w:rFonts w:hint="eastAsia"/>
                <w:sz w:val="24"/>
              </w:rPr>
              <w:t>一级A</w:t>
            </w:r>
            <w:r>
              <w:rPr>
                <w:sz w:val="24"/>
              </w:rPr>
              <w:t>标准</w:t>
            </w:r>
            <w:r>
              <w:rPr>
                <w:rFonts w:hint="eastAsia"/>
                <w:sz w:val="24"/>
              </w:rPr>
              <w:t>。根据现场调查，本项目厂区目前收水管网尚未接通，建设单位与民权县北关镇污水处理厂运营单位民权县洁农水务有限公司签订了污水外运处理协议，由民权县洁农水务有限公司通过罐车将污水运至北关镇污水处理厂处理，故项目废水能排入北关镇污水处理厂进一步处理。项目废水量为</w:t>
            </w:r>
            <w:r>
              <w:rPr>
                <w:sz w:val="24"/>
              </w:rPr>
              <w:t>19.14</w:t>
            </w:r>
            <w:r>
              <w:rPr>
                <w:rFonts w:hint="eastAsia" w:hAnsi="宋体"/>
                <w:sz w:val="24"/>
                <w:lang w:val="en-GB"/>
              </w:rPr>
              <w:t>m</w:t>
            </w:r>
            <w:r>
              <w:rPr>
                <w:rFonts w:hint="eastAsia" w:hAnsi="宋体"/>
                <w:sz w:val="24"/>
                <w:vertAlign w:val="superscript"/>
                <w:lang w:val="en-GB"/>
              </w:rPr>
              <w:t>3</w:t>
            </w:r>
            <w:r>
              <w:rPr>
                <w:rFonts w:hint="eastAsia" w:hAnsi="宋体"/>
                <w:sz w:val="24"/>
                <w:lang w:val="en-GB"/>
              </w:rPr>
              <w:t>/次</w:t>
            </w:r>
            <w:r>
              <w:rPr>
                <w:rFonts w:hint="eastAsia" w:hAnsi="宋体"/>
                <w:sz w:val="24"/>
              </w:rPr>
              <w:t>，3天</w:t>
            </w:r>
            <w:r>
              <w:rPr>
                <w:rFonts w:hAnsi="宋体"/>
                <w:sz w:val="24"/>
              </w:rPr>
              <w:t>外运一次，</w:t>
            </w:r>
            <w:r>
              <w:rPr>
                <w:rFonts w:hint="eastAsia"/>
                <w:sz w:val="24"/>
              </w:rPr>
              <w:t>占污水处理厂处理水量的比例较小，且项目废水水质较为简单，经厂区污水处理站处理后，废水污染物浓度满足北关镇污水处理厂收水水质要求（参照</w:t>
            </w:r>
            <w:r>
              <w:rPr>
                <w:sz w:val="24"/>
              </w:rPr>
              <w:t>《污水综合排放标准》（GB8978-1996）</w:t>
            </w:r>
            <w:r>
              <w:rPr>
                <w:rFonts w:hint="eastAsia"/>
                <w:sz w:val="24"/>
              </w:rPr>
              <w:t>其他排污单位，其中SS≤400mg/L），项目废水进入北关镇污水处理厂不会对其水量水质造成较大影响，因此本项目废水进入北关镇污水处理厂处理是可行的。</w:t>
            </w:r>
          </w:p>
          <w:p w14:paraId="36E2AF82">
            <w:pPr>
              <w:spacing w:line="360" w:lineRule="auto"/>
              <w:ind w:firstLine="480" w:firstLineChars="200"/>
              <w:rPr>
                <w:rFonts w:hAnsi="宋体"/>
                <w:b/>
                <w:kern w:val="0"/>
                <w:sz w:val="24"/>
                <w:u w:val="single"/>
              </w:rPr>
            </w:pPr>
            <w:r>
              <w:rPr>
                <w:rFonts w:hint="eastAsia"/>
                <w:sz w:val="24"/>
              </w:rPr>
              <w:t>综上，本项目产生的废水不会对周边地表水环境造成影响。</w:t>
            </w:r>
          </w:p>
          <w:p w14:paraId="1C55BF90">
            <w:pPr>
              <w:spacing w:line="348" w:lineRule="auto"/>
              <w:ind w:firstLine="482" w:firstLineChars="200"/>
              <w:rPr>
                <w:b/>
                <w:bCs/>
                <w:sz w:val="24"/>
              </w:rPr>
            </w:pPr>
            <w:r>
              <w:rPr>
                <w:rFonts w:hint="eastAsia"/>
                <w:b/>
                <w:bCs/>
                <w:sz w:val="24"/>
              </w:rPr>
              <w:t>2.</w:t>
            </w:r>
            <w:r>
              <w:rPr>
                <w:b/>
                <w:bCs/>
                <w:sz w:val="24"/>
              </w:rPr>
              <w:t>4</w:t>
            </w:r>
            <w:r>
              <w:rPr>
                <w:rFonts w:hint="eastAsia"/>
                <w:b/>
                <w:bCs/>
                <w:sz w:val="24"/>
              </w:rPr>
              <w:t>废水污染物排放信息</w:t>
            </w:r>
          </w:p>
          <w:p w14:paraId="4C4BB632">
            <w:pPr>
              <w:widowControl/>
              <w:adjustRightInd w:val="0"/>
              <w:snapToGrid w:val="0"/>
              <w:spacing w:line="360" w:lineRule="auto"/>
              <w:ind w:firstLine="480" w:firstLineChars="200"/>
              <w:jc w:val="left"/>
              <w:rPr>
                <w:bCs/>
                <w:kern w:val="0"/>
                <w:sz w:val="24"/>
              </w:rPr>
            </w:pPr>
            <w:r>
              <w:rPr>
                <w:kern w:val="0"/>
                <w:sz w:val="24"/>
              </w:rPr>
              <w:t>项目</w:t>
            </w:r>
            <w:r>
              <w:rPr>
                <w:bCs/>
                <w:kern w:val="0"/>
                <w:sz w:val="24"/>
              </w:rPr>
              <w:t>废水污染物排放信息表如下。</w:t>
            </w:r>
          </w:p>
          <w:p w14:paraId="4F180831">
            <w:pPr>
              <w:widowControl/>
              <w:adjustRightInd w:val="0"/>
              <w:snapToGrid w:val="0"/>
              <w:jc w:val="center"/>
              <w:rPr>
                <w:b/>
                <w:kern w:val="0"/>
                <w:sz w:val="24"/>
                <w:szCs w:val="32"/>
              </w:rPr>
            </w:pPr>
            <w:r>
              <w:rPr>
                <w:rFonts w:hint="eastAsia"/>
                <w:b/>
                <w:kern w:val="0"/>
                <w:sz w:val="24"/>
                <w:szCs w:val="32"/>
              </w:rPr>
              <w:t>表2</w:t>
            </w:r>
            <w:r>
              <w:rPr>
                <w:b/>
                <w:kern w:val="0"/>
                <w:sz w:val="24"/>
                <w:szCs w:val="32"/>
              </w:rPr>
              <w:t>4</w:t>
            </w:r>
            <w:r>
              <w:rPr>
                <w:rFonts w:hint="eastAsia"/>
                <w:b/>
                <w:kern w:val="0"/>
                <w:sz w:val="24"/>
                <w:szCs w:val="32"/>
              </w:rPr>
              <w:t xml:space="preserve">   废水类别、污染物及污染治理设施信息表</w:t>
            </w:r>
          </w:p>
          <w:tbl>
            <w:tblPr>
              <w:tblStyle w:val="29"/>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423"/>
              <w:gridCol w:w="507"/>
              <w:gridCol w:w="950"/>
              <w:gridCol w:w="584"/>
              <w:gridCol w:w="1129"/>
              <w:gridCol w:w="737"/>
              <w:gridCol w:w="718"/>
              <w:gridCol w:w="596"/>
              <w:gridCol w:w="760"/>
              <w:gridCol w:w="837"/>
              <w:gridCol w:w="1553"/>
            </w:tblGrid>
            <w:tr w14:paraId="6DE30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c>
                <w:tcPr>
                  <w:tcW w:w="241" w:type="pct"/>
                  <w:vMerge w:val="restart"/>
                  <w:vAlign w:val="center"/>
                </w:tcPr>
                <w:p w14:paraId="0EEA0758">
                  <w:pPr>
                    <w:pStyle w:val="63"/>
                    <w:rPr>
                      <w:szCs w:val="21"/>
                    </w:rPr>
                  </w:pPr>
                  <w:r>
                    <w:rPr>
                      <w:szCs w:val="21"/>
                    </w:rPr>
                    <w:t>序号</w:t>
                  </w:r>
                </w:p>
              </w:tc>
              <w:tc>
                <w:tcPr>
                  <w:tcW w:w="288" w:type="pct"/>
                  <w:vMerge w:val="restart"/>
                  <w:vAlign w:val="center"/>
                </w:tcPr>
                <w:p w14:paraId="2DAFDFA7">
                  <w:pPr>
                    <w:pStyle w:val="63"/>
                    <w:rPr>
                      <w:szCs w:val="21"/>
                    </w:rPr>
                  </w:pPr>
                  <w:r>
                    <w:rPr>
                      <w:szCs w:val="21"/>
                    </w:rPr>
                    <w:t>废水类别</w:t>
                  </w:r>
                </w:p>
              </w:tc>
              <w:tc>
                <w:tcPr>
                  <w:tcW w:w="540" w:type="pct"/>
                  <w:vMerge w:val="restart"/>
                  <w:vAlign w:val="center"/>
                </w:tcPr>
                <w:p w14:paraId="4EA41143">
                  <w:pPr>
                    <w:pStyle w:val="63"/>
                    <w:rPr>
                      <w:szCs w:val="21"/>
                    </w:rPr>
                  </w:pPr>
                  <w:r>
                    <w:rPr>
                      <w:szCs w:val="21"/>
                    </w:rPr>
                    <w:t>污染物种类</w:t>
                  </w:r>
                </w:p>
              </w:tc>
              <w:tc>
                <w:tcPr>
                  <w:tcW w:w="332" w:type="pct"/>
                  <w:vMerge w:val="restart"/>
                  <w:vAlign w:val="center"/>
                </w:tcPr>
                <w:p w14:paraId="2D86165C">
                  <w:pPr>
                    <w:pStyle w:val="63"/>
                    <w:rPr>
                      <w:szCs w:val="21"/>
                    </w:rPr>
                  </w:pPr>
                  <w:r>
                    <w:rPr>
                      <w:szCs w:val="21"/>
                    </w:rPr>
                    <w:t>排放去向</w:t>
                  </w:r>
                </w:p>
              </w:tc>
              <w:tc>
                <w:tcPr>
                  <w:tcW w:w="642" w:type="pct"/>
                  <w:vMerge w:val="restart"/>
                  <w:vAlign w:val="center"/>
                </w:tcPr>
                <w:p w14:paraId="255AD794">
                  <w:pPr>
                    <w:pStyle w:val="63"/>
                    <w:rPr>
                      <w:szCs w:val="21"/>
                    </w:rPr>
                  </w:pPr>
                  <w:r>
                    <w:rPr>
                      <w:szCs w:val="21"/>
                    </w:rPr>
                    <w:t>排放规律</w:t>
                  </w:r>
                </w:p>
              </w:tc>
              <w:tc>
                <w:tcPr>
                  <w:tcW w:w="1166" w:type="pct"/>
                  <w:gridSpan w:val="3"/>
                  <w:vAlign w:val="center"/>
                </w:tcPr>
                <w:p w14:paraId="6F5A770E">
                  <w:pPr>
                    <w:pStyle w:val="63"/>
                    <w:rPr>
                      <w:szCs w:val="21"/>
                    </w:rPr>
                  </w:pPr>
                  <w:r>
                    <w:rPr>
                      <w:szCs w:val="21"/>
                    </w:rPr>
                    <w:t>污染治理设施</w:t>
                  </w:r>
                </w:p>
              </w:tc>
              <w:tc>
                <w:tcPr>
                  <w:tcW w:w="432" w:type="pct"/>
                  <w:vMerge w:val="restart"/>
                  <w:vAlign w:val="center"/>
                </w:tcPr>
                <w:p w14:paraId="62F5AD96">
                  <w:pPr>
                    <w:pStyle w:val="63"/>
                    <w:rPr>
                      <w:szCs w:val="21"/>
                    </w:rPr>
                  </w:pPr>
                  <w:r>
                    <w:rPr>
                      <w:szCs w:val="21"/>
                    </w:rPr>
                    <w:t>排放口编号</w:t>
                  </w:r>
                </w:p>
              </w:tc>
              <w:tc>
                <w:tcPr>
                  <w:tcW w:w="476" w:type="pct"/>
                  <w:vMerge w:val="restart"/>
                  <w:vAlign w:val="center"/>
                </w:tcPr>
                <w:p w14:paraId="13412D6F">
                  <w:pPr>
                    <w:pStyle w:val="63"/>
                    <w:rPr>
                      <w:szCs w:val="21"/>
                    </w:rPr>
                  </w:pPr>
                  <w:r>
                    <w:rPr>
                      <w:szCs w:val="21"/>
                    </w:rPr>
                    <w:t>排放口设置是否符合要求</w:t>
                  </w:r>
                </w:p>
              </w:tc>
              <w:tc>
                <w:tcPr>
                  <w:tcW w:w="883" w:type="pct"/>
                  <w:vMerge w:val="restart"/>
                  <w:vAlign w:val="center"/>
                </w:tcPr>
                <w:p w14:paraId="33026E60">
                  <w:pPr>
                    <w:pStyle w:val="63"/>
                    <w:rPr>
                      <w:szCs w:val="21"/>
                    </w:rPr>
                  </w:pPr>
                  <w:r>
                    <w:rPr>
                      <w:szCs w:val="21"/>
                    </w:rPr>
                    <w:t>排放口类型</w:t>
                  </w:r>
                </w:p>
              </w:tc>
            </w:tr>
            <w:tr w14:paraId="3C49C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c>
                <w:tcPr>
                  <w:tcW w:w="241" w:type="pct"/>
                  <w:vMerge w:val="continue"/>
                  <w:vAlign w:val="center"/>
                </w:tcPr>
                <w:p w14:paraId="514559DC">
                  <w:pPr>
                    <w:pStyle w:val="63"/>
                    <w:rPr>
                      <w:szCs w:val="21"/>
                    </w:rPr>
                  </w:pPr>
                </w:p>
              </w:tc>
              <w:tc>
                <w:tcPr>
                  <w:tcW w:w="288" w:type="pct"/>
                  <w:vMerge w:val="continue"/>
                  <w:vAlign w:val="center"/>
                </w:tcPr>
                <w:p w14:paraId="31114B4B">
                  <w:pPr>
                    <w:pStyle w:val="63"/>
                    <w:rPr>
                      <w:szCs w:val="21"/>
                    </w:rPr>
                  </w:pPr>
                </w:p>
              </w:tc>
              <w:tc>
                <w:tcPr>
                  <w:tcW w:w="540" w:type="pct"/>
                  <w:vMerge w:val="continue"/>
                  <w:vAlign w:val="center"/>
                </w:tcPr>
                <w:p w14:paraId="44CE5055">
                  <w:pPr>
                    <w:pStyle w:val="63"/>
                    <w:rPr>
                      <w:szCs w:val="21"/>
                    </w:rPr>
                  </w:pPr>
                </w:p>
              </w:tc>
              <w:tc>
                <w:tcPr>
                  <w:tcW w:w="332" w:type="pct"/>
                  <w:vMerge w:val="continue"/>
                  <w:vAlign w:val="center"/>
                </w:tcPr>
                <w:p w14:paraId="5FD5E2B9">
                  <w:pPr>
                    <w:pStyle w:val="63"/>
                    <w:rPr>
                      <w:szCs w:val="21"/>
                    </w:rPr>
                  </w:pPr>
                </w:p>
              </w:tc>
              <w:tc>
                <w:tcPr>
                  <w:tcW w:w="642" w:type="pct"/>
                  <w:vMerge w:val="continue"/>
                  <w:vAlign w:val="center"/>
                </w:tcPr>
                <w:p w14:paraId="3FE62505">
                  <w:pPr>
                    <w:pStyle w:val="63"/>
                    <w:rPr>
                      <w:szCs w:val="21"/>
                    </w:rPr>
                  </w:pPr>
                </w:p>
              </w:tc>
              <w:tc>
                <w:tcPr>
                  <w:tcW w:w="419" w:type="pct"/>
                  <w:vAlign w:val="center"/>
                </w:tcPr>
                <w:p w14:paraId="33E94C28">
                  <w:pPr>
                    <w:pStyle w:val="63"/>
                    <w:rPr>
                      <w:szCs w:val="21"/>
                    </w:rPr>
                  </w:pPr>
                  <w:r>
                    <w:rPr>
                      <w:szCs w:val="21"/>
                    </w:rPr>
                    <w:t>污染治理设施编号</w:t>
                  </w:r>
                </w:p>
              </w:tc>
              <w:tc>
                <w:tcPr>
                  <w:tcW w:w="408" w:type="pct"/>
                  <w:vAlign w:val="center"/>
                </w:tcPr>
                <w:p w14:paraId="66E04A09">
                  <w:pPr>
                    <w:pStyle w:val="63"/>
                    <w:rPr>
                      <w:szCs w:val="21"/>
                    </w:rPr>
                  </w:pPr>
                  <w:r>
                    <w:rPr>
                      <w:szCs w:val="21"/>
                    </w:rPr>
                    <w:t>污染治理设施名称</w:t>
                  </w:r>
                </w:p>
              </w:tc>
              <w:tc>
                <w:tcPr>
                  <w:tcW w:w="339" w:type="pct"/>
                  <w:vAlign w:val="center"/>
                </w:tcPr>
                <w:p w14:paraId="0B571B1C">
                  <w:pPr>
                    <w:pStyle w:val="63"/>
                    <w:rPr>
                      <w:szCs w:val="21"/>
                    </w:rPr>
                  </w:pPr>
                  <w:r>
                    <w:rPr>
                      <w:szCs w:val="21"/>
                    </w:rPr>
                    <w:t>污染治理设施工艺</w:t>
                  </w:r>
                </w:p>
              </w:tc>
              <w:tc>
                <w:tcPr>
                  <w:tcW w:w="432" w:type="pct"/>
                  <w:vMerge w:val="continue"/>
                  <w:vAlign w:val="center"/>
                </w:tcPr>
                <w:p w14:paraId="47C6390E">
                  <w:pPr>
                    <w:pStyle w:val="63"/>
                    <w:rPr>
                      <w:szCs w:val="21"/>
                    </w:rPr>
                  </w:pPr>
                </w:p>
              </w:tc>
              <w:tc>
                <w:tcPr>
                  <w:tcW w:w="476" w:type="pct"/>
                  <w:vMerge w:val="continue"/>
                  <w:vAlign w:val="center"/>
                </w:tcPr>
                <w:p w14:paraId="33F92419">
                  <w:pPr>
                    <w:pStyle w:val="63"/>
                    <w:rPr>
                      <w:szCs w:val="21"/>
                    </w:rPr>
                  </w:pPr>
                </w:p>
              </w:tc>
              <w:tc>
                <w:tcPr>
                  <w:tcW w:w="883" w:type="pct"/>
                  <w:vMerge w:val="continue"/>
                  <w:vAlign w:val="center"/>
                </w:tcPr>
                <w:p w14:paraId="66C1AF09">
                  <w:pPr>
                    <w:pStyle w:val="63"/>
                    <w:rPr>
                      <w:szCs w:val="21"/>
                    </w:rPr>
                  </w:pPr>
                </w:p>
              </w:tc>
            </w:tr>
            <w:tr w14:paraId="7949E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c>
                <w:tcPr>
                  <w:tcW w:w="241" w:type="pct"/>
                  <w:vAlign w:val="center"/>
                </w:tcPr>
                <w:p w14:paraId="7FF99AE1">
                  <w:pPr>
                    <w:pStyle w:val="63"/>
                    <w:rPr>
                      <w:szCs w:val="21"/>
                    </w:rPr>
                  </w:pPr>
                  <w:r>
                    <w:rPr>
                      <w:rFonts w:hint="eastAsia"/>
                      <w:szCs w:val="21"/>
                    </w:rPr>
                    <w:t>1</w:t>
                  </w:r>
                </w:p>
              </w:tc>
              <w:tc>
                <w:tcPr>
                  <w:tcW w:w="288" w:type="pct"/>
                  <w:vAlign w:val="center"/>
                </w:tcPr>
                <w:p w14:paraId="0BBD19F9">
                  <w:pPr>
                    <w:pStyle w:val="63"/>
                    <w:rPr>
                      <w:szCs w:val="21"/>
                    </w:rPr>
                  </w:pPr>
                  <w:r>
                    <w:rPr>
                      <w:rFonts w:hint="eastAsia"/>
                      <w:szCs w:val="21"/>
                    </w:rPr>
                    <w:t>生产</w:t>
                  </w:r>
                  <w:r>
                    <w:rPr>
                      <w:szCs w:val="21"/>
                    </w:rPr>
                    <w:t>废水</w:t>
                  </w:r>
                </w:p>
              </w:tc>
              <w:tc>
                <w:tcPr>
                  <w:tcW w:w="540" w:type="pct"/>
                  <w:vAlign w:val="center"/>
                </w:tcPr>
                <w:p w14:paraId="21708E61">
                  <w:pPr>
                    <w:pStyle w:val="63"/>
                    <w:rPr>
                      <w:szCs w:val="21"/>
                    </w:rPr>
                  </w:pPr>
                  <w:r>
                    <w:rPr>
                      <w:szCs w:val="21"/>
                    </w:rPr>
                    <w:t>SS</w:t>
                  </w:r>
                </w:p>
              </w:tc>
              <w:tc>
                <w:tcPr>
                  <w:tcW w:w="332" w:type="pct"/>
                  <w:vMerge w:val="restart"/>
                  <w:vAlign w:val="center"/>
                </w:tcPr>
                <w:p w14:paraId="48F971D9">
                  <w:pPr>
                    <w:pStyle w:val="63"/>
                    <w:rPr>
                      <w:szCs w:val="21"/>
                    </w:rPr>
                  </w:pPr>
                  <w:r>
                    <w:rPr>
                      <w:rFonts w:hint="eastAsia"/>
                      <w:bCs/>
                      <w:snapToGrid w:val="0"/>
                      <w:kern w:val="0"/>
                      <w:szCs w:val="21"/>
                    </w:rPr>
                    <w:t>北关镇污水处理厂</w:t>
                  </w:r>
                </w:p>
              </w:tc>
              <w:tc>
                <w:tcPr>
                  <w:tcW w:w="642" w:type="pct"/>
                  <w:vMerge w:val="restart"/>
                  <w:vAlign w:val="center"/>
                </w:tcPr>
                <w:p w14:paraId="3BEB3869">
                  <w:pPr>
                    <w:pStyle w:val="63"/>
                    <w:rPr>
                      <w:szCs w:val="21"/>
                    </w:rPr>
                  </w:pPr>
                  <w:r>
                    <w:rPr>
                      <w:szCs w:val="21"/>
                    </w:rPr>
                    <w:t>间歇排放，排放期间流量不稳定且无规律，不属于冲击性排放</w:t>
                  </w:r>
                </w:p>
              </w:tc>
              <w:tc>
                <w:tcPr>
                  <w:tcW w:w="419" w:type="pct"/>
                  <w:vAlign w:val="center"/>
                </w:tcPr>
                <w:p w14:paraId="4F2C90D1">
                  <w:pPr>
                    <w:pStyle w:val="63"/>
                    <w:rPr>
                      <w:szCs w:val="21"/>
                    </w:rPr>
                  </w:pPr>
                  <w:r>
                    <w:rPr>
                      <w:szCs w:val="21"/>
                    </w:rPr>
                    <w:t>TW001</w:t>
                  </w:r>
                </w:p>
              </w:tc>
              <w:tc>
                <w:tcPr>
                  <w:tcW w:w="408" w:type="pct"/>
                  <w:vAlign w:val="center"/>
                </w:tcPr>
                <w:p w14:paraId="662C213B">
                  <w:pPr>
                    <w:pStyle w:val="63"/>
                    <w:rPr>
                      <w:szCs w:val="21"/>
                    </w:rPr>
                  </w:pPr>
                  <w:r>
                    <w:rPr>
                      <w:rFonts w:hint="eastAsia"/>
                      <w:szCs w:val="21"/>
                    </w:rPr>
                    <w:t>生产</w:t>
                  </w:r>
                  <w:r>
                    <w:rPr>
                      <w:szCs w:val="21"/>
                    </w:rPr>
                    <w:t>废水处理站</w:t>
                  </w:r>
                </w:p>
              </w:tc>
              <w:tc>
                <w:tcPr>
                  <w:tcW w:w="339" w:type="pct"/>
                  <w:vAlign w:val="center"/>
                </w:tcPr>
                <w:p w14:paraId="615F0665">
                  <w:pPr>
                    <w:pStyle w:val="63"/>
                    <w:jc w:val="left"/>
                    <w:rPr>
                      <w:szCs w:val="21"/>
                    </w:rPr>
                  </w:pPr>
                  <w:r>
                    <w:rPr>
                      <w:rFonts w:hint="eastAsia"/>
                      <w:szCs w:val="21"/>
                    </w:rPr>
                    <w:t>三级</w:t>
                  </w:r>
                  <w:r>
                    <w:rPr>
                      <w:szCs w:val="21"/>
                    </w:rPr>
                    <w:t>沉淀</w:t>
                  </w:r>
                </w:p>
              </w:tc>
              <w:tc>
                <w:tcPr>
                  <w:tcW w:w="432" w:type="pct"/>
                  <w:vMerge w:val="restart"/>
                  <w:vAlign w:val="center"/>
                </w:tcPr>
                <w:p w14:paraId="7606BE32">
                  <w:pPr>
                    <w:pStyle w:val="63"/>
                    <w:rPr>
                      <w:szCs w:val="21"/>
                    </w:rPr>
                  </w:pPr>
                  <w:r>
                    <w:rPr>
                      <w:szCs w:val="21"/>
                    </w:rPr>
                    <w:t>DW001</w:t>
                  </w:r>
                </w:p>
              </w:tc>
              <w:tc>
                <w:tcPr>
                  <w:tcW w:w="476" w:type="pct"/>
                  <w:vMerge w:val="restart"/>
                  <w:vAlign w:val="center"/>
                </w:tcPr>
                <w:p w14:paraId="25D90160">
                  <w:pPr>
                    <w:pStyle w:val="63"/>
                    <w:rPr>
                      <w:szCs w:val="21"/>
                    </w:rPr>
                  </w:pPr>
                  <w:r>
                    <w:rPr>
                      <w:szCs w:val="21"/>
                    </w:rPr>
                    <w:sym w:font="Wingdings 2" w:char="0052"/>
                  </w:r>
                  <w:r>
                    <w:rPr>
                      <w:szCs w:val="21"/>
                    </w:rPr>
                    <w:t>是</w:t>
                  </w:r>
                </w:p>
                <w:p w14:paraId="17FC0F8F">
                  <w:pPr>
                    <w:pStyle w:val="63"/>
                    <w:rPr>
                      <w:szCs w:val="21"/>
                    </w:rPr>
                  </w:pPr>
                  <w:r>
                    <w:rPr>
                      <w:szCs w:val="21"/>
                    </w:rPr>
                    <w:sym w:font="Wingdings 2" w:char="00A3"/>
                  </w:r>
                  <w:r>
                    <w:rPr>
                      <w:szCs w:val="21"/>
                    </w:rPr>
                    <w:t>否</w:t>
                  </w:r>
                </w:p>
              </w:tc>
              <w:tc>
                <w:tcPr>
                  <w:tcW w:w="883" w:type="pct"/>
                  <w:vMerge w:val="restart"/>
                  <w:vAlign w:val="center"/>
                </w:tcPr>
                <w:p w14:paraId="2C4263F7">
                  <w:pPr>
                    <w:pStyle w:val="63"/>
                    <w:rPr>
                      <w:szCs w:val="21"/>
                    </w:rPr>
                  </w:pPr>
                  <w:r>
                    <w:rPr>
                      <w:szCs w:val="21"/>
                    </w:rPr>
                    <w:sym w:font="Wingdings 2" w:char="0052"/>
                  </w:r>
                  <w:r>
                    <w:rPr>
                      <w:szCs w:val="21"/>
                    </w:rPr>
                    <w:t>企业总排口</w:t>
                  </w:r>
                </w:p>
                <w:p w14:paraId="0BF0E808">
                  <w:pPr>
                    <w:pStyle w:val="63"/>
                    <w:rPr>
                      <w:szCs w:val="21"/>
                    </w:rPr>
                  </w:pPr>
                  <w:r>
                    <w:rPr>
                      <w:szCs w:val="21"/>
                    </w:rPr>
                    <w:sym w:font="Wingdings 2" w:char="00A3"/>
                  </w:r>
                  <w:r>
                    <w:rPr>
                      <w:szCs w:val="21"/>
                    </w:rPr>
                    <w:t>雨水排放</w:t>
                  </w:r>
                </w:p>
                <w:p w14:paraId="779114E6">
                  <w:pPr>
                    <w:pStyle w:val="63"/>
                    <w:rPr>
                      <w:szCs w:val="21"/>
                    </w:rPr>
                  </w:pPr>
                  <w:r>
                    <w:rPr>
                      <w:szCs w:val="21"/>
                    </w:rPr>
                    <w:sym w:font="Wingdings 2" w:char="00A3"/>
                  </w:r>
                  <w:r>
                    <w:rPr>
                      <w:szCs w:val="21"/>
                    </w:rPr>
                    <w:t>清净下水排放</w:t>
                  </w:r>
                </w:p>
                <w:p w14:paraId="454D8DF7">
                  <w:pPr>
                    <w:pStyle w:val="63"/>
                    <w:rPr>
                      <w:szCs w:val="21"/>
                    </w:rPr>
                  </w:pPr>
                  <w:r>
                    <w:rPr>
                      <w:szCs w:val="21"/>
                    </w:rPr>
                    <w:sym w:font="Wingdings 2" w:char="00A3"/>
                  </w:r>
                  <w:r>
                    <w:rPr>
                      <w:szCs w:val="21"/>
                    </w:rPr>
                    <w:t>车间或车间处理设施排放口</w:t>
                  </w:r>
                </w:p>
              </w:tc>
            </w:tr>
            <w:tr w14:paraId="56208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c>
                <w:tcPr>
                  <w:tcW w:w="241" w:type="pct"/>
                  <w:vAlign w:val="center"/>
                </w:tcPr>
                <w:p w14:paraId="20BBF69E">
                  <w:pPr>
                    <w:pStyle w:val="63"/>
                    <w:rPr>
                      <w:szCs w:val="21"/>
                    </w:rPr>
                  </w:pPr>
                  <w:r>
                    <w:rPr>
                      <w:szCs w:val="21"/>
                    </w:rPr>
                    <w:t>2</w:t>
                  </w:r>
                </w:p>
              </w:tc>
              <w:tc>
                <w:tcPr>
                  <w:tcW w:w="288" w:type="pct"/>
                  <w:vAlign w:val="center"/>
                </w:tcPr>
                <w:p w14:paraId="3534E64E">
                  <w:pPr>
                    <w:pStyle w:val="63"/>
                    <w:rPr>
                      <w:szCs w:val="21"/>
                    </w:rPr>
                  </w:pPr>
                  <w:r>
                    <w:rPr>
                      <w:szCs w:val="21"/>
                    </w:rPr>
                    <w:t>生活污水</w:t>
                  </w:r>
                </w:p>
              </w:tc>
              <w:tc>
                <w:tcPr>
                  <w:tcW w:w="540" w:type="pct"/>
                  <w:vAlign w:val="center"/>
                </w:tcPr>
                <w:p w14:paraId="3618712A">
                  <w:pPr>
                    <w:pStyle w:val="63"/>
                    <w:rPr>
                      <w:szCs w:val="21"/>
                    </w:rPr>
                  </w:pPr>
                  <w:r>
                    <w:rPr>
                      <w:szCs w:val="21"/>
                    </w:rPr>
                    <w:t>COD、BOD</w:t>
                  </w:r>
                  <w:r>
                    <w:rPr>
                      <w:szCs w:val="21"/>
                      <w:vertAlign w:val="subscript"/>
                    </w:rPr>
                    <w:t>5</w:t>
                  </w:r>
                  <w:r>
                    <w:rPr>
                      <w:szCs w:val="21"/>
                    </w:rPr>
                    <w:t>、氨氮、SS</w:t>
                  </w:r>
                </w:p>
              </w:tc>
              <w:tc>
                <w:tcPr>
                  <w:tcW w:w="332" w:type="pct"/>
                  <w:vMerge w:val="continue"/>
                  <w:vAlign w:val="center"/>
                </w:tcPr>
                <w:p w14:paraId="7791E639">
                  <w:pPr>
                    <w:pStyle w:val="63"/>
                    <w:rPr>
                      <w:szCs w:val="21"/>
                    </w:rPr>
                  </w:pPr>
                </w:p>
              </w:tc>
              <w:tc>
                <w:tcPr>
                  <w:tcW w:w="642" w:type="pct"/>
                  <w:vMerge w:val="continue"/>
                  <w:vAlign w:val="center"/>
                </w:tcPr>
                <w:p w14:paraId="34A11A3D">
                  <w:pPr>
                    <w:pStyle w:val="63"/>
                    <w:rPr>
                      <w:szCs w:val="21"/>
                    </w:rPr>
                  </w:pPr>
                </w:p>
              </w:tc>
              <w:tc>
                <w:tcPr>
                  <w:tcW w:w="419" w:type="pct"/>
                  <w:vAlign w:val="center"/>
                </w:tcPr>
                <w:p w14:paraId="576D87E5">
                  <w:pPr>
                    <w:pStyle w:val="63"/>
                    <w:rPr>
                      <w:szCs w:val="21"/>
                    </w:rPr>
                  </w:pPr>
                  <w:r>
                    <w:rPr>
                      <w:szCs w:val="21"/>
                    </w:rPr>
                    <w:t>TW002</w:t>
                  </w:r>
                </w:p>
              </w:tc>
              <w:tc>
                <w:tcPr>
                  <w:tcW w:w="408" w:type="pct"/>
                  <w:vAlign w:val="center"/>
                </w:tcPr>
                <w:p w14:paraId="62808614">
                  <w:pPr>
                    <w:pStyle w:val="63"/>
                    <w:rPr>
                      <w:szCs w:val="21"/>
                    </w:rPr>
                  </w:pPr>
                  <w:r>
                    <w:rPr>
                      <w:szCs w:val="21"/>
                    </w:rPr>
                    <w:t>化粪池</w:t>
                  </w:r>
                </w:p>
              </w:tc>
              <w:tc>
                <w:tcPr>
                  <w:tcW w:w="339" w:type="pct"/>
                  <w:vAlign w:val="center"/>
                </w:tcPr>
                <w:p w14:paraId="00217D98">
                  <w:pPr>
                    <w:pStyle w:val="63"/>
                    <w:rPr>
                      <w:szCs w:val="21"/>
                    </w:rPr>
                  </w:pPr>
                  <w:r>
                    <w:rPr>
                      <w:szCs w:val="21"/>
                    </w:rPr>
                    <w:t>/</w:t>
                  </w:r>
                </w:p>
              </w:tc>
              <w:tc>
                <w:tcPr>
                  <w:tcW w:w="432" w:type="pct"/>
                  <w:vMerge w:val="continue"/>
                  <w:vAlign w:val="center"/>
                </w:tcPr>
                <w:p w14:paraId="1D794177">
                  <w:pPr>
                    <w:pStyle w:val="63"/>
                    <w:rPr>
                      <w:szCs w:val="21"/>
                    </w:rPr>
                  </w:pPr>
                </w:p>
              </w:tc>
              <w:tc>
                <w:tcPr>
                  <w:tcW w:w="476" w:type="pct"/>
                  <w:vMerge w:val="continue"/>
                  <w:vAlign w:val="center"/>
                </w:tcPr>
                <w:p w14:paraId="16F2BC00">
                  <w:pPr>
                    <w:pStyle w:val="63"/>
                    <w:rPr>
                      <w:szCs w:val="21"/>
                    </w:rPr>
                  </w:pPr>
                </w:p>
              </w:tc>
              <w:tc>
                <w:tcPr>
                  <w:tcW w:w="883" w:type="pct"/>
                  <w:vMerge w:val="continue"/>
                  <w:vAlign w:val="center"/>
                </w:tcPr>
                <w:p w14:paraId="06F37E9C">
                  <w:pPr>
                    <w:pStyle w:val="63"/>
                    <w:rPr>
                      <w:szCs w:val="21"/>
                    </w:rPr>
                  </w:pPr>
                </w:p>
              </w:tc>
            </w:tr>
          </w:tbl>
          <w:p w14:paraId="1D90A88A">
            <w:pPr>
              <w:widowControl/>
              <w:adjustRightInd w:val="0"/>
              <w:snapToGrid w:val="0"/>
              <w:jc w:val="center"/>
              <w:rPr>
                <w:b/>
                <w:kern w:val="0"/>
                <w:sz w:val="24"/>
                <w:szCs w:val="32"/>
              </w:rPr>
            </w:pPr>
          </w:p>
          <w:p w14:paraId="5788612C">
            <w:pPr>
              <w:widowControl/>
              <w:adjustRightInd w:val="0"/>
              <w:snapToGrid w:val="0"/>
              <w:jc w:val="center"/>
              <w:rPr>
                <w:b/>
                <w:kern w:val="0"/>
                <w:sz w:val="24"/>
                <w:szCs w:val="32"/>
              </w:rPr>
            </w:pPr>
            <w:r>
              <w:rPr>
                <w:rFonts w:hint="eastAsia"/>
                <w:b/>
                <w:kern w:val="0"/>
                <w:sz w:val="24"/>
                <w:szCs w:val="32"/>
              </w:rPr>
              <w:t>表2</w:t>
            </w:r>
            <w:r>
              <w:rPr>
                <w:b/>
                <w:kern w:val="0"/>
                <w:sz w:val="24"/>
                <w:szCs w:val="32"/>
              </w:rPr>
              <w:t>5</w:t>
            </w:r>
            <w:r>
              <w:rPr>
                <w:rFonts w:hint="eastAsia"/>
                <w:b/>
                <w:kern w:val="0"/>
                <w:sz w:val="24"/>
                <w:szCs w:val="32"/>
              </w:rPr>
              <w:t xml:space="preserve">   废水间接排放口基本情况表</w:t>
            </w:r>
          </w:p>
          <w:tbl>
            <w:tblPr>
              <w:tblStyle w:val="2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36"/>
              <w:gridCol w:w="1323"/>
              <w:gridCol w:w="1219"/>
              <w:gridCol w:w="681"/>
              <w:gridCol w:w="452"/>
              <w:gridCol w:w="1112"/>
              <w:gridCol w:w="535"/>
              <w:gridCol w:w="535"/>
              <w:gridCol w:w="617"/>
              <w:gridCol w:w="1485"/>
            </w:tblGrid>
            <w:tr w14:paraId="40335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trPr>
              <w:tc>
                <w:tcPr>
                  <w:tcW w:w="476" w:type="pct"/>
                  <w:vMerge w:val="restart"/>
                  <w:vAlign w:val="center"/>
                </w:tcPr>
                <w:p w14:paraId="53171FD8">
                  <w:pPr>
                    <w:autoSpaceDE w:val="0"/>
                    <w:autoSpaceDN w:val="0"/>
                    <w:adjustRightInd w:val="0"/>
                    <w:jc w:val="center"/>
                    <w:rPr>
                      <w:kern w:val="0"/>
                      <w:szCs w:val="21"/>
                    </w:rPr>
                  </w:pPr>
                  <w:r>
                    <w:rPr>
                      <w:rFonts w:hint="eastAsia"/>
                      <w:kern w:val="0"/>
                      <w:szCs w:val="21"/>
                    </w:rPr>
                    <w:t>排放口</w:t>
                  </w:r>
                </w:p>
                <w:p w14:paraId="0B6A7B00">
                  <w:pPr>
                    <w:widowControl/>
                    <w:adjustRightInd w:val="0"/>
                    <w:snapToGrid w:val="0"/>
                    <w:jc w:val="center"/>
                    <w:rPr>
                      <w:bCs/>
                      <w:snapToGrid w:val="0"/>
                      <w:kern w:val="0"/>
                      <w:szCs w:val="21"/>
                    </w:rPr>
                  </w:pPr>
                  <w:r>
                    <w:rPr>
                      <w:kern w:val="0"/>
                      <w:szCs w:val="21"/>
                    </w:rPr>
                    <w:t>编号</w:t>
                  </w:r>
                </w:p>
              </w:tc>
              <w:tc>
                <w:tcPr>
                  <w:tcW w:w="1445" w:type="pct"/>
                  <w:gridSpan w:val="2"/>
                  <w:vAlign w:val="center"/>
                </w:tcPr>
                <w:p w14:paraId="13128110">
                  <w:pPr>
                    <w:widowControl/>
                    <w:adjustRightInd w:val="0"/>
                    <w:snapToGrid w:val="0"/>
                    <w:jc w:val="center"/>
                    <w:rPr>
                      <w:bCs/>
                      <w:snapToGrid w:val="0"/>
                      <w:kern w:val="0"/>
                      <w:szCs w:val="21"/>
                    </w:rPr>
                  </w:pPr>
                  <w:r>
                    <w:rPr>
                      <w:rFonts w:hint="eastAsia"/>
                      <w:kern w:val="0"/>
                      <w:szCs w:val="21"/>
                    </w:rPr>
                    <w:t>排放口</w:t>
                  </w:r>
                  <w:r>
                    <w:rPr>
                      <w:kern w:val="0"/>
                      <w:szCs w:val="21"/>
                    </w:rPr>
                    <w:t>地理坐标</w:t>
                  </w:r>
                </w:p>
              </w:tc>
              <w:tc>
                <w:tcPr>
                  <w:tcW w:w="387" w:type="pct"/>
                  <w:vMerge w:val="restart"/>
                  <w:vAlign w:val="center"/>
                </w:tcPr>
                <w:p w14:paraId="1B531356">
                  <w:pPr>
                    <w:autoSpaceDE w:val="0"/>
                    <w:autoSpaceDN w:val="0"/>
                    <w:adjustRightInd w:val="0"/>
                    <w:jc w:val="center"/>
                    <w:rPr>
                      <w:kern w:val="0"/>
                      <w:szCs w:val="21"/>
                    </w:rPr>
                  </w:pPr>
                  <w:r>
                    <w:rPr>
                      <w:kern w:val="0"/>
                      <w:szCs w:val="21"/>
                    </w:rPr>
                    <w:t>废水排放量</w:t>
                  </w:r>
                </w:p>
                <w:p w14:paraId="49F60AF5">
                  <w:pPr>
                    <w:autoSpaceDE w:val="0"/>
                    <w:autoSpaceDN w:val="0"/>
                    <w:adjustRightInd w:val="0"/>
                    <w:jc w:val="center"/>
                    <w:rPr>
                      <w:kern w:val="0"/>
                      <w:szCs w:val="21"/>
                    </w:rPr>
                  </w:pPr>
                  <w:r>
                    <w:rPr>
                      <w:kern w:val="0"/>
                      <w:szCs w:val="21"/>
                    </w:rPr>
                    <w:t>（</w:t>
                  </w:r>
                  <w:r>
                    <w:rPr>
                      <w:rFonts w:eastAsia="TimesNewRomanPSMT"/>
                      <w:kern w:val="0"/>
                      <w:szCs w:val="21"/>
                    </w:rPr>
                    <w:t>t/a</w:t>
                  </w:r>
                  <w:r>
                    <w:rPr>
                      <w:kern w:val="0"/>
                      <w:szCs w:val="21"/>
                    </w:rPr>
                    <w:t>）</w:t>
                  </w:r>
                </w:p>
              </w:tc>
              <w:tc>
                <w:tcPr>
                  <w:tcW w:w="257" w:type="pct"/>
                  <w:vMerge w:val="restart"/>
                  <w:vAlign w:val="center"/>
                </w:tcPr>
                <w:p w14:paraId="1B27DE9E">
                  <w:pPr>
                    <w:autoSpaceDE w:val="0"/>
                    <w:autoSpaceDN w:val="0"/>
                    <w:adjustRightInd w:val="0"/>
                    <w:jc w:val="center"/>
                    <w:rPr>
                      <w:kern w:val="0"/>
                      <w:szCs w:val="21"/>
                    </w:rPr>
                  </w:pPr>
                  <w:r>
                    <w:rPr>
                      <w:kern w:val="0"/>
                      <w:szCs w:val="21"/>
                    </w:rPr>
                    <w:t>排放去向</w:t>
                  </w:r>
                </w:p>
              </w:tc>
              <w:tc>
                <w:tcPr>
                  <w:tcW w:w="632" w:type="pct"/>
                  <w:vMerge w:val="restart"/>
                  <w:vAlign w:val="center"/>
                </w:tcPr>
                <w:p w14:paraId="50B572D6">
                  <w:pPr>
                    <w:autoSpaceDE w:val="0"/>
                    <w:autoSpaceDN w:val="0"/>
                    <w:adjustRightInd w:val="0"/>
                    <w:jc w:val="center"/>
                    <w:rPr>
                      <w:kern w:val="0"/>
                      <w:szCs w:val="21"/>
                    </w:rPr>
                  </w:pPr>
                  <w:r>
                    <w:rPr>
                      <w:kern w:val="0"/>
                      <w:szCs w:val="21"/>
                    </w:rPr>
                    <w:t>排放</w:t>
                  </w:r>
                </w:p>
                <w:p w14:paraId="21C4D3FD">
                  <w:pPr>
                    <w:autoSpaceDE w:val="0"/>
                    <w:autoSpaceDN w:val="0"/>
                    <w:adjustRightInd w:val="0"/>
                    <w:jc w:val="center"/>
                    <w:rPr>
                      <w:kern w:val="0"/>
                      <w:szCs w:val="21"/>
                    </w:rPr>
                  </w:pPr>
                  <w:r>
                    <w:rPr>
                      <w:kern w:val="0"/>
                      <w:szCs w:val="21"/>
                    </w:rPr>
                    <w:t>规律</w:t>
                  </w:r>
                </w:p>
              </w:tc>
              <w:tc>
                <w:tcPr>
                  <w:tcW w:w="304" w:type="pct"/>
                  <w:vMerge w:val="restart"/>
                  <w:vAlign w:val="center"/>
                </w:tcPr>
                <w:p w14:paraId="03080B5D">
                  <w:pPr>
                    <w:autoSpaceDE w:val="0"/>
                    <w:autoSpaceDN w:val="0"/>
                    <w:adjustRightInd w:val="0"/>
                    <w:jc w:val="center"/>
                    <w:rPr>
                      <w:kern w:val="0"/>
                      <w:szCs w:val="21"/>
                    </w:rPr>
                  </w:pPr>
                  <w:r>
                    <w:rPr>
                      <w:kern w:val="0"/>
                      <w:szCs w:val="21"/>
                    </w:rPr>
                    <w:t>间歇排放时段</w:t>
                  </w:r>
                </w:p>
              </w:tc>
              <w:tc>
                <w:tcPr>
                  <w:tcW w:w="1499" w:type="pct"/>
                  <w:gridSpan w:val="3"/>
                  <w:vAlign w:val="center"/>
                </w:tcPr>
                <w:p w14:paraId="51A804EF">
                  <w:pPr>
                    <w:widowControl/>
                    <w:adjustRightInd w:val="0"/>
                    <w:snapToGrid w:val="0"/>
                    <w:jc w:val="center"/>
                    <w:rPr>
                      <w:bCs/>
                      <w:snapToGrid w:val="0"/>
                      <w:kern w:val="0"/>
                      <w:szCs w:val="21"/>
                    </w:rPr>
                  </w:pPr>
                  <w:r>
                    <w:rPr>
                      <w:kern w:val="0"/>
                      <w:szCs w:val="21"/>
                    </w:rPr>
                    <w:t>收纳污水处理厂信息</w:t>
                  </w:r>
                </w:p>
              </w:tc>
            </w:tr>
            <w:tr w14:paraId="76317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 w:hRule="atLeast"/>
              </w:trPr>
              <w:tc>
                <w:tcPr>
                  <w:tcW w:w="476" w:type="pct"/>
                  <w:vMerge w:val="continue"/>
                  <w:vAlign w:val="center"/>
                </w:tcPr>
                <w:p w14:paraId="19BAF5D2">
                  <w:pPr>
                    <w:widowControl/>
                    <w:adjustRightInd w:val="0"/>
                    <w:snapToGrid w:val="0"/>
                    <w:jc w:val="center"/>
                    <w:rPr>
                      <w:bCs/>
                      <w:snapToGrid w:val="0"/>
                      <w:kern w:val="0"/>
                      <w:szCs w:val="21"/>
                    </w:rPr>
                  </w:pPr>
                </w:p>
              </w:tc>
              <w:tc>
                <w:tcPr>
                  <w:tcW w:w="752" w:type="pct"/>
                  <w:vAlign w:val="center"/>
                </w:tcPr>
                <w:p w14:paraId="7AE6BD71">
                  <w:pPr>
                    <w:widowControl/>
                    <w:adjustRightInd w:val="0"/>
                    <w:snapToGrid w:val="0"/>
                    <w:jc w:val="center"/>
                    <w:rPr>
                      <w:bCs/>
                      <w:snapToGrid w:val="0"/>
                      <w:kern w:val="0"/>
                      <w:szCs w:val="21"/>
                    </w:rPr>
                  </w:pPr>
                  <w:r>
                    <w:rPr>
                      <w:bCs/>
                      <w:snapToGrid w:val="0"/>
                      <w:kern w:val="0"/>
                      <w:szCs w:val="21"/>
                    </w:rPr>
                    <w:t>经度</w:t>
                  </w:r>
                </w:p>
              </w:tc>
              <w:tc>
                <w:tcPr>
                  <w:tcW w:w="692" w:type="pct"/>
                  <w:vAlign w:val="center"/>
                </w:tcPr>
                <w:p w14:paraId="17999EB3">
                  <w:pPr>
                    <w:widowControl/>
                    <w:adjustRightInd w:val="0"/>
                    <w:snapToGrid w:val="0"/>
                    <w:jc w:val="center"/>
                    <w:rPr>
                      <w:bCs/>
                      <w:snapToGrid w:val="0"/>
                      <w:kern w:val="0"/>
                      <w:szCs w:val="21"/>
                    </w:rPr>
                  </w:pPr>
                  <w:r>
                    <w:rPr>
                      <w:bCs/>
                      <w:snapToGrid w:val="0"/>
                      <w:kern w:val="0"/>
                      <w:szCs w:val="21"/>
                    </w:rPr>
                    <w:t>纬度</w:t>
                  </w:r>
                </w:p>
              </w:tc>
              <w:tc>
                <w:tcPr>
                  <w:tcW w:w="387" w:type="pct"/>
                  <w:vMerge w:val="continue"/>
                  <w:vAlign w:val="center"/>
                </w:tcPr>
                <w:p w14:paraId="585D7355">
                  <w:pPr>
                    <w:widowControl/>
                    <w:adjustRightInd w:val="0"/>
                    <w:snapToGrid w:val="0"/>
                    <w:jc w:val="center"/>
                    <w:rPr>
                      <w:bCs/>
                      <w:snapToGrid w:val="0"/>
                      <w:kern w:val="0"/>
                      <w:szCs w:val="21"/>
                    </w:rPr>
                  </w:pPr>
                </w:p>
              </w:tc>
              <w:tc>
                <w:tcPr>
                  <w:tcW w:w="257" w:type="pct"/>
                  <w:vMerge w:val="continue"/>
                  <w:vAlign w:val="center"/>
                </w:tcPr>
                <w:p w14:paraId="69A446B5">
                  <w:pPr>
                    <w:widowControl/>
                    <w:adjustRightInd w:val="0"/>
                    <w:snapToGrid w:val="0"/>
                    <w:jc w:val="center"/>
                    <w:rPr>
                      <w:bCs/>
                      <w:snapToGrid w:val="0"/>
                      <w:kern w:val="0"/>
                      <w:szCs w:val="21"/>
                    </w:rPr>
                  </w:pPr>
                </w:p>
              </w:tc>
              <w:tc>
                <w:tcPr>
                  <w:tcW w:w="632" w:type="pct"/>
                  <w:vMerge w:val="continue"/>
                  <w:vAlign w:val="center"/>
                </w:tcPr>
                <w:p w14:paraId="343DAA1B">
                  <w:pPr>
                    <w:widowControl/>
                    <w:adjustRightInd w:val="0"/>
                    <w:snapToGrid w:val="0"/>
                    <w:jc w:val="center"/>
                    <w:rPr>
                      <w:bCs/>
                      <w:snapToGrid w:val="0"/>
                      <w:kern w:val="0"/>
                      <w:szCs w:val="21"/>
                    </w:rPr>
                  </w:pPr>
                </w:p>
              </w:tc>
              <w:tc>
                <w:tcPr>
                  <w:tcW w:w="304" w:type="pct"/>
                  <w:vMerge w:val="continue"/>
                  <w:vAlign w:val="center"/>
                </w:tcPr>
                <w:p w14:paraId="70CAAB72">
                  <w:pPr>
                    <w:widowControl/>
                    <w:adjustRightInd w:val="0"/>
                    <w:snapToGrid w:val="0"/>
                    <w:jc w:val="center"/>
                    <w:rPr>
                      <w:bCs/>
                      <w:snapToGrid w:val="0"/>
                      <w:kern w:val="0"/>
                      <w:szCs w:val="21"/>
                    </w:rPr>
                  </w:pPr>
                </w:p>
              </w:tc>
              <w:tc>
                <w:tcPr>
                  <w:tcW w:w="304" w:type="pct"/>
                  <w:vAlign w:val="center"/>
                </w:tcPr>
                <w:p w14:paraId="3CD5BCC5">
                  <w:pPr>
                    <w:autoSpaceDE w:val="0"/>
                    <w:autoSpaceDN w:val="0"/>
                    <w:adjustRightInd w:val="0"/>
                    <w:jc w:val="center"/>
                    <w:rPr>
                      <w:kern w:val="0"/>
                      <w:szCs w:val="21"/>
                    </w:rPr>
                  </w:pPr>
                  <w:r>
                    <w:rPr>
                      <w:kern w:val="0"/>
                      <w:szCs w:val="21"/>
                    </w:rPr>
                    <w:t>名称</w:t>
                  </w:r>
                </w:p>
              </w:tc>
              <w:tc>
                <w:tcPr>
                  <w:tcW w:w="351" w:type="pct"/>
                  <w:vAlign w:val="center"/>
                </w:tcPr>
                <w:p w14:paraId="2B847C41">
                  <w:pPr>
                    <w:autoSpaceDE w:val="0"/>
                    <w:autoSpaceDN w:val="0"/>
                    <w:adjustRightInd w:val="0"/>
                    <w:snapToGrid w:val="0"/>
                    <w:jc w:val="center"/>
                    <w:rPr>
                      <w:kern w:val="0"/>
                      <w:szCs w:val="21"/>
                    </w:rPr>
                  </w:pPr>
                  <w:r>
                    <w:rPr>
                      <w:kern w:val="0"/>
                      <w:szCs w:val="21"/>
                    </w:rPr>
                    <w:t>污染物种类</w:t>
                  </w:r>
                </w:p>
              </w:tc>
              <w:tc>
                <w:tcPr>
                  <w:tcW w:w="843" w:type="pct"/>
                  <w:vAlign w:val="center"/>
                </w:tcPr>
                <w:p w14:paraId="71473AAF">
                  <w:pPr>
                    <w:kinsoku w:val="0"/>
                    <w:overflowPunct w:val="0"/>
                    <w:autoSpaceDE w:val="0"/>
                    <w:autoSpaceDN w:val="0"/>
                    <w:adjustRightInd w:val="0"/>
                    <w:snapToGrid w:val="0"/>
                    <w:jc w:val="center"/>
                    <w:rPr>
                      <w:kern w:val="0"/>
                      <w:szCs w:val="21"/>
                    </w:rPr>
                  </w:pPr>
                  <w:r>
                    <w:rPr>
                      <w:kern w:val="0"/>
                      <w:szCs w:val="21"/>
                    </w:rPr>
                    <w:t>国家或地方污染物排放标准浓度限值</w:t>
                  </w:r>
                  <w:r>
                    <w:rPr>
                      <w:rFonts w:eastAsia="TimesNewRomanPSMT"/>
                      <w:kern w:val="0"/>
                      <w:szCs w:val="21"/>
                    </w:rPr>
                    <w:t>/</w:t>
                  </w:r>
                  <w:r>
                    <w:rPr>
                      <w:kern w:val="0"/>
                      <w:szCs w:val="21"/>
                    </w:rPr>
                    <w:t>（</w:t>
                  </w:r>
                  <w:r>
                    <w:rPr>
                      <w:rFonts w:eastAsia="TimesNewRomanPSMT"/>
                      <w:kern w:val="0"/>
                      <w:szCs w:val="21"/>
                    </w:rPr>
                    <w:t>mg/L</w:t>
                  </w:r>
                  <w:r>
                    <w:rPr>
                      <w:kern w:val="0"/>
                      <w:szCs w:val="21"/>
                    </w:rPr>
                    <w:t>）</w:t>
                  </w:r>
                </w:p>
              </w:tc>
            </w:tr>
            <w:tr w14:paraId="0E37E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4" w:hRule="atLeast"/>
              </w:trPr>
              <w:tc>
                <w:tcPr>
                  <w:tcW w:w="476" w:type="pct"/>
                  <w:vMerge w:val="restart"/>
                  <w:vAlign w:val="center"/>
                </w:tcPr>
                <w:p w14:paraId="27B02841">
                  <w:pPr>
                    <w:widowControl/>
                    <w:adjustRightInd w:val="0"/>
                    <w:snapToGrid w:val="0"/>
                    <w:jc w:val="center"/>
                    <w:rPr>
                      <w:bCs/>
                      <w:snapToGrid w:val="0"/>
                      <w:kern w:val="0"/>
                      <w:szCs w:val="21"/>
                    </w:rPr>
                  </w:pPr>
                  <w:r>
                    <w:rPr>
                      <w:rFonts w:hint="eastAsia"/>
                      <w:bCs/>
                      <w:snapToGrid w:val="0"/>
                      <w:kern w:val="0"/>
                      <w:szCs w:val="21"/>
                    </w:rPr>
                    <w:t>DW001.</w:t>
                  </w:r>
                </w:p>
              </w:tc>
              <w:tc>
                <w:tcPr>
                  <w:tcW w:w="752" w:type="pct"/>
                  <w:vMerge w:val="restart"/>
                  <w:vAlign w:val="center"/>
                </w:tcPr>
                <w:p w14:paraId="04FCC908">
                  <w:pPr>
                    <w:pStyle w:val="66"/>
                    <w:autoSpaceDE/>
                    <w:autoSpaceDN/>
                    <w:snapToGrid w:val="0"/>
                    <w:jc w:val="center"/>
                    <w:rPr>
                      <w:rFonts w:ascii="Times New Roman" w:cs="Times New Roman"/>
                      <w:bCs/>
                      <w:snapToGrid w:val="0"/>
                      <w:color w:val="auto"/>
                      <w:sz w:val="21"/>
                      <w:szCs w:val="18"/>
                    </w:rPr>
                  </w:pPr>
                  <w:r>
                    <w:rPr>
                      <w:rFonts w:hint="eastAsia" w:ascii="Times New Roman" w:cs="Times New Roman"/>
                      <w:bCs/>
                      <w:snapToGrid w:val="0"/>
                      <w:color w:val="auto"/>
                      <w:sz w:val="21"/>
                      <w:szCs w:val="18"/>
                    </w:rPr>
                    <w:t>115.281709279</w:t>
                  </w:r>
                </w:p>
              </w:tc>
              <w:tc>
                <w:tcPr>
                  <w:tcW w:w="692" w:type="pct"/>
                  <w:vMerge w:val="restart"/>
                  <w:vAlign w:val="center"/>
                </w:tcPr>
                <w:p w14:paraId="4ADD8FA0">
                  <w:pPr>
                    <w:pStyle w:val="66"/>
                    <w:autoSpaceDE/>
                    <w:autoSpaceDN/>
                    <w:snapToGrid w:val="0"/>
                    <w:jc w:val="center"/>
                    <w:rPr>
                      <w:rFonts w:ascii="Times New Roman" w:cs="Times New Roman"/>
                      <w:bCs/>
                      <w:snapToGrid w:val="0"/>
                      <w:color w:val="auto"/>
                      <w:sz w:val="21"/>
                      <w:szCs w:val="18"/>
                    </w:rPr>
                  </w:pPr>
                  <w:r>
                    <w:rPr>
                      <w:rFonts w:hint="eastAsia" w:ascii="Times New Roman" w:cs="Times New Roman"/>
                      <w:bCs/>
                      <w:snapToGrid w:val="0"/>
                      <w:color w:val="auto"/>
                      <w:sz w:val="21"/>
                      <w:szCs w:val="18"/>
                    </w:rPr>
                    <w:t>34.777528359</w:t>
                  </w:r>
                </w:p>
              </w:tc>
              <w:tc>
                <w:tcPr>
                  <w:tcW w:w="387" w:type="pct"/>
                  <w:vMerge w:val="restart"/>
                  <w:vAlign w:val="center"/>
                </w:tcPr>
                <w:p w14:paraId="33E1C83C">
                  <w:pPr>
                    <w:widowControl/>
                    <w:adjustRightInd w:val="0"/>
                    <w:snapToGrid w:val="0"/>
                    <w:jc w:val="center"/>
                    <w:rPr>
                      <w:bCs/>
                      <w:snapToGrid w:val="0"/>
                      <w:kern w:val="0"/>
                      <w:szCs w:val="21"/>
                    </w:rPr>
                  </w:pPr>
                  <w:r>
                    <w:rPr>
                      <w:bCs/>
                      <w:snapToGrid w:val="0"/>
                      <w:kern w:val="0"/>
                      <w:szCs w:val="21"/>
                    </w:rPr>
                    <w:t>1914</w:t>
                  </w:r>
                </w:p>
              </w:tc>
              <w:tc>
                <w:tcPr>
                  <w:tcW w:w="257" w:type="pct"/>
                  <w:vMerge w:val="restart"/>
                  <w:vAlign w:val="center"/>
                </w:tcPr>
                <w:p w14:paraId="356BCDBE">
                  <w:pPr>
                    <w:widowControl/>
                    <w:adjustRightInd w:val="0"/>
                    <w:snapToGrid w:val="0"/>
                    <w:jc w:val="center"/>
                    <w:rPr>
                      <w:bCs/>
                      <w:snapToGrid w:val="0"/>
                      <w:kern w:val="0"/>
                      <w:szCs w:val="21"/>
                    </w:rPr>
                  </w:pPr>
                  <w:r>
                    <w:rPr>
                      <w:rFonts w:hint="eastAsia"/>
                      <w:bCs/>
                      <w:snapToGrid w:val="0"/>
                      <w:kern w:val="0"/>
                      <w:szCs w:val="21"/>
                    </w:rPr>
                    <w:t>北关镇污水处理厂</w:t>
                  </w:r>
                </w:p>
              </w:tc>
              <w:tc>
                <w:tcPr>
                  <w:tcW w:w="632" w:type="pct"/>
                  <w:vMerge w:val="restart"/>
                  <w:vAlign w:val="center"/>
                </w:tcPr>
                <w:p w14:paraId="33859D18">
                  <w:pPr>
                    <w:autoSpaceDE w:val="0"/>
                    <w:autoSpaceDN w:val="0"/>
                    <w:adjustRightInd w:val="0"/>
                    <w:jc w:val="center"/>
                    <w:rPr>
                      <w:kern w:val="0"/>
                      <w:szCs w:val="21"/>
                    </w:rPr>
                  </w:pPr>
                  <w:r>
                    <w:rPr>
                      <w:spacing w:val="-10"/>
                      <w:kern w:val="0"/>
                      <w:szCs w:val="21"/>
                    </w:rPr>
                    <w:t>间断排放，</w:t>
                  </w:r>
                  <w:r>
                    <w:rPr>
                      <w:rFonts w:hint="eastAsia"/>
                      <w:spacing w:val="-10"/>
                      <w:kern w:val="0"/>
                      <w:szCs w:val="21"/>
                    </w:rPr>
                    <w:t>由罐车将污水运至北关镇污水处理厂处理</w:t>
                  </w:r>
                </w:p>
              </w:tc>
              <w:tc>
                <w:tcPr>
                  <w:tcW w:w="304" w:type="pct"/>
                  <w:vMerge w:val="restart"/>
                  <w:vAlign w:val="center"/>
                </w:tcPr>
                <w:p w14:paraId="2BE279A1">
                  <w:pPr>
                    <w:widowControl/>
                    <w:adjustRightInd w:val="0"/>
                    <w:snapToGrid w:val="0"/>
                    <w:jc w:val="center"/>
                    <w:rPr>
                      <w:bCs/>
                      <w:snapToGrid w:val="0"/>
                      <w:kern w:val="0"/>
                      <w:szCs w:val="21"/>
                    </w:rPr>
                  </w:pPr>
                  <w:r>
                    <w:rPr>
                      <w:bCs/>
                      <w:snapToGrid w:val="0"/>
                      <w:kern w:val="0"/>
                      <w:szCs w:val="21"/>
                    </w:rPr>
                    <w:t>/</w:t>
                  </w:r>
                </w:p>
              </w:tc>
              <w:tc>
                <w:tcPr>
                  <w:tcW w:w="304" w:type="pct"/>
                  <w:vMerge w:val="restart"/>
                  <w:vAlign w:val="center"/>
                </w:tcPr>
                <w:p w14:paraId="350541BE">
                  <w:pPr>
                    <w:autoSpaceDE w:val="0"/>
                    <w:autoSpaceDN w:val="0"/>
                    <w:adjustRightInd w:val="0"/>
                    <w:jc w:val="center"/>
                    <w:rPr>
                      <w:kern w:val="0"/>
                      <w:szCs w:val="21"/>
                    </w:rPr>
                  </w:pPr>
                  <w:r>
                    <w:rPr>
                      <w:rFonts w:hint="eastAsia"/>
                      <w:bCs/>
                      <w:snapToGrid w:val="0"/>
                      <w:kern w:val="0"/>
                      <w:szCs w:val="21"/>
                    </w:rPr>
                    <w:t>北关镇污水处理厂</w:t>
                  </w:r>
                </w:p>
              </w:tc>
              <w:tc>
                <w:tcPr>
                  <w:tcW w:w="351" w:type="pct"/>
                  <w:vAlign w:val="center"/>
                </w:tcPr>
                <w:p w14:paraId="0967BF4A">
                  <w:pPr>
                    <w:autoSpaceDE w:val="0"/>
                    <w:autoSpaceDN w:val="0"/>
                    <w:adjustRightInd w:val="0"/>
                    <w:jc w:val="center"/>
                    <w:rPr>
                      <w:kern w:val="0"/>
                      <w:szCs w:val="21"/>
                    </w:rPr>
                  </w:pPr>
                  <w:r>
                    <w:rPr>
                      <w:bCs/>
                      <w:snapToGrid w:val="0"/>
                      <w:kern w:val="0"/>
                      <w:szCs w:val="21"/>
                    </w:rPr>
                    <w:t>COD</w:t>
                  </w:r>
                </w:p>
              </w:tc>
              <w:tc>
                <w:tcPr>
                  <w:tcW w:w="843" w:type="pct"/>
                  <w:vAlign w:val="center"/>
                </w:tcPr>
                <w:p w14:paraId="54CF2E73">
                  <w:pPr>
                    <w:autoSpaceDE w:val="0"/>
                    <w:autoSpaceDN w:val="0"/>
                    <w:adjustRightInd w:val="0"/>
                    <w:jc w:val="center"/>
                    <w:rPr>
                      <w:kern w:val="0"/>
                      <w:szCs w:val="21"/>
                    </w:rPr>
                  </w:pPr>
                  <w:r>
                    <w:rPr>
                      <w:rFonts w:hint="eastAsia"/>
                      <w:kern w:val="0"/>
                      <w:szCs w:val="21"/>
                    </w:rPr>
                    <w:t>50</w:t>
                  </w:r>
                </w:p>
              </w:tc>
            </w:tr>
            <w:tr w14:paraId="068C1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3" w:hRule="atLeast"/>
              </w:trPr>
              <w:tc>
                <w:tcPr>
                  <w:tcW w:w="476" w:type="pct"/>
                  <w:vMerge w:val="continue"/>
                  <w:vAlign w:val="center"/>
                </w:tcPr>
                <w:p w14:paraId="540FE126">
                  <w:pPr>
                    <w:widowControl/>
                    <w:adjustRightInd w:val="0"/>
                    <w:snapToGrid w:val="0"/>
                    <w:jc w:val="center"/>
                    <w:rPr>
                      <w:bCs/>
                      <w:snapToGrid w:val="0"/>
                      <w:kern w:val="0"/>
                      <w:szCs w:val="21"/>
                    </w:rPr>
                  </w:pPr>
                </w:p>
              </w:tc>
              <w:tc>
                <w:tcPr>
                  <w:tcW w:w="752" w:type="pct"/>
                  <w:vMerge w:val="continue"/>
                  <w:vAlign w:val="center"/>
                </w:tcPr>
                <w:p w14:paraId="5DC1F945">
                  <w:pPr>
                    <w:pStyle w:val="66"/>
                    <w:autoSpaceDE/>
                    <w:autoSpaceDN/>
                    <w:snapToGrid w:val="0"/>
                    <w:jc w:val="center"/>
                    <w:rPr>
                      <w:rFonts w:ascii="Times New Roman" w:cs="Times New Roman"/>
                      <w:bCs/>
                      <w:snapToGrid w:val="0"/>
                      <w:color w:val="auto"/>
                      <w:sz w:val="21"/>
                      <w:szCs w:val="18"/>
                    </w:rPr>
                  </w:pPr>
                </w:p>
              </w:tc>
              <w:tc>
                <w:tcPr>
                  <w:tcW w:w="692" w:type="pct"/>
                  <w:vMerge w:val="continue"/>
                  <w:vAlign w:val="center"/>
                </w:tcPr>
                <w:p w14:paraId="0438377F">
                  <w:pPr>
                    <w:pStyle w:val="66"/>
                    <w:autoSpaceDE/>
                    <w:autoSpaceDN/>
                    <w:snapToGrid w:val="0"/>
                    <w:jc w:val="center"/>
                    <w:rPr>
                      <w:rFonts w:ascii="Times New Roman" w:cs="Times New Roman"/>
                      <w:bCs/>
                      <w:snapToGrid w:val="0"/>
                      <w:color w:val="auto"/>
                      <w:sz w:val="21"/>
                      <w:szCs w:val="18"/>
                    </w:rPr>
                  </w:pPr>
                </w:p>
              </w:tc>
              <w:tc>
                <w:tcPr>
                  <w:tcW w:w="387" w:type="pct"/>
                  <w:vMerge w:val="continue"/>
                  <w:vAlign w:val="center"/>
                </w:tcPr>
                <w:p w14:paraId="295E1E48">
                  <w:pPr>
                    <w:widowControl/>
                    <w:adjustRightInd w:val="0"/>
                    <w:snapToGrid w:val="0"/>
                    <w:jc w:val="center"/>
                    <w:rPr>
                      <w:bCs/>
                      <w:snapToGrid w:val="0"/>
                      <w:kern w:val="0"/>
                      <w:szCs w:val="21"/>
                    </w:rPr>
                  </w:pPr>
                </w:p>
              </w:tc>
              <w:tc>
                <w:tcPr>
                  <w:tcW w:w="257" w:type="pct"/>
                  <w:vMerge w:val="continue"/>
                  <w:vAlign w:val="center"/>
                </w:tcPr>
                <w:p w14:paraId="723B8103">
                  <w:pPr>
                    <w:widowControl/>
                    <w:adjustRightInd w:val="0"/>
                    <w:snapToGrid w:val="0"/>
                    <w:jc w:val="center"/>
                    <w:rPr>
                      <w:bCs/>
                      <w:snapToGrid w:val="0"/>
                      <w:kern w:val="0"/>
                      <w:szCs w:val="21"/>
                    </w:rPr>
                  </w:pPr>
                </w:p>
              </w:tc>
              <w:tc>
                <w:tcPr>
                  <w:tcW w:w="632" w:type="pct"/>
                  <w:vMerge w:val="continue"/>
                  <w:vAlign w:val="center"/>
                </w:tcPr>
                <w:p w14:paraId="3B7A7644">
                  <w:pPr>
                    <w:autoSpaceDE w:val="0"/>
                    <w:autoSpaceDN w:val="0"/>
                    <w:adjustRightInd w:val="0"/>
                    <w:jc w:val="center"/>
                    <w:rPr>
                      <w:spacing w:val="-10"/>
                      <w:kern w:val="0"/>
                      <w:szCs w:val="21"/>
                    </w:rPr>
                  </w:pPr>
                </w:p>
              </w:tc>
              <w:tc>
                <w:tcPr>
                  <w:tcW w:w="304" w:type="pct"/>
                  <w:vMerge w:val="continue"/>
                  <w:vAlign w:val="center"/>
                </w:tcPr>
                <w:p w14:paraId="5D9F0787">
                  <w:pPr>
                    <w:widowControl/>
                    <w:adjustRightInd w:val="0"/>
                    <w:snapToGrid w:val="0"/>
                    <w:jc w:val="center"/>
                    <w:rPr>
                      <w:bCs/>
                      <w:snapToGrid w:val="0"/>
                      <w:kern w:val="0"/>
                      <w:szCs w:val="21"/>
                    </w:rPr>
                  </w:pPr>
                </w:p>
              </w:tc>
              <w:tc>
                <w:tcPr>
                  <w:tcW w:w="304" w:type="pct"/>
                  <w:vMerge w:val="continue"/>
                  <w:vAlign w:val="center"/>
                </w:tcPr>
                <w:p w14:paraId="5D3279A4">
                  <w:pPr>
                    <w:autoSpaceDE w:val="0"/>
                    <w:autoSpaceDN w:val="0"/>
                    <w:adjustRightInd w:val="0"/>
                    <w:jc w:val="center"/>
                    <w:rPr>
                      <w:bCs/>
                      <w:snapToGrid w:val="0"/>
                      <w:kern w:val="0"/>
                      <w:szCs w:val="21"/>
                    </w:rPr>
                  </w:pPr>
                </w:p>
              </w:tc>
              <w:tc>
                <w:tcPr>
                  <w:tcW w:w="351" w:type="pct"/>
                  <w:vAlign w:val="center"/>
                </w:tcPr>
                <w:p w14:paraId="55595926">
                  <w:pPr>
                    <w:autoSpaceDE w:val="0"/>
                    <w:autoSpaceDN w:val="0"/>
                    <w:adjustRightInd w:val="0"/>
                    <w:jc w:val="center"/>
                    <w:rPr>
                      <w:bCs/>
                      <w:snapToGrid w:val="0"/>
                      <w:kern w:val="0"/>
                      <w:szCs w:val="21"/>
                    </w:rPr>
                  </w:pPr>
                  <w:r>
                    <w:rPr>
                      <w:szCs w:val="21"/>
                    </w:rPr>
                    <w:t>氨氮</w:t>
                  </w:r>
                </w:p>
              </w:tc>
              <w:tc>
                <w:tcPr>
                  <w:tcW w:w="843" w:type="pct"/>
                  <w:vAlign w:val="center"/>
                </w:tcPr>
                <w:p w14:paraId="5C5D3762">
                  <w:pPr>
                    <w:autoSpaceDE w:val="0"/>
                    <w:autoSpaceDN w:val="0"/>
                    <w:adjustRightInd w:val="0"/>
                    <w:jc w:val="center"/>
                    <w:rPr>
                      <w:kern w:val="0"/>
                      <w:szCs w:val="21"/>
                    </w:rPr>
                  </w:pPr>
                  <w:r>
                    <w:rPr>
                      <w:rFonts w:hint="eastAsia"/>
                      <w:kern w:val="0"/>
                      <w:szCs w:val="21"/>
                    </w:rPr>
                    <w:t>5</w:t>
                  </w:r>
                </w:p>
              </w:tc>
            </w:tr>
          </w:tbl>
          <w:p w14:paraId="253E2FE9">
            <w:pPr>
              <w:pStyle w:val="11"/>
              <w:adjustRightInd w:val="0"/>
              <w:snapToGrid w:val="0"/>
              <w:spacing w:line="360" w:lineRule="auto"/>
              <w:ind w:firstLine="482"/>
              <w:rPr>
                <w:b/>
                <w:sz w:val="24"/>
              </w:rPr>
            </w:pPr>
            <w:r>
              <w:rPr>
                <w:rFonts w:hint="eastAsia"/>
                <w:b/>
                <w:sz w:val="24"/>
              </w:rPr>
              <w:t>2</w:t>
            </w:r>
            <w:r>
              <w:rPr>
                <w:b/>
                <w:sz w:val="24"/>
              </w:rPr>
              <w:t xml:space="preserve">.5 </w:t>
            </w:r>
            <w:r>
              <w:rPr>
                <w:rFonts w:hint="eastAsia"/>
                <w:b/>
                <w:sz w:val="24"/>
              </w:rPr>
              <w:t>监测要求</w:t>
            </w:r>
          </w:p>
          <w:p w14:paraId="3C035672">
            <w:pPr>
              <w:adjustRightInd w:val="0"/>
              <w:snapToGrid w:val="0"/>
              <w:spacing w:line="360" w:lineRule="auto"/>
              <w:ind w:firstLine="480" w:firstLineChars="200"/>
              <w:rPr>
                <w:bCs/>
                <w:color w:val="000000"/>
                <w:sz w:val="24"/>
              </w:rPr>
            </w:pPr>
            <w:r>
              <w:rPr>
                <w:rFonts w:hint="eastAsia"/>
                <w:bCs/>
                <w:color w:val="000000"/>
                <w:sz w:val="24"/>
              </w:rPr>
              <w:t>根据《排污单位自行监测技术指南 总则》（HJ819-2017）及《排污单位自行监测技术指南 橡胶和</w:t>
            </w:r>
            <w:r>
              <w:rPr>
                <w:bCs/>
                <w:color w:val="000000"/>
                <w:sz w:val="24"/>
              </w:rPr>
              <w:t>塑料制品</w:t>
            </w:r>
            <w:r>
              <w:rPr>
                <w:rFonts w:hint="eastAsia"/>
                <w:bCs/>
                <w:color w:val="000000"/>
                <w:sz w:val="24"/>
              </w:rPr>
              <w:t>》（HJ</w:t>
            </w:r>
            <w:r>
              <w:rPr>
                <w:bCs/>
                <w:color w:val="000000"/>
                <w:sz w:val="24"/>
              </w:rPr>
              <w:t>1207</w:t>
            </w:r>
            <w:r>
              <w:rPr>
                <w:rFonts w:hint="eastAsia"/>
                <w:bCs/>
                <w:color w:val="000000"/>
                <w:sz w:val="24"/>
              </w:rPr>
              <w:t>-20</w:t>
            </w:r>
            <w:r>
              <w:rPr>
                <w:bCs/>
                <w:color w:val="000000"/>
                <w:sz w:val="24"/>
              </w:rPr>
              <w:t>21</w:t>
            </w:r>
            <w:r>
              <w:rPr>
                <w:rFonts w:hint="eastAsia"/>
                <w:bCs/>
                <w:color w:val="000000"/>
                <w:sz w:val="24"/>
              </w:rPr>
              <w:t>），监测要求见下表。</w:t>
            </w:r>
          </w:p>
          <w:p w14:paraId="7D0E331B">
            <w:pPr>
              <w:adjustRightInd w:val="0"/>
              <w:snapToGrid w:val="0"/>
              <w:jc w:val="center"/>
              <w:rPr>
                <w:color w:val="000000"/>
                <w:spacing w:val="-2"/>
                <w:sz w:val="24"/>
              </w:rPr>
            </w:pPr>
            <w:r>
              <w:rPr>
                <w:rFonts w:hint="eastAsia"/>
                <w:b/>
                <w:color w:val="000000"/>
                <w:sz w:val="24"/>
              </w:rPr>
              <w:t>表2</w:t>
            </w:r>
            <w:r>
              <w:rPr>
                <w:b/>
                <w:color w:val="000000"/>
                <w:sz w:val="24"/>
              </w:rPr>
              <w:t>6</w:t>
            </w:r>
            <w:r>
              <w:rPr>
                <w:rFonts w:hint="eastAsia"/>
                <w:b/>
                <w:color w:val="000000"/>
                <w:sz w:val="24"/>
              </w:rPr>
              <w:t xml:space="preserve"> </w:t>
            </w:r>
            <w:r>
              <w:rPr>
                <w:b/>
                <w:color w:val="000000"/>
                <w:sz w:val="24"/>
              </w:rPr>
              <w:t xml:space="preserve">    </w:t>
            </w:r>
            <w:r>
              <w:rPr>
                <w:rFonts w:hint="eastAsia"/>
                <w:b/>
                <w:color w:val="000000"/>
                <w:sz w:val="24"/>
              </w:rPr>
              <w:t>本项目营运期废水监测方案</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3"/>
              <w:gridCol w:w="2634"/>
              <w:gridCol w:w="1700"/>
              <w:gridCol w:w="3342"/>
            </w:tblGrid>
            <w:tr w14:paraId="6D096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pct"/>
                  <w:tcBorders>
                    <w:top w:val="single" w:color="auto" w:sz="4" w:space="0"/>
                    <w:left w:val="single" w:color="auto" w:sz="4" w:space="0"/>
                    <w:bottom w:val="single" w:color="auto" w:sz="4" w:space="0"/>
                    <w:right w:val="single" w:color="auto" w:sz="4" w:space="0"/>
                  </w:tcBorders>
                  <w:vAlign w:val="center"/>
                </w:tcPr>
                <w:p w14:paraId="0EB0AC30">
                  <w:pPr>
                    <w:jc w:val="center"/>
                    <w:textAlignment w:val="baseline"/>
                    <w:rPr>
                      <w:bCs/>
                      <w:color w:val="000000"/>
                      <w:szCs w:val="21"/>
                      <w:lang w:bidi="ar"/>
                    </w:rPr>
                  </w:pPr>
                  <w:r>
                    <w:rPr>
                      <w:rFonts w:hint="eastAsia"/>
                      <w:color w:val="000000"/>
                      <w:szCs w:val="21"/>
                      <w:lang w:bidi="ar"/>
                    </w:rPr>
                    <w:t>监测点位</w:t>
                  </w:r>
                </w:p>
              </w:tc>
              <w:tc>
                <w:tcPr>
                  <w:tcW w:w="1497" w:type="pct"/>
                  <w:tcBorders>
                    <w:top w:val="single" w:color="auto" w:sz="4" w:space="0"/>
                    <w:left w:val="single" w:color="auto" w:sz="4" w:space="0"/>
                    <w:bottom w:val="single" w:color="auto" w:sz="4" w:space="0"/>
                    <w:right w:val="single" w:color="auto" w:sz="4" w:space="0"/>
                  </w:tcBorders>
                  <w:vAlign w:val="center"/>
                </w:tcPr>
                <w:p w14:paraId="05F47408">
                  <w:pPr>
                    <w:jc w:val="center"/>
                    <w:textAlignment w:val="baseline"/>
                    <w:rPr>
                      <w:bCs/>
                      <w:color w:val="000000"/>
                      <w:szCs w:val="21"/>
                      <w:lang w:bidi="ar"/>
                    </w:rPr>
                  </w:pPr>
                  <w:r>
                    <w:rPr>
                      <w:rFonts w:hint="eastAsia"/>
                      <w:color w:val="000000"/>
                      <w:szCs w:val="21"/>
                      <w:lang w:bidi="ar"/>
                    </w:rPr>
                    <w:t>监测因子</w:t>
                  </w:r>
                </w:p>
              </w:tc>
              <w:tc>
                <w:tcPr>
                  <w:tcW w:w="966" w:type="pct"/>
                  <w:tcBorders>
                    <w:top w:val="single" w:color="auto" w:sz="4" w:space="0"/>
                    <w:left w:val="single" w:color="auto" w:sz="4" w:space="0"/>
                    <w:bottom w:val="single" w:color="auto" w:sz="4" w:space="0"/>
                    <w:right w:val="single" w:color="auto" w:sz="4" w:space="0"/>
                  </w:tcBorders>
                  <w:vAlign w:val="center"/>
                </w:tcPr>
                <w:p w14:paraId="77758319">
                  <w:pPr>
                    <w:jc w:val="center"/>
                    <w:textAlignment w:val="baseline"/>
                    <w:rPr>
                      <w:color w:val="000000"/>
                      <w:szCs w:val="21"/>
                      <w:lang w:bidi="ar"/>
                    </w:rPr>
                  </w:pPr>
                  <w:r>
                    <w:rPr>
                      <w:rFonts w:hint="eastAsia"/>
                      <w:color w:val="000000"/>
                      <w:szCs w:val="21"/>
                      <w:lang w:bidi="ar"/>
                    </w:rPr>
                    <w:t>监测频次</w:t>
                  </w:r>
                </w:p>
              </w:tc>
              <w:tc>
                <w:tcPr>
                  <w:tcW w:w="1899" w:type="pct"/>
                  <w:tcBorders>
                    <w:top w:val="single" w:color="auto" w:sz="4" w:space="0"/>
                    <w:left w:val="single" w:color="auto" w:sz="4" w:space="0"/>
                    <w:bottom w:val="single" w:color="auto" w:sz="4" w:space="0"/>
                    <w:right w:val="single" w:color="auto" w:sz="4" w:space="0"/>
                  </w:tcBorders>
                  <w:vAlign w:val="center"/>
                </w:tcPr>
                <w:p w14:paraId="071C2117">
                  <w:pPr>
                    <w:jc w:val="center"/>
                    <w:textAlignment w:val="baseline"/>
                    <w:rPr>
                      <w:color w:val="000000"/>
                      <w:szCs w:val="21"/>
                      <w:lang w:bidi="ar"/>
                    </w:rPr>
                  </w:pPr>
                  <w:r>
                    <w:rPr>
                      <w:rFonts w:hint="eastAsia"/>
                      <w:color w:val="000000"/>
                      <w:szCs w:val="21"/>
                      <w:lang w:bidi="ar"/>
                    </w:rPr>
                    <w:t>执行标准</w:t>
                  </w:r>
                </w:p>
              </w:tc>
            </w:tr>
            <w:tr w14:paraId="2A2C9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pct"/>
                  <w:vMerge w:val="restart"/>
                  <w:tcBorders>
                    <w:top w:val="single" w:color="auto" w:sz="4" w:space="0"/>
                    <w:left w:val="single" w:color="auto" w:sz="4" w:space="0"/>
                    <w:right w:val="single" w:color="auto" w:sz="4" w:space="0"/>
                  </w:tcBorders>
                  <w:vAlign w:val="center"/>
                </w:tcPr>
                <w:p w14:paraId="7D5648F5">
                  <w:pPr>
                    <w:jc w:val="center"/>
                    <w:textAlignment w:val="baseline"/>
                    <w:rPr>
                      <w:color w:val="000000"/>
                      <w:szCs w:val="21"/>
                    </w:rPr>
                  </w:pPr>
                  <w:r>
                    <w:rPr>
                      <w:rFonts w:hint="eastAsia"/>
                      <w:bCs/>
                      <w:color w:val="000000"/>
                      <w:szCs w:val="21"/>
                      <w:lang w:bidi="ar"/>
                    </w:rPr>
                    <w:t>厂区污水处理站出水口</w:t>
                  </w:r>
                </w:p>
              </w:tc>
              <w:tc>
                <w:tcPr>
                  <w:tcW w:w="1497" w:type="pct"/>
                  <w:tcBorders>
                    <w:top w:val="single" w:color="auto" w:sz="4" w:space="0"/>
                    <w:left w:val="single" w:color="auto" w:sz="4" w:space="0"/>
                    <w:bottom w:val="single" w:color="auto" w:sz="4" w:space="0"/>
                    <w:right w:val="single" w:color="auto" w:sz="4" w:space="0"/>
                  </w:tcBorders>
                  <w:vAlign w:val="center"/>
                </w:tcPr>
                <w:p w14:paraId="4A70246A">
                  <w:pPr>
                    <w:jc w:val="center"/>
                    <w:textAlignment w:val="baseline"/>
                    <w:rPr>
                      <w:bCs/>
                      <w:color w:val="000000"/>
                      <w:szCs w:val="21"/>
                      <w:lang w:bidi="ar"/>
                    </w:rPr>
                  </w:pPr>
                  <w:r>
                    <w:rPr>
                      <w:rFonts w:hint="eastAsia"/>
                      <w:bCs/>
                      <w:color w:val="000000"/>
                      <w:szCs w:val="21"/>
                      <w:lang w:bidi="ar"/>
                    </w:rPr>
                    <w:t>化学需氧量</w:t>
                  </w:r>
                </w:p>
              </w:tc>
              <w:tc>
                <w:tcPr>
                  <w:tcW w:w="966" w:type="pct"/>
                  <w:vMerge w:val="restart"/>
                  <w:tcBorders>
                    <w:top w:val="single" w:color="auto" w:sz="4" w:space="0"/>
                    <w:left w:val="single" w:color="auto" w:sz="4" w:space="0"/>
                    <w:right w:val="single" w:color="auto" w:sz="4" w:space="0"/>
                  </w:tcBorders>
                  <w:vAlign w:val="center"/>
                </w:tcPr>
                <w:p w14:paraId="4429C546">
                  <w:pPr>
                    <w:jc w:val="center"/>
                    <w:textAlignment w:val="baseline"/>
                    <w:rPr>
                      <w:bCs/>
                      <w:color w:val="000000"/>
                      <w:szCs w:val="21"/>
                    </w:rPr>
                  </w:pPr>
                  <w:r>
                    <w:rPr>
                      <w:rFonts w:hint="eastAsia"/>
                      <w:bCs/>
                      <w:color w:val="000000"/>
                      <w:szCs w:val="21"/>
                    </w:rPr>
                    <w:t>1次/年</w:t>
                  </w:r>
                </w:p>
              </w:tc>
              <w:tc>
                <w:tcPr>
                  <w:tcW w:w="1899" w:type="pct"/>
                  <w:vMerge w:val="restart"/>
                  <w:tcBorders>
                    <w:top w:val="single" w:color="auto" w:sz="4" w:space="0"/>
                    <w:left w:val="single" w:color="auto" w:sz="4" w:space="0"/>
                    <w:right w:val="single" w:color="auto" w:sz="4" w:space="0"/>
                  </w:tcBorders>
                  <w:vAlign w:val="center"/>
                </w:tcPr>
                <w:p w14:paraId="000564DD">
                  <w:pPr>
                    <w:jc w:val="center"/>
                    <w:textAlignment w:val="baseline"/>
                    <w:rPr>
                      <w:bCs/>
                      <w:color w:val="000000"/>
                      <w:szCs w:val="21"/>
                    </w:rPr>
                  </w:pPr>
                  <w:r>
                    <w:rPr>
                      <w:rFonts w:hint="eastAsia"/>
                      <w:bCs/>
                      <w:color w:val="000000"/>
                      <w:szCs w:val="21"/>
                    </w:rPr>
                    <w:t>《污水综合排放标准》（GB8978-1996）三级标准及</w:t>
                  </w:r>
                  <w:r>
                    <w:rPr>
                      <w:rFonts w:hint="eastAsia"/>
                      <w:color w:val="000000"/>
                      <w:szCs w:val="21"/>
                    </w:rPr>
                    <w:t>北关镇污水处理厂收水水质要求</w:t>
                  </w:r>
                </w:p>
              </w:tc>
            </w:tr>
            <w:tr w14:paraId="1CCD2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pct"/>
                  <w:vMerge w:val="continue"/>
                  <w:tcBorders>
                    <w:left w:val="single" w:color="auto" w:sz="4" w:space="0"/>
                    <w:right w:val="single" w:color="auto" w:sz="4" w:space="0"/>
                  </w:tcBorders>
                  <w:vAlign w:val="center"/>
                </w:tcPr>
                <w:p w14:paraId="3196412F">
                  <w:pPr>
                    <w:jc w:val="center"/>
                    <w:textAlignment w:val="baseline"/>
                    <w:rPr>
                      <w:bCs/>
                      <w:color w:val="0000FF"/>
                      <w:szCs w:val="21"/>
                      <w:lang w:bidi="ar"/>
                    </w:rPr>
                  </w:pPr>
                </w:p>
              </w:tc>
              <w:tc>
                <w:tcPr>
                  <w:tcW w:w="1497" w:type="pct"/>
                  <w:tcBorders>
                    <w:top w:val="single" w:color="auto" w:sz="4" w:space="0"/>
                    <w:left w:val="single" w:color="auto" w:sz="4" w:space="0"/>
                    <w:bottom w:val="single" w:color="auto" w:sz="4" w:space="0"/>
                    <w:right w:val="single" w:color="auto" w:sz="4" w:space="0"/>
                  </w:tcBorders>
                  <w:vAlign w:val="center"/>
                </w:tcPr>
                <w:p w14:paraId="377B4784">
                  <w:pPr>
                    <w:jc w:val="center"/>
                    <w:textAlignment w:val="baseline"/>
                    <w:rPr>
                      <w:bCs/>
                      <w:color w:val="000000"/>
                      <w:szCs w:val="21"/>
                      <w:lang w:bidi="ar"/>
                    </w:rPr>
                  </w:pPr>
                  <w:r>
                    <w:rPr>
                      <w:rFonts w:hint="eastAsia"/>
                      <w:bCs/>
                      <w:color w:val="000000"/>
                      <w:szCs w:val="21"/>
                      <w:lang w:bidi="ar"/>
                    </w:rPr>
                    <w:t>氨氮</w:t>
                  </w:r>
                </w:p>
              </w:tc>
              <w:tc>
                <w:tcPr>
                  <w:tcW w:w="966" w:type="pct"/>
                  <w:vMerge w:val="continue"/>
                  <w:tcBorders>
                    <w:left w:val="single" w:color="auto" w:sz="4" w:space="0"/>
                    <w:right w:val="single" w:color="auto" w:sz="4" w:space="0"/>
                  </w:tcBorders>
                  <w:vAlign w:val="center"/>
                </w:tcPr>
                <w:p w14:paraId="5F31E136">
                  <w:pPr>
                    <w:jc w:val="center"/>
                    <w:textAlignment w:val="baseline"/>
                    <w:rPr>
                      <w:bCs/>
                      <w:color w:val="0000FF"/>
                      <w:szCs w:val="21"/>
                    </w:rPr>
                  </w:pPr>
                </w:p>
              </w:tc>
              <w:tc>
                <w:tcPr>
                  <w:tcW w:w="1899" w:type="pct"/>
                  <w:vMerge w:val="continue"/>
                  <w:tcBorders>
                    <w:left w:val="single" w:color="auto" w:sz="4" w:space="0"/>
                    <w:right w:val="single" w:color="auto" w:sz="4" w:space="0"/>
                  </w:tcBorders>
                  <w:vAlign w:val="center"/>
                </w:tcPr>
                <w:p w14:paraId="7DD6070C">
                  <w:pPr>
                    <w:jc w:val="center"/>
                    <w:textAlignment w:val="baseline"/>
                    <w:rPr>
                      <w:bCs/>
                      <w:color w:val="0000FF"/>
                      <w:szCs w:val="21"/>
                    </w:rPr>
                  </w:pPr>
                </w:p>
              </w:tc>
            </w:tr>
            <w:tr w14:paraId="51311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pct"/>
                  <w:vMerge w:val="continue"/>
                  <w:tcBorders>
                    <w:left w:val="single" w:color="auto" w:sz="4" w:space="0"/>
                    <w:right w:val="single" w:color="auto" w:sz="4" w:space="0"/>
                  </w:tcBorders>
                  <w:vAlign w:val="center"/>
                </w:tcPr>
                <w:p w14:paraId="34753FAE">
                  <w:pPr>
                    <w:jc w:val="center"/>
                    <w:textAlignment w:val="baseline"/>
                    <w:rPr>
                      <w:bCs/>
                      <w:color w:val="0000FF"/>
                      <w:szCs w:val="21"/>
                      <w:lang w:bidi="ar"/>
                    </w:rPr>
                  </w:pPr>
                </w:p>
              </w:tc>
              <w:tc>
                <w:tcPr>
                  <w:tcW w:w="1497" w:type="pct"/>
                  <w:tcBorders>
                    <w:top w:val="single" w:color="auto" w:sz="4" w:space="0"/>
                    <w:left w:val="single" w:color="auto" w:sz="4" w:space="0"/>
                    <w:bottom w:val="single" w:color="auto" w:sz="4" w:space="0"/>
                    <w:right w:val="single" w:color="auto" w:sz="4" w:space="0"/>
                  </w:tcBorders>
                  <w:vAlign w:val="center"/>
                </w:tcPr>
                <w:p w14:paraId="2C2537A1">
                  <w:pPr>
                    <w:jc w:val="center"/>
                    <w:textAlignment w:val="baseline"/>
                    <w:rPr>
                      <w:bCs/>
                      <w:color w:val="000000"/>
                      <w:szCs w:val="21"/>
                      <w:lang w:bidi="ar"/>
                    </w:rPr>
                  </w:pPr>
                  <w:r>
                    <w:rPr>
                      <w:rFonts w:hint="eastAsia"/>
                      <w:bCs/>
                      <w:color w:val="000000"/>
                      <w:szCs w:val="21"/>
                      <w:lang w:bidi="ar"/>
                    </w:rPr>
                    <w:t>悬浮物</w:t>
                  </w:r>
                </w:p>
              </w:tc>
              <w:tc>
                <w:tcPr>
                  <w:tcW w:w="966" w:type="pct"/>
                  <w:vMerge w:val="continue"/>
                  <w:tcBorders>
                    <w:left w:val="single" w:color="auto" w:sz="4" w:space="0"/>
                    <w:right w:val="single" w:color="auto" w:sz="4" w:space="0"/>
                  </w:tcBorders>
                  <w:vAlign w:val="center"/>
                </w:tcPr>
                <w:p w14:paraId="181D87C3">
                  <w:pPr>
                    <w:jc w:val="center"/>
                    <w:textAlignment w:val="baseline"/>
                    <w:rPr>
                      <w:bCs/>
                      <w:color w:val="0000FF"/>
                      <w:szCs w:val="21"/>
                    </w:rPr>
                  </w:pPr>
                </w:p>
              </w:tc>
              <w:tc>
                <w:tcPr>
                  <w:tcW w:w="1899" w:type="pct"/>
                  <w:vMerge w:val="continue"/>
                  <w:tcBorders>
                    <w:left w:val="single" w:color="auto" w:sz="4" w:space="0"/>
                    <w:right w:val="single" w:color="auto" w:sz="4" w:space="0"/>
                  </w:tcBorders>
                  <w:vAlign w:val="center"/>
                </w:tcPr>
                <w:p w14:paraId="71A947EC">
                  <w:pPr>
                    <w:jc w:val="center"/>
                    <w:textAlignment w:val="baseline"/>
                    <w:rPr>
                      <w:bCs/>
                      <w:color w:val="0000FF"/>
                      <w:szCs w:val="21"/>
                    </w:rPr>
                  </w:pPr>
                </w:p>
              </w:tc>
            </w:tr>
            <w:tr w14:paraId="695B8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pct"/>
                  <w:vMerge w:val="continue"/>
                  <w:tcBorders>
                    <w:left w:val="single" w:color="auto" w:sz="4" w:space="0"/>
                    <w:right w:val="single" w:color="auto" w:sz="4" w:space="0"/>
                  </w:tcBorders>
                  <w:vAlign w:val="center"/>
                </w:tcPr>
                <w:p w14:paraId="0401436E">
                  <w:pPr>
                    <w:jc w:val="center"/>
                    <w:textAlignment w:val="baseline"/>
                    <w:rPr>
                      <w:bCs/>
                      <w:color w:val="0000FF"/>
                      <w:szCs w:val="21"/>
                      <w:lang w:bidi="ar"/>
                    </w:rPr>
                  </w:pPr>
                </w:p>
              </w:tc>
              <w:tc>
                <w:tcPr>
                  <w:tcW w:w="1497" w:type="pct"/>
                  <w:tcBorders>
                    <w:top w:val="single" w:color="auto" w:sz="4" w:space="0"/>
                    <w:left w:val="single" w:color="auto" w:sz="4" w:space="0"/>
                    <w:bottom w:val="single" w:color="auto" w:sz="4" w:space="0"/>
                    <w:right w:val="single" w:color="auto" w:sz="4" w:space="0"/>
                  </w:tcBorders>
                  <w:vAlign w:val="center"/>
                </w:tcPr>
                <w:p w14:paraId="0BCDA17B">
                  <w:pPr>
                    <w:jc w:val="center"/>
                    <w:textAlignment w:val="baseline"/>
                    <w:rPr>
                      <w:bCs/>
                      <w:color w:val="000000"/>
                      <w:szCs w:val="21"/>
                      <w:lang w:bidi="ar"/>
                    </w:rPr>
                  </w:pPr>
                  <w:r>
                    <w:rPr>
                      <w:rFonts w:hint="eastAsia"/>
                      <w:bCs/>
                      <w:color w:val="000000"/>
                      <w:szCs w:val="21"/>
                      <w:lang w:bidi="ar"/>
                    </w:rPr>
                    <w:t>五日生化需氧量</w:t>
                  </w:r>
                </w:p>
              </w:tc>
              <w:tc>
                <w:tcPr>
                  <w:tcW w:w="966" w:type="pct"/>
                  <w:vMerge w:val="continue"/>
                  <w:tcBorders>
                    <w:left w:val="single" w:color="auto" w:sz="4" w:space="0"/>
                    <w:right w:val="single" w:color="auto" w:sz="4" w:space="0"/>
                  </w:tcBorders>
                  <w:vAlign w:val="center"/>
                </w:tcPr>
                <w:p w14:paraId="2F6FA75F">
                  <w:pPr>
                    <w:jc w:val="center"/>
                    <w:textAlignment w:val="baseline"/>
                    <w:rPr>
                      <w:bCs/>
                      <w:color w:val="0000FF"/>
                      <w:szCs w:val="21"/>
                    </w:rPr>
                  </w:pPr>
                </w:p>
              </w:tc>
              <w:tc>
                <w:tcPr>
                  <w:tcW w:w="1899" w:type="pct"/>
                  <w:vMerge w:val="continue"/>
                  <w:tcBorders>
                    <w:left w:val="single" w:color="auto" w:sz="4" w:space="0"/>
                    <w:right w:val="single" w:color="auto" w:sz="4" w:space="0"/>
                  </w:tcBorders>
                  <w:vAlign w:val="center"/>
                </w:tcPr>
                <w:p w14:paraId="2433059A">
                  <w:pPr>
                    <w:jc w:val="center"/>
                    <w:textAlignment w:val="baseline"/>
                    <w:rPr>
                      <w:bCs/>
                      <w:color w:val="0000FF"/>
                      <w:szCs w:val="21"/>
                    </w:rPr>
                  </w:pPr>
                </w:p>
              </w:tc>
            </w:tr>
          </w:tbl>
          <w:p w14:paraId="3134D309">
            <w:pPr>
              <w:spacing w:line="360" w:lineRule="auto"/>
              <w:ind w:firstLine="482" w:firstLineChars="200"/>
              <w:jc w:val="left"/>
              <w:rPr>
                <w:sz w:val="24"/>
              </w:rPr>
            </w:pPr>
            <w:r>
              <w:rPr>
                <w:rFonts w:eastAsia="黑体"/>
                <w:b/>
                <w:sz w:val="24"/>
              </w:rPr>
              <w:t>3、噪声</w:t>
            </w:r>
          </w:p>
          <w:p w14:paraId="6DD27AA5">
            <w:pPr>
              <w:spacing w:line="360" w:lineRule="auto"/>
              <w:ind w:firstLine="480" w:firstLineChars="200"/>
              <w:jc w:val="left"/>
              <w:rPr>
                <w:b/>
                <w:sz w:val="24"/>
              </w:rPr>
            </w:pPr>
            <w:r>
              <w:rPr>
                <w:rFonts w:hint="eastAsia"/>
                <w:sz w:val="24"/>
              </w:rPr>
              <w:t>本项目噪声主要</w:t>
            </w:r>
            <w:r>
              <w:rPr>
                <w:rFonts w:hint="eastAsia"/>
                <w:kern w:val="0"/>
                <w:sz w:val="24"/>
              </w:rPr>
              <w:t>来自烘干机、拉丝机、包丝机、切丝机、打包机、水泵、风机等运行</w:t>
            </w:r>
            <w:r>
              <w:rPr>
                <w:rFonts w:hint="eastAsia"/>
                <w:sz w:val="24"/>
              </w:rPr>
              <w:t>过程产生的噪声</w:t>
            </w:r>
            <w:r>
              <w:rPr>
                <w:rFonts w:hint="eastAsia"/>
                <w:spacing w:val="-3"/>
                <w:sz w:val="24"/>
              </w:rPr>
              <w:t>，</w:t>
            </w:r>
            <w:r>
              <w:rPr>
                <w:rFonts w:hint="eastAsia"/>
                <w:sz w:val="24"/>
              </w:rPr>
              <w:t>噪声级为75</w:t>
            </w:r>
            <w:r>
              <w:rPr>
                <w:sz w:val="24"/>
              </w:rPr>
              <w:t>~</w:t>
            </w:r>
            <w:r>
              <w:rPr>
                <w:rFonts w:hint="eastAsia"/>
                <w:sz w:val="24"/>
              </w:rPr>
              <w:t>95</w:t>
            </w:r>
            <w:r>
              <w:rPr>
                <w:sz w:val="24"/>
              </w:rPr>
              <w:t>dB(A)</w:t>
            </w:r>
            <w:r>
              <w:rPr>
                <w:rFonts w:hint="eastAsia"/>
                <w:sz w:val="24"/>
              </w:rPr>
              <w:t>。经采取基础减振、消声器等措施后，噪声可降低约</w:t>
            </w:r>
            <w:r>
              <w:rPr>
                <w:sz w:val="24"/>
              </w:rPr>
              <w:t>15</w:t>
            </w:r>
            <w:r>
              <w:rPr>
                <w:rFonts w:hint="eastAsia"/>
                <w:sz w:val="24"/>
              </w:rPr>
              <w:t>～20</w:t>
            </w:r>
            <w:r>
              <w:rPr>
                <w:sz w:val="24"/>
              </w:rPr>
              <w:t>dB</w:t>
            </w:r>
            <w:r>
              <w:rPr>
                <w:rFonts w:hint="eastAsia"/>
                <w:sz w:val="24"/>
              </w:rPr>
              <w:t>（</w:t>
            </w:r>
            <w:r>
              <w:rPr>
                <w:sz w:val="24"/>
              </w:rPr>
              <w:t>A</w:t>
            </w:r>
            <w:r>
              <w:rPr>
                <w:rFonts w:hint="eastAsia"/>
                <w:sz w:val="24"/>
              </w:rPr>
              <w:t>），项目噪声设备源强和治理措施及效果见下表。</w:t>
            </w:r>
          </w:p>
        </w:tc>
      </w:tr>
    </w:tbl>
    <w:p w14:paraId="130DA221">
      <w:pPr>
        <w:adjustRightInd w:val="0"/>
        <w:snapToGrid w:val="0"/>
        <w:spacing w:line="360" w:lineRule="auto"/>
        <w:rPr>
          <w:rFonts w:ascii="宋体" w:cs="宋体"/>
          <w:b/>
          <w:kern w:val="0"/>
          <w:sz w:val="28"/>
          <w:szCs w:val="28"/>
        </w:rPr>
        <w:sectPr>
          <w:pgSz w:w="11907" w:h="16840"/>
          <w:pgMar w:top="1701" w:right="1531" w:bottom="2127" w:left="1531" w:header="851" w:footer="851" w:gutter="0"/>
          <w:cols w:space="720" w:num="1"/>
          <w:docGrid w:linePitch="312" w:charSpace="0"/>
        </w:sectPr>
      </w:pPr>
    </w:p>
    <w:tbl>
      <w:tblPr>
        <w:tblStyle w:val="29"/>
        <w:tblW w:w="5000" w:type="pct"/>
        <w:jc w:val="center"/>
        <w:tblBorders>
          <w:top w:val="single" w:color="auto" w:sz="8" w:space="0"/>
          <w:left w:val="single" w:color="auto" w:sz="8" w:space="0"/>
          <w:bottom w:val="single" w:color="auto" w:sz="4"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01"/>
        <w:gridCol w:w="12771"/>
      </w:tblGrid>
      <w:tr w14:paraId="487E0B79">
        <w:tblPrEx>
          <w:tblBorders>
            <w:top w:val="single" w:color="auto" w:sz="8" w:space="0"/>
            <w:left w:val="single" w:color="auto" w:sz="8" w:space="0"/>
            <w:bottom w:val="single" w:color="auto" w:sz="4"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19" w:hRule="atLeast"/>
          <w:jc w:val="center"/>
        </w:trPr>
        <w:tc>
          <w:tcPr>
            <w:tcW w:w="295" w:type="pct"/>
            <w:tcMar>
              <w:left w:w="28" w:type="dxa"/>
              <w:right w:w="28" w:type="dxa"/>
            </w:tcMar>
            <w:vAlign w:val="center"/>
          </w:tcPr>
          <w:p w14:paraId="5DF5F55D">
            <w:pPr>
              <w:pStyle w:val="25"/>
              <w:adjustRightInd w:val="0"/>
              <w:snapToGrid w:val="0"/>
              <w:spacing w:before="0" w:beforeAutospacing="0" w:after="0" w:afterAutospacing="0"/>
              <w:jc w:val="center"/>
              <w:rPr>
                <w:rFonts w:ascii="Times New Roman" w:hAnsi="Times New Roman"/>
                <w:kern w:val="2"/>
                <w:szCs w:val="24"/>
              </w:rPr>
            </w:pPr>
            <w:r>
              <w:rPr>
                <w:rFonts w:hint="eastAsia" w:ascii="Times New Roman" w:hAnsi="Times New Roman"/>
                <w:kern w:val="2"/>
                <w:szCs w:val="24"/>
              </w:rPr>
              <w:t>运营</w:t>
            </w:r>
            <w:r>
              <w:rPr>
                <w:rFonts w:ascii="Times New Roman" w:hAnsi="Times New Roman"/>
                <w:kern w:val="2"/>
                <w:szCs w:val="24"/>
              </w:rPr>
              <w:t>期环境保护措施</w:t>
            </w:r>
          </w:p>
        </w:tc>
        <w:tc>
          <w:tcPr>
            <w:tcW w:w="4705" w:type="pct"/>
            <w:vAlign w:val="center"/>
          </w:tcPr>
          <w:p w14:paraId="0482F0CD">
            <w:pPr>
              <w:jc w:val="center"/>
              <w:rPr>
                <w:sz w:val="24"/>
              </w:rPr>
            </w:pPr>
            <w:r>
              <w:rPr>
                <w:rFonts w:hint="eastAsia"/>
                <w:b/>
                <w:bCs/>
                <w:sz w:val="24"/>
              </w:rPr>
              <w:t>表</w:t>
            </w:r>
            <w:r>
              <w:rPr>
                <w:b/>
                <w:bCs/>
                <w:sz w:val="24"/>
              </w:rPr>
              <w:t xml:space="preserve">27    </w:t>
            </w:r>
            <w:r>
              <w:rPr>
                <w:rFonts w:hint="eastAsia" w:hAnsi="黑体"/>
                <w:b/>
                <w:sz w:val="24"/>
              </w:rPr>
              <w:t>工业企业噪声源强调查清单（室内声源）</w:t>
            </w:r>
            <w:r>
              <w:rPr>
                <w:rFonts w:hint="eastAsia"/>
                <w:b/>
                <w:bCs/>
                <w:sz w:val="24"/>
              </w:rPr>
              <w:t xml:space="preserve">     单位：</w:t>
            </w:r>
            <w:r>
              <w:rPr>
                <w:szCs w:val="21"/>
              </w:rPr>
              <w:t>dB(A)</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70"/>
              <w:gridCol w:w="873"/>
              <w:gridCol w:w="700"/>
              <w:gridCol w:w="557"/>
              <w:gridCol w:w="1016"/>
              <w:gridCol w:w="549"/>
              <w:gridCol w:w="549"/>
              <w:gridCol w:w="404"/>
              <w:gridCol w:w="554"/>
              <w:gridCol w:w="539"/>
              <w:gridCol w:w="544"/>
              <w:gridCol w:w="544"/>
              <w:gridCol w:w="507"/>
              <w:gridCol w:w="434"/>
              <w:gridCol w:w="404"/>
              <w:gridCol w:w="547"/>
              <w:gridCol w:w="818"/>
              <w:gridCol w:w="434"/>
              <w:gridCol w:w="434"/>
              <w:gridCol w:w="435"/>
              <w:gridCol w:w="402"/>
              <w:gridCol w:w="631"/>
            </w:tblGrid>
            <w:tr w14:paraId="4701D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8" w:hRule="atLeast"/>
              </w:trPr>
              <w:tc>
                <w:tcPr>
                  <w:tcW w:w="267" w:type="pct"/>
                  <w:vMerge w:val="restart"/>
                  <w:tcBorders>
                    <w:top w:val="single" w:color="auto" w:sz="4" w:space="0"/>
                    <w:left w:val="single" w:color="auto" w:sz="4" w:space="0"/>
                    <w:bottom w:val="single" w:color="auto" w:sz="4" w:space="0"/>
                    <w:right w:val="single" w:color="auto" w:sz="4" w:space="0"/>
                  </w:tcBorders>
                  <w:vAlign w:val="center"/>
                </w:tcPr>
                <w:p w14:paraId="07643E79">
                  <w:pPr>
                    <w:jc w:val="center"/>
                    <w:rPr>
                      <w:b/>
                      <w:szCs w:val="21"/>
                      <w:u w:val="single"/>
                    </w:rPr>
                  </w:pPr>
                  <w:r>
                    <w:rPr>
                      <w:b/>
                      <w:szCs w:val="21"/>
                      <w:u w:val="single"/>
                    </w:rPr>
                    <w:t>建筑物名称</w:t>
                  </w:r>
                </w:p>
              </w:tc>
              <w:tc>
                <w:tcPr>
                  <w:tcW w:w="348" w:type="pct"/>
                  <w:vMerge w:val="restart"/>
                  <w:tcBorders>
                    <w:top w:val="single" w:color="auto" w:sz="4" w:space="0"/>
                    <w:left w:val="single" w:color="auto" w:sz="4" w:space="0"/>
                    <w:bottom w:val="single" w:color="auto" w:sz="4" w:space="0"/>
                    <w:right w:val="single" w:color="auto" w:sz="4" w:space="0"/>
                  </w:tcBorders>
                  <w:vAlign w:val="center"/>
                </w:tcPr>
                <w:p w14:paraId="03842407">
                  <w:pPr>
                    <w:jc w:val="center"/>
                    <w:rPr>
                      <w:b/>
                      <w:szCs w:val="21"/>
                      <w:u w:val="single"/>
                    </w:rPr>
                  </w:pPr>
                  <w:r>
                    <w:rPr>
                      <w:b/>
                      <w:szCs w:val="21"/>
                      <w:u w:val="single"/>
                    </w:rPr>
                    <w:t>声源名称</w:t>
                  </w:r>
                </w:p>
              </w:tc>
              <w:tc>
                <w:tcPr>
                  <w:tcW w:w="279" w:type="pct"/>
                  <w:vMerge w:val="restart"/>
                  <w:tcBorders>
                    <w:top w:val="single" w:color="auto" w:sz="4" w:space="0"/>
                    <w:left w:val="single" w:color="auto" w:sz="4" w:space="0"/>
                    <w:bottom w:val="single" w:color="auto" w:sz="4" w:space="0"/>
                    <w:right w:val="single" w:color="auto" w:sz="4" w:space="0"/>
                  </w:tcBorders>
                  <w:vAlign w:val="center"/>
                </w:tcPr>
                <w:p w14:paraId="68EE61C8">
                  <w:pPr>
                    <w:jc w:val="center"/>
                    <w:rPr>
                      <w:b/>
                      <w:szCs w:val="21"/>
                      <w:u w:val="single"/>
                    </w:rPr>
                  </w:pPr>
                  <w:r>
                    <w:rPr>
                      <w:b/>
                      <w:szCs w:val="21"/>
                      <w:u w:val="single"/>
                    </w:rPr>
                    <w:t>数量</w:t>
                  </w:r>
                </w:p>
                <w:p w14:paraId="312C0A10">
                  <w:pPr>
                    <w:jc w:val="center"/>
                    <w:rPr>
                      <w:b/>
                      <w:szCs w:val="21"/>
                      <w:u w:val="single"/>
                    </w:rPr>
                  </w:pPr>
                  <w:r>
                    <w:rPr>
                      <w:b/>
                      <w:szCs w:val="21"/>
                      <w:u w:val="single"/>
                    </w:rPr>
                    <w:t>（台）</w:t>
                  </w:r>
                </w:p>
              </w:tc>
              <w:tc>
                <w:tcPr>
                  <w:tcW w:w="222" w:type="pct"/>
                  <w:vMerge w:val="restart"/>
                  <w:tcBorders>
                    <w:top w:val="single" w:color="auto" w:sz="4" w:space="0"/>
                    <w:left w:val="single" w:color="auto" w:sz="4" w:space="0"/>
                    <w:right w:val="single" w:color="auto" w:sz="4" w:space="0"/>
                  </w:tcBorders>
                  <w:vAlign w:val="center"/>
                </w:tcPr>
                <w:p w14:paraId="23A143E4">
                  <w:pPr>
                    <w:jc w:val="center"/>
                    <w:rPr>
                      <w:b/>
                      <w:szCs w:val="21"/>
                      <w:u w:val="single"/>
                    </w:rPr>
                  </w:pPr>
                  <w:r>
                    <w:rPr>
                      <w:b/>
                      <w:szCs w:val="21"/>
                      <w:u w:val="single"/>
                    </w:rPr>
                    <w:t>声源源强</w:t>
                  </w:r>
                </w:p>
              </w:tc>
              <w:tc>
                <w:tcPr>
                  <w:tcW w:w="405" w:type="pct"/>
                  <w:vMerge w:val="restart"/>
                  <w:tcBorders>
                    <w:top w:val="single" w:color="auto" w:sz="4" w:space="0"/>
                    <w:left w:val="single" w:color="auto" w:sz="4" w:space="0"/>
                    <w:bottom w:val="single" w:color="auto" w:sz="4" w:space="0"/>
                    <w:right w:val="single" w:color="auto" w:sz="4" w:space="0"/>
                  </w:tcBorders>
                  <w:vAlign w:val="center"/>
                </w:tcPr>
                <w:p w14:paraId="2E06C4B1">
                  <w:pPr>
                    <w:jc w:val="center"/>
                    <w:rPr>
                      <w:b/>
                      <w:szCs w:val="21"/>
                      <w:u w:val="single"/>
                    </w:rPr>
                  </w:pPr>
                  <w:r>
                    <w:rPr>
                      <w:b/>
                      <w:szCs w:val="21"/>
                      <w:u w:val="single"/>
                    </w:rPr>
                    <w:t>声源控制措施</w:t>
                  </w:r>
                </w:p>
              </w:tc>
              <w:tc>
                <w:tcPr>
                  <w:tcW w:w="599" w:type="pct"/>
                  <w:gridSpan w:val="3"/>
                  <w:tcBorders>
                    <w:top w:val="single" w:color="auto" w:sz="4" w:space="0"/>
                    <w:left w:val="single" w:color="auto" w:sz="4" w:space="0"/>
                    <w:bottom w:val="single" w:color="auto" w:sz="4" w:space="0"/>
                    <w:right w:val="single" w:color="auto" w:sz="4" w:space="0"/>
                  </w:tcBorders>
                  <w:vAlign w:val="center"/>
                </w:tcPr>
                <w:p w14:paraId="10E6DC52">
                  <w:pPr>
                    <w:snapToGrid w:val="0"/>
                    <w:jc w:val="center"/>
                    <w:rPr>
                      <w:b/>
                      <w:szCs w:val="21"/>
                      <w:u w:val="single"/>
                    </w:rPr>
                  </w:pPr>
                  <w:r>
                    <w:rPr>
                      <w:b/>
                      <w:szCs w:val="21"/>
                      <w:u w:val="single"/>
                    </w:rPr>
                    <w:t>空间相对位置/m</w:t>
                  </w:r>
                </w:p>
              </w:tc>
              <w:tc>
                <w:tcPr>
                  <w:tcW w:w="870" w:type="pct"/>
                  <w:gridSpan w:val="4"/>
                  <w:tcBorders>
                    <w:top w:val="single" w:color="auto" w:sz="4" w:space="0"/>
                    <w:left w:val="single" w:color="auto" w:sz="4" w:space="0"/>
                    <w:bottom w:val="single" w:color="auto" w:sz="4" w:space="0"/>
                    <w:right w:val="single" w:color="auto" w:sz="4" w:space="0"/>
                  </w:tcBorders>
                  <w:vAlign w:val="center"/>
                </w:tcPr>
                <w:p w14:paraId="10DCCA27">
                  <w:pPr>
                    <w:snapToGrid w:val="0"/>
                    <w:jc w:val="center"/>
                    <w:rPr>
                      <w:b/>
                      <w:szCs w:val="21"/>
                      <w:u w:val="single"/>
                    </w:rPr>
                  </w:pPr>
                  <w:r>
                    <w:rPr>
                      <w:b/>
                      <w:szCs w:val="21"/>
                      <w:u w:val="single"/>
                    </w:rPr>
                    <w:t>距室内边界距离/m</w:t>
                  </w:r>
                </w:p>
              </w:tc>
              <w:tc>
                <w:tcPr>
                  <w:tcW w:w="754" w:type="pct"/>
                  <w:gridSpan w:val="4"/>
                  <w:tcBorders>
                    <w:top w:val="single" w:color="auto" w:sz="4" w:space="0"/>
                    <w:left w:val="single" w:color="auto" w:sz="4" w:space="0"/>
                    <w:bottom w:val="single" w:color="auto" w:sz="4" w:space="0"/>
                    <w:right w:val="single" w:color="auto" w:sz="4" w:space="0"/>
                  </w:tcBorders>
                  <w:vAlign w:val="center"/>
                </w:tcPr>
                <w:p w14:paraId="1379ED69">
                  <w:pPr>
                    <w:snapToGrid w:val="0"/>
                    <w:jc w:val="center"/>
                    <w:rPr>
                      <w:b/>
                      <w:szCs w:val="21"/>
                      <w:u w:val="single"/>
                    </w:rPr>
                  </w:pPr>
                  <w:r>
                    <w:rPr>
                      <w:b/>
                      <w:szCs w:val="21"/>
                      <w:u w:val="single"/>
                    </w:rPr>
                    <w:t>室内边界声级</w:t>
                  </w:r>
                </w:p>
              </w:tc>
              <w:tc>
                <w:tcPr>
                  <w:tcW w:w="326" w:type="pct"/>
                  <w:vMerge w:val="restart"/>
                  <w:tcBorders>
                    <w:top w:val="single" w:color="auto" w:sz="4" w:space="0"/>
                    <w:left w:val="single" w:color="auto" w:sz="4" w:space="0"/>
                    <w:right w:val="single" w:color="auto" w:sz="4" w:space="0"/>
                  </w:tcBorders>
                  <w:vAlign w:val="center"/>
                </w:tcPr>
                <w:p w14:paraId="7394EAF7">
                  <w:pPr>
                    <w:snapToGrid w:val="0"/>
                    <w:jc w:val="center"/>
                    <w:rPr>
                      <w:b/>
                      <w:spacing w:val="-10"/>
                      <w:szCs w:val="21"/>
                      <w:u w:val="single"/>
                    </w:rPr>
                  </w:pPr>
                  <w:r>
                    <w:rPr>
                      <w:b/>
                      <w:spacing w:val="-10"/>
                      <w:szCs w:val="21"/>
                      <w:u w:val="single"/>
                    </w:rPr>
                    <w:t>建筑物插入损失</w:t>
                  </w:r>
                  <w:bookmarkStart w:id="6" w:name="PT_10"/>
                  <w:bookmarkEnd w:id="6"/>
                </w:p>
              </w:tc>
              <w:tc>
                <w:tcPr>
                  <w:tcW w:w="930" w:type="pct"/>
                  <w:gridSpan w:val="5"/>
                  <w:tcBorders>
                    <w:top w:val="single" w:color="auto" w:sz="4" w:space="0"/>
                    <w:left w:val="single" w:color="auto" w:sz="4" w:space="0"/>
                    <w:bottom w:val="single" w:color="auto" w:sz="4" w:space="0"/>
                    <w:right w:val="single" w:color="auto" w:sz="4" w:space="0"/>
                  </w:tcBorders>
                  <w:vAlign w:val="center"/>
                </w:tcPr>
                <w:p w14:paraId="6ECA2D43">
                  <w:pPr>
                    <w:snapToGrid w:val="0"/>
                    <w:jc w:val="center"/>
                    <w:rPr>
                      <w:b/>
                      <w:szCs w:val="21"/>
                      <w:u w:val="single"/>
                    </w:rPr>
                  </w:pPr>
                  <w:r>
                    <w:rPr>
                      <w:b/>
                      <w:szCs w:val="21"/>
                      <w:u w:val="single"/>
                    </w:rPr>
                    <w:t>建筑物外噪声声压级</w:t>
                  </w:r>
                </w:p>
              </w:tc>
            </w:tr>
            <w:tr w14:paraId="41147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267" w:type="pct"/>
                  <w:vMerge w:val="continue"/>
                  <w:tcBorders>
                    <w:top w:val="single" w:color="auto" w:sz="4" w:space="0"/>
                    <w:left w:val="single" w:color="auto" w:sz="4" w:space="0"/>
                    <w:bottom w:val="single" w:color="auto" w:sz="4" w:space="0"/>
                    <w:right w:val="single" w:color="auto" w:sz="4" w:space="0"/>
                  </w:tcBorders>
                  <w:vAlign w:val="center"/>
                </w:tcPr>
                <w:p w14:paraId="377747F0">
                  <w:pPr>
                    <w:widowControl/>
                    <w:jc w:val="center"/>
                    <w:rPr>
                      <w:b/>
                      <w:szCs w:val="21"/>
                      <w:u w:val="single"/>
                    </w:rPr>
                  </w:pPr>
                </w:p>
              </w:tc>
              <w:tc>
                <w:tcPr>
                  <w:tcW w:w="348" w:type="pct"/>
                  <w:vMerge w:val="continue"/>
                  <w:tcBorders>
                    <w:top w:val="single" w:color="auto" w:sz="4" w:space="0"/>
                    <w:left w:val="single" w:color="auto" w:sz="4" w:space="0"/>
                    <w:bottom w:val="single" w:color="auto" w:sz="4" w:space="0"/>
                    <w:right w:val="single" w:color="auto" w:sz="4" w:space="0"/>
                  </w:tcBorders>
                  <w:vAlign w:val="center"/>
                </w:tcPr>
                <w:p w14:paraId="44F26C45">
                  <w:pPr>
                    <w:widowControl/>
                    <w:jc w:val="center"/>
                    <w:rPr>
                      <w:b/>
                      <w:szCs w:val="21"/>
                      <w:u w:val="single"/>
                    </w:rPr>
                  </w:pPr>
                </w:p>
              </w:tc>
              <w:tc>
                <w:tcPr>
                  <w:tcW w:w="279" w:type="pct"/>
                  <w:vMerge w:val="continue"/>
                  <w:tcBorders>
                    <w:top w:val="single" w:color="auto" w:sz="4" w:space="0"/>
                    <w:left w:val="single" w:color="auto" w:sz="4" w:space="0"/>
                    <w:bottom w:val="single" w:color="auto" w:sz="4" w:space="0"/>
                    <w:right w:val="single" w:color="auto" w:sz="4" w:space="0"/>
                  </w:tcBorders>
                  <w:vAlign w:val="center"/>
                </w:tcPr>
                <w:p w14:paraId="4FE8CE4B">
                  <w:pPr>
                    <w:widowControl/>
                    <w:jc w:val="center"/>
                    <w:rPr>
                      <w:b/>
                      <w:szCs w:val="21"/>
                      <w:u w:val="single"/>
                    </w:rPr>
                  </w:pPr>
                </w:p>
              </w:tc>
              <w:tc>
                <w:tcPr>
                  <w:tcW w:w="222" w:type="pct"/>
                  <w:vMerge w:val="continue"/>
                  <w:tcBorders>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79A2F58">
                  <w:pPr>
                    <w:jc w:val="center"/>
                    <w:rPr>
                      <w:b/>
                      <w:szCs w:val="21"/>
                      <w:u w:val="single"/>
                    </w:rPr>
                  </w:pPr>
                </w:p>
              </w:tc>
              <w:tc>
                <w:tcPr>
                  <w:tcW w:w="405" w:type="pct"/>
                  <w:vMerge w:val="continue"/>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7847D3A5">
                  <w:pPr>
                    <w:widowControl/>
                    <w:jc w:val="center"/>
                    <w:rPr>
                      <w:b/>
                      <w:szCs w:val="21"/>
                      <w:u w:val="single"/>
                    </w:rPr>
                  </w:pPr>
                </w:p>
              </w:tc>
              <w:tc>
                <w:tcPr>
                  <w:tcW w:w="219"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9E4105D">
                  <w:pPr>
                    <w:jc w:val="center"/>
                    <w:rPr>
                      <w:b/>
                      <w:szCs w:val="21"/>
                      <w:u w:val="single"/>
                    </w:rPr>
                  </w:pPr>
                  <w:r>
                    <w:rPr>
                      <w:b/>
                      <w:szCs w:val="21"/>
                      <w:u w:val="single"/>
                    </w:rPr>
                    <w:t>X</w:t>
                  </w:r>
                </w:p>
              </w:tc>
              <w:tc>
                <w:tcPr>
                  <w:tcW w:w="219"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5691C91">
                  <w:pPr>
                    <w:jc w:val="center"/>
                    <w:rPr>
                      <w:b/>
                      <w:szCs w:val="21"/>
                      <w:u w:val="single"/>
                    </w:rPr>
                  </w:pPr>
                  <w:r>
                    <w:rPr>
                      <w:b/>
                      <w:szCs w:val="21"/>
                      <w:u w:val="single"/>
                    </w:rPr>
                    <w:t>Y</w:t>
                  </w:r>
                </w:p>
              </w:tc>
              <w:tc>
                <w:tcPr>
                  <w:tcW w:w="161"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C225AF1">
                  <w:pPr>
                    <w:jc w:val="center"/>
                    <w:rPr>
                      <w:b/>
                      <w:szCs w:val="21"/>
                      <w:u w:val="single"/>
                    </w:rPr>
                  </w:pPr>
                  <w:r>
                    <w:rPr>
                      <w:b/>
                      <w:szCs w:val="21"/>
                      <w:u w:val="single"/>
                    </w:rPr>
                    <w:t>Z</w:t>
                  </w:r>
                </w:p>
              </w:tc>
              <w:tc>
                <w:tcPr>
                  <w:tcW w:w="221"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45E007E">
                  <w:pPr>
                    <w:jc w:val="center"/>
                    <w:rPr>
                      <w:b/>
                      <w:szCs w:val="21"/>
                      <w:u w:val="single"/>
                    </w:rPr>
                  </w:pPr>
                  <w:r>
                    <w:rPr>
                      <w:b/>
                      <w:szCs w:val="21"/>
                      <w:u w:val="single"/>
                    </w:rPr>
                    <w:t>东</w:t>
                  </w:r>
                </w:p>
              </w:tc>
              <w:tc>
                <w:tcPr>
                  <w:tcW w:w="215"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823E06C">
                  <w:pPr>
                    <w:jc w:val="center"/>
                    <w:rPr>
                      <w:b/>
                      <w:szCs w:val="21"/>
                      <w:u w:val="single"/>
                    </w:rPr>
                  </w:pPr>
                  <w:r>
                    <w:rPr>
                      <w:b/>
                      <w:szCs w:val="21"/>
                      <w:u w:val="single"/>
                    </w:rPr>
                    <w:t>南</w:t>
                  </w:r>
                </w:p>
              </w:tc>
              <w:tc>
                <w:tcPr>
                  <w:tcW w:w="217"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DA43C8C">
                  <w:pPr>
                    <w:jc w:val="center"/>
                    <w:rPr>
                      <w:b/>
                      <w:szCs w:val="21"/>
                      <w:u w:val="single"/>
                    </w:rPr>
                  </w:pPr>
                  <w:r>
                    <w:rPr>
                      <w:b/>
                      <w:szCs w:val="21"/>
                      <w:u w:val="single"/>
                    </w:rPr>
                    <w:t>西</w:t>
                  </w:r>
                </w:p>
              </w:tc>
              <w:tc>
                <w:tcPr>
                  <w:tcW w:w="217"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43C830A">
                  <w:pPr>
                    <w:jc w:val="center"/>
                    <w:rPr>
                      <w:b/>
                      <w:szCs w:val="21"/>
                      <w:u w:val="single"/>
                    </w:rPr>
                  </w:pPr>
                  <w:r>
                    <w:rPr>
                      <w:b/>
                      <w:szCs w:val="21"/>
                      <w:u w:val="single"/>
                    </w:rPr>
                    <w:t>北</w:t>
                  </w:r>
                </w:p>
              </w:tc>
              <w:tc>
                <w:tcPr>
                  <w:tcW w:w="202"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5FC938E">
                  <w:pPr>
                    <w:jc w:val="center"/>
                    <w:rPr>
                      <w:b/>
                      <w:szCs w:val="21"/>
                      <w:u w:val="single"/>
                    </w:rPr>
                  </w:pPr>
                  <w:r>
                    <w:rPr>
                      <w:b/>
                      <w:szCs w:val="21"/>
                      <w:u w:val="single"/>
                    </w:rPr>
                    <w:t>东</w:t>
                  </w:r>
                </w:p>
              </w:tc>
              <w:tc>
                <w:tcPr>
                  <w:tcW w:w="173"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7165F00">
                  <w:pPr>
                    <w:jc w:val="center"/>
                    <w:rPr>
                      <w:b/>
                      <w:szCs w:val="21"/>
                      <w:u w:val="single"/>
                    </w:rPr>
                  </w:pPr>
                  <w:r>
                    <w:rPr>
                      <w:b/>
                      <w:szCs w:val="21"/>
                      <w:u w:val="single"/>
                    </w:rPr>
                    <w:t>南</w:t>
                  </w:r>
                </w:p>
              </w:tc>
              <w:tc>
                <w:tcPr>
                  <w:tcW w:w="161"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85C25E2">
                  <w:pPr>
                    <w:jc w:val="center"/>
                    <w:rPr>
                      <w:b/>
                      <w:szCs w:val="21"/>
                      <w:u w:val="single"/>
                    </w:rPr>
                  </w:pPr>
                  <w:r>
                    <w:rPr>
                      <w:b/>
                      <w:szCs w:val="21"/>
                      <w:u w:val="single"/>
                    </w:rPr>
                    <w:t>西</w:t>
                  </w:r>
                </w:p>
              </w:tc>
              <w:tc>
                <w:tcPr>
                  <w:tcW w:w="218"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00F2542">
                  <w:pPr>
                    <w:jc w:val="center"/>
                    <w:rPr>
                      <w:b/>
                      <w:szCs w:val="21"/>
                      <w:u w:val="single"/>
                    </w:rPr>
                  </w:pPr>
                  <w:r>
                    <w:rPr>
                      <w:b/>
                      <w:szCs w:val="21"/>
                      <w:u w:val="single"/>
                    </w:rPr>
                    <w:t>北</w:t>
                  </w:r>
                </w:p>
              </w:tc>
              <w:tc>
                <w:tcPr>
                  <w:tcW w:w="326" w:type="pct"/>
                  <w:vMerge w:val="continue"/>
                  <w:tcBorders>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F59DB20">
                  <w:pPr>
                    <w:jc w:val="center"/>
                    <w:rPr>
                      <w:b/>
                      <w:szCs w:val="21"/>
                      <w:u w:val="single"/>
                    </w:rPr>
                  </w:pPr>
                </w:p>
              </w:tc>
              <w:tc>
                <w:tcPr>
                  <w:tcW w:w="173"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65779C0">
                  <w:pPr>
                    <w:jc w:val="center"/>
                    <w:rPr>
                      <w:b/>
                      <w:szCs w:val="21"/>
                      <w:u w:val="single"/>
                    </w:rPr>
                  </w:pPr>
                  <w:r>
                    <w:rPr>
                      <w:b/>
                      <w:szCs w:val="21"/>
                      <w:u w:val="single"/>
                    </w:rPr>
                    <w:t>东</w:t>
                  </w:r>
                </w:p>
              </w:tc>
              <w:tc>
                <w:tcPr>
                  <w:tcW w:w="173"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C5F946">
                  <w:pPr>
                    <w:jc w:val="center"/>
                    <w:rPr>
                      <w:b/>
                      <w:szCs w:val="21"/>
                      <w:u w:val="single"/>
                    </w:rPr>
                  </w:pPr>
                  <w:r>
                    <w:rPr>
                      <w:b/>
                      <w:szCs w:val="21"/>
                      <w:u w:val="single"/>
                    </w:rPr>
                    <w:t>南</w:t>
                  </w:r>
                </w:p>
              </w:tc>
              <w:tc>
                <w:tcPr>
                  <w:tcW w:w="173"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B15C658">
                  <w:pPr>
                    <w:jc w:val="center"/>
                    <w:rPr>
                      <w:b/>
                      <w:szCs w:val="21"/>
                      <w:u w:val="single"/>
                    </w:rPr>
                  </w:pPr>
                  <w:r>
                    <w:rPr>
                      <w:b/>
                      <w:szCs w:val="21"/>
                      <w:u w:val="single"/>
                    </w:rPr>
                    <w:t>西</w:t>
                  </w:r>
                </w:p>
              </w:tc>
              <w:tc>
                <w:tcPr>
                  <w:tcW w:w="160"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C3A5A31">
                  <w:pPr>
                    <w:adjustRightInd w:val="0"/>
                    <w:snapToGrid w:val="0"/>
                    <w:jc w:val="center"/>
                    <w:rPr>
                      <w:b/>
                      <w:szCs w:val="21"/>
                      <w:u w:val="single"/>
                    </w:rPr>
                  </w:pPr>
                  <w:r>
                    <w:rPr>
                      <w:b/>
                      <w:szCs w:val="21"/>
                      <w:u w:val="single"/>
                    </w:rPr>
                    <w:t>北</w:t>
                  </w:r>
                </w:p>
              </w:tc>
              <w:tc>
                <w:tcPr>
                  <w:tcW w:w="251"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189AF62">
                  <w:pPr>
                    <w:adjustRightInd w:val="0"/>
                    <w:snapToGrid w:val="0"/>
                    <w:jc w:val="center"/>
                    <w:rPr>
                      <w:b/>
                      <w:szCs w:val="21"/>
                      <w:u w:val="single"/>
                    </w:rPr>
                  </w:pPr>
                  <w:r>
                    <w:rPr>
                      <w:b/>
                      <w:szCs w:val="21"/>
                      <w:u w:val="single"/>
                    </w:rPr>
                    <w:t>建筑物外距离</w:t>
                  </w:r>
                </w:p>
              </w:tc>
            </w:tr>
            <w:tr w14:paraId="08C5E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267"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AE08AC5">
                  <w:pPr>
                    <w:jc w:val="center"/>
                    <w:rPr>
                      <w:b/>
                      <w:szCs w:val="21"/>
                      <w:u w:val="single"/>
                    </w:rPr>
                  </w:pPr>
                  <w:r>
                    <w:rPr>
                      <w:rFonts w:hint="eastAsia"/>
                      <w:b/>
                      <w:szCs w:val="21"/>
                      <w:u w:val="single"/>
                    </w:rPr>
                    <w:t>1</w:t>
                  </w:r>
                </w:p>
              </w:tc>
              <w:tc>
                <w:tcPr>
                  <w:tcW w:w="348"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983F057">
                  <w:pPr>
                    <w:jc w:val="center"/>
                    <w:rPr>
                      <w:b/>
                      <w:szCs w:val="21"/>
                      <w:u w:val="single"/>
                    </w:rPr>
                  </w:pPr>
                  <w:r>
                    <w:rPr>
                      <w:rFonts w:hint="eastAsia"/>
                      <w:b/>
                      <w:szCs w:val="21"/>
                      <w:u w:val="single"/>
                    </w:rPr>
                    <w:t>烘干机</w:t>
                  </w:r>
                </w:p>
              </w:tc>
              <w:tc>
                <w:tcPr>
                  <w:tcW w:w="279"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A126B69">
                  <w:pPr>
                    <w:jc w:val="center"/>
                    <w:rPr>
                      <w:b/>
                      <w:szCs w:val="21"/>
                      <w:u w:val="single"/>
                    </w:rPr>
                  </w:pPr>
                  <w:r>
                    <w:rPr>
                      <w:rFonts w:hint="eastAsia"/>
                      <w:b/>
                      <w:szCs w:val="21"/>
                      <w:u w:val="single"/>
                    </w:rPr>
                    <w:t>1</w:t>
                  </w:r>
                </w:p>
              </w:tc>
              <w:tc>
                <w:tcPr>
                  <w:tcW w:w="222"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24828EB">
                  <w:pPr>
                    <w:jc w:val="center"/>
                    <w:rPr>
                      <w:b/>
                      <w:szCs w:val="21"/>
                      <w:u w:val="single"/>
                    </w:rPr>
                  </w:pPr>
                  <w:r>
                    <w:rPr>
                      <w:b/>
                      <w:szCs w:val="21"/>
                      <w:u w:val="single"/>
                    </w:rPr>
                    <w:t>75</w:t>
                  </w:r>
                </w:p>
              </w:tc>
              <w:tc>
                <w:tcPr>
                  <w:tcW w:w="405" w:type="pct"/>
                  <w:vMerge w:val="restart"/>
                  <w:tcBorders>
                    <w:top w:val="single" w:color="auto" w:sz="4" w:space="0"/>
                    <w:left w:val="single" w:color="auto" w:sz="4" w:space="0"/>
                    <w:right w:val="single" w:color="auto" w:sz="4" w:space="0"/>
                  </w:tcBorders>
                  <w:shd w:val="clear" w:color="auto" w:fill="FFFFFF"/>
                  <w:tcMar>
                    <w:top w:w="0" w:type="dxa"/>
                    <w:left w:w="0" w:type="dxa"/>
                    <w:bottom w:w="0" w:type="dxa"/>
                    <w:right w:w="0" w:type="dxa"/>
                  </w:tcMar>
                  <w:vAlign w:val="center"/>
                </w:tcPr>
                <w:p w14:paraId="6AA4197B">
                  <w:pPr>
                    <w:jc w:val="center"/>
                    <w:rPr>
                      <w:b/>
                      <w:szCs w:val="21"/>
                      <w:u w:val="single"/>
                    </w:rPr>
                  </w:pPr>
                  <w:r>
                    <w:rPr>
                      <w:b/>
                      <w:szCs w:val="21"/>
                      <w:u w:val="single"/>
                    </w:rPr>
                    <w:t>减振</w:t>
                  </w:r>
                  <w:r>
                    <w:rPr>
                      <w:rFonts w:hint="eastAsia"/>
                      <w:b/>
                      <w:szCs w:val="21"/>
                      <w:u w:val="single"/>
                    </w:rPr>
                    <w:t>、厂房隔声、</w:t>
                  </w:r>
                  <w:r>
                    <w:rPr>
                      <w:b/>
                      <w:szCs w:val="21"/>
                      <w:u w:val="single"/>
                    </w:rPr>
                    <w:t>消音</w:t>
                  </w:r>
                </w:p>
              </w:tc>
              <w:tc>
                <w:tcPr>
                  <w:tcW w:w="219"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EB3DEC0">
                  <w:pPr>
                    <w:jc w:val="center"/>
                    <w:rPr>
                      <w:b/>
                      <w:szCs w:val="21"/>
                      <w:u w:val="single"/>
                    </w:rPr>
                  </w:pPr>
                  <w:r>
                    <w:rPr>
                      <w:rFonts w:hint="eastAsia"/>
                      <w:b/>
                      <w:szCs w:val="21"/>
                      <w:u w:val="single"/>
                    </w:rPr>
                    <w:t>-38</w:t>
                  </w:r>
                </w:p>
              </w:tc>
              <w:tc>
                <w:tcPr>
                  <w:tcW w:w="219"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7368B07">
                  <w:pPr>
                    <w:jc w:val="center"/>
                    <w:rPr>
                      <w:b/>
                      <w:szCs w:val="21"/>
                      <w:u w:val="single"/>
                    </w:rPr>
                  </w:pPr>
                  <w:r>
                    <w:rPr>
                      <w:rFonts w:hint="eastAsia"/>
                      <w:b/>
                      <w:szCs w:val="21"/>
                      <w:u w:val="single"/>
                    </w:rPr>
                    <w:t>1</w:t>
                  </w:r>
                  <w:r>
                    <w:rPr>
                      <w:b/>
                      <w:szCs w:val="21"/>
                      <w:u w:val="single"/>
                    </w:rPr>
                    <w:t>6</w:t>
                  </w:r>
                </w:p>
              </w:tc>
              <w:tc>
                <w:tcPr>
                  <w:tcW w:w="161"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9113829">
                  <w:pPr>
                    <w:jc w:val="center"/>
                    <w:rPr>
                      <w:b/>
                      <w:szCs w:val="21"/>
                      <w:u w:val="single"/>
                    </w:rPr>
                  </w:pPr>
                  <w:r>
                    <w:rPr>
                      <w:rFonts w:hint="eastAsia"/>
                      <w:b/>
                      <w:szCs w:val="21"/>
                      <w:u w:val="single"/>
                    </w:rPr>
                    <w:t>1</w:t>
                  </w:r>
                </w:p>
              </w:tc>
              <w:tc>
                <w:tcPr>
                  <w:tcW w:w="221"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EE3CECC">
                  <w:pPr>
                    <w:jc w:val="center"/>
                    <w:rPr>
                      <w:b/>
                      <w:szCs w:val="21"/>
                      <w:u w:val="single"/>
                    </w:rPr>
                  </w:pPr>
                  <w:r>
                    <w:rPr>
                      <w:rFonts w:hint="eastAsia"/>
                      <w:b/>
                      <w:szCs w:val="21"/>
                      <w:u w:val="single"/>
                    </w:rPr>
                    <w:t>93</w:t>
                  </w:r>
                </w:p>
              </w:tc>
              <w:tc>
                <w:tcPr>
                  <w:tcW w:w="215"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E8C086F">
                  <w:pPr>
                    <w:jc w:val="center"/>
                    <w:rPr>
                      <w:b/>
                      <w:szCs w:val="21"/>
                      <w:u w:val="single"/>
                    </w:rPr>
                  </w:pPr>
                  <w:r>
                    <w:rPr>
                      <w:rFonts w:hint="eastAsia"/>
                      <w:b/>
                      <w:szCs w:val="21"/>
                      <w:u w:val="single"/>
                    </w:rPr>
                    <w:t>3</w:t>
                  </w:r>
                  <w:r>
                    <w:rPr>
                      <w:b/>
                      <w:szCs w:val="21"/>
                      <w:u w:val="single"/>
                    </w:rPr>
                    <w:t>6</w:t>
                  </w:r>
                </w:p>
              </w:tc>
              <w:tc>
                <w:tcPr>
                  <w:tcW w:w="217"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79CACF1">
                  <w:pPr>
                    <w:jc w:val="center"/>
                    <w:rPr>
                      <w:b/>
                      <w:szCs w:val="21"/>
                      <w:u w:val="single"/>
                    </w:rPr>
                  </w:pPr>
                  <w:r>
                    <w:rPr>
                      <w:rFonts w:hint="eastAsia"/>
                      <w:b/>
                      <w:szCs w:val="21"/>
                      <w:u w:val="single"/>
                    </w:rPr>
                    <w:t>17</w:t>
                  </w:r>
                </w:p>
              </w:tc>
              <w:tc>
                <w:tcPr>
                  <w:tcW w:w="217"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F27EB0E">
                  <w:pPr>
                    <w:jc w:val="center"/>
                    <w:rPr>
                      <w:b/>
                      <w:szCs w:val="21"/>
                      <w:u w:val="single"/>
                    </w:rPr>
                  </w:pPr>
                  <w:r>
                    <w:rPr>
                      <w:b/>
                      <w:szCs w:val="21"/>
                      <w:u w:val="single"/>
                    </w:rPr>
                    <w:t>4</w:t>
                  </w:r>
                </w:p>
              </w:tc>
              <w:tc>
                <w:tcPr>
                  <w:tcW w:w="202"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012351E">
                  <w:pPr>
                    <w:jc w:val="center"/>
                    <w:rPr>
                      <w:b/>
                      <w:szCs w:val="21"/>
                      <w:u w:val="single"/>
                    </w:rPr>
                  </w:pPr>
                  <w:r>
                    <w:rPr>
                      <w:b/>
                      <w:szCs w:val="21"/>
                      <w:u w:val="single"/>
                    </w:rPr>
                    <w:t>35.6</w:t>
                  </w:r>
                </w:p>
              </w:tc>
              <w:tc>
                <w:tcPr>
                  <w:tcW w:w="173"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DF0458D">
                  <w:pPr>
                    <w:jc w:val="center"/>
                    <w:rPr>
                      <w:b/>
                      <w:szCs w:val="21"/>
                      <w:u w:val="single"/>
                    </w:rPr>
                  </w:pPr>
                  <w:r>
                    <w:rPr>
                      <w:rFonts w:hint="eastAsia"/>
                      <w:b/>
                      <w:szCs w:val="21"/>
                      <w:u w:val="single"/>
                    </w:rPr>
                    <w:t>4</w:t>
                  </w:r>
                  <w:r>
                    <w:rPr>
                      <w:b/>
                      <w:szCs w:val="21"/>
                      <w:u w:val="single"/>
                    </w:rPr>
                    <w:t>3</w:t>
                  </w:r>
                  <w:r>
                    <w:rPr>
                      <w:rFonts w:hint="eastAsia"/>
                      <w:b/>
                      <w:szCs w:val="21"/>
                      <w:u w:val="single"/>
                    </w:rPr>
                    <w:t>.</w:t>
                  </w:r>
                  <w:r>
                    <w:rPr>
                      <w:b/>
                      <w:szCs w:val="21"/>
                      <w:u w:val="single"/>
                    </w:rPr>
                    <w:t>9</w:t>
                  </w:r>
                </w:p>
              </w:tc>
              <w:tc>
                <w:tcPr>
                  <w:tcW w:w="161"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52A7DC8">
                  <w:pPr>
                    <w:jc w:val="center"/>
                    <w:rPr>
                      <w:b/>
                      <w:szCs w:val="21"/>
                      <w:u w:val="single"/>
                    </w:rPr>
                  </w:pPr>
                  <w:r>
                    <w:rPr>
                      <w:rFonts w:hint="eastAsia"/>
                      <w:b/>
                      <w:szCs w:val="21"/>
                      <w:u w:val="single"/>
                    </w:rPr>
                    <w:t>5</w:t>
                  </w:r>
                  <w:r>
                    <w:rPr>
                      <w:b/>
                      <w:szCs w:val="21"/>
                      <w:u w:val="single"/>
                    </w:rPr>
                    <w:t>0.4</w:t>
                  </w:r>
                </w:p>
              </w:tc>
              <w:tc>
                <w:tcPr>
                  <w:tcW w:w="218"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3DE1D9E">
                  <w:pPr>
                    <w:jc w:val="center"/>
                    <w:rPr>
                      <w:b/>
                      <w:szCs w:val="21"/>
                      <w:u w:val="single"/>
                    </w:rPr>
                  </w:pPr>
                  <w:r>
                    <w:rPr>
                      <w:b/>
                      <w:szCs w:val="21"/>
                      <w:u w:val="single"/>
                    </w:rPr>
                    <w:t>63</w:t>
                  </w:r>
                </w:p>
              </w:tc>
              <w:tc>
                <w:tcPr>
                  <w:tcW w:w="326" w:type="pct"/>
                  <w:vMerge w:val="restart"/>
                  <w:tcBorders>
                    <w:top w:val="single" w:color="auto" w:sz="4" w:space="0"/>
                    <w:left w:val="single" w:color="auto" w:sz="4" w:space="0"/>
                    <w:right w:val="single" w:color="auto" w:sz="4" w:space="0"/>
                  </w:tcBorders>
                  <w:shd w:val="clear" w:color="auto" w:fill="FFFFFF"/>
                  <w:tcMar>
                    <w:top w:w="0" w:type="dxa"/>
                    <w:left w:w="0" w:type="dxa"/>
                    <w:bottom w:w="0" w:type="dxa"/>
                    <w:right w:w="0" w:type="dxa"/>
                  </w:tcMar>
                  <w:vAlign w:val="center"/>
                </w:tcPr>
                <w:p w14:paraId="1F6F9983">
                  <w:pPr>
                    <w:jc w:val="center"/>
                    <w:rPr>
                      <w:b/>
                      <w:szCs w:val="21"/>
                      <w:u w:val="single"/>
                    </w:rPr>
                  </w:pPr>
                  <w:r>
                    <w:rPr>
                      <w:b/>
                      <w:szCs w:val="21"/>
                      <w:u w:val="single"/>
                    </w:rPr>
                    <w:t>25</w:t>
                  </w:r>
                </w:p>
              </w:tc>
              <w:tc>
                <w:tcPr>
                  <w:tcW w:w="173"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48D31A8">
                  <w:pPr>
                    <w:jc w:val="center"/>
                    <w:rPr>
                      <w:rFonts w:ascii="宋体" w:hAnsi="宋体" w:cs="宋体"/>
                      <w:b/>
                      <w:color w:val="000000"/>
                      <w:szCs w:val="21"/>
                      <w:u w:val="single"/>
                    </w:rPr>
                  </w:pPr>
                  <w:r>
                    <w:rPr>
                      <w:rFonts w:hint="eastAsia"/>
                      <w:b/>
                      <w:color w:val="000000"/>
                      <w:sz w:val="22"/>
                      <w:szCs w:val="22"/>
                      <w:u w:val="single"/>
                    </w:rPr>
                    <w:t>10.6</w:t>
                  </w:r>
                </w:p>
              </w:tc>
              <w:tc>
                <w:tcPr>
                  <w:tcW w:w="173"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14D60E5">
                  <w:pPr>
                    <w:jc w:val="center"/>
                    <w:rPr>
                      <w:rFonts w:ascii="宋体" w:hAnsi="宋体" w:cs="宋体"/>
                      <w:b/>
                      <w:color w:val="000000"/>
                      <w:szCs w:val="21"/>
                      <w:u w:val="single"/>
                    </w:rPr>
                  </w:pPr>
                  <w:r>
                    <w:rPr>
                      <w:rFonts w:hint="eastAsia"/>
                      <w:b/>
                      <w:color w:val="000000"/>
                      <w:sz w:val="22"/>
                      <w:szCs w:val="22"/>
                      <w:u w:val="single"/>
                    </w:rPr>
                    <w:t>18.9</w:t>
                  </w:r>
                </w:p>
              </w:tc>
              <w:tc>
                <w:tcPr>
                  <w:tcW w:w="173"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60BC08D">
                  <w:pPr>
                    <w:jc w:val="center"/>
                    <w:rPr>
                      <w:rFonts w:ascii="宋体" w:hAnsi="宋体" w:cs="宋体"/>
                      <w:b/>
                      <w:color w:val="000000"/>
                      <w:szCs w:val="21"/>
                      <w:u w:val="single"/>
                    </w:rPr>
                  </w:pPr>
                  <w:r>
                    <w:rPr>
                      <w:rFonts w:hint="eastAsia"/>
                      <w:b/>
                      <w:color w:val="000000"/>
                      <w:sz w:val="22"/>
                      <w:szCs w:val="22"/>
                      <w:u w:val="single"/>
                    </w:rPr>
                    <w:t>25.4</w:t>
                  </w:r>
                </w:p>
              </w:tc>
              <w:tc>
                <w:tcPr>
                  <w:tcW w:w="160"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61D63C2">
                  <w:pPr>
                    <w:jc w:val="center"/>
                    <w:rPr>
                      <w:rFonts w:ascii="宋体" w:hAnsi="宋体" w:cs="宋体"/>
                      <w:b/>
                      <w:color w:val="000000"/>
                      <w:szCs w:val="21"/>
                      <w:u w:val="single"/>
                    </w:rPr>
                  </w:pPr>
                  <w:r>
                    <w:rPr>
                      <w:rFonts w:hint="eastAsia"/>
                      <w:b/>
                      <w:color w:val="000000"/>
                      <w:sz w:val="22"/>
                      <w:szCs w:val="22"/>
                      <w:u w:val="single"/>
                    </w:rPr>
                    <w:t>38</w:t>
                  </w:r>
                </w:p>
              </w:tc>
              <w:tc>
                <w:tcPr>
                  <w:tcW w:w="251"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E41A7AC">
                  <w:pPr>
                    <w:jc w:val="center"/>
                    <w:rPr>
                      <w:b/>
                      <w:szCs w:val="21"/>
                      <w:u w:val="single"/>
                    </w:rPr>
                  </w:pPr>
                  <w:r>
                    <w:rPr>
                      <w:rFonts w:hint="eastAsia"/>
                      <w:b/>
                      <w:szCs w:val="21"/>
                      <w:u w:val="single"/>
                    </w:rPr>
                    <w:t>1m</w:t>
                  </w:r>
                </w:p>
              </w:tc>
            </w:tr>
            <w:tr w14:paraId="36CA5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267"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2CE2603">
                  <w:pPr>
                    <w:jc w:val="center"/>
                    <w:rPr>
                      <w:b/>
                      <w:szCs w:val="21"/>
                      <w:u w:val="single"/>
                    </w:rPr>
                  </w:pPr>
                  <w:r>
                    <w:rPr>
                      <w:rFonts w:hint="eastAsia"/>
                      <w:b/>
                      <w:szCs w:val="21"/>
                      <w:u w:val="single"/>
                    </w:rPr>
                    <w:t>2</w:t>
                  </w:r>
                </w:p>
              </w:tc>
              <w:tc>
                <w:tcPr>
                  <w:tcW w:w="348"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BC711D3">
                  <w:pPr>
                    <w:jc w:val="center"/>
                    <w:rPr>
                      <w:b/>
                      <w:szCs w:val="21"/>
                      <w:u w:val="single"/>
                    </w:rPr>
                  </w:pPr>
                  <w:r>
                    <w:rPr>
                      <w:rFonts w:hint="eastAsia"/>
                      <w:b/>
                      <w:szCs w:val="21"/>
                      <w:u w:val="single"/>
                    </w:rPr>
                    <w:t>拉丝机</w:t>
                  </w:r>
                </w:p>
              </w:tc>
              <w:tc>
                <w:tcPr>
                  <w:tcW w:w="279"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7313EDB">
                  <w:pPr>
                    <w:jc w:val="center"/>
                    <w:rPr>
                      <w:b/>
                      <w:szCs w:val="21"/>
                      <w:u w:val="single"/>
                    </w:rPr>
                  </w:pPr>
                  <w:r>
                    <w:rPr>
                      <w:rFonts w:hint="eastAsia"/>
                      <w:b/>
                      <w:szCs w:val="21"/>
                      <w:u w:val="single"/>
                    </w:rPr>
                    <w:t>2</w:t>
                  </w:r>
                </w:p>
              </w:tc>
              <w:tc>
                <w:tcPr>
                  <w:tcW w:w="222"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7B458D6">
                  <w:pPr>
                    <w:jc w:val="center"/>
                    <w:rPr>
                      <w:b/>
                      <w:szCs w:val="21"/>
                      <w:u w:val="single"/>
                    </w:rPr>
                  </w:pPr>
                  <w:r>
                    <w:rPr>
                      <w:rFonts w:hint="eastAsia"/>
                      <w:b/>
                      <w:szCs w:val="21"/>
                      <w:u w:val="single"/>
                    </w:rPr>
                    <w:t>80</w:t>
                  </w:r>
                </w:p>
              </w:tc>
              <w:tc>
                <w:tcPr>
                  <w:tcW w:w="405" w:type="pct"/>
                  <w:vMerge w:val="continue"/>
                  <w:tcBorders>
                    <w:left w:val="single" w:color="auto" w:sz="4" w:space="0"/>
                    <w:right w:val="single" w:color="auto" w:sz="4" w:space="0"/>
                  </w:tcBorders>
                  <w:shd w:val="clear" w:color="auto" w:fill="FFFFFF"/>
                  <w:tcMar>
                    <w:top w:w="0" w:type="dxa"/>
                    <w:left w:w="0" w:type="dxa"/>
                    <w:bottom w:w="0" w:type="dxa"/>
                    <w:right w:w="0" w:type="dxa"/>
                  </w:tcMar>
                  <w:vAlign w:val="center"/>
                </w:tcPr>
                <w:p w14:paraId="54EED2D3">
                  <w:pPr>
                    <w:jc w:val="center"/>
                    <w:rPr>
                      <w:b/>
                      <w:szCs w:val="21"/>
                      <w:u w:val="single"/>
                    </w:rPr>
                  </w:pPr>
                </w:p>
              </w:tc>
              <w:tc>
                <w:tcPr>
                  <w:tcW w:w="219"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12D0243">
                  <w:pPr>
                    <w:jc w:val="center"/>
                    <w:rPr>
                      <w:b/>
                      <w:szCs w:val="21"/>
                      <w:u w:val="single"/>
                    </w:rPr>
                  </w:pPr>
                  <w:r>
                    <w:rPr>
                      <w:rFonts w:hint="eastAsia"/>
                      <w:b/>
                      <w:szCs w:val="21"/>
                      <w:u w:val="single"/>
                    </w:rPr>
                    <w:t>-10</w:t>
                  </w:r>
                </w:p>
              </w:tc>
              <w:tc>
                <w:tcPr>
                  <w:tcW w:w="219"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CA5C41B">
                  <w:pPr>
                    <w:jc w:val="center"/>
                    <w:rPr>
                      <w:b/>
                      <w:szCs w:val="21"/>
                      <w:u w:val="single"/>
                    </w:rPr>
                  </w:pPr>
                  <w:r>
                    <w:rPr>
                      <w:rFonts w:hint="eastAsia"/>
                      <w:b/>
                      <w:szCs w:val="21"/>
                      <w:u w:val="single"/>
                    </w:rPr>
                    <w:t>15</w:t>
                  </w:r>
                </w:p>
              </w:tc>
              <w:tc>
                <w:tcPr>
                  <w:tcW w:w="161"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FB8B196">
                  <w:pPr>
                    <w:jc w:val="center"/>
                    <w:rPr>
                      <w:b/>
                      <w:szCs w:val="21"/>
                      <w:u w:val="single"/>
                    </w:rPr>
                  </w:pPr>
                  <w:r>
                    <w:rPr>
                      <w:rFonts w:hint="eastAsia"/>
                      <w:b/>
                      <w:szCs w:val="21"/>
                      <w:u w:val="single"/>
                    </w:rPr>
                    <w:t>1</w:t>
                  </w:r>
                </w:p>
              </w:tc>
              <w:tc>
                <w:tcPr>
                  <w:tcW w:w="221"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7F4C585">
                  <w:pPr>
                    <w:jc w:val="center"/>
                    <w:rPr>
                      <w:b/>
                      <w:szCs w:val="21"/>
                      <w:u w:val="single"/>
                    </w:rPr>
                  </w:pPr>
                  <w:r>
                    <w:rPr>
                      <w:rFonts w:hint="eastAsia"/>
                      <w:b/>
                      <w:szCs w:val="21"/>
                      <w:u w:val="single"/>
                    </w:rPr>
                    <w:t>65</w:t>
                  </w:r>
                </w:p>
              </w:tc>
              <w:tc>
                <w:tcPr>
                  <w:tcW w:w="215"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A532F3F">
                  <w:pPr>
                    <w:jc w:val="center"/>
                    <w:rPr>
                      <w:b/>
                      <w:szCs w:val="21"/>
                      <w:u w:val="single"/>
                    </w:rPr>
                  </w:pPr>
                  <w:r>
                    <w:rPr>
                      <w:rFonts w:hint="eastAsia"/>
                      <w:b/>
                      <w:szCs w:val="21"/>
                      <w:u w:val="single"/>
                    </w:rPr>
                    <w:t>35</w:t>
                  </w:r>
                </w:p>
              </w:tc>
              <w:tc>
                <w:tcPr>
                  <w:tcW w:w="217"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38183E8">
                  <w:pPr>
                    <w:jc w:val="center"/>
                    <w:rPr>
                      <w:b/>
                      <w:szCs w:val="21"/>
                      <w:u w:val="single"/>
                    </w:rPr>
                  </w:pPr>
                  <w:r>
                    <w:rPr>
                      <w:rFonts w:hint="eastAsia"/>
                      <w:b/>
                      <w:szCs w:val="21"/>
                      <w:u w:val="single"/>
                    </w:rPr>
                    <w:t>45</w:t>
                  </w:r>
                </w:p>
              </w:tc>
              <w:tc>
                <w:tcPr>
                  <w:tcW w:w="217"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911408C">
                  <w:pPr>
                    <w:jc w:val="center"/>
                    <w:rPr>
                      <w:b/>
                      <w:szCs w:val="21"/>
                      <w:u w:val="single"/>
                    </w:rPr>
                  </w:pPr>
                  <w:r>
                    <w:rPr>
                      <w:rFonts w:hint="eastAsia"/>
                      <w:b/>
                      <w:szCs w:val="21"/>
                      <w:u w:val="single"/>
                    </w:rPr>
                    <w:t>5</w:t>
                  </w:r>
                </w:p>
              </w:tc>
              <w:tc>
                <w:tcPr>
                  <w:tcW w:w="202"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3135B2E">
                  <w:pPr>
                    <w:jc w:val="center"/>
                    <w:rPr>
                      <w:b/>
                      <w:szCs w:val="21"/>
                      <w:u w:val="single"/>
                    </w:rPr>
                  </w:pPr>
                  <w:r>
                    <w:rPr>
                      <w:rFonts w:hint="eastAsia"/>
                      <w:b/>
                      <w:szCs w:val="21"/>
                      <w:u w:val="single"/>
                    </w:rPr>
                    <w:t>43.7</w:t>
                  </w:r>
                </w:p>
              </w:tc>
              <w:tc>
                <w:tcPr>
                  <w:tcW w:w="173"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572BEA0">
                  <w:pPr>
                    <w:jc w:val="center"/>
                    <w:rPr>
                      <w:b/>
                      <w:szCs w:val="21"/>
                      <w:u w:val="single"/>
                    </w:rPr>
                  </w:pPr>
                  <w:r>
                    <w:rPr>
                      <w:rFonts w:hint="eastAsia"/>
                      <w:b/>
                      <w:szCs w:val="21"/>
                      <w:u w:val="single"/>
                    </w:rPr>
                    <w:t>49.1</w:t>
                  </w:r>
                </w:p>
              </w:tc>
              <w:tc>
                <w:tcPr>
                  <w:tcW w:w="161"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E65645D">
                  <w:pPr>
                    <w:jc w:val="center"/>
                    <w:rPr>
                      <w:b/>
                      <w:szCs w:val="21"/>
                      <w:u w:val="single"/>
                    </w:rPr>
                  </w:pPr>
                  <w:r>
                    <w:rPr>
                      <w:rFonts w:hint="eastAsia"/>
                      <w:b/>
                      <w:szCs w:val="21"/>
                      <w:u w:val="single"/>
                    </w:rPr>
                    <w:t>46.9</w:t>
                  </w:r>
                </w:p>
              </w:tc>
              <w:tc>
                <w:tcPr>
                  <w:tcW w:w="218"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8FC2AF7">
                  <w:pPr>
                    <w:jc w:val="center"/>
                    <w:rPr>
                      <w:b/>
                      <w:szCs w:val="21"/>
                      <w:u w:val="single"/>
                    </w:rPr>
                  </w:pPr>
                  <w:r>
                    <w:rPr>
                      <w:rFonts w:hint="eastAsia"/>
                      <w:b/>
                      <w:szCs w:val="21"/>
                      <w:u w:val="single"/>
                    </w:rPr>
                    <w:t>66</w:t>
                  </w:r>
                </w:p>
              </w:tc>
              <w:tc>
                <w:tcPr>
                  <w:tcW w:w="326" w:type="pct"/>
                  <w:vMerge w:val="continue"/>
                  <w:tcBorders>
                    <w:left w:val="single" w:color="auto" w:sz="4" w:space="0"/>
                    <w:right w:val="single" w:color="auto" w:sz="4" w:space="0"/>
                  </w:tcBorders>
                  <w:shd w:val="clear" w:color="auto" w:fill="FFFFFF"/>
                  <w:tcMar>
                    <w:top w:w="0" w:type="dxa"/>
                    <w:left w:w="0" w:type="dxa"/>
                    <w:bottom w:w="0" w:type="dxa"/>
                    <w:right w:w="0" w:type="dxa"/>
                  </w:tcMar>
                  <w:vAlign w:val="center"/>
                </w:tcPr>
                <w:p w14:paraId="519BFCA2">
                  <w:pPr>
                    <w:jc w:val="center"/>
                    <w:rPr>
                      <w:b/>
                      <w:szCs w:val="21"/>
                      <w:u w:val="single"/>
                    </w:rPr>
                  </w:pPr>
                </w:p>
              </w:tc>
              <w:tc>
                <w:tcPr>
                  <w:tcW w:w="173"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D8FF246">
                  <w:pPr>
                    <w:jc w:val="center"/>
                    <w:rPr>
                      <w:rFonts w:ascii="宋体" w:hAnsi="宋体" w:cs="宋体"/>
                      <w:b/>
                      <w:color w:val="000000"/>
                      <w:szCs w:val="21"/>
                      <w:u w:val="single"/>
                    </w:rPr>
                  </w:pPr>
                  <w:r>
                    <w:rPr>
                      <w:rFonts w:hint="eastAsia"/>
                      <w:b/>
                      <w:color w:val="000000"/>
                      <w:sz w:val="22"/>
                      <w:szCs w:val="22"/>
                      <w:u w:val="single"/>
                    </w:rPr>
                    <w:t>18.7</w:t>
                  </w:r>
                </w:p>
              </w:tc>
              <w:tc>
                <w:tcPr>
                  <w:tcW w:w="173"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524A498">
                  <w:pPr>
                    <w:jc w:val="center"/>
                    <w:rPr>
                      <w:rFonts w:ascii="宋体" w:hAnsi="宋体" w:cs="宋体"/>
                      <w:b/>
                      <w:color w:val="000000"/>
                      <w:szCs w:val="21"/>
                      <w:u w:val="single"/>
                    </w:rPr>
                  </w:pPr>
                  <w:r>
                    <w:rPr>
                      <w:rFonts w:hint="eastAsia"/>
                      <w:b/>
                      <w:color w:val="000000"/>
                      <w:sz w:val="22"/>
                      <w:szCs w:val="22"/>
                      <w:u w:val="single"/>
                    </w:rPr>
                    <w:t>24.1</w:t>
                  </w:r>
                </w:p>
              </w:tc>
              <w:tc>
                <w:tcPr>
                  <w:tcW w:w="173"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2E7B318">
                  <w:pPr>
                    <w:jc w:val="center"/>
                    <w:rPr>
                      <w:rFonts w:ascii="宋体" w:hAnsi="宋体" w:cs="宋体"/>
                      <w:b/>
                      <w:color w:val="000000"/>
                      <w:szCs w:val="21"/>
                      <w:u w:val="single"/>
                    </w:rPr>
                  </w:pPr>
                  <w:r>
                    <w:rPr>
                      <w:rFonts w:hint="eastAsia"/>
                      <w:b/>
                      <w:color w:val="000000"/>
                      <w:sz w:val="22"/>
                      <w:szCs w:val="22"/>
                      <w:u w:val="single"/>
                    </w:rPr>
                    <w:t>21.9</w:t>
                  </w:r>
                </w:p>
              </w:tc>
              <w:tc>
                <w:tcPr>
                  <w:tcW w:w="160"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2BB27F5">
                  <w:pPr>
                    <w:jc w:val="center"/>
                    <w:rPr>
                      <w:rFonts w:ascii="宋体" w:hAnsi="宋体" w:cs="宋体"/>
                      <w:b/>
                      <w:color w:val="000000"/>
                      <w:szCs w:val="21"/>
                      <w:u w:val="single"/>
                    </w:rPr>
                  </w:pPr>
                  <w:r>
                    <w:rPr>
                      <w:rFonts w:hint="eastAsia"/>
                      <w:b/>
                      <w:color w:val="000000"/>
                      <w:sz w:val="22"/>
                      <w:szCs w:val="22"/>
                      <w:u w:val="single"/>
                    </w:rPr>
                    <w:t>41</w:t>
                  </w:r>
                </w:p>
              </w:tc>
              <w:tc>
                <w:tcPr>
                  <w:tcW w:w="251"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499B2EF">
                  <w:pPr>
                    <w:jc w:val="center"/>
                    <w:rPr>
                      <w:b/>
                      <w:szCs w:val="21"/>
                      <w:u w:val="single"/>
                    </w:rPr>
                  </w:pPr>
                  <w:r>
                    <w:rPr>
                      <w:rFonts w:hint="eastAsia"/>
                      <w:b/>
                      <w:szCs w:val="21"/>
                      <w:u w:val="single"/>
                    </w:rPr>
                    <w:t>1m</w:t>
                  </w:r>
                </w:p>
              </w:tc>
            </w:tr>
            <w:tr w14:paraId="1444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267"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CFD68C1">
                  <w:pPr>
                    <w:jc w:val="center"/>
                    <w:rPr>
                      <w:b/>
                      <w:szCs w:val="21"/>
                      <w:u w:val="single"/>
                    </w:rPr>
                  </w:pPr>
                  <w:r>
                    <w:rPr>
                      <w:rFonts w:hint="eastAsia"/>
                      <w:b/>
                      <w:szCs w:val="21"/>
                      <w:u w:val="single"/>
                    </w:rPr>
                    <w:t>3</w:t>
                  </w:r>
                </w:p>
              </w:tc>
              <w:tc>
                <w:tcPr>
                  <w:tcW w:w="348"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4AF3ADF">
                  <w:pPr>
                    <w:jc w:val="center"/>
                    <w:rPr>
                      <w:b/>
                      <w:szCs w:val="21"/>
                      <w:u w:val="single"/>
                    </w:rPr>
                  </w:pPr>
                  <w:r>
                    <w:rPr>
                      <w:rFonts w:hint="eastAsia"/>
                      <w:b/>
                      <w:szCs w:val="21"/>
                      <w:u w:val="single"/>
                    </w:rPr>
                    <w:t>包丝机</w:t>
                  </w:r>
                </w:p>
              </w:tc>
              <w:tc>
                <w:tcPr>
                  <w:tcW w:w="279"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DC40C86">
                  <w:pPr>
                    <w:jc w:val="center"/>
                    <w:rPr>
                      <w:b/>
                      <w:szCs w:val="21"/>
                      <w:u w:val="single"/>
                    </w:rPr>
                  </w:pPr>
                  <w:r>
                    <w:rPr>
                      <w:rFonts w:hint="eastAsia"/>
                      <w:b/>
                      <w:szCs w:val="21"/>
                      <w:u w:val="single"/>
                    </w:rPr>
                    <w:t>2</w:t>
                  </w:r>
                </w:p>
              </w:tc>
              <w:tc>
                <w:tcPr>
                  <w:tcW w:w="222"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6E4D27E">
                  <w:pPr>
                    <w:jc w:val="center"/>
                    <w:rPr>
                      <w:b/>
                      <w:szCs w:val="21"/>
                      <w:u w:val="single"/>
                    </w:rPr>
                  </w:pPr>
                  <w:r>
                    <w:rPr>
                      <w:rFonts w:hint="eastAsia"/>
                      <w:b/>
                      <w:szCs w:val="21"/>
                      <w:u w:val="single"/>
                    </w:rPr>
                    <w:t>70</w:t>
                  </w:r>
                </w:p>
              </w:tc>
              <w:tc>
                <w:tcPr>
                  <w:tcW w:w="405" w:type="pct"/>
                  <w:vMerge w:val="continue"/>
                  <w:tcBorders>
                    <w:left w:val="single" w:color="auto" w:sz="4" w:space="0"/>
                    <w:right w:val="single" w:color="auto" w:sz="4" w:space="0"/>
                  </w:tcBorders>
                  <w:shd w:val="clear" w:color="auto" w:fill="FFFFFF"/>
                  <w:tcMar>
                    <w:top w:w="0" w:type="dxa"/>
                    <w:left w:w="0" w:type="dxa"/>
                    <w:bottom w:w="0" w:type="dxa"/>
                    <w:right w:w="0" w:type="dxa"/>
                  </w:tcMar>
                  <w:vAlign w:val="center"/>
                </w:tcPr>
                <w:p w14:paraId="582849B4">
                  <w:pPr>
                    <w:jc w:val="center"/>
                    <w:rPr>
                      <w:b/>
                      <w:szCs w:val="21"/>
                      <w:u w:val="single"/>
                    </w:rPr>
                  </w:pPr>
                </w:p>
              </w:tc>
              <w:tc>
                <w:tcPr>
                  <w:tcW w:w="219"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C39D53C">
                  <w:pPr>
                    <w:jc w:val="center"/>
                    <w:rPr>
                      <w:b/>
                      <w:szCs w:val="21"/>
                      <w:u w:val="single"/>
                    </w:rPr>
                  </w:pPr>
                  <w:r>
                    <w:rPr>
                      <w:rFonts w:hint="eastAsia"/>
                      <w:b/>
                      <w:szCs w:val="21"/>
                      <w:u w:val="single"/>
                    </w:rPr>
                    <w:t>18</w:t>
                  </w:r>
                </w:p>
              </w:tc>
              <w:tc>
                <w:tcPr>
                  <w:tcW w:w="219"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78567A3">
                  <w:pPr>
                    <w:jc w:val="center"/>
                    <w:rPr>
                      <w:b/>
                      <w:szCs w:val="21"/>
                      <w:u w:val="single"/>
                    </w:rPr>
                  </w:pPr>
                  <w:r>
                    <w:rPr>
                      <w:rFonts w:hint="eastAsia"/>
                      <w:b/>
                      <w:szCs w:val="21"/>
                      <w:u w:val="single"/>
                    </w:rPr>
                    <w:t>15</w:t>
                  </w:r>
                </w:p>
              </w:tc>
              <w:tc>
                <w:tcPr>
                  <w:tcW w:w="161"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126B2A0">
                  <w:pPr>
                    <w:jc w:val="center"/>
                    <w:rPr>
                      <w:b/>
                      <w:szCs w:val="21"/>
                      <w:u w:val="single"/>
                    </w:rPr>
                  </w:pPr>
                  <w:r>
                    <w:rPr>
                      <w:rFonts w:hint="eastAsia"/>
                      <w:b/>
                      <w:szCs w:val="21"/>
                      <w:u w:val="single"/>
                    </w:rPr>
                    <w:t>1</w:t>
                  </w:r>
                </w:p>
              </w:tc>
              <w:tc>
                <w:tcPr>
                  <w:tcW w:w="221"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56A2F85">
                  <w:pPr>
                    <w:jc w:val="center"/>
                    <w:rPr>
                      <w:b/>
                      <w:szCs w:val="21"/>
                      <w:u w:val="single"/>
                    </w:rPr>
                  </w:pPr>
                  <w:r>
                    <w:rPr>
                      <w:rFonts w:hint="eastAsia"/>
                      <w:b/>
                      <w:szCs w:val="21"/>
                      <w:u w:val="single"/>
                    </w:rPr>
                    <w:t>37</w:t>
                  </w:r>
                </w:p>
              </w:tc>
              <w:tc>
                <w:tcPr>
                  <w:tcW w:w="215"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667C22B">
                  <w:pPr>
                    <w:jc w:val="center"/>
                    <w:rPr>
                      <w:b/>
                      <w:szCs w:val="21"/>
                      <w:u w:val="single"/>
                    </w:rPr>
                  </w:pPr>
                  <w:r>
                    <w:rPr>
                      <w:rFonts w:hint="eastAsia"/>
                      <w:b/>
                      <w:szCs w:val="21"/>
                      <w:u w:val="single"/>
                    </w:rPr>
                    <w:t>35</w:t>
                  </w:r>
                </w:p>
              </w:tc>
              <w:tc>
                <w:tcPr>
                  <w:tcW w:w="217"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D0EAEE">
                  <w:pPr>
                    <w:jc w:val="center"/>
                    <w:rPr>
                      <w:b/>
                      <w:szCs w:val="21"/>
                      <w:u w:val="single"/>
                    </w:rPr>
                  </w:pPr>
                  <w:r>
                    <w:rPr>
                      <w:rFonts w:hint="eastAsia"/>
                      <w:b/>
                      <w:szCs w:val="21"/>
                      <w:u w:val="single"/>
                    </w:rPr>
                    <w:t>73</w:t>
                  </w:r>
                </w:p>
              </w:tc>
              <w:tc>
                <w:tcPr>
                  <w:tcW w:w="217"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09DA4D4">
                  <w:pPr>
                    <w:jc w:val="center"/>
                    <w:rPr>
                      <w:b/>
                      <w:szCs w:val="21"/>
                      <w:u w:val="single"/>
                    </w:rPr>
                  </w:pPr>
                  <w:r>
                    <w:rPr>
                      <w:rFonts w:hint="eastAsia"/>
                      <w:b/>
                      <w:szCs w:val="21"/>
                      <w:u w:val="single"/>
                    </w:rPr>
                    <w:t>5</w:t>
                  </w:r>
                </w:p>
              </w:tc>
              <w:tc>
                <w:tcPr>
                  <w:tcW w:w="202"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35C7FA3">
                  <w:pPr>
                    <w:jc w:val="center"/>
                    <w:rPr>
                      <w:b/>
                      <w:szCs w:val="21"/>
                      <w:u w:val="single"/>
                    </w:rPr>
                  </w:pPr>
                  <w:r>
                    <w:rPr>
                      <w:rFonts w:hint="eastAsia"/>
                      <w:b/>
                      <w:szCs w:val="21"/>
                      <w:u w:val="single"/>
                    </w:rPr>
                    <w:t>38.6</w:t>
                  </w:r>
                </w:p>
              </w:tc>
              <w:tc>
                <w:tcPr>
                  <w:tcW w:w="173"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9DD826B">
                  <w:pPr>
                    <w:jc w:val="center"/>
                    <w:rPr>
                      <w:b/>
                      <w:szCs w:val="21"/>
                      <w:u w:val="single"/>
                    </w:rPr>
                  </w:pPr>
                  <w:r>
                    <w:rPr>
                      <w:rFonts w:hint="eastAsia"/>
                      <w:b/>
                      <w:szCs w:val="21"/>
                      <w:u w:val="single"/>
                    </w:rPr>
                    <w:t>39.1</w:t>
                  </w:r>
                </w:p>
              </w:tc>
              <w:tc>
                <w:tcPr>
                  <w:tcW w:w="161"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5FCE361">
                  <w:pPr>
                    <w:jc w:val="center"/>
                    <w:rPr>
                      <w:b/>
                      <w:szCs w:val="21"/>
                      <w:u w:val="single"/>
                    </w:rPr>
                  </w:pPr>
                  <w:r>
                    <w:rPr>
                      <w:rFonts w:hint="eastAsia"/>
                      <w:b/>
                      <w:szCs w:val="21"/>
                      <w:u w:val="single"/>
                    </w:rPr>
                    <w:t>32.7</w:t>
                  </w:r>
                </w:p>
              </w:tc>
              <w:tc>
                <w:tcPr>
                  <w:tcW w:w="218"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6F6F15C">
                  <w:pPr>
                    <w:jc w:val="center"/>
                    <w:rPr>
                      <w:b/>
                      <w:szCs w:val="21"/>
                      <w:u w:val="single"/>
                    </w:rPr>
                  </w:pPr>
                  <w:r>
                    <w:rPr>
                      <w:rFonts w:hint="eastAsia"/>
                      <w:b/>
                      <w:szCs w:val="21"/>
                      <w:u w:val="single"/>
                    </w:rPr>
                    <w:t>56</w:t>
                  </w:r>
                </w:p>
              </w:tc>
              <w:tc>
                <w:tcPr>
                  <w:tcW w:w="326" w:type="pct"/>
                  <w:vMerge w:val="continue"/>
                  <w:tcBorders>
                    <w:left w:val="single" w:color="auto" w:sz="4" w:space="0"/>
                    <w:right w:val="single" w:color="auto" w:sz="4" w:space="0"/>
                  </w:tcBorders>
                  <w:shd w:val="clear" w:color="auto" w:fill="FFFFFF"/>
                  <w:tcMar>
                    <w:top w:w="0" w:type="dxa"/>
                    <w:left w:w="0" w:type="dxa"/>
                    <w:bottom w:w="0" w:type="dxa"/>
                    <w:right w:w="0" w:type="dxa"/>
                  </w:tcMar>
                  <w:vAlign w:val="center"/>
                </w:tcPr>
                <w:p w14:paraId="1947CF2E">
                  <w:pPr>
                    <w:jc w:val="center"/>
                    <w:rPr>
                      <w:b/>
                      <w:szCs w:val="21"/>
                      <w:u w:val="single"/>
                    </w:rPr>
                  </w:pPr>
                </w:p>
              </w:tc>
              <w:tc>
                <w:tcPr>
                  <w:tcW w:w="173"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7EEB2BE">
                  <w:pPr>
                    <w:jc w:val="center"/>
                    <w:rPr>
                      <w:rFonts w:ascii="宋体" w:hAnsi="宋体" w:cs="宋体"/>
                      <w:b/>
                      <w:color w:val="000000"/>
                      <w:szCs w:val="21"/>
                      <w:u w:val="single"/>
                    </w:rPr>
                  </w:pPr>
                  <w:r>
                    <w:rPr>
                      <w:rFonts w:hint="eastAsia"/>
                      <w:b/>
                      <w:color w:val="000000"/>
                      <w:sz w:val="22"/>
                      <w:szCs w:val="22"/>
                      <w:u w:val="single"/>
                    </w:rPr>
                    <w:t>13.6</w:t>
                  </w:r>
                </w:p>
              </w:tc>
              <w:tc>
                <w:tcPr>
                  <w:tcW w:w="173"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7B1CA4B">
                  <w:pPr>
                    <w:jc w:val="center"/>
                    <w:rPr>
                      <w:rFonts w:ascii="宋体" w:hAnsi="宋体" w:cs="宋体"/>
                      <w:b/>
                      <w:color w:val="000000"/>
                      <w:szCs w:val="21"/>
                      <w:u w:val="single"/>
                    </w:rPr>
                  </w:pPr>
                  <w:r>
                    <w:rPr>
                      <w:rFonts w:hint="eastAsia"/>
                      <w:b/>
                      <w:color w:val="000000"/>
                      <w:sz w:val="22"/>
                      <w:szCs w:val="22"/>
                      <w:u w:val="single"/>
                    </w:rPr>
                    <w:t>14.1</w:t>
                  </w:r>
                </w:p>
              </w:tc>
              <w:tc>
                <w:tcPr>
                  <w:tcW w:w="173"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3C20515">
                  <w:pPr>
                    <w:jc w:val="center"/>
                    <w:rPr>
                      <w:rFonts w:ascii="宋体" w:hAnsi="宋体" w:cs="宋体"/>
                      <w:b/>
                      <w:color w:val="000000"/>
                      <w:szCs w:val="21"/>
                      <w:u w:val="single"/>
                    </w:rPr>
                  </w:pPr>
                  <w:r>
                    <w:rPr>
                      <w:rFonts w:hint="eastAsia"/>
                      <w:b/>
                      <w:color w:val="000000"/>
                      <w:sz w:val="22"/>
                      <w:szCs w:val="22"/>
                      <w:u w:val="single"/>
                    </w:rPr>
                    <w:t>7.7</w:t>
                  </w:r>
                </w:p>
              </w:tc>
              <w:tc>
                <w:tcPr>
                  <w:tcW w:w="160"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C39FED4">
                  <w:pPr>
                    <w:jc w:val="center"/>
                    <w:rPr>
                      <w:rFonts w:ascii="宋体" w:hAnsi="宋体" w:cs="宋体"/>
                      <w:b/>
                      <w:color w:val="000000"/>
                      <w:szCs w:val="21"/>
                      <w:u w:val="single"/>
                    </w:rPr>
                  </w:pPr>
                  <w:r>
                    <w:rPr>
                      <w:rFonts w:hint="eastAsia"/>
                      <w:b/>
                      <w:color w:val="000000"/>
                      <w:sz w:val="22"/>
                      <w:szCs w:val="22"/>
                      <w:u w:val="single"/>
                    </w:rPr>
                    <w:t>31</w:t>
                  </w:r>
                </w:p>
              </w:tc>
              <w:tc>
                <w:tcPr>
                  <w:tcW w:w="251"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F9BD415">
                  <w:pPr>
                    <w:jc w:val="center"/>
                    <w:rPr>
                      <w:b/>
                      <w:szCs w:val="21"/>
                      <w:u w:val="single"/>
                    </w:rPr>
                  </w:pPr>
                  <w:r>
                    <w:rPr>
                      <w:rFonts w:hint="eastAsia"/>
                      <w:b/>
                      <w:szCs w:val="21"/>
                      <w:u w:val="single"/>
                    </w:rPr>
                    <w:t>1m</w:t>
                  </w:r>
                </w:p>
              </w:tc>
            </w:tr>
            <w:tr w14:paraId="064A2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267"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9DB1B58">
                  <w:pPr>
                    <w:jc w:val="center"/>
                    <w:rPr>
                      <w:b/>
                      <w:szCs w:val="21"/>
                      <w:u w:val="single"/>
                    </w:rPr>
                  </w:pPr>
                  <w:r>
                    <w:rPr>
                      <w:rFonts w:hint="eastAsia"/>
                      <w:b/>
                      <w:szCs w:val="21"/>
                      <w:u w:val="single"/>
                    </w:rPr>
                    <w:t>4</w:t>
                  </w:r>
                </w:p>
              </w:tc>
              <w:tc>
                <w:tcPr>
                  <w:tcW w:w="348"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21C565A">
                  <w:pPr>
                    <w:jc w:val="center"/>
                    <w:rPr>
                      <w:b/>
                      <w:szCs w:val="21"/>
                      <w:u w:val="single"/>
                    </w:rPr>
                  </w:pPr>
                  <w:r>
                    <w:rPr>
                      <w:rFonts w:hint="eastAsia"/>
                      <w:b/>
                      <w:szCs w:val="21"/>
                      <w:u w:val="single"/>
                    </w:rPr>
                    <w:t>切丝机</w:t>
                  </w:r>
                </w:p>
              </w:tc>
              <w:tc>
                <w:tcPr>
                  <w:tcW w:w="279"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DDAFEBF">
                  <w:pPr>
                    <w:jc w:val="center"/>
                    <w:rPr>
                      <w:b/>
                      <w:szCs w:val="21"/>
                      <w:u w:val="single"/>
                    </w:rPr>
                  </w:pPr>
                  <w:r>
                    <w:rPr>
                      <w:rFonts w:hint="eastAsia"/>
                      <w:b/>
                      <w:szCs w:val="21"/>
                      <w:u w:val="single"/>
                    </w:rPr>
                    <w:t>2</w:t>
                  </w:r>
                </w:p>
              </w:tc>
              <w:tc>
                <w:tcPr>
                  <w:tcW w:w="222"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DEE7BCC">
                  <w:pPr>
                    <w:jc w:val="center"/>
                    <w:rPr>
                      <w:b/>
                      <w:szCs w:val="21"/>
                      <w:u w:val="single"/>
                    </w:rPr>
                  </w:pPr>
                  <w:r>
                    <w:rPr>
                      <w:rFonts w:hint="eastAsia"/>
                      <w:b/>
                      <w:szCs w:val="21"/>
                      <w:u w:val="single"/>
                    </w:rPr>
                    <w:t>75</w:t>
                  </w:r>
                </w:p>
              </w:tc>
              <w:tc>
                <w:tcPr>
                  <w:tcW w:w="405" w:type="pct"/>
                  <w:vMerge w:val="continue"/>
                  <w:tcBorders>
                    <w:left w:val="single" w:color="auto" w:sz="4" w:space="0"/>
                    <w:right w:val="single" w:color="auto" w:sz="4" w:space="0"/>
                  </w:tcBorders>
                  <w:shd w:val="clear" w:color="auto" w:fill="FFFFFF"/>
                  <w:tcMar>
                    <w:top w:w="0" w:type="dxa"/>
                    <w:left w:w="0" w:type="dxa"/>
                    <w:bottom w:w="0" w:type="dxa"/>
                    <w:right w:w="0" w:type="dxa"/>
                  </w:tcMar>
                  <w:vAlign w:val="center"/>
                </w:tcPr>
                <w:p w14:paraId="46FFB005">
                  <w:pPr>
                    <w:jc w:val="center"/>
                    <w:rPr>
                      <w:b/>
                      <w:szCs w:val="21"/>
                      <w:u w:val="single"/>
                    </w:rPr>
                  </w:pPr>
                </w:p>
              </w:tc>
              <w:tc>
                <w:tcPr>
                  <w:tcW w:w="219"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2680497">
                  <w:pPr>
                    <w:jc w:val="center"/>
                    <w:rPr>
                      <w:b/>
                      <w:szCs w:val="21"/>
                      <w:u w:val="single"/>
                    </w:rPr>
                  </w:pPr>
                  <w:r>
                    <w:rPr>
                      <w:rFonts w:hint="eastAsia"/>
                      <w:b/>
                      <w:szCs w:val="21"/>
                      <w:u w:val="single"/>
                    </w:rPr>
                    <w:t>10</w:t>
                  </w:r>
                </w:p>
              </w:tc>
              <w:tc>
                <w:tcPr>
                  <w:tcW w:w="219"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6D502BD">
                  <w:pPr>
                    <w:jc w:val="center"/>
                    <w:rPr>
                      <w:b/>
                      <w:szCs w:val="21"/>
                      <w:u w:val="single"/>
                    </w:rPr>
                  </w:pPr>
                  <w:r>
                    <w:rPr>
                      <w:rFonts w:hint="eastAsia"/>
                      <w:b/>
                      <w:szCs w:val="21"/>
                      <w:u w:val="single"/>
                    </w:rPr>
                    <w:t>15</w:t>
                  </w:r>
                </w:p>
              </w:tc>
              <w:tc>
                <w:tcPr>
                  <w:tcW w:w="161"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B018A3F">
                  <w:pPr>
                    <w:jc w:val="center"/>
                    <w:rPr>
                      <w:b/>
                      <w:szCs w:val="21"/>
                      <w:u w:val="single"/>
                    </w:rPr>
                  </w:pPr>
                  <w:r>
                    <w:rPr>
                      <w:rFonts w:hint="eastAsia"/>
                      <w:b/>
                      <w:szCs w:val="21"/>
                      <w:u w:val="single"/>
                    </w:rPr>
                    <w:t>1</w:t>
                  </w:r>
                </w:p>
              </w:tc>
              <w:tc>
                <w:tcPr>
                  <w:tcW w:w="221"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6C01200">
                  <w:pPr>
                    <w:jc w:val="center"/>
                    <w:rPr>
                      <w:b/>
                      <w:szCs w:val="21"/>
                      <w:u w:val="single"/>
                    </w:rPr>
                  </w:pPr>
                  <w:r>
                    <w:rPr>
                      <w:rFonts w:hint="eastAsia"/>
                      <w:b/>
                      <w:szCs w:val="21"/>
                      <w:u w:val="single"/>
                    </w:rPr>
                    <w:t>45</w:t>
                  </w:r>
                </w:p>
              </w:tc>
              <w:tc>
                <w:tcPr>
                  <w:tcW w:w="215"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91C4219">
                  <w:pPr>
                    <w:jc w:val="center"/>
                    <w:rPr>
                      <w:b/>
                      <w:szCs w:val="21"/>
                      <w:u w:val="single"/>
                    </w:rPr>
                  </w:pPr>
                  <w:r>
                    <w:rPr>
                      <w:rFonts w:hint="eastAsia"/>
                      <w:b/>
                      <w:szCs w:val="21"/>
                      <w:u w:val="single"/>
                    </w:rPr>
                    <w:t>35</w:t>
                  </w:r>
                </w:p>
              </w:tc>
              <w:tc>
                <w:tcPr>
                  <w:tcW w:w="217"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4F7177A">
                  <w:pPr>
                    <w:jc w:val="center"/>
                    <w:rPr>
                      <w:b/>
                      <w:szCs w:val="21"/>
                      <w:u w:val="single"/>
                    </w:rPr>
                  </w:pPr>
                  <w:r>
                    <w:rPr>
                      <w:rFonts w:hint="eastAsia"/>
                      <w:b/>
                      <w:szCs w:val="21"/>
                      <w:u w:val="single"/>
                    </w:rPr>
                    <w:t>65</w:t>
                  </w:r>
                </w:p>
              </w:tc>
              <w:tc>
                <w:tcPr>
                  <w:tcW w:w="217"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CCB80CA">
                  <w:pPr>
                    <w:jc w:val="center"/>
                    <w:rPr>
                      <w:b/>
                      <w:szCs w:val="21"/>
                      <w:u w:val="single"/>
                    </w:rPr>
                  </w:pPr>
                  <w:r>
                    <w:rPr>
                      <w:rFonts w:hint="eastAsia"/>
                      <w:b/>
                      <w:szCs w:val="21"/>
                      <w:u w:val="single"/>
                    </w:rPr>
                    <w:t>5</w:t>
                  </w:r>
                </w:p>
              </w:tc>
              <w:tc>
                <w:tcPr>
                  <w:tcW w:w="202"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7E9FF0E">
                  <w:pPr>
                    <w:jc w:val="center"/>
                    <w:rPr>
                      <w:b/>
                      <w:szCs w:val="21"/>
                      <w:u w:val="single"/>
                    </w:rPr>
                  </w:pPr>
                  <w:r>
                    <w:rPr>
                      <w:rFonts w:hint="eastAsia"/>
                      <w:b/>
                      <w:szCs w:val="21"/>
                      <w:u w:val="single"/>
                    </w:rPr>
                    <w:t>41.9</w:t>
                  </w:r>
                </w:p>
              </w:tc>
              <w:tc>
                <w:tcPr>
                  <w:tcW w:w="173"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2DF163A">
                  <w:pPr>
                    <w:jc w:val="center"/>
                    <w:rPr>
                      <w:b/>
                      <w:szCs w:val="21"/>
                      <w:u w:val="single"/>
                    </w:rPr>
                  </w:pPr>
                  <w:r>
                    <w:rPr>
                      <w:rFonts w:hint="eastAsia"/>
                      <w:b/>
                      <w:szCs w:val="21"/>
                      <w:u w:val="single"/>
                    </w:rPr>
                    <w:t>44.1</w:t>
                  </w:r>
                </w:p>
              </w:tc>
              <w:tc>
                <w:tcPr>
                  <w:tcW w:w="161"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69B730A">
                  <w:pPr>
                    <w:jc w:val="center"/>
                    <w:rPr>
                      <w:b/>
                      <w:szCs w:val="21"/>
                      <w:u w:val="single"/>
                    </w:rPr>
                  </w:pPr>
                  <w:r>
                    <w:rPr>
                      <w:rFonts w:hint="eastAsia"/>
                      <w:b/>
                      <w:szCs w:val="21"/>
                      <w:u w:val="single"/>
                    </w:rPr>
                    <w:t>38.7</w:t>
                  </w:r>
                </w:p>
              </w:tc>
              <w:tc>
                <w:tcPr>
                  <w:tcW w:w="218"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FB70217">
                  <w:pPr>
                    <w:jc w:val="center"/>
                    <w:rPr>
                      <w:b/>
                      <w:szCs w:val="21"/>
                      <w:u w:val="single"/>
                    </w:rPr>
                  </w:pPr>
                  <w:r>
                    <w:rPr>
                      <w:rFonts w:hint="eastAsia"/>
                      <w:b/>
                      <w:szCs w:val="21"/>
                      <w:u w:val="single"/>
                    </w:rPr>
                    <w:t>61</w:t>
                  </w:r>
                </w:p>
              </w:tc>
              <w:tc>
                <w:tcPr>
                  <w:tcW w:w="326" w:type="pct"/>
                  <w:vMerge w:val="continue"/>
                  <w:tcBorders>
                    <w:left w:val="single" w:color="auto" w:sz="4" w:space="0"/>
                    <w:right w:val="single" w:color="auto" w:sz="4" w:space="0"/>
                  </w:tcBorders>
                  <w:shd w:val="clear" w:color="auto" w:fill="FFFFFF"/>
                  <w:tcMar>
                    <w:top w:w="0" w:type="dxa"/>
                    <w:left w:w="0" w:type="dxa"/>
                    <w:bottom w:w="0" w:type="dxa"/>
                    <w:right w:w="0" w:type="dxa"/>
                  </w:tcMar>
                  <w:vAlign w:val="center"/>
                </w:tcPr>
                <w:p w14:paraId="7139F6FA">
                  <w:pPr>
                    <w:jc w:val="center"/>
                    <w:rPr>
                      <w:b/>
                      <w:szCs w:val="21"/>
                      <w:u w:val="single"/>
                    </w:rPr>
                  </w:pPr>
                </w:p>
              </w:tc>
              <w:tc>
                <w:tcPr>
                  <w:tcW w:w="173"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A1BD61F">
                  <w:pPr>
                    <w:jc w:val="center"/>
                    <w:rPr>
                      <w:rFonts w:ascii="宋体" w:hAnsi="宋体" w:cs="宋体"/>
                      <w:b/>
                      <w:color w:val="000000"/>
                      <w:szCs w:val="21"/>
                      <w:u w:val="single"/>
                    </w:rPr>
                  </w:pPr>
                  <w:r>
                    <w:rPr>
                      <w:rFonts w:hint="eastAsia"/>
                      <w:b/>
                      <w:color w:val="000000"/>
                      <w:sz w:val="22"/>
                      <w:szCs w:val="22"/>
                      <w:u w:val="single"/>
                    </w:rPr>
                    <w:t>16.9</w:t>
                  </w:r>
                </w:p>
              </w:tc>
              <w:tc>
                <w:tcPr>
                  <w:tcW w:w="173"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3115D56">
                  <w:pPr>
                    <w:jc w:val="center"/>
                    <w:rPr>
                      <w:rFonts w:ascii="宋体" w:hAnsi="宋体" w:cs="宋体"/>
                      <w:b/>
                      <w:color w:val="000000"/>
                      <w:szCs w:val="21"/>
                      <w:u w:val="single"/>
                    </w:rPr>
                  </w:pPr>
                  <w:r>
                    <w:rPr>
                      <w:rFonts w:hint="eastAsia"/>
                      <w:b/>
                      <w:color w:val="000000"/>
                      <w:sz w:val="22"/>
                      <w:szCs w:val="22"/>
                      <w:u w:val="single"/>
                    </w:rPr>
                    <w:t>19.1</w:t>
                  </w:r>
                </w:p>
              </w:tc>
              <w:tc>
                <w:tcPr>
                  <w:tcW w:w="173"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2557124">
                  <w:pPr>
                    <w:jc w:val="center"/>
                    <w:rPr>
                      <w:rFonts w:ascii="宋体" w:hAnsi="宋体" w:cs="宋体"/>
                      <w:b/>
                      <w:color w:val="000000"/>
                      <w:szCs w:val="21"/>
                      <w:u w:val="single"/>
                    </w:rPr>
                  </w:pPr>
                  <w:r>
                    <w:rPr>
                      <w:rFonts w:hint="eastAsia"/>
                      <w:b/>
                      <w:color w:val="000000"/>
                      <w:sz w:val="22"/>
                      <w:szCs w:val="22"/>
                      <w:u w:val="single"/>
                    </w:rPr>
                    <w:t>13.7</w:t>
                  </w:r>
                </w:p>
              </w:tc>
              <w:tc>
                <w:tcPr>
                  <w:tcW w:w="160"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783CBD2">
                  <w:pPr>
                    <w:jc w:val="center"/>
                    <w:rPr>
                      <w:rFonts w:ascii="宋体" w:hAnsi="宋体" w:cs="宋体"/>
                      <w:b/>
                      <w:color w:val="000000"/>
                      <w:szCs w:val="21"/>
                      <w:u w:val="single"/>
                    </w:rPr>
                  </w:pPr>
                  <w:r>
                    <w:rPr>
                      <w:rFonts w:hint="eastAsia"/>
                      <w:b/>
                      <w:color w:val="000000"/>
                      <w:sz w:val="22"/>
                      <w:szCs w:val="22"/>
                      <w:u w:val="single"/>
                    </w:rPr>
                    <w:t>36</w:t>
                  </w:r>
                </w:p>
              </w:tc>
              <w:tc>
                <w:tcPr>
                  <w:tcW w:w="251"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3BF35AA">
                  <w:pPr>
                    <w:jc w:val="center"/>
                    <w:rPr>
                      <w:b/>
                      <w:szCs w:val="21"/>
                      <w:u w:val="single"/>
                    </w:rPr>
                  </w:pPr>
                  <w:r>
                    <w:rPr>
                      <w:rFonts w:hint="eastAsia"/>
                      <w:b/>
                      <w:szCs w:val="21"/>
                      <w:u w:val="single"/>
                    </w:rPr>
                    <w:t>1m</w:t>
                  </w:r>
                </w:p>
              </w:tc>
            </w:tr>
            <w:tr w14:paraId="72D51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267"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5A1E2EF">
                  <w:pPr>
                    <w:jc w:val="center"/>
                    <w:rPr>
                      <w:b/>
                      <w:szCs w:val="21"/>
                      <w:u w:val="single"/>
                    </w:rPr>
                  </w:pPr>
                  <w:r>
                    <w:rPr>
                      <w:rFonts w:hint="eastAsia"/>
                      <w:b/>
                      <w:szCs w:val="21"/>
                      <w:u w:val="single"/>
                    </w:rPr>
                    <w:t>5</w:t>
                  </w:r>
                </w:p>
              </w:tc>
              <w:tc>
                <w:tcPr>
                  <w:tcW w:w="348"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0A4A8CE">
                  <w:pPr>
                    <w:jc w:val="center"/>
                    <w:rPr>
                      <w:b/>
                      <w:szCs w:val="21"/>
                      <w:u w:val="single"/>
                    </w:rPr>
                  </w:pPr>
                  <w:r>
                    <w:rPr>
                      <w:rFonts w:hint="eastAsia"/>
                      <w:b/>
                      <w:szCs w:val="21"/>
                      <w:u w:val="single"/>
                    </w:rPr>
                    <w:t>磨尖</w:t>
                  </w:r>
                  <w:r>
                    <w:rPr>
                      <w:b/>
                      <w:szCs w:val="21"/>
                      <w:u w:val="single"/>
                    </w:rPr>
                    <w:t>机</w:t>
                  </w:r>
                </w:p>
              </w:tc>
              <w:tc>
                <w:tcPr>
                  <w:tcW w:w="279"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8EC9B19">
                  <w:pPr>
                    <w:jc w:val="center"/>
                    <w:rPr>
                      <w:b/>
                      <w:szCs w:val="21"/>
                      <w:u w:val="single"/>
                    </w:rPr>
                  </w:pPr>
                  <w:r>
                    <w:rPr>
                      <w:rFonts w:hint="eastAsia"/>
                      <w:b/>
                      <w:szCs w:val="21"/>
                      <w:u w:val="single"/>
                    </w:rPr>
                    <w:t>2</w:t>
                  </w:r>
                </w:p>
              </w:tc>
              <w:tc>
                <w:tcPr>
                  <w:tcW w:w="222"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E9B1ED7">
                  <w:pPr>
                    <w:jc w:val="center"/>
                    <w:rPr>
                      <w:b/>
                      <w:szCs w:val="21"/>
                      <w:u w:val="single"/>
                    </w:rPr>
                  </w:pPr>
                  <w:r>
                    <w:rPr>
                      <w:rFonts w:hint="eastAsia"/>
                      <w:b/>
                      <w:szCs w:val="21"/>
                      <w:u w:val="single"/>
                    </w:rPr>
                    <w:t>75</w:t>
                  </w:r>
                </w:p>
              </w:tc>
              <w:tc>
                <w:tcPr>
                  <w:tcW w:w="405" w:type="pct"/>
                  <w:vMerge w:val="continue"/>
                  <w:tcBorders>
                    <w:left w:val="single" w:color="auto" w:sz="4" w:space="0"/>
                    <w:right w:val="single" w:color="auto" w:sz="4" w:space="0"/>
                  </w:tcBorders>
                  <w:shd w:val="clear" w:color="auto" w:fill="FFFFFF"/>
                  <w:tcMar>
                    <w:top w:w="0" w:type="dxa"/>
                    <w:left w:w="0" w:type="dxa"/>
                    <w:bottom w:w="0" w:type="dxa"/>
                    <w:right w:w="0" w:type="dxa"/>
                  </w:tcMar>
                  <w:vAlign w:val="center"/>
                </w:tcPr>
                <w:p w14:paraId="29DB9442">
                  <w:pPr>
                    <w:jc w:val="center"/>
                    <w:rPr>
                      <w:b/>
                      <w:szCs w:val="21"/>
                      <w:u w:val="single"/>
                    </w:rPr>
                  </w:pPr>
                </w:p>
              </w:tc>
              <w:tc>
                <w:tcPr>
                  <w:tcW w:w="219"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A09A9C7">
                  <w:pPr>
                    <w:jc w:val="center"/>
                    <w:rPr>
                      <w:b/>
                      <w:szCs w:val="21"/>
                      <w:u w:val="single"/>
                    </w:rPr>
                  </w:pPr>
                  <w:r>
                    <w:rPr>
                      <w:rFonts w:hint="eastAsia"/>
                      <w:b/>
                      <w:szCs w:val="21"/>
                      <w:u w:val="single"/>
                    </w:rPr>
                    <w:t>5</w:t>
                  </w:r>
                </w:p>
              </w:tc>
              <w:tc>
                <w:tcPr>
                  <w:tcW w:w="219"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B72A5B0">
                  <w:pPr>
                    <w:jc w:val="center"/>
                    <w:rPr>
                      <w:b/>
                      <w:szCs w:val="21"/>
                      <w:u w:val="single"/>
                    </w:rPr>
                  </w:pPr>
                  <w:r>
                    <w:rPr>
                      <w:rFonts w:hint="eastAsia"/>
                      <w:b/>
                      <w:szCs w:val="21"/>
                      <w:u w:val="single"/>
                    </w:rPr>
                    <w:t>15</w:t>
                  </w:r>
                </w:p>
              </w:tc>
              <w:tc>
                <w:tcPr>
                  <w:tcW w:w="161"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E17CF88">
                  <w:pPr>
                    <w:jc w:val="center"/>
                    <w:rPr>
                      <w:b/>
                      <w:szCs w:val="21"/>
                      <w:u w:val="single"/>
                    </w:rPr>
                  </w:pPr>
                  <w:r>
                    <w:rPr>
                      <w:rFonts w:hint="eastAsia"/>
                      <w:b/>
                      <w:szCs w:val="21"/>
                      <w:u w:val="single"/>
                    </w:rPr>
                    <w:t>1</w:t>
                  </w:r>
                </w:p>
              </w:tc>
              <w:tc>
                <w:tcPr>
                  <w:tcW w:w="221"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82D3544">
                  <w:pPr>
                    <w:jc w:val="center"/>
                    <w:rPr>
                      <w:b/>
                      <w:szCs w:val="21"/>
                      <w:u w:val="single"/>
                    </w:rPr>
                  </w:pPr>
                  <w:r>
                    <w:rPr>
                      <w:rFonts w:hint="eastAsia"/>
                      <w:b/>
                      <w:szCs w:val="21"/>
                      <w:u w:val="single"/>
                    </w:rPr>
                    <w:t>50</w:t>
                  </w:r>
                </w:p>
              </w:tc>
              <w:tc>
                <w:tcPr>
                  <w:tcW w:w="215"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D58AF9D">
                  <w:pPr>
                    <w:jc w:val="center"/>
                    <w:rPr>
                      <w:b/>
                      <w:szCs w:val="21"/>
                      <w:u w:val="single"/>
                    </w:rPr>
                  </w:pPr>
                  <w:r>
                    <w:rPr>
                      <w:rFonts w:hint="eastAsia"/>
                      <w:b/>
                      <w:szCs w:val="21"/>
                      <w:u w:val="single"/>
                    </w:rPr>
                    <w:t>35</w:t>
                  </w:r>
                </w:p>
              </w:tc>
              <w:tc>
                <w:tcPr>
                  <w:tcW w:w="217"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E987BB9">
                  <w:pPr>
                    <w:jc w:val="center"/>
                    <w:rPr>
                      <w:b/>
                      <w:szCs w:val="21"/>
                      <w:u w:val="single"/>
                    </w:rPr>
                  </w:pPr>
                  <w:r>
                    <w:rPr>
                      <w:rFonts w:hint="eastAsia"/>
                      <w:b/>
                      <w:szCs w:val="21"/>
                      <w:u w:val="single"/>
                    </w:rPr>
                    <w:t>60</w:t>
                  </w:r>
                </w:p>
              </w:tc>
              <w:tc>
                <w:tcPr>
                  <w:tcW w:w="217"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282305C">
                  <w:pPr>
                    <w:jc w:val="center"/>
                    <w:rPr>
                      <w:b/>
                      <w:szCs w:val="21"/>
                      <w:u w:val="single"/>
                    </w:rPr>
                  </w:pPr>
                  <w:r>
                    <w:rPr>
                      <w:rFonts w:hint="eastAsia"/>
                      <w:b/>
                      <w:szCs w:val="21"/>
                      <w:u w:val="single"/>
                    </w:rPr>
                    <w:t>5</w:t>
                  </w:r>
                </w:p>
              </w:tc>
              <w:tc>
                <w:tcPr>
                  <w:tcW w:w="202"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912F0F0">
                  <w:pPr>
                    <w:jc w:val="center"/>
                    <w:rPr>
                      <w:b/>
                      <w:szCs w:val="21"/>
                      <w:u w:val="single"/>
                    </w:rPr>
                  </w:pPr>
                  <w:r>
                    <w:rPr>
                      <w:rFonts w:hint="eastAsia"/>
                      <w:b/>
                      <w:szCs w:val="21"/>
                      <w:u w:val="single"/>
                    </w:rPr>
                    <w:t>41</w:t>
                  </w:r>
                </w:p>
              </w:tc>
              <w:tc>
                <w:tcPr>
                  <w:tcW w:w="173"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022D53B">
                  <w:pPr>
                    <w:jc w:val="center"/>
                    <w:rPr>
                      <w:b/>
                      <w:szCs w:val="21"/>
                      <w:u w:val="single"/>
                    </w:rPr>
                  </w:pPr>
                  <w:r>
                    <w:rPr>
                      <w:rFonts w:hint="eastAsia"/>
                      <w:b/>
                      <w:szCs w:val="21"/>
                      <w:u w:val="single"/>
                    </w:rPr>
                    <w:t>44.1</w:t>
                  </w:r>
                </w:p>
              </w:tc>
              <w:tc>
                <w:tcPr>
                  <w:tcW w:w="161"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B5FF6F8">
                  <w:pPr>
                    <w:jc w:val="center"/>
                    <w:rPr>
                      <w:b/>
                      <w:szCs w:val="21"/>
                      <w:u w:val="single"/>
                    </w:rPr>
                  </w:pPr>
                  <w:r>
                    <w:rPr>
                      <w:rFonts w:hint="eastAsia"/>
                      <w:b/>
                      <w:szCs w:val="21"/>
                      <w:u w:val="single"/>
                    </w:rPr>
                    <w:t>39.4</w:t>
                  </w:r>
                </w:p>
              </w:tc>
              <w:tc>
                <w:tcPr>
                  <w:tcW w:w="218"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E8C292B">
                  <w:pPr>
                    <w:jc w:val="center"/>
                    <w:rPr>
                      <w:b/>
                      <w:szCs w:val="21"/>
                      <w:u w:val="single"/>
                    </w:rPr>
                  </w:pPr>
                  <w:r>
                    <w:rPr>
                      <w:rFonts w:hint="eastAsia"/>
                      <w:b/>
                      <w:szCs w:val="21"/>
                      <w:u w:val="single"/>
                    </w:rPr>
                    <w:t>61</w:t>
                  </w:r>
                </w:p>
              </w:tc>
              <w:tc>
                <w:tcPr>
                  <w:tcW w:w="326" w:type="pct"/>
                  <w:vMerge w:val="continue"/>
                  <w:tcBorders>
                    <w:left w:val="single" w:color="auto" w:sz="4" w:space="0"/>
                    <w:right w:val="single" w:color="auto" w:sz="4" w:space="0"/>
                  </w:tcBorders>
                  <w:shd w:val="clear" w:color="auto" w:fill="FFFFFF"/>
                  <w:tcMar>
                    <w:top w:w="0" w:type="dxa"/>
                    <w:left w:w="0" w:type="dxa"/>
                    <w:bottom w:w="0" w:type="dxa"/>
                    <w:right w:w="0" w:type="dxa"/>
                  </w:tcMar>
                  <w:vAlign w:val="center"/>
                </w:tcPr>
                <w:p w14:paraId="792085D5">
                  <w:pPr>
                    <w:jc w:val="center"/>
                    <w:rPr>
                      <w:b/>
                      <w:szCs w:val="21"/>
                      <w:u w:val="single"/>
                    </w:rPr>
                  </w:pPr>
                </w:p>
              </w:tc>
              <w:tc>
                <w:tcPr>
                  <w:tcW w:w="173"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FA1AFF5">
                  <w:pPr>
                    <w:jc w:val="center"/>
                    <w:rPr>
                      <w:b/>
                      <w:color w:val="000000"/>
                      <w:sz w:val="22"/>
                      <w:szCs w:val="22"/>
                      <w:u w:val="single"/>
                    </w:rPr>
                  </w:pPr>
                  <w:r>
                    <w:rPr>
                      <w:rFonts w:hint="eastAsia"/>
                      <w:b/>
                      <w:color w:val="000000"/>
                      <w:sz w:val="22"/>
                      <w:szCs w:val="22"/>
                      <w:u w:val="single"/>
                    </w:rPr>
                    <w:t>16</w:t>
                  </w:r>
                </w:p>
              </w:tc>
              <w:tc>
                <w:tcPr>
                  <w:tcW w:w="173"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E549399">
                  <w:pPr>
                    <w:jc w:val="center"/>
                    <w:rPr>
                      <w:b/>
                      <w:color w:val="000000"/>
                      <w:sz w:val="22"/>
                      <w:szCs w:val="22"/>
                      <w:u w:val="single"/>
                    </w:rPr>
                  </w:pPr>
                  <w:r>
                    <w:rPr>
                      <w:rFonts w:hint="eastAsia"/>
                      <w:b/>
                      <w:color w:val="000000"/>
                      <w:sz w:val="22"/>
                      <w:szCs w:val="22"/>
                      <w:u w:val="single"/>
                    </w:rPr>
                    <w:t>19.1</w:t>
                  </w:r>
                </w:p>
              </w:tc>
              <w:tc>
                <w:tcPr>
                  <w:tcW w:w="173"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557300E">
                  <w:pPr>
                    <w:jc w:val="center"/>
                    <w:rPr>
                      <w:b/>
                      <w:color w:val="000000"/>
                      <w:sz w:val="22"/>
                      <w:szCs w:val="22"/>
                      <w:u w:val="single"/>
                    </w:rPr>
                  </w:pPr>
                  <w:r>
                    <w:rPr>
                      <w:rFonts w:hint="eastAsia"/>
                      <w:b/>
                      <w:color w:val="000000"/>
                      <w:sz w:val="22"/>
                      <w:szCs w:val="22"/>
                      <w:u w:val="single"/>
                    </w:rPr>
                    <w:t>14.4</w:t>
                  </w:r>
                </w:p>
              </w:tc>
              <w:tc>
                <w:tcPr>
                  <w:tcW w:w="160"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D6D34C9">
                  <w:pPr>
                    <w:jc w:val="center"/>
                    <w:rPr>
                      <w:b/>
                      <w:color w:val="000000"/>
                      <w:sz w:val="22"/>
                      <w:szCs w:val="22"/>
                      <w:u w:val="single"/>
                    </w:rPr>
                  </w:pPr>
                  <w:r>
                    <w:rPr>
                      <w:rFonts w:hint="eastAsia"/>
                      <w:b/>
                      <w:color w:val="000000"/>
                      <w:sz w:val="22"/>
                      <w:szCs w:val="22"/>
                      <w:u w:val="single"/>
                    </w:rPr>
                    <w:t>36</w:t>
                  </w:r>
                </w:p>
              </w:tc>
              <w:tc>
                <w:tcPr>
                  <w:tcW w:w="251"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52D9D1C">
                  <w:pPr>
                    <w:jc w:val="center"/>
                    <w:rPr>
                      <w:b/>
                      <w:szCs w:val="21"/>
                      <w:u w:val="single"/>
                    </w:rPr>
                  </w:pPr>
                  <w:r>
                    <w:rPr>
                      <w:rFonts w:hint="eastAsia"/>
                      <w:b/>
                      <w:szCs w:val="21"/>
                      <w:u w:val="single"/>
                    </w:rPr>
                    <w:t>1m</w:t>
                  </w:r>
                </w:p>
              </w:tc>
            </w:tr>
            <w:tr w14:paraId="6A7DC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267"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09DB831">
                  <w:pPr>
                    <w:jc w:val="center"/>
                    <w:rPr>
                      <w:b/>
                      <w:szCs w:val="21"/>
                      <w:u w:val="single"/>
                    </w:rPr>
                  </w:pPr>
                  <w:r>
                    <w:rPr>
                      <w:b/>
                      <w:szCs w:val="21"/>
                      <w:u w:val="single"/>
                    </w:rPr>
                    <w:t>6</w:t>
                  </w:r>
                </w:p>
              </w:tc>
              <w:tc>
                <w:tcPr>
                  <w:tcW w:w="348"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E57887F">
                  <w:pPr>
                    <w:jc w:val="center"/>
                    <w:rPr>
                      <w:b/>
                      <w:szCs w:val="21"/>
                      <w:u w:val="single"/>
                    </w:rPr>
                  </w:pPr>
                  <w:r>
                    <w:rPr>
                      <w:rFonts w:hint="eastAsia"/>
                      <w:b/>
                      <w:szCs w:val="21"/>
                      <w:u w:val="single"/>
                    </w:rPr>
                    <w:t>打包机</w:t>
                  </w:r>
                </w:p>
              </w:tc>
              <w:tc>
                <w:tcPr>
                  <w:tcW w:w="279"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7FF2C79">
                  <w:pPr>
                    <w:jc w:val="center"/>
                    <w:rPr>
                      <w:b/>
                      <w:szCs w:val="21"/>
                      <w:u w:val="single"/>
                    </w:rPr>
                  </w:pPr>
                  <w:r>
                    <w:rPr>
                      <w:rFonts w:hint="eastAsia"/>
                      <w:b/>
                      <w:szCs w:val="21"/>
                      <w:u w:val="single"/>
                    </w:rPr>
                    <w:t>2</w:t>
                  </w:r>
                </w:p>
              </w:tc>
              <w:tc>
                <w:tcPr>
                  <w:tcW w:w="222"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D8F91C7">
                  <w:pPr>
                    <w:jc w:val="center"/>
                    <w:rPr>
                      <w:b/>
                      <w:szCs w:val="21"/>
                      <w:u w:val="single"/>
                    </w:rPr>
                  </w:pPr>
                  <w:r>
                    <w:rPr>
                      <w:rFonts w:hint="eastAsia"/>
                      <w:b/>
                      <w:szCs w:val="21"/>
                      <w:u w:val="single"/>
                    </w:rPr>
                    <w:t>75</w:t>
                  </w:r>
                </w:p>
              </w:tc>
              <w:tc>
                <w:tcPr>
                  <w:tcW w:w="405" w:type="pct"/>
                  <w:vMerge w:val="continue"/>
                  <w:tcBorders>
                    <w:left w:val="single" w:color="auto" w:sz="4" w:space="0"/>
                    <w:right w:val="single" w:color="auto" w:sz="4" w:space="0"/>
                  </w:tcBorders>
                  <w:shd w:val="clear" w:color="auto" w:fill="FFFFFF"/>
                  <w:tcMar>
                    <w:top w:w="0" w:type="dxa"/>
                    <w:left w:w="0" w:type="dxa"/>
                    <w:bottom w:w="0" w:type="dxa"/>
                    <w:right w:w="0" w:type="dxa"/>
                  </w:tcMar>
                  <w:vAlign w:val="center"/>
                </w:tcPr>
                <w:p w14:paraId="1803B981">
                  <w:pPr>
                    <w:jc w:val="center"/>
                    <w:rPr>
                      <w:b/>
                      <w:szCs w:val="21"/>
                      <w:u w:val="single"/>
                    </w:rPr>
                  </w:pPr>
                </w:p>
              </w:tc>
              <w:tc>
                <w:tcPr>
                  <w:tcW w:w="219"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CEC74EE">
                  <w:pPr>
                    <w:jc w:val="center"/>
                    <w:rPr>
                      <w:b/>
                      <w:szCs w:val="21"/>
                      <w:u w:val="single"/>
                    </w:rPr>
                  </w:pPr>
                  <w:r>
                    <w:rPr>
                      <w:rFonts w:hint="eastAsia"/>
                      <w:b/>
                      <w:szCs w:val="21"/>
                      <w:u w:val="single"/>
                    </w:rPr>
                    <w:t>-15</w:t>
                  </w:r>
                </w:p>
              </w:tc>
              <w:tc>
                <w:tcPr>
                  <w:tcW w:w="219"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F02EF68">
                  <w:pPr>
                    <w:jc w:val="center"/>
                    <w:rPr>
                      <w:b/>
                      <w:szCs w:val="21"/>
                      <w:u w:val="single"/>
                    </w:rPr>
                  </w:pPr>
                  <w:r>
                    <w:rPr>
                      <w:rFonts w:hint="eastAsia"/>
                      <w:b/>
                      <w:szCs w:val="21"/>
                      <w:u w:val="single"/>
                    </w:rPr>
                    <w:t>-10</w:t>
                  </w:r>
                </w:p>
              </w:tc>
              <w:tc>
                <w:tcPr>
                  <w:tcW w:w="161"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8761BA3">
                  <w:pPr>
                    <w:jc w:val="center"/>
                    <w:rPr>
                      <w:b/>
                      <w:szCs w:val="21"/>
                      <w:u w:val="single"/>
                    </w:rPr>
                  </w:pPr>
                  <w:r>
                    <w:rPr>
                      <w:rFonts w:hint="eastAsia"/>
                      <w:b/>
                      <w:szCs w:val="21"/>
                      <w:u w:val="single"/>
                    </w:rPr>
                    <w:t>1</w:t>
                  </w:r>
                </w:p>
              </w:tc>
              <w:tc>
                <w:tcPr>
                  <w:tcW w:w="221"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2941877">
                  <w:pPr>
                    <w:jc w:val="center"/>
                    <w:rPr>
                      <w:b/>
                      <w:szCs w:val="21"/>
                      <w:u w:val="single"/>
                    </w:rPr>
                  </w:pPr>
                  <w:r>
                    <w:rPr>
                      <w:rFonts w:hint="eastAsia"/>
                      <w:b/>
                      <w:szCs w:val="21"/>
                      <w:u w:val="single"/>
                    </w:rPr>
                    <w:t>70</w:t>
                  </w:r>
                </w:p>
              </w:tc>
              <w:tc>
                <w:tcPr>
                  <w:tcW w:w="215"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80C51CB">
                  <w:pPr>
                    <w:jc w:val="center"/>
                    <w:rPr>
                      <w:b/>
                      <w:szCs w:val="21"/>
                      <w:u w:val="single"/>
                    </w:rPr>
                  </w:pPr>
                  <w:r>
                    <w:rPr>
                      <w:rFonts w:hint="eastAsia"/>
                      <w:b/>
                      <w:szCs w:val="21"/>
                      <w:u w:val="single"/>
                    </w:rPr>
                    <w:t>10</w:t>
                  </w:r>
                </w:p>
              </w:tc>
              <w:tc>
                <w:tcPr>
                  <w:tcW w:w="217"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858FFF9">
                  <w:pPr>
                    <w:jc w:val="center"/>
                    <w:rPr>
                      <w:b/>
                      <w:szCs w:val="21"/>
                      <w:u w:val="single"/>
                    </w:rPr>
                  </w:pPr>
                  <w:r>
                    <w:rPr>
                      <w:rFonts w:hint="eastAsia"/>
                      <w:b/>
                      <w:szCs w:val="21"/>
                      <w:u w:val="single"/>
                    </w:rPr>
                    <w:t>40</w:t>
                  </w:r>
                </w:p>
              </w:tc>
              <w:tc>
                <w:tcPr>
                  <w:tcW w:w="217"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2D63175">
                  <w:pPr>
                    <w:jc w:val="center"/>
                    <w:rPr>
                      <w:b/>
                      <w:szCs w:val="21"/>
                      <w:u w:val="single"/>
                    </w:rPr>
                  </w:pPr>
                  <w:r>
                    <w:rPr>
                      <w:rFonts w:hint="eastAsia"/>
                      <w:b/>
                      <w:szCs w:val="21"/>
                      <w:u w:val="single"/>
                    </w:rPr>
                    <w:t>30</w:t>
                  </w:r>
                </w:p>
              </w:tc>
              <w:tc>
                <w:tcPr>
                  <w:tcW w:w="202"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228F943">
                  <w:pPr>
                    <w:jc w:val="center"/>
                    <w:rPr>
                      <w:b/>
                      <w:szCs w:val="21"/>
                      <w:u w:val="single"/>
                    </w:rPr>
                  </w:pPr>
                  <w:r>
                    <w:rPr>
                      <w:rFonts w:hint="eastAsia"/>
                      <w:b/>
                      <w:szCs w:val="21"/>
                      <w:u w:val="single"/>
                    </w:rPr>
                    <w:t>38.1</w:t>
                  </w:r>
                </w:p>
              </w:tc>
              <w:tc>
                <w:tcPr>
                  <w:tcW w:w="173"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D819683">
                  <w:pPr>
                    <w:jc w:val="center"/>
                    <w:rPr>
                      <w:b/>
                      <w:szCs w:val="21"/>
                      <w:u w:val="single"/>
                    </w:rPr>
                  </w:pPr>
                  <w:r>
                    <w:rPr>
                      <w:rFonts w:hint="eastAsia"/>
                      <w:b/>
                      <w:szCs w:val="21"/>
                      <w:u w:val="single"/>
                    </w:rPr>
                    <w:t>55</w:t>
                  </w:r>
                </w:p>
              </w:tc>
              <w:tc>
                <w:tcPr>
                  <w:tcW w:w="161"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6F71150">
                  <w:pPr>
                    <w:jc w:val="center"/>
                    <w:rPr>
                      <w:b/>
                      <w:szCs w:val="21"/>
                      <w:u w:val="single"/>
                    </w:rPr>
                  </w:pPr>
                  <w:r>
                    <w:rPr>
                      <w:rFonts w:hint="eastAsia"/>
                      <w:b/>
                      <w:szCs w:val="21"/>
                      <w:u w:val="single"/>
                    </w:rPr>
                    <w:t>43</w:t>
                  </w:r>
                </w:p>
              </w:tc>
              <w:tc>
                <w:tcPr>
                  <w:tcW w:w="218"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DF1857F">
                  <w:pPr>
                    <w:jc w:val="center"/>
                    <w:rPr>
                      <w:b/>
                      <w:szCs w:val="21"/>
                      <w:u w:val="single"/>
                    </w:rPr>
                  </w:pPr>
                  <w:r>
                    <w:rPr>
                      <w:rFonts w:hint="eastAsia"/>
                      <w:b/>
                      <w:szCs w:val="21"/>
                      <w:u w:val="single"/>
                    </w:rPr>
                    <w:t>45.5</w:t>
                  </w:r>
                </w:p>
              </w:tc>
              <w:tc>
                <w:tcPr>
                  <w:tcW w:w="326" w:type="pct"/>
                  <w:vMerge w:val="continue"/>
                  <w:tcBorders>
                    <w:left w:val="single" w:color="auto" w:sz="4" w:space="0"/>
                    <w:right w:val="single" w:color="auto" w:sz="4" w:space="0"/>
                  </w:tcBorders>
                  <w:shd w:val="clear" w:color="auto" w:fill="FFFFFF"/>
                  <w:tcMar>
                    <w:top w:w="0" w:type="dxa"/>
                    <w:left w:w="0" w:type="dxa"/>
                    <w:bottom w:w="0" w:type="dxa"/>
                    <w:right w:w="0" w:type="dxa"/>
                  </w:tcMar>
                  <w:vAlign w:val="center"/>
                </w:tcPr>
                <w:p w14:paraId="5AE5DF1D">
                  <w:pPr>
                    <w:jc w:val="center"/>
                    <w:rPr>
                      <w:b/>
                      <w:szCs w:val="21"/>
                      <w:u w:val="single"/>
                    </w:rPr>
                  </w:pPr>
                </w:p>
              </w:tc>
              <w:tc>
                <w:tcPr>
                  <w:tcW w:w="173"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047FE8B">
                  <w:pPr>
                    <w:jc w:val="center"/>
                    <w:rPr>
                      <w:rFonts w:ascii="宋体" w:hAnsi="宋体" w:cs="宋体"/>
                      <w:b/>
                      <w:color w:val="000000"/>
                      <w:szCs w:val="21"/>
                      <w:u w:val="single"/>
                    </w:rPr>
                  </w:pPr>
                  <w:r>
                    <w:rPr>
                      <w:rFonts w:hint="eastAsia"/>
                      <w:b/>
                      <w:color w:val="000000"/>
                      <w:sz w:val="22"/>
                      <w:szCs w:val="22"/>
                      <w:u w:val="single"/>
                    </w:rPr>
                    <w:t>13.1</w:t>
                  </w:r>
                </w:p>
              </w:tc>
              <w:tc>
                <w:tcPr>
                  <w:tcW w:w="173"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5DF1ED">
                  <w:pPr>
                    <w:jc w:val="center"/>
                    <w:rPr>
                      <w:rFonts w:ascii="宋体" w:hAnsi="宋体" w:cs="宋体"/>
                      <w:b/>
                      <w:color w:val="000000"/>
                      <w:szCs w:val="21"/>
                      <w:u w:val="single"/>
                    </w:rPr>
                  </w:pPr>
                  <w:r>
                    <w:rPr>
                      <w:rFonts w:hint="eastAsia"/>
                      <w:b/>
                      <w:color w:val="000000"/>
                      <w:sz w:val="22"/>
                      <w:szCs w:val="22"/>
                      <w:u w:val="single"/>
                    </w:rPr>
                    <w:t>30</w:t>
                  </w:r>
                </w:p>
              </w:tc>
              <w:tc>
                <w:tcPr>
                  <w:tcW w:w="173"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9D231A5">
                  <w:pPr>
                    <w:jc w:val="center"/>
                    <w:rPr>
                      <w:rFonts w:ascii="宋体" w:hAnsi="宋体" w:cs="宋体"/>
                      <w:b/>
                      <w:color w:val="000000"/>
                      <w:szCs w:val="21"/>
                      <w:u w:val="single"/>
                    </w:rPr>
                  </w:pPr>
                  <w:r>
                    <w:rPr>
                      <w:rFonts w:hint="eastAsia"/>
                      <w:b/>
                      <w:color w:val="000000"/>
                      <w:sz w:val="22"/>
                      <w:szCs w:val="22"/>
                      <w:u w:val="single"/>
                    </w:rPr>
                    <w:t>18</w:t>
                  </w:r>
                </w:p>
              </w:tc>
              <w:tc>
                <w:tcPr>
                  <w:tcW w:w="160"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33A4C46">
                  <w:pPr>
                    <w:jc w:val="center"/>
                    <w:rPr>
                      <w:rFonts w:ascii="宋体" w:hAnsi="宋体" w:cs="宋体"/>
                      <w:b/>
                      <w:color w:val="000000"/>
                      <w:szCs w:val="21"/>
                      <w:u w:val="single"/>
                    </w:rPr>
                  </w:pPr>
                  <w:r>
                    <w:rPr>
                      <w:rFonts w:hint="eastAsia"/>
                      <w:b/>
                      <w:color w:val="000000"/>
                      <w:sz w:val="22"/>
                      <w:szCs w:val="22"/>
                      <w:u w:val="single"/>
                    </w:rPr>
                    <w:t>20.5</w:t>
                  </w:r>
                </w:p>
              </w:tc>
              <w:tc>
                <w:tcPr>
                  <w:tcW w:w="251"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4382FF1">
                  <w:pPr>
                    <w:jc w:val="center"/>
                    <w:rPr>
                      <w:b/>
                      <w:szCs w:val="21"/>
                      <w:u w:val="single"/>
                    </w:rPr>
                  </w:pPr>
                  <w:r>
                    <w:rPr>
                      <w:rFonts w:hint="eastAsia"/>
                      <w:b/>
                      <w:szCs w:val="21"/>
                      <w:u w:val="single"/>
                    </w:rPr>
                    <w:t>1m</w:t>
                  </w:r>
                </w:p>
              </w:tc>
            </w:tr>
            <w:tr w14:paraId="19D79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267"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E1B70C3">
                  <w:pPr>
                    <w:jc w:val="center"/>
                    <w:rPr>
                      <w:b/>
                      <w:szCs w:val="21"/>
                      <w:u w:val="single"/>
                    </w:rPr>
                  </w:pPr>
                  <w:r>
                    <w:rPr>
                      <w:rFonts w:hint="eastAsia"/>
                      <w:b/>
                      <w:szCs w:val="21"/>
                      <w:u w:val="single"/>
                    </w:rPr>
                    <w:t>7</w:t>
                  </w:r>
                </w:p>
              </w:tc>
              <w:tc>
                <w:tcPr>
                  <w:tcW w:w="348"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919A1D9">
                  <w:pPr>
                    <w:jc w:val="center"/>
                    <w:rPr>
                      <w:b/>
                      <w:szCs w:val="21"/>
                      <w:u w:val="single"/>
                    </w:rPr>
                  </w:pPr>
                  <w:r>
                    <w:rPr>
                      <w:rFonts w:hint="eastAsia"/>
                      <w:b/>
                      <w:szCs w:val="21"/>
                      <w:u w:val="single"/>
                    </w:rPr>
                    <w:t>水泵</w:t>
                  </w:r>
                </w:p>
              </w:tc>
              <w:tc>
                <w:tcPr>
                  <w:tcW w:w="279"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7A7A524">
                  <w:pPr>
                    <w:jc w:val="center"/>
                    <w:rPr>
                      <w:b/>
                      <w:szCs w:val="21"/>
                      <w:u w:val="single"/>
                    </w:rPr>
                  </w:pPr>
                  <w:r>
                    <w:rPr>
                      <w:rFonts w:hint="eastAsia"/>
                      <w:b/>
                      <w:szCs w:val="21"/>
                      <w:u w:val="single"/>
                    </w:rPr>
                    <w:t>1</w:t>
                  </w:r>
                </w:p>
              </w:tc>
              <w:tc>
                <w:tcPr>
                  <w:tcW w:w="222"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6F659DB">
                  <w:pPr>
                    <w:jc w:val="center"/>
                    <w:rPr>
                      <w:b/>
                      <w:szCs w:val="21"/>
                      <w:u w:val="single"/>
                    </w:rPr>
                  </w:pPr>
                  <w:r>
                    <w:rPr>
                      <w:rFonts w:hint="eastAsia"/>
                      <w:b/>
                      <w:szCs w:val="21"/>
                      <w:u w:val="single"/>
                    </w:rPr>
                    <w:t>85</w:t>
                  </w:r>
                </w:p>
              </w:tc>
              <w:tc>
                <w:tcPr>
                  <w:tcW w:w="405" w:type="pct"/>
                  <w:vMerge w:val="continue"/>
                  <w:tcBorders>
                    <w:left w:val="single" w:color="auto" w:sz="4" w:space="0"/>
                    <w:right w:val="single" w:color="auto" w:sz="4" w:space="0"/>
                  </w:tcBorders>
                  <w:shd w:val="clear" w:color="auto" w:fill="FFFFFF"/>
                  <w:tcMar>
                    <w:top w:w="0" w:type="dxa"/>
                    <w:left w:w="0" w:type="dxa"/>
                    <w:bottom w:w="0" w:type="dxa"/>
                    <w:right w:w="0" w:type="dxa"/>
                  </w:tcMar>
                  <w:vAlign w:val="center"/>
                </w:tcPr>
                <w:p w14:paraId="782B4033">
                  <w:pPr>
                    <w:jc w:val="center"/>
                    <w:rPr>
                      <w:b/>
                      <w:szCs w:val="21"/>
                      <w:u w:val="single"/>
                    </w:rPr>
                  </w:pPr>
                </w:p>
              </w:tc>
              <w:tc>
                <w:tcPr>
                  <w:tcW w:w="219"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DF683A1">
                  <w:pPr>
                    <w:jc w:val="center"/>
                    <w:rPr>
                      <w:b/>
                      <w:szCs w:val="21"/>
                      <w:u w:val="single"/>
                    </w:rPr>
                  </w:pPr>
                  <w:r>
                    <w:rPr>
                      <w:rFonts w:hint="eastAsia"/>
                      <w:b/>
                      <w:szCs w:val="21"/>
                      <w:u w:val="single"/>
                    </w:rPr>
                    <w:t>50</w:t>
                  </w:r>
                </w:p>
              </w:tc>
              <w:tc>
                <w:tcPr>
                  <w:tcW w:w="219"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B551CE2">
                  <w:pPr>
                    <w:jc w:val="center"/>
                    <w:rPr>
                      <w:b/>
                      <w:szCs w:val="21"/>
                      <w:u w:val="single"/>
                    </w:rPr>
                  </w:pPr>
                  <w:r>
                    <w:rPr>
                      <w:rFonts w:hint="eastAsia"/>
                      <w:b/>
                      <w:szCs w:val="21"/>
                      <w:u w:val="single"/>
                    </w:rPr>
                    <w:t>0</w:t>
                  </w:r>
                </w:p>
              </w:tc>
              <w:tc>
                <w:tcPr>
                  <w:tcW w:w="161"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6FEDBA2">
                  <w:pPr>
                    <w:jc w:val="center"/>
                    <w:rPr>
                      <w:b/>
                      <w:szCs w:val="21"/>
                      <w:u w:val="single"/>
                    </w:rPr>
                  </w:pPr>
                  <w:r>
                    <w:rPr>
                      <w:rFonts w:hint="eastAsia"/>
                      <w:b/>
                      <w:szCs w:val="21"/>
                      <w:u w:val="single"/>
                    </w:rPr>
                    <w:t>1</w:t>
                  </w:r>
                </w:p>
              </w:tc>
              <w:tc>
                <w:tcPr>
                  <w:tcW w:w="221"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B671D1E">
                  <w:pPr>
                    <w:jc w:val="center"/>
                    <w:rPr>
                      <w:b/>
                      <w:szCs w:val="21"/>
                      <w:u w:val="single"/>
                    </w:rPr>
                  </w:pPr>
                  <w:r>
                    <w:rPr>
                      <w:rFonts w:hint="eastAsia"/>
                      <w:b/>
                      <w:szCs w:val="21"/>
                      <w:u w:val="single"/>
                    </w:rPr>
                    <w:t>5</w:t>
                  </w:r>
                </w:p>
              </w:tc>
              <w:tc>
                <w:tcPr>
                  <w:tcW w:w="215"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E65E55B">
                  <w:pPr>
                    <w:jc w:val="center"/>
                    <w:rPr>
                      <w:b/>
                      <w:szCs w:val="21"/>
                      <w:u w:val="single"/>
                    </w:rPr>
                  </w:pPr>
                  <w:r>
                    <w:rPr>
                      <w:rFonts w:hint="eastAsia"/>
                      <w:b/>
                      <w:szCs w:val="21"/>
                      <w:u w:val="single"/>
                    </w:rPr>
                    <w:t>20</w:t>
                  </w:r>
                </w:p>
              </w:tc>
              <w:tc>
                <w:tcPr>
                  <w:tcW w:w="217"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2445ED0">
                  <w:pPr>
                    <w:jc w:val="center"/>
                    <w:rPr>
                      <w:b/>
                      <w:szCs w:val="21"/>
                      <w:u w:val="single"/>
                    </w:rPr>
                  </w:pPr>
                  <w:r>
                    <w:rPr>
                      <w:rFonts w:hint="eastAsia"/>
                      <w:b/>
                      <w:szCs w:val="21"/>
                      <w:u w:val="single"/>
                    </w:rPr>
                    <w:t>105</w:t>
                  </w:r>
                </w:p>
              </w:tc>
              <w:tc>
                <w:tcPr>
                  <w:tcW w:w="217"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75A2370">
                  <w:pPr>
                    <w:jc w:val="center"/>
                    <w:rPr>
                      <w:b/>
                      <w:szCs w:val="21"/>
                      <w:u w:val="single"/>
                    </w:rPr>
                  </w:pPr>
                  <w:r>
                    <w:rPr>
                      <w:rFonts w:hint="eastAsia"/>
                      <w:b/>
                      <w:szCs w:val="21"/>
                      <w:u w:val="single"/>
                    </w:rPr>
                    <w:t>20</w:t>
                  </w:r>
                </w:p>
              </w:tc>
              <w:tc>
                <w:tcPr>
                  <w:tcW w:w="202"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6F3ED68">
                  <w:pPr>
                    <w:jc w:val="center"/>
                    <w:rPr>
                      <w:b/>
                      <w:szCs w:val="21"/>
                      <w:u w:val="single"/>
                    </w:rPr>
                  </w:pPr>
                  <w:r>
                    <w:rPr>
                      <w:rFonts w:hint="eastAsia"/>
                      <w:b/>
                      <w:szCs w:val="21"/>
                      <w:u w:val="single"/>
                    </w:rPr>
                    <w:t>71</w:t>
                  </w:r>
                </w:p>
              </w:tc>
              <w:tc>
                <w:tcPr>
                  <w:tcW w:w="173"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EA1C49A">
                  <w:pPr>
                    <w:jc w:val="center"/>
                    <w:rPr>
                      <w:b/>
                      <w:szCs w:val="21"/>
                      <w:u w:val="single"/>
                    </w:rPr>
                  </w:pPr>
                  <w:r>
                    <w:rPr>
                      <w:rFonts w:hint="eastAsia"/>
                      <w:b/>
                      <w:szCs w:val="21"/>
                      <w:u w:val="single"/>
                    </w:rPr>
                    <w:t>59</w:t>
                  </w:r>
                </w:p>
              </w:tc>
              <w:tc>
                <w:tcPr>
                  <w:tcW w:w="161"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8916AE2">
                  <w:pPr>
                    <w:jc w:val="center"/>
                    <w:rPr>
                      <w:b/>
                      <w:szCs w:val="21"/>
                      <w:u w:val="single"/>
                    </w:rPr>
                  </w:pPr>
                  <w:r>
                    <w:rPr>
                      <w:b/>
                      <w:szCs w:val="21"/>
                      <w:u w:val="single"/>
                    </w:rPr>
                    <w:t>44.6</w:t>
                  </w:r>
                </w:p>
              </w:tc>
              <w:tc>
                <w:tcPr>
                  <w:tcW w:w="218"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B4B4640">
                  <w:pPr>
                    <w:jc w:val="center"/>
                    <w:rPr>
                      <w:b/>
                      <w:szCs w:val="21"/>
                      <w:u w:val="single"/>
                    </w:rPr>
                  </w:pPr>
                  <w:r>
                    <w:rPr>
                      <w:rFonts w:hint="eastAsia"/>
                      <w:b/>
                      <w:szCs w:val="21"/>
                      <w:u w:val="single"/>
                    </w:rPr>
                    <w:t>59</w:t>
                  </w:r>
                </w:p>
              </w:tc>
              <w:tc>
                <w:tcPr>
                  <w:tcW w:w="326" w:type="pct"/>
                  <w:vMerge w:val="continue"/>
                  <w:tcBorders>
                    <w:left w:val="single" w:color="auto" w:sz="4" w:space="0"/>
                    <w:right w:val="single" w:color="auto" w:sz="4" w:space="0"/>
                  </w:tcBorders>
                  <w:shd w:val="clear" w:color="auto" w:fill="FFFFFF"/>
                  <w:tcMar>
                    <w:top w:w="0" w:type="dxa"/>
                    <w:left w:w="0" w:type="dxa"/>
                    <w:bottom w:w="0" w:type="dxa"/>
                    <w:right w:w="0" w:type="dxa"/>
                  </w:tcMar>
                  <w:vAlign w:val="center"/>
                </w:tcPr>
                <w:p w14:paraId="5F90B85E">
                  <w:pPr>
                    <w:jc w:val="center"/>
                    <w:rPr>
                      <w:b/>
                      <w:szCs w:val="21"/>
                      <w:u w:val="single"/>
                    </w:rPr>
                  </w:pPr>
                </w:p>
              </w:tc>
              <w:tc>
                <w:tcPr>
                  <w:tcW w:w="173"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6E212A8">
                  <w:pPr>
                    <w:jc w:val="center"/>
                    <w:rPr>
                      <w:rFonts w:ascii="宋体" w:hAnsi="宋体" w:cs="宋体"/>
                      <w:b/>
                      <w:color w:val="000000"/>
                      <w:szCs w:val="21"/>
                      <w:u w:val="single"/>
                    </w:rPr>
                  </w:pPr>
                  <w:r>
                    <w:rPr>
                      <w:rFonts w:hint="eastAsia"/>
                      <w:b/>
                      <w:color w:val="000000"/>
                      <w:sz w:val="22"/>
                      <w:szCs w:val="22"/>
                      <w:u w:val="single"/>
                    </w:rPr>
                    <w:t>46</w:t>
                  </w:r>
                </w:p>
              </w:tc>
              <w:tc>
                <w:tcPr>
                  <w:tcW w:w="173"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63AD4D9">
                  <w:pPr>
                    <w:jc w:val="center"/>
                    <w:rPr>
                      <w:rFonts w:ascii="宋体" w:hAnsi="宋体" w:cs="宋体"/>
                      <w:b/>
                      <w:color w:val="000000"/>
                      <w:szCs w:val="21"/>
                      <w:u w:val="single"/>
                    </w:rPr>
                  </w:pPr>
                  <w:r>
                    <w:rPr>
                      <w:rFonts w:hint="eastAsia"/>
                      <w:b/>
                      <w:color w:val="000000"/>
                      <w:sz w:val="22"/>
                      <w:szCs w:val="22"/>
                      <w:u w:val="single"/>
                    </w:rPr>
                    <w:t>34</w:t>
                  </w:r>
                </w:p>
              </w:tc>
              <w:tc>
                <w:tcPr>
                  <w:tcW w:w="173"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08DBCCB">
                  <w:pPr>
                    <w:jc w:val="center"/>
                    <w:rPr>
                      <w:rFonts w:ascii="宋体" w:hAnsi="宋体" w:cs="宋体"/>
                      <w:b/>
                      <w:color w:val="000000"/>
                      <w:szCs w:val="21"/>
                      <w:u w:val="single"/>
                    </w:rPr>
                  </w:pPr>
                  <w:r>
                    <w:rPr>
                      <w:rFonts w:hint="eastAsia"/>
                      <w:b/>
                      <w:color w:val="000000"/>
                      <w:sz w:val="22"/>
                      <w:szCs w:val="22"/>
                      <w:u w:val="single"/>
                    </w:rPr>
                    <w:t>19.6</w:t>
                  </w:r>
                </w:p>
              </w:tc>
              <w:tc>
                <w:tcPr>
                  <w:tcW w:w="160"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EB91BB7">
                  <w:pPr>
                    <w:jc w:val="center"/>
                    <w:rPr>
                      <w:rFonts w:ascii="宋体" w:hAnsi="宋体" w:cs="宋体"/>
                      <w:b/>
                      <w:color w:val="000000"/>
                      <w:szCs w:val="21"/>
                      <w:u w:val="single"/>
                    </w:rPr>
                  </w:pPr>
                  <w:r>
                    <w:rPr>
                      <w:rFonts w:hint="eastAsia"/>
                      <w:b/>
                      <w:color w:val="000000"/>
                      <w:sz w:val="22"/>
                      <w:szCs w:val="22"/>
                      <w:u w:val="single"/>
                    </w:rPr>
                    <w:t>34</w:t>
                  </w:r>
                </w:p>
              </w:tc>
              <w:tc>
                <w:tcPr>
                  <w:tcW w:w="251"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26C0DE1">
                  <w:pPr>
                    <w:jc w:val="center"/>
                    <w:rPr>
                      <w:b/>
                      <w:szCs w:val="21"/>
                      <w:u w:val="single"/>
                    </w:rPr>
                  </w:pPr>
                  <w:r>
                    <w:rPr>
                      <w:rFonts w:hint="eastAsia"/>
                      <w:b/>
                      <w:szCs w:val="21"/>
                      <w:u w:val="single"/>
                    </w:rPr>
                    <w:t>1m</w:t>
                  </w:r>
                </w:p>
              </w:tc>
            </w:tr>
            <w:tr w14:paraId="2DFB0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267" w:type="pct"/>
                  <w:tcBorders>
                    <w:top w:val="single" w:color="auto" w:sz="4" w:space="0"/>
                    <w:left w:val="single" w:color="auto" w:sz="4" w:space="0"/>
                    <w:right w:val="single" w:color="auto" w:sz="4" w:space="0"/>
                  </w:tcBorders>
                  <w:shd w:val="clear" w:color="auto" w:fill="FFFFFF"/>
                  <w:tcMar>
                    <w:top w:w="0" w:type="dxa"/>
                    <w:left w:w="0" w:type="dxa"/>
                    <w:bottom w:w="0" w:type="dxa"/>
                    <w:right w:w="0" w:type="dxa"/>
                  </w:tcMar>
                  <w:vAlign w:val="center"/>
                </w:tcPr>
                <w:p w14:paraId="62261861">
                  <w:pPr>
                    <w:jc w:val="center"/>
                    <w:rPr>
                      <w:b/>
                      <w:szCs w:val="21"/>
                      <w:u w:val="single"/>
                    </w:rPr>
                  </w:pPr>
                  <w:r>
                    <w:rPr>
                      <w:rFonts w:hint="eastAsia"/>
                      <w:b/>
                      <w:szCs w:val="21"/>
                      <w:u w:val="single"/>
                    </w:rPr>
                    <w:t>8</w:t>
                  </w:r>
                </w:p>
              </w:tc>
              <w:tc>
                <w:tcPr>
                  <w:tcW w:w="348" w:type="pc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C67E85E">
                  <w:pPr>
                    <w:jc w:val="center"/>
                    <w:rPr>
                      <w:b/>
                      <w:szCs w:val="21"/>
                      <w:u w:val="single"/>
                    </w:rPr>
                  </w:pPr>
                  <w:r>
                    <w:rPr>
                      <w:b/>
                      <w:szCs w:val="21"/>
                      <w:u w:val="single"/>
                    </w:rPr>
                    <w:t>风机</w:t>
                  </w:r>
                </w:p>
              </w:tc>
              <w:tc>
                <w:tcPr>
                  <w:tcW w:w="279" w:type="pct"/>
                  <w:tcBorders>
                    <w:top w:val="single" w:color="auto" w:sz="4" w:space="0"/>
                    <w:left w:val="single" w:color="auto" w:sz="4" w:space="0"/>
                    <w:right w:val="single" w:color="auto" w:sz="4" w:space="0"/>
                  </w:tcBorders>
                  <w:shd w:val="clear" w:color="auto" w:fill="FFFFFF"/>
                  <w:tcMar>
                    <w:top w:w="0" w:type="dxa"/>
                    <w:left w:w="0" w:type="dxa"/>
                    <w:bottom w:w="0" w:type="dxa"/>
                    <w:right w:w="0" w:type="dxa"/>
                  </w:tcMar>
                  <w:vAlign w:val="center"/>
                </w:tcPr>
                <w:p w14:paraId="202703EB">
                  <w:pPr>
                    <w:jc w:val="center"/>
                    <w:rPr>
                      <w:b/>
                      <w:szCs w:val="21"/>
                      <w:u w:val="single"/>
                    </w:rPr>
                  </w:pPr>
                  <w:r>
                    <w:rPr>
                      <w:rFonts w:hint="eastAsia"/>
                      <w:b/>
                      <w:szCs w:val="21"/>
                      <w:u w:val="single"/>
                    </w:rPr>
                    <w:t>1</w:t>
                  </w:r>
                </w:p>
              </w:tc>
              <w:tc>
                <w:tcPr>
                  <w:tcW w:w="222" w:type="pct"/>
                  <w:tcBorders>
                    <w:top w:val="single" w:color="auto" w:sz="4" w:space="0"/>
                    <w:left w:val="single" w:color="auto" w:sz="4" w:space="0"/>
                    <w:right w:val="single" w:color="auto" w:sz="4" w:space="0"/>
                  </w:tcBorders>
                  <w:shd w:val="clear" w:color="auto" w:fill="FFFFFF"/>
                  <w:tcMar>
                    <w:top w:w="0" w:type="dxa"/>
                    <w:left w:w="0" w:type="dxa"/>
                    <w:bottom w:w="0" w:type="dxa"/>
                    <w:right w:w="0" w:type="dxa"/>
                  </w:tcMar>
                  <w:vAlign w:val="center"/>
                </w:tcPr>
                <w:p w14:paraId="771AF015">
                  <w:pPr>
                    <w:jc w:val="center"/>
                    <w:rPr>
                      <w:b/>
                      <w:szCs w:val="21"/>
                      <w:u w:val="single"/>
                    </w:rPr>
                  </w:pPr>
                  <w:r>
                    <w:rPr>
                      <w:rFonts w:hint="eastAsia"/>
                      <w:b/>
                      <w:szCs w:val="21"/>
                      <w:u w:val="single"/>
                    </w:rPr>
                    <w:t>85</w:t>
                  </w:r>
                </w:p>
              </w:tc>
              <w:tc>
                <w:tcPr>
                  <w:tcW w:w="405" w:type="pct"/>
                  <w:vMerge w:val="continue"/>
                  <w:tcBorders>
                    <w:left w:val="single" w:color="auto" w:sz="4" w:space="0"/>
                    <w:right w:val="single" w:color="auto" w:sz="4" w:space="0"/>
                  </w:tcBorders>
                  <w:shd w:val="clear" w:color="auto" w:fill="FFFFFF"/>
                  <w:tcMar>
                    <w:top w:w="0" w:type="dxa"/>
                    <w:left w:w="0" w:type="dxa"/>
                    <w:bottom w:w="0" w:type="dxa"/>
                    <w:right w:w="0" w:type="dxa"/>
                  </w:tcMar>
                  <w:vAlign w:val="center"/>
                </w:tcPr>
                <w:p w14:paraId="0C2A46E6">
                  <w:pPr>
                    <w:jc w:val="center"/>
                    <w:rPr>
                      <w:b/>
                      <w:szCs w:val="21"/>
                      <w:u w:val="single"/>
                    </w:rPr>
                  </w:pPr>
                </w:p>
              </w:tc>
              <w:tc>
                <w:tcPr>
                  <w:tcW w:w="219" w:type="pct"/>
                  <w:tcBorders>
                    <w:top w:val="single" w:color="auto" w:sz="4" w:space="0"/>
                    <w:left w:val="single" w:color="auto" w:sz="4" w:space="0"/>
                    <w:right w:val="single" w:color="auto" w:sz="4" w:space="0"/>
                  </w:tcBorders>
                  <w:shd w:val="clear" w:color="auto" w:fill="FFFFFF"/>
                  <w:tcMar>
                    <w:top w:w="0" w:type="dxa"/>
                    <w:left w:w="0" w:type="dxa"/>
                    <w:bottom w:w="0" w:type="dxa"/>
                    <w:right w:w="0" w:type="dxa"/>
                  </w:tcMar>
                  <w:vAlign w:val="center"/>
                </w:tcPr>
                <w:p w14:paraId="49789775">
                  <w:pPr>
                    <w:jc w:val="center"/>
                    <w:rPr>
                      <w:b/>
                      <w:szCs w:val="21"/>
                      <w:u w:val="single"/>
                    </w:rPr>
                  </w:pPr>
                  <w:r>
                    <w:rPr>
                      <w:rFonts w:hint="eastAsia"/>
                      <w:b/>
                      <w:szCs w:val="21"/>
                      <w:u w:val="single"/>
                    </w:rPr>
                    <w:t>19</w:t>
                  </w:r>
                </w:p>
              </w:tc>
              <w:tc>
                <w:tcPr>
                  <w:tcW w:w="219" w:type="pct"/>
                  <w:tcBorders>
                    <w:top w:val="single" w:color="auto" w:sz="4" w:space="0"/>
                    <w:left w:val="single" w:color="auto" w:sz="4" w:space="0"/>
                    <w:right w:val="single" w:color="auto" w:sz="4" w:space="0"/>
                  </w:tcBorders>
                  <w:shd w:val="clear" w:color="auto" w:fill="FFFFFF"/>
                  <w:tcMar>
                    <w:top w:w="0" w:type="dxa"/>
                    <w:left w:w="0" w:type="dxa"/>
                    <w:bottom w:w="0" w:type="dxa"/>
                    <w:right w:w="0" w:type="dxa"/>
                  </w:tcMar>
                  <w:vAlign w:val="center"/>
                </w:tcPr>
                <w:p w14:paraId="18E26954">
                  <w:pPr>
                    <w:jc w:val="center"/>
                    <w:rPr>
                      <w:b/>
                      <w:szCs w:val="21"/>
                      <w:u w:val="single"/>
                    </w:rPr>
                  </w:pPr>
                  <w:r>
                    <w:rPr>
                      <w:rFonts w:hint="eastAsia"/>
                      <w:b/>
                      <w:szCs w:val="21"/>
                      <w:u w:val="single"/>
                    </w:rPr>
                    <w:t>1</w:t>
                  </w:r>
                  <w:r>
                    <w:rPr>
                      <w:b/>
                      <w:szCs w:val="21"/>
                      <w:u w:val="single"/>
                    </w:rPr>
                    <w:t>4</w:t>
                  </w:r>
                </w:p>
              </w:tc>
              <w:tc>
                <w:tcPr>
                  <w:tcW w:w="161" w:type="pct"/>
                  <w:tcBorders>
                    <w:top w:val="single" w:color="auto" w:sz="4" w:space="0"/>
                    <w:left w:val="single" w:color="auto" w:sz="4" w:space="0"/>
                    <w:right w:val="single" w:color="auto" w:sz="4" w:space="0"/>
                  </w:tcBorders>
                  <w:shd w:val="clear" w:color="auto" w:fill="FFFFFF"/>
                  <w:tcMar>
                    <w:top w:w="0" w:type="dxa"/>
                    <w:left w:w="0" w:type="dxa"/>
                    <w:bottom w:w="0" w:type="dxa"/>
                    <w:right w:w="0" w:type="dxa"/>
                  </w:tcMar>
                  <w:vAlign w:val="center"/>
                </w:tcPr>
                <w:p w14:paraId="1B19603C">
                  <w:pPr>
                    <w:jc w:val="center"/>
                    <w:rPr>
                      <w:b/>
                      <w:szCs w:val="21"/>
                      <w:u w:val="single"/>
                    </w:rPr>
                  </w:pPr>
                  <w:r>
                    <w:rPr>
                      <w:rFonts w:hint="eastAsia"/>
                      <w:b/>
                      <w:szCs w:val="21"/>
                      <w:u w:val="single"/>
                    </w:rPr>
                    <w:t>1</w:t>
                  </w:r>
                </w:p>
              </w:tc>
              <w:tc>
                <w:tcPr>
                  <w:tcW w:w="221" w:type="pct"/>
                  <w:tcBorders>
                    <w:top w:val="single" w:color="auto" w:sz="4" w:space="0"/>
                    <w:left w:val="single" w:color="auto" w:sz="4" w:space="0"/>
                    <w:right w:val="single" w:color="auto" w:sz="4" w:space="0"/>
                  </w:tcBorders>
                  <w:shd w:val="clear" w:color="auto" w:fill="FFFFFF"/>
                  <w:tcMar>
                    <w:top w:w="0" w:type="dxa"/>
                    <w:left w:w="0" w:type="dxa"/>
                    <w:bottom w:w="0" w:type="dxa"/>
                    <w:right w:w="0" w:type="dxa"/>
                  </w:tcMar>
                  <w:vAlign w:val="center"/>
                </w:tcPr>
                <w:p w14:paraId="53859613">
                  <w:pPr>
                    <w:jc w:val="center"/>
                    <w:rPr>
                      <w:b/>
                      <w:szCs w:val="21"/>
                      <w:u w:val="single"/>
                    </w:rPr>
                  </w:pPr>
                  <w:r>
                    <w:rPr>
                      <w:rFonts w:hint="eastAsia"/>
                      <w:b/>
                      <w:szCs w:val="21"/>
                      <w:u w:val="single"/>
                    </w:rPr>
                    <w:t>36</w:t>
                  </w:r>
                </w:p>
              </w:tc>
              <w:tc>
                <w:tcPr>
                  <w:tcW w:w="215" w:type="pct"/>
                  <w:tcBorders>
                    <w:top w:val="single" w:color="auto" w:sz="4" w:space="0"/>
                    <w:left w:val="single" w:color="auto" w:sz="4" w:space="0"/>
                    <w:right w:val="single" w:color="auto" w:sz="4" w:space="0"/>
                  </w:tcBorders>
                  <w:shd w:val="clear" w:color="auto" w:fill="FFFFFF"/>
                  <w:tcMar>
                    <w:top w:w="0" w:type="dxa"/>
                    <w:left w:w="0" w:type="dxa"/>
                    <w:bottom w:w="0" w:type="dxa"/>
                    <w:right w:w="0" w:type="dxa"/>
                  </w:tcMar>
                  <w:vAlign w:val="center"/>
                </w:tcPr>
                <w:p w14:paraId="3D092110">
                  <w:pPr>
                    <w:jc w:val="center"/>
                    <w:rPr>
                      <w:b/>
                      <w:szCs w:val="21"/>
                      <w:u w:val="single"/>
                    </w:rPr>
                  </w:pPr>
                  <w:r>
                    <w:rPr>
                      <w:rFonts w:hint="eastAsia"/>
                      <w:b/>
                      <w:szCs w:val="21"/>
                      <w:u w:val="single"/>
                    </w:rPr>
                    <w:t>3</w:t>
                  </w:r>
                  <w:r>
                    <w:rPr>
                      <w:b/>
                      <w:szCs w:val="21"/>
                      <w:u w:val="single"/>
                    </w:rPr>
                    <w:t>4</w:t>
                  </w:r>
                </w:p>
              </w:tc>
              <w:tc>
                <w:tcPr>
                  <w:tcW w:w="217" w:type="pct"/>
                  <w:tcBorders>
                    <w:top w:val="single" w:color="auto" w:sz="4" w:space="0"/>
                    <w:left w:val="single" w:color="auto" w:sz="4" w:space="0"/>
                    <w:right w:val="single" w:color="auto" w:sz="4" w:space="0"/>
                  </w:tcBorders>
                  <w:shd w:val="clear" w:color="auto" w:fill="FFFFFF"/>
                  <w:tcMar>
                    <w:top w:w="0" w:type="dxa"/>
                    <w:left w:w="0" w:type="dxa"/>
                    <w:bottom w:w="0" w:type="dxa"/>
                    <w:right w:w="0" w:type="dxa"/>
                  </w:tcMar>
                  <w:vAlign w:val="center"/>
                </w:tcPr>
                <w:p w14:paraId="32AFB7C7">
                  <w:pPr>
                    <w:jc w:val="center"/>
                    <w:rPr>
                      <w:b/>
                      <w:szCs w:val="21"/>
                      <w:u w:val="single"/>
                    </w:rPr>
                  </w:pPr>
                  <w:r>
                    <w:rPr>
                      <w:rFonts w:hint="eastAsia"/>
                      <w:b/>
                      <w:szCs w:val="21"/>
                      <w:u w:val="single"/>
                    </w:rPr>
                    <w:t>74</w:t>
                  </w:r>
                </w:p>
              </w:tc>
              <w:tc>
                <w:tcPr>
                  <w:tcW w:w="217" w:type="pct"/>
                  <w:tcBorders>
                    <w:top w:val="single" w:color="auto" w:sz="4" w:space="0"/>
                    <w:left w:val="single" w:color="auto" w:sz="4" w:space="0"/>
                    <w:right w:val="single" w:color="auto" w:sz="4" w:space="0"/>
                  </w:tcBorders>
                  <w:shd w:val="clear" w:color="auto" w:fill="FFFFFF"/>
                  <w:tcMar>
                    <w:top w:w="0" w:type="dxa"/>
                    <w:left w:w="0" w:type="dxa"/>
                    <w:bottom w:w="0" w:type="dxa"/>
                    <w:right w:w="0" w:type="dxa"/>
                  </w:tcMar>
                  <w:vAlign w:val="center"/>
                </w:tcPr>
                <w:p w14:paraId="1161839E">
                  <w:pPr>
                    <w:jc w:val="center"/>
                    <w:rPr>
                      <w:b/>
                      <w:szCs w:val="21"/>
                      <w:u w:val="single"/>
                    </w:rPr>
                  </w:pPr>
                  <w:r>
                    <w:rPr>
                      <w:b/>
                      <w:szCs w:val="21"/>
                      <w:u w:val="single"/>
                    </w:rPr>
                    <w:t>6</w:t>
                  </w:r>
                </w:p>
              </w:tc>
              <w:tc>
                <w:tcPr>
                  <w:tcW w:w="202" w:type="pct"/>
                  <w:tcBorders>
                    <w:top w:val="single" w:color="auto" w:sz="4" w:space="0"/>
                    <w:left w:val="single" w:color="auto" w:sz="4" w:space="0"/>
                    <w:right w:val="single" w:color="auto" w:sz="4" w:space="0"/>
                  </w:tcBorders>
                  <w:shd w:val="clear" w:color="auto" w:fill="FFFFFF"/>
                  <w:tcMar>
                    <w:top w:w="0" w:type="dxa"/>
                    <w:left w:w="0" w:type="dxa"/>
                    <w:bottom w:w="0" w:type="dxa"/>
                    <w:right w:w="0" w:type="dxa"/>
                  </w:tcMar>
                  <w:vAlign w:val="center"/>
                </w:tcPr>
                <w:p w14:paraId="0CF01B14">
                  <w:pPr>
                    <w:jc w:val="center"/>
                    <w:rPr>
                      <w:b/>
                      <w:szCs w:val="21"/>
                      <w:u w:val="single"/>
                    </w:rPr>
                  </w:pPr>
                  <w:r>
                    <w:rPr>
                      <w:rFonts w:hint="eastAsia"/>
                      <w:b/>
                      <w:szCs w:val="21"/>
                      <w:u w:val="single"/>
                    </w:rPr>
                    <w:t>5</w:t>
                  </w:r>
                  <w:r>
                    <w:rPr>
                      <w:b/>
                      <w:szCs w:val="21"/>
                      <w:u w:val="single"/>
                    </w:rPr>
                    <w:t>3.9</w:t>
                  </w:r>
                </w:p>
              </w:tc>
              <w:tc>
                <w:tcPr>
                  <w:tcW w:w="173" w:type="pct"/>
                  <w:tcBorders>
                    <w:top w:val="single" w:color="auto" w:sz="4" w:space="0"/>
                    <w:left w:val="single" w:color="auto" w:sz="4" w:space="0"/>
                    <w:right w:val="single" w:color="auto" w:sz="4" w:space="0"/>
                  </w:tcBorders>
                  <w:shd w:val="clear" w:color="auto" w:fill="FFFFFF"/>
                  <w:tcMar>
                    <w:top w:w="0" w:type="dxa"/>
                    <w:left w:w="0" w:type="dxa"/>
                    <w:bottom w:w="0" w:type="dxa"/>
                    <w:right w:w="0" w:type="dxa"/>
                  </w:tcMar>
                  <w:vAlign w:val="center"/>
                </w:tcPr>
                <w:p w14:paraId="29AED693">
                  <w:pPr>
                    <w:jc w:val="center"/>
                    <w:rPr>
                      <w:b/>
                      <w:szCs w:val="21"/>
                      <w:u w:val="single"/>
                    </w:rPr>
                  </w:pPr>
                  <w:r>
                    <w:rPr>
                      <w:b/>
                      <w:szCs w:val="21"/>
                      <w:u w:val="single"/>
                    </w:rPr>
                    <w:t>54.4</w:t>
                  </w:r>
                </w:p>
              </w:tc>
              <w:tc>
                <w:tcPr>
                  <w:tcW w:w="161" w:type="pct"/>
                  <w:tcBorders>
                    <w:top w:val="single" w:color="auto" w:sz="4" w:space="0"/>
                    <w:left w:val="single" w:color="auto" w:sz="4" w:space="0"/>
                    <w:right w:val="single" w:color="auto" w:sz="4" w:space="0"/>
                  </w:tcBorders>
                  <w:shd w:val="clear" w:color="auto" w:fill="FFFFFF"/>
                  <w:tcMar>
                    <w:top w:w="0" w:type="dxa"/>
                    <w:left w:w="0" w:type="dxa"/>
                    <w:bottom w:w="0" w:type="dxa"/>
                    <w:right w:w="0" w:type="dxa"/>
                  </w:tcMar>
                  <w:vAlign w:val="center"/>
                </w:tcPr>
                <w:p w14:paraId="2DEC7E61">
                  <w:pPr>
                    <w:jc w:val="center"/>
                    <w:rPr>
                      <w:b/>
                      <w:szCs w:val="21"/>
                      <w:u w:val="single"/>
                    </w:rPr>
                  </w:pPr>
                  <w:r>
                    <w:rPr>
                      <w:rFonts w:hint="eastAsia"/>
                      <w:b/>
                      <w:szCs w:val="21"/>
                      <w:u w:val="single"/>
                    </w:rPr>
                    <w:t>47.6</w:t>
                  </w:r>
                </w:p>
              </w:tc>
              <w:tc>
                <w:tcPr>
                  <w:tcW w:w="218" w:type="pct"/>
                  <w:tcBorders>
                    <w:top w:val="single" w:color="auto" w:sz="4" w:space="0"/>
                    <w:left w:val="single" w:color="auto" w:sz="4" w:space="0"/>
                    <w:right w:val="single" w:color="auto" w:sz="4" w:space="0"/>
                  </w:tcBorders>
                  <w:shd w:val="clear" w:color="auto" w:fill="FFFFFF"/>
                  <w:tcMar>
                    <w:top w:w="0" w:type="dxa"/>
                    <w:left w:w="0" w:type="dxa"/>
                    <w:bottom w:w="0" w:type="dxa"/>
                    <w:right w:w="0" w:type="dxa"/>
                  </w:tcMar>
                  <w:vAlign w:val="center"/>
                </w:tcPr>
                <w:p w14:paraId="6B4B0E98">
                  <w:pPr>
                    <w:jc w:val="center"/>
                    <w:rPr>
                      <w:b/>
                      <w:szCs w:val="21"/>
                      <w:u w:val="single"/>
                    </w:rPr>
                  </w:pPr>
                  <w:r>
                    <w:rPr>
                      <w:b/>
                      <w:szCs w:val="21"/>
                      <w:u w:val="single"/>
                    </w:rPr>
                    <w:t>69.4</w:t>
                  </w:r>
                </w:p>
              </w:tc>
              <w:tc>
                <w:tcPr>
                  <w:tcW w:w="326" w:type="pct"/>
                  <w:vMerge w:val="continue"/>
                  <w:tcBorders>
                    <w:left w:val="single" w:color="auto" w:sz="4" w:space="0"/>
                    <w:right w:val="single" w:color="auto" w:sz="4" w:space="0"/>
                  </w:tcBorders>
                  <w:shd w:val="clear" w:color="auto" w:fill="FFFFFF"/>
                  <w:tcMar>
                    <w:top w:w="0" w:type="dxa"/>
                    <w:left w:w="0" w:type="dxa"/>
                    <w:bottom w:w="0" w:type="dxa"/>
                    <w:right w:w="0" w:type="dxa"/>
                  </w:tcMar>
                  <w:vAlign w:val="center"/>
                </w:tcPr>
                <w:p w14:paraId="1957AB9C">
                  <w:pPr>
                    <w:jc w:val="center"/>
                    <w:rPr>
                      <w:b/>
                      <w:szCs w:val="21"/>
                      <w:u w:val="single"/>
                    </w:rPr>
                  </w:pPr>
                </w:p>
              </w:tc>
              <w:tc>
                <w:tcPr>
                  <w:tcW w:w="173" w:type="pct"/>
                  <w:tcBorders>
                    <w:top w:val="single" w:color="auto" w:sz="4" w:space="0"/>
                    <w:left w:val="single" w:color="auto" w:sz="4" w:space="0"/>
                    <w:right w:val="single" w:color="auto" w:sz="4" w:space="0"/>
                  </w:tcBorders>
                  <w:shd w:val="clear" w:color="auto" w:fill="FFFFFF"/>
                  <w:tcMar>
                    <w:top w:w="0" w:type="dxa"/>
                    <w:left w:w="0" w:type="dxa"/>
                    <w:bottom w:w="0" w:type="dxa"/>
                    <w:right w:w="0" w:type="dxa"/>
                  </w:tcMar>
                  <w:vAlign w:val="center"/>
                </w:tcPr>
                <w:p w14:paraId="504F0EEC">
                  <w:pPr>
                    <w:jc w:val="center"/>
                    <w:rPr>
                      <w:rFonts w:ascii="宋体" w:hAnsi="宋体" w:cs="宋体"/>
                      <w:b/>
                      <w:color w:val="000000"/>
                      <w:szCs w:val="21"/>
                      <w:u w:val="single"/>
                    </w:rPr>
                  </w:pPr>
                  <w:r>
                    <w:rPr>
                      <w:rFonts w:hint="eastAsia"/>
                      <w:b/>
                      <w:color w:val="000000"/>
                      <w:sz w:val="22"/>
                      <w:szCs w:val="22"/>
                      <w:u w:val="single"/>
                    </w:rPr>
                    <w:t>28.9</w:t>
                  </w:r>
                </w:p>
              </w:tc>
              <w:tc>
                <w:tcPr>
                  <w:tcW w:w="173" w:type="pct"/>
                  <w:tcBorders>
                    <w:top w:val="single" w:color="auto" w:sz="4" w:space="0"/>
                    <w:left w:val="single" w:color="auto" w:sz="4" w:space="0"/>
                    <w:right w:val="single" w:color="auto" w:sz="4" w:space="0"/>
                  </w:tcBorders>
                  <w:shd w:val="clear" w:color="auto" w:fill="FFFFFF"/>
                  <w:tcMar>
                    <w:top w:w="0" w:type="dxa"/>
                    <w:left w:w="0" w:type="dxa"/>
                    <w:bottom w:w="0" w:type="dxa"/>
                    <w:right w:w="0" w:type="dxa"/>
                  </w:tcMar>
                  <w:vAlign w:val="center"/>
                </w:tcPr>
                <w:p w14:paraId="3DC6F1AC">
                  <w:pPr>
                    <w:jc w:val="center"/>
                    <w:rPr>
                      <w:rFonts w:ascii="宋体" w:hAnsi="宋体" w:cs="宋体"/>
                      <w:b/>
                      <w:color w:val="000000"/>
                      <w:szCs w:val="21"/>
                      <w:u w:val="single"/>
                    </w:rPr>
                  </w:pPr>
                  <w:r>
                    <w:rPr>
                      <w:rFonts w:hint="eastAsia"/>
                      <w:b/>
                      <w:color w:val="000000"/>
                      <w:sz w:val="22"/>
                      <w:szCs w:val="22"/>
                      <w:u w:val="single"/>
                    </w:rPr>
                    <w:t>29.4</w:t>
                  </w:r>
                </w:p>
              </w:tc>
              <w:tc>
                <w:tcPr>
                  <w:tcW w:w="173" w:type="pct"/>
                  <w:tcBorders>
                    <w:top w:val="single" w:color="auto" w:sz="4" w:space="0"/>
                    <w:left w:val="single" w:color="auto" w:sz="4" w:space="0"/>
                    <w:right w:val="single" w:color="auto" w:sz="4" w:space="0"/>
                  </w:tcBorders>
                  <w:shd w:val="clear" w:color="auto" w:fill="FFFFFF"/>
                  <w:tcMar>
                    <w:top w:w="0" w:type="dxa"/>
                    <w:left w:w="0" w:type="dxa"/>
                    <w:bottom w:w="0" w:type="dxa"/>
                    <w:right w:w="0" w:type="dxa"/>
                  </w:tcMar>
                  <w:vAlign w:val="center"/>
                </w:tcPr>
                <w:p w14:paraId="4889E443">
                  <w:pPr>
                    <w:jc w:val="center"/>
                    <w:rPr>
                      <w:rFonts w:ascii="宋体" w:hAnsi="宋体" w:cs="宋体"/>
                      <w:b/>
                      <w:color w:val="000000"/>
                      <w:szCs w:val="21"/>
                      <w:u w:val="single"/>
                    </w:rPr>
                  </w:pPr>
                  <w:r>
                    <w:rPr>
                      <w:rFonts w:hint="eastAsia"/>
                      <w:b/>
                      <w:color w:val="000000"/>
                      <w:sz w:val="22"/>
                      <w:szCs w:val="22"/>
                      <w:u w:val="single"/>
                    </w:rPr>
                    <w:t>22.6</w:t>
                  </w:r>
                </w:p>
              </w:tc>
              <w:tc>
                <w:tcPr>
                  <w:tcW w:w="160" w:type="pct"/>
                  <w:tcBorders>
                    <w:top w:val="single" w:color="auto" w:sz="4" w:space="0"/>
                    <w:left w:val="single" w:color="auto" w:sz="4" w:space="0"/>
                    <w:right w:val="single" w:color="auto" w:sz="4" w:space="0"/>
                  </w:tcBorders>
                  <w:shd w:val="clear" w:color="auto" w:fill="FFFFFF"/>
                  <w:tcMar>
                    <w:top w:w="0" w:type="dxa"/>
                    <w:left w:w="0" w:type="dxa"/>
                    <w:bottom w:w="0" w:type="dxa"/>
                    <w:right w:w="0" w:type="dxa"/>
                  </w:tcMar>
                  <w:vAlign w:val="center"/>
                </w:tcPr>
                <w:p w14:paraId="1FDC9B32">
                  <w:pPr>
                    <w:jc w:val="center"/>
                    <w:rPr>
                      <w:rFonts w:ascii="宋体" w:hAnsi="宋体" w:cs="宋体"/>
                      <w:b/>
                      <w:color w:val="000000"/>
                      <w:szCs w:val="21"/>
                      <w:u w:val="single"/>
                    </w:rPr>
                  </w:pPr>
                  <w:r>
                    <w:rPr>
                      <w:rFonts w:hint="eastAsia"/>
                      <w:b/>
                      <w:color w:val="000000"/>
                      <w:sz w:val="22"/>
                      <w:szCs w:val="22"/>
                      <w:u w:val="single"/>
                    </w:rPr>
                    <w:t>44.4</w:t>
                  </w:r>
                </w:p>
              </w:tc>
              <w:tc>
                <w:tcPr>
                  <w:tcW w:w="251" w:type="pct"/>
                  <w:tcBorders>
                    <w:top w:val="single" w:color="auto" w:sz="4" w:space="0"/>
                    <w:left w:val="single" w:color="auto" w:sz="4" w:space="0"/>
                    <w:right w:val="single" w:color="auto" w:sz="4" w:space="0"/>
                  </w:tcBorders>
                  <w:shd w:val="clear" w:color="auto" w:fill="FFFFFF"/>
                  <w:tcMar>
                    <w:top w:w="0" w:type="dxa"/>
                    <w:left w:w="0" w:type="dxa"/>
                    <w:bottom w:w="0" w:type="dxa"/>
                    <w:right w:w="0" w:type="dxa"/>
                  </w:tcMar>
                  <w:vAlign w:val="center"/>
                </w:tcPr>
                <w:p w14:paraId="39C128FD">
                  <w:pPr>
                    <w:jc w:val="center"/>
                    <w:rPr>
                      <w:b/>
                      <w:szCs w:val="21"/>
                      <w:u w:val="single"/>
                    </w:rPr>
                  </w:pPr>
                  <w:r>
                    <w:rPr>
                      <w:rFonts w:hint="eastAsia"/>
                      <w:b/>
                      <w:szCs w:val="21"/>
                      <w:u w:val="single"/>
                    </w:rPr>
                    <w:t>1m</w:t>
                  </w:r>
                </w:p>
              </w:tc>
            </w:tr>
          </w:tbl>
          <w:p w14:paraId="7C1060DA">
            <w:pPr>
              <w:rPr>
                <w:b/>
                <w:bCs/>
                <w:szCs w:val="21"/>
              </w:rPr>
            </w:pPr>
            <w:r>
              <w:rPr>
                <w:rFonts w:hint="eastAsia"/>
                <w:b/>
                <w:szCs w:val="21"/>
              </w:rPr>
              <w:t>注：</w:t>
            </w:r>
            <w:r>
              <w:rPr>
                <w:b/>
                <w:bCs/>
                <w:szCs w:val="21"/>
              </w:rPr>
              <w:t>以厂界</w:t>
            </w:r>
            <w:r>
              <w:rPr>
                <w:rFonts w:hint="eastAsia"/>
                <w:b/>
                <w:bCs/>
                <w:szCs w:val="21"/>
              </w:rPr>
              <w:t>中心</w:t>
            </w:r>
            <w:r>
              <w:rPr>
                <w:b/>
                <w:bCs/>
                <w:szCs w:val="21"/>
              </w:rPr>
              <w:t>为坐标原点，正东向为X轴正方向，正北向为Y轴正方向</w:t>
            </w:r>
          </w:p>
        </w:tc>
      </w:tr>
    </w:tbl>
    <w:p w14:paraId="3C466594">
      <w:pPr>
        <w:pStyle w:val="25"/>
        <w:jc w:val="center"/>
        <w:outlineLvl w:val="0"/>
        <w:rPr>
          <w:rFonts w:ascii="黑体" w:hAnsi="黑体" w:eastAsia="黑体"/>
          <w:snapToGrid w:val="0"/>
          <w:sz w:val="30"/>
          <w:szCs w:val="30"/>
        </w:rPr>
        <w:sectPr>
          <w:pgSz w:w="16838" w:h="11906" w:orient="landscape"/>
          <w:pgMar w:top="1531" w:right="1701" w:bottom="1531" w:left="1701" w:header="851" w:footer="851" w:gutter="0"/>
          <w:cols w:space="720" w:num="1"/>
          <w:docGrid w:linePitch="312" w:charSpace="0"/>
        </w:sectPr>
      </w:pPr>
    </w:p>
    <w:tbl>
      <w:tblPr>
        <w:tblStyle w:val="29"/>
        <w:tblpPr w:leftFromText="180" w:rightFromText="180" w:vertAnchor="text" w:horzAnchor="margin" w:tblpY="29"/>
        <w:tblW w:w="5000"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305"/>
        <w:gridCol w:w="8675"/>
      </w:tblGrid>
      <w:tr w14:paraId="193060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633" w:hRule="atLeast"/>
        </w:trPr>
        <w:tc>
          <w:tcPr>
            <w:tcW w:w="295" w:type="pct"/>
            <w:tcMar>
              <w:left w:w="28" w:type="dxa"/>
              <w:right w:w="28" w:type="dxa"/>
            </w:tcMar>
            <w:vAlign w:val="center"/>
          </w:tcPr>
          <w:p w14:paraId="54057DDC">
            <w:pPr>
              <w:pStyle w:val="25"/>
              <w:adjustRightInd w:val="0"/>
              <w:snapToGrid w:val="0"/>
              <w:spacing w:before="0" w:beforeAutospacing="0" w:after="0" w:afterAutospacing="0"/>
              <w:jc w:val="center"/>
              <w:rPr>
                <w:rFonts w:ascii="Times New Roman" w:hAnsi="Times New Roman"/>
                <w:kern w:val="2"/>
                <w:szCs w:val="24"/>
              </w:rPr>
            </w:pPr>
            <w:r>
              <w:rPr>
                <w:rFonts w:hint="eastAsia" w:ascii="Times New Roman" w:hAnsi="Times New Roman"/>
                <w:kern w:val="2"/>
                <w:szCs w:val="24"/>
              </w:rPr>
              <w:t>运营</w:t>
            </w:r>
            <w:r>
              <w:rPr>
                <w:rFonts w:ascii="Times New Roman" w:hAnsi="Times New Roman"/>
                <w:kern w:val="2"/>
                <w:szCs w:val="24"/>
              </w:rPr>
              <w:t>期环境保护措施</w:t>
            </w:r>
          </w:p>
        </w:tc>
        <w:tc>
          <w:tcPr>
            <w:tcW w:w="4705" w:type="pct"/>
            <w:vAlign w:val="center"/>
          </w:tcPr>
          <w:p w14:paraId="0C5FE2E0">
            <w:pPr>
              <w:spacing w:line="360" w:lineRule="auto"/>
              <w:ind w:firstLine="482" w:firstLineChars="200"/>
              <w:rPr>
                <w:b/>
                <w:bCs/>
                <w:sz w:val="24"/>
                <w:u w:val="single"/>
              </w:rPr>
            </w:pPr>
            <w:r>
              <w:rPr>
                <w:b/>
                <w:bCs/>
                <w:sz w:val="24"/>
                <w:u w:val="single"/>
              </w:rPr>
              <w:t>据《环境影响评价技术导则—声环境》（HJ2.4-2021）的技术要求，结合本项目主要高噪声设备的分布状况，评价采用的预测模式如下：</w:t>
            </w:r>
          </w:p>
          <w:p w14:paraId="5A623112">
            <w:pPr>
              <w:spacing w:line="360" w:lineRule="auto"/>
              <w:ind w:firstLine="482" w:firstLineChars="200"/>
              <w:rPr>
                <w:b/>
                <w:bCs/>
                <w:sz w:val="24"/>
                <w:u w:val="single"/>
              </w:rPr>
            </w:pPr>
            <w:r>
              <w:rPr>
                <w:b/>
                <w:bCs/>
                <w:kern w:val="0"/>
                <w:sz w:val="24"/>
                <w:u w:val="single"/>
              </w:rPr>
              <w:pict>
                <v:shape id="Object 2" o:spid="_x0000_s1029" o:spt="75" type="#_x0000_t75" style="position:absolute;left:0pt;margin-left:130.5pt;margin-top:18.05pt;height:19pt;width:161pt;z-index:-251612160;mso-width-relative:page;mso-height-relative:page;" o:ole="t" filled="f" o:preferrelative="t" stroked="f" coordsize="21600,21600">
                  <v:path/>
                  <v:fill on="f" focussize="0,0"/>
                  <v:stroke on="f" joinstyle="miter"/>
                  <v:imagedata r:id="rId11" o:title=""/>
                  <o:lock v:ext="edit" aspectratio="t"/>
                </v:shape>
                <o:OLEObject Type="Embed" ProgID="Equations" ShapeID="Object 2" DrawAspect="Content" ObjectID="_1468075727" r:id="rId10">
                  <o:LockedField>false</o:LockedField>
                </o:OLEObject>
              </w:pict>
            </w:r>
            <w:r>
              <w:rPr>
                <w:b/>
                <w:bCs/>
                <w:sz w:val="24"/>
                <w:u w:val="single"/>
              </w:rPr>
              <w:t>a.无指向性点声源的几何发散衰减公式：</w:t>
            </w:r>
          </w:p>
          <w:p w14:paraId="5A9D6415">
            <w:pPr>
              <w:spacing w:line="360" w:lineRule="auto"/>
              <w:ind w:firstLine="482" w:firstLineChars="200"/>
              <w:rPr>
                <w:b/>
                <w:bCs/>
                <w:sz w:val="24"/>
                <w:u w:val="single"/>
              </w:rPr>
            </w:pPr>
          </w:p>
          <w:p w14:paraId="0AD7F219">
            <w:pPr>
              <w:spacing w:line="360" w:lineRule="auto"/>
              <w:ind w:firstLine="482" w:firstLineChars="200"/>
              <w:rPr>
                <w:b/>
                <w:bCs/>
                <w:sz w:val="24"/>
                <w:u w:val="single"/>
              </w:rPr>
            </w:pPr>
            <w:r>
              <w:rPr>
                <w:b/>
                <w:bCs/>
                <w:sz w:val="24"/>
                <w:u w:val="single"/>
              </w:rPr>
              <w:t>式中：L</w:t>
            </w:r>
            <w:r>
              <w:rPr>
                <w:b/>
                <w:bCs/>
                <w:sz w:val="24"/>
                <w:u w:val="single"/>
                <w:vertAlign w:val="subscript"/>
              </w:rPr>
              <w:t>P</w:t>
            </w:r>
            <w:r>
              <w:rPr>
                <w:b/>
                <w:bCs/>
                <w:sz w:val="24"/>
                <w:u w:val="single"/>
              </w:rPr>
              <w:t>（r）——距离噪声源r处的等效A声级值，dB（A）；</w:t>
            </w:r>
          </w:p>
          <w:p w14:paraId="4DD62FB8">
            <w:pPr>
              <w:spacing w:line="360" w:lineRule="auto"/>
              <w:ind w:firstLine="1205" w:firstLineChars="500"/>
              <w:rPr>
                <w:b/>
                <w:bCs/>
                <w:sz w:val="24"/>
                <w:u w:val="single"/>
              </w:rPr>
            </w:pPr>
            <w:r>
              <w:rPr>
                <w:b/>
                <w:bCs/>
                <w:sz w:val="24"/>
                <w:u w:val="single"/>
              </w:rPr>
              <w:t>L</w:t>
            </w:r>
            <w:r>
              <w:rPr>
                <w:b/>
                <w:bCs/>
                <w:sz w:val="24"/>
                <w:u w:val="single"/>
                <w:vertAlign w:val="subscript"/>
              </w:rPr>
              <w:t>P</w:t>
            </w:r>
            <w:r>
              <w:rPr>
                <w:b/>
                <w:bCs/>
                <w:sz w:val="24"/>
                <w:u w:val="single"/>
              </w:rPr>
              <w:t>（r</w:t>
            </w:r>
            <w:r>
              <w:rPr>
                <w:b/>
                <w:bCs/>
                <w:sz w:val="24"/>
                <w:u w:val="single"/>
                <w:vertAlign w:val="subscript"/>
              </w:rPr>
              <w:t>0</w:t>
            </w:r>
            <w:r>
              <w:rPr>
                <w:b/>
                <w:bCs/>
                <w:sz w:val="24"/>
                <w:u w:val="single"/>
              </w:rPr>
              <w:t>）——距离噪声源r</w:t>
            </w:r>
            <w:r>
              <w:rPr>
                <w:b/>
                <w:bCs/>
                <w:sz w:val="24"/>
                <w:u w:val="single"/>
                <w:vertAlign w:val="subscript"/>
              </w:rPr>
              <w:t>0</w:t>
            </w:r>
            <w:r>
              <w:rPr>
                <w:b/>
                <w:bCs/>
                <w:sz w:val="24"/>
                <w:u w:val="single"/>
              </w:rPr>
              <w:t>处的等效A声级值，dB（A）；</w:t>
            </w:r>
          </w:p>
          <w:p w14:paraId="1AD632D6">
            <w:pPr>
              <w:spacing w:line="360" w:lineRule="auto"/>
              <w:ind w:firstLine="1205" w:firstLineChars="500"/>
              <w:rPr>
                <w:b/>
                <w:bCs/>
                <w:sz w:val="24"/>
                <w:u w:val="single"/>
              </w:rPr>
            </w:pPr>
            <w:r>
              <w:rPr>
                <w:b/>
                <w:bCs/>
                <w:sz w:val="24"/>
                <w:u w:val="single"/>
              </w:rPr>
              <w:t>r ——预测点距噪声源距离，（m）；</w:t>
            </w:r>
          </w:p>
          <w:p w14:paraId="2E673EC6">
            <w:pPr>
              <w:spacing w:line="360" w:lineRule="auto"/>
              <w:ind w:firstLine="1205" w:firstLineChars="500"/>
              <w:rPr>
                <w:b/>
                <w:bCs/>
                <w:sz w:val="24"/>
                <w:u w:val="single"/>
              </w:rPr>
            </w:pPr>
            <w:r>
              <w:rPr>
                <w:b/>
                <w:bCs/>
                <w:sz w:val="24"/>
                <w:u w:val="single"/>
              </w:rPr>
              <w:t>r</w:t>
            </w:r>
            <w:r>
              <w:rPr>
                <w:b/>
                <w:bCs/>
                <w:sz w:val="24"/>
                <w:u w:val="single"/>
                <w:vertAlign w:val="subscript"/>
              </w:rPr>
              <w:t>0</w:t>
            </w:r>
            <w:r>
              <w:rPr>
                <w:b/>
                <w:bCs/>
                <w:sz w:val="24"/>
                <w:u w:val="single"/>
              </w:rPr>
              <w:t>——源强外1m处。</w:t>
            </w:r>
          </w:p>
          <w:p w14:paraId="4165F7F2">
            <w:pPr>
              <w:spacing w:line="360" w:lineRule="auto"/>
              <w:ind w:firstLine="482" w:firstLineChars="200"/>
              <w:rPr>
                <w:b/>
                <w:bCs/>
                <w:sz w:val="24"/>
                <w:u w:val="single"/>
              </w:rPr>
            </w:pPr>
            <w:r>
              <w:rPr>
                <w:b/>
                <w:bCs/>
                <w:kern w:val="0"/>
                <w:sz w:val="24"/>
                <w:u w:val="single"/>
              </w:rPr>
              <w:pict>
                <v:shape id="Object 4" o:spid="_x0000_s1031" o:spt="75" type="#_x0000_t75" style="position:absolute;left:0pt;margin-left:164.2pt;margin-top:10.55pt;height:33pt;width:127pt;z-index:-251610112;mso-width-relative:page;mso-height-relative:page;" o:ole="t" filled="f" o:preferrelative="t" stroked="f" coordsize="21600,21600">
                  <v:path/>
                  <v:fill on="f" focussize="0,0"/>
                  <v:stroke on="f" joinstyle="miter"/>
                  <v:imagedata r:id="rId13" o:title=""/>
                  <o:lock v:ext="edit" aspectratio="t"/>
                </v:shape>
                <o:OLEObject Type="Embed" ProgID="Equations" ShapeID="Object 4" DrawAspect="Content" ObjectID="_1468075728" r:id="rId12">
                  <o:LockedField>false</o:LockedField>
                </o:OLEObject>
              </w:pict>
            </w:r>
            <w:r>
              <w:rPr>
                <w:b/>
                <w:bCs/>
                <w:sz w:val="24"/>
                <w:u w:val="single"/>
              </w:rPr>
              <w:t>b.噪声贡献值计算公式为：</w:t>
            </w:r>
          </w:p>
          <w:p w14:paraId="51549C41">
            <w:pPr>
              <w:spacing w:line="360" w:lineRule="auto"/>
              <w:ind w:firstLine="482" w:firstLineChars="200"/>
              <w:jc w:val="center"/>
              <w:rPr>
                <w:b/>
                <w:bCs/>
                <w:sz w:val="24"/>
                <w:u w:val="single"/>
              </w:rPr>
            </w:pPr>
          </w:p>
          <w:p w14:paraId="6D4EB090">
            <w:pPr>
              <w:spacing w:line="360" w:lineRule="auto"/>
              <w:ind w:firstLine="482" w:firstLineChars="200"/>
              <w:rPr>
                <w:b/>
                <w:bCs/>
                <w:sz w:val="24"/>
                <w:u w:val="single"/>
              </w:rPr>
            </w:pPr>
            <w:r>
              <w:rPr>
                <w:b/>
                <w:bCs/>
                <w:sz w:val="24"/>
                <w:u w:val="single"/>
              </w:rPr>
              <w:t>式中：L</w:t>
            </w:r>
            <w:r>
              <w:rPr>
                <w:b/>
                <w:bCs/>
                <w:sz w:val="24"/>
                <w:u w:val="single"/>
                <w:vertAlign w:val="subscript"/>
              </w:rPr>
              <w:t>eqg</w:t>
            </w:r>
            <w:r>
              <w:rPr>
                <w:b/>
                <w:bCs/>
                <w:sz w:val="24"/>
                <w:u w:val="single"/>
              </w:rPr>
              <w:t>——建设项目声源在预测点的等效声级贡献值，dB（A）；</w:t>
            </w:r>
          </w:p>
          <w:p w14:paraId="72E4C32F">
            <w:pPr>
              <w:spacing w:line="360" w:lineRule="auto"/>
              <w:ind w:firstLine="1205" w:firstLineChars="500"/>
              <w:rPr>
                <w:b/>
                <w:bCs/>
                <w:sz w:val="24"/>
                <w:u w:val="single"/>
              </w:rPr>
            </w:pPr>
            <w:r>
              <w:rPr>
                <w:b/>
                <w:bCs/>
                <w:sz w:val="24"/>
                <w:u w:val="single"/>
              </w:rPr>
              <w:t>L</w:t>
            </w:r>
            <w:r>
              <w:rPr>
                <w:b/>
                <w:bCs/>
                <w:sz w:val="24"/>
                <w:u w:val="single"/>
                <w:vertAlign w:val="subscript"/>
              </w:rPr>
              <w:t>Ai</w:t>
            </w:r>
            <w:r>
              <w:rPr>
                <w:b/>
                <w:bCs/>
                <w:sz w:val="24"/>
                <w:u w:val="single"/>
              </w:rPr>
              <w:t>——i声源在预测点产生的A声级，dB（A）；</w:t>
            </w:r>
          </w:p>
          <w:p w14:paraId="39BE379F">
            <w:pPr>
              <w:spacing w:line="360" w:lineRule="auto"/>
              <w:ind w:firstLine="1205" w:firstLineChars="500"/>
              <w:rPr>
                <w:b/>
                <w:bCs/>
                <w:sz w:val="24"/>
                <w:u w:val="single"/>
              </w:rPr>
            </w:pPr>
            <w:r>
              <w:rPr>
                <w:b/>
                <w:bCs/>
                <w:sz w:val="24"/>
                <w:u w:val="single"/>
              </w:rPr>
              <w:t>T ——预测计算的时间段，s；</w:t>
            </w:r>
          </w:p>
          <w:p w14:paraId="4FFC363A">
            <w:pPr>
              <w:spacing w:line="360" w:lineRule="auto"/>
              <w:ind w:firstLine="1205" w:firstLineChars="500"/>
              <w:rPr>
                <w:b/>
                <w:bCs/>
                <w:sz w:val="24"/>
                <w:u w:val="single"/>
              </w:rPr>
            </w:pPr>
            <w:r>
              <w:rPr>
                <w:b/>
                <w:bCs/>
                <w:sz w:val="24"/>
                <w:u w:val="single"/>
              </w:rPr>
              <w:t>t</w:t>
            </w:r>
            <w:r>
              <w:rPr>
                <w:b/>
                <w:bCs/>
                <w:sz w:val="24"/>
                <w:u w:val="single"/>
                <w:vertAlign w:val="subscript"/>
              </w:rPr>
              <w:t>i</w:t>
            </w:r>
            <w:r>
              <w:rPr>
                <w:b/>
                <w:bCs/>
                <w:sz w:val="24"/>
                <w:u w:val="single"/>
              </w:rPr>
              <w:t>——i声源在T时段内的运行时间，s。</w:t>
            </w:r>
          </w:p>
          <w:p w14:paraId="758A05E1">
            <w:pPr>
              <w:spacing w:line="360" w:lineRule="auto"/>
              <w:ind w:firstLine="482" w:firstLineChars="200"/>
              <w:rPr>
                <w:b/>
                <w:bCs/>
                <w:sz w:val="24"/>
                <w:u w:val="single"/>
              </w:rPr>
            </w:pPr>
            <w:r>
              <w:rPr>
                <w:b/>
                <w:bCs/>
                <w:sz w:val="24"/>
                <w:u w:val="single"/>
              </w:rPr>
              <w:drawing>
                <wp:anchor distT="0" distB="0" distL="114300" distR="114300" simplePos="0" relativeHeight="251705344" behindDoc="1" locked="0" layoutInCell="1" allowOverlap="1">
                  <wp:simplePos x="0" y="0"/>
                  <wp:positionH relativeFrom="column">
                    <wp:posOffset>1929765</wp:posOffset>
                  </wp:positionH>
                  <wp:positionV relativeFrom="paragraph">
                    <wp:posOffset>172720</wp:posOffset>
                  </wp:positionV>
                  <wp:extent cx="2019300" cy="371475"/>
                  <wp:effectExtent l="0" t="0" r="0" b="9525"/>
                  <wp:wrapNone/>
                  <wp:docPr id="18" name="图片 18" descr="1667287223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166728722315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2019300" cy="371475"/>
                          </a:xfrm>
                          <a:prstGeom prst="rect">
                            <a:avLst/>
                          </a:prstGeom>
                          <a:noFill/>
                          <a:ln>
                            <a:noFill/>
                          </a:ln>
                        </pic:spPr>
                      </pic:pic>
                    </a:graphicData>
                  </a:graphic>
                </wp:anchor>
              </w:drawing>
            </w:r>
            <w:r>
              <w:rPr>
                <w:b/>
                <w:bCs/>
                <w:sz w:val="24"/>
                <w:u w:val="single"/>
              </w:rPr>
              <w:t>c.噪声预测值计算公式为：</w:t>
            </w:r>
          </w:p>
          <w:p w14:paraId="129F17EC">
            <w:pPr>
              <w:spacing w:line="360" w:lineRule="auto"/>
              <w:rPr>
                <w:b/>
                <w:bCs/>
                <w:sz w:val="24"/>
                <w:u w:val="single"/>
              </w:rPr>
            </w:pPr>
          </w:p>
          <w:p w14:paraId="03147B02">
            <w:pPr>
              <w:spacing w:line="360" w:lineRule="auto"/>
              <w:ind w:firstLine="723" w:firstLineChars="300"/>
              <w:rPr>
                <w:b/>
                <w:bCs/>
                <w:sz w:val="24"/>
                <w:u w:val="single"/>
              </w:rPr>
            </w:pPr>
            <w:r>
              <w:rPr>
                <w:b/>
                <w:bCs/>
                <w:sz w:val="24"/>
                <w:u w:val="single"/>
              </w:rPr>
              <w:t>式中：Leq——预测点的噪声预测值，dB；</w:t>
            </w:r>
          </w:p>
          <w:p w14:paraId="028F0BB5">
            <w:pPr>
              <w:spacing w:line="360" w:lineRule="auto"/>
              <w:ind w:firstLine="1446" w:firstLineChars="600"/>
              <w:rPr>
                <w:b/>
                <w:bCs/>
                <w:sz w:val="24"/>
                <w:u w:val="single"/>
              </w:rPr>
            </w:pPr>
            <w:r>
              <w:rPr>
                <w:b/>
                <w:bCs/>
                <w:sz w:val="24"/>
                <w:u w:val="single"/>
              </w:rPr>
              <w:t>Leqg——建设项目声源在预测点的等效声级贡献值，dB（A）；</w:t>
            </w:r>
          </w:p>
          <w:p w14:paraId="6C2C8849">
            <w:pPr>
              <w:spacing w:line="360" w:lineRule="auto"/>
              <w:ind w:firstLine="1446" w:firstLineChars="600"/>
              <w:rPr>
                <w:b/>
                <w:bCs/>
                <w:sz w:val="24"/>
                <w:u w:val="single"/>
              </w:rPr>
            </w:pPr>
            <w:r>
              <w:rPr>
                <w:b/>
                <w:bCs/>
                <w:sz w:val="24"/>
                <w:u w:val="single"/>
              </w:rPr>
              <w:t>Leqb——预测点的背景值，dB（A）。</w:t>
            </w:r>
          </w:p>
          <w:p w14:paraId="33BA2410">
            <w:pPr>
              <w:spacing w:line="360" w:lineRule="auto"/>
              <w:ind w:firstLine="482" w:firstLineChars="200"/>
              <w:rPr>
                <w:b/>
                <w:bCs/>
                <w:sz w:val="24"/>
                <w:u w:val="single"/>
              </w:rPr>
            </w:pPr>
            <w:r>
              <w:rPr>
                <w:rFonts w:hint="eastAsia"/>
                <w:b/>
                <w:bCs/>
                <w:sz w:val="24"/>
                <w:u w:val="single"/>
              </w:rPr>
              <w:t>本项目50m范围内涉及声环境保护目标，因此本次评价对项目厂界噪声值及</w:t>
            </w:r>
            <w:r>
              <w:rPr>
                <w:b/>
                <w:bCs/>
                <w:sz w:val="24"/>
                <w:u w:val="single"/>
              </w:rPr>
              <w:t>敏感点</w:t>
            </w:r>
            <w:r>
              <w:rPr>
                <w:rFonts w:hint="eastAsia"/>
                <w:b/>
                <w:bCs/>
                <w:sz w:val="24"/>
                <w:u w:val="single"/>
              </w:rPr>
              <w:t>进行预测。经预测，正常生产情况下项目各厂界噪声值见表2</w:t>
            </w:r>
            <w:r>
              <w:rPr>
                <w:b/>
                <w:bCs/>
                <w:sz w:val="24"/>
                <w:u w:val="single"/>
              </w:rPr>
              <w:t>8</w:t>
            </w:r>
            <w:r>
              <w:rPr>
                <w:rFonts w:hint="eastAsia"/>
                <w:b/>
                <w:bCs/>
                <w:sz w:val="24"/>
                <w:u w:val="single"/>
              </w:rPr>
              <w:t>，</w:t>
            </w:r>
            <w:r>
              <w:rPr>
                <w:b/>
                <w:bCs/>
                <w:sz w:val="24"/>
                <w:u w:val="single"/>
              </w:rPr>
              <w:t>敏感点噪声预测见表</w:t>
            </w:r>
            <w:r>
              <w:rPr>
                <w:rFonts w:hint="eastAsia"/>
                <w:b/>
                <w:bCs/>
                <w:sz w:val="24"/>
                <w:u w:val="single"/>
              </w:rPr>
              <w:t>29。</w:t>
            </w:r>
          </w:p>
          <w:p w14:paraId="4240CBC7">
            <w:pPr>
              <w:jc w:val="center"/>
              <w:rPr>
                <w:rFonts w:hAnsi="黑体"/>
                <w:b/>
                <w:sz w:val="24"/>
                <w:u w:val="single"/>
              </w:rPr>
            </w:pPr>
            <w:r>
              <w:rPr>
                <w:rFonts w:hint="eastAsia" w:hAnsi="黑体"/>
                <w:b/>
                <w:sz w:val="24"/>
                <w:u w:val="single"/>
              </w:rPr>
              <w:t>表2</w:t>
            </w:r>
            <w:r>
              <w:rPr>
                <w:rFonts w:hAnsi="黑体"/>
                <w:b/>
                <w:sz w:val="24"/>
                <w:u w:val="single"/>
              </w:rPr>
              <w:t>8</w:t>
            </w:r>
            <w:r>
              <w:rPr>
                <w:rFonts w:hint="eastAsia" w:hAnsi="黑体"/>
                <w:b/>
                <w:sz w:val="24"/>
                <w:u w:val="single"/>
              </w:rPr>
              <w:t xml:space="preserve">   本项目厂界噪声预测结果一览表单位：</w:t>
            </w:r>
            <w:r>
              <w:rPr>
                <w:rFonts w:hAnsi="黑体"/>
                <w:b/>
                <w:sz w:val="24"/>
                <w:u w:val="single"/>
              </w:rPr>
              <w:t>dB(A)</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4" w:space="0"/>
              </w:tblBorders>
              <w:tblLayout w:type="autofit"/>
              <w:tblCellMar>
                <w:top w:w="0" w:type="dxa"/>
                <w:left w:w="108" w:type="dxa"/>
                <w:bottom w:w="0" w:type="dxa"/>
                <w:right w:w="108" w:type="dxa"/>
              </w:tblCellMar>
            </w:tblPr>
            <w:tblGrid>
              <w:gridCol w:w="2903"/>
              <w:gridCol w:w="2116"/>
              <w:gridCol w:w="1717"/>
              <w:gridCol w:w="1713"/>
            </w:tblGrid>
            <w:tr w14:paraId="2A8D238E">
              <w:tblPrEx>
                <w:tblBorders>
                  <w:top w:val="single" w:color="auto" w:sz="4" w:space="0"/>
                  <w:left w:val="single" w:color="auto" w:sz="4" w:space="0"/>
                  <w:bottom w:val="single" w:color="auto" w:sz="4" w:space="0"/>
                  <w:right w:val="single" w:color="auto" w:sz="4" w:space="0"/>
                  <w:insideH w:val="single" w:color="auto" w:sz="6" w:space="0"/>
                  <w:insideV w:val="single" w:color="auto" w:sz="4" w:space="0"/>
                </w:tblBorders>
                <w:tblCellMar>
                  <w:top w:w="0" w:type="dxa"/>
                  <w:left w:w="108" w:type="dxa"/>
                  <w:bottom w:w="0" w:type="dxa"/>
                  <w:right w:w="108" w:type="dxa"/>
                </w:tblCellMar>
              </w:tblPrEx>
              <w:trPr>
                <w:cantSplit/>
                <w:trHeight w:val="309" w:hRule="atLeast"/>
              </w:trPr>
              <w:tc>
                <w:tcPr>
                  <w:tcW w:w="1718" w:type="pct"/>
                  <w:vAlign w:val="center"/>
                </w:tcPr>
                <w:p w14:paraId="59024C7C">
                  <w:pPr>
                    <w:adjustRightInd w:val="0"/>
                    <w:snapToGrid w:val="0"/>
                    <w:jc w:val="center"/>
                    <w:rPr>
                      <w:b/>
                      <w:szCs w:val="21"/>
                      <w:u w:val="single"/>
                    </w:rPr>
                  </w:pPr>
                  <w:r>
                    <w:rPr>
                      <w:rFonts w:hint="eastAsia"/>
                      <w:b/>
                      <w:szCs w:val="21"/>
                      <w:u w:val="single"/>
                    </w:rPr>
                    <w:t>预测点位</w:t>
                  </w:r>
                </w:p>
              </w:tc>
              <w:tc>
                <w:tcPr>
                  <w:tcW w:w="1252" w:type="pct"/>
                  <w:vAlign w:val="center"/>
                </w:tcPr>
                <w:p w14:paraId="478552AE">
                  <w:pPr>
                    <w:adjustRightInd w:val="0"/>
                    <w:snapToGrid w:val="0"/>
                    <w:jc w:val="center"/>
                    <w:rPr>
                      <w:b/>
                      <w:szCs w:val="21"/>
                      <w:u w:val="single"/>
                    </w:rPr>
                  </w:pPr>
                  <w:r>
                    <w:rPr>
                      <w:rFonts w:hint="eastAsia"/>
                      <w:b/>
                      <w:szCs w:val="21"/>
                      <w:u w:val="single"/>
                    </w:rPr>
                    <w:t>贡献值</w:t>
                  </w:r>
                </w:p>
              </w:tc>
              <w:tc>
                <w:tcPr>
                  <w:tcW w:w="1016" w:type="pct"/>
                  <w:vAlign w:val="center"/>
                </w:tcPr>
                <w:p w14:paraId="042D13B9">
                  <w:pPr>
                    <w:adjustRightInd w:val="0"/>
                    <w:snapToGrid w:val="0"/>
                    <w:jc w:val="center"/>
                    <w:rPr>
                      <w:b/>
                      <w:szCs w:val="21"/>
                      <w:u w:val="single"/>
                    </w:rPr>
                  </w:pPr>
                  <w:r>
                    <w:rPr>
                      <w:rFonts w:hint="eastAsia"/>
                      <w:b/>
                      <w:szCs w:val="21"/>
                      <w:u w:val="single"/>
                    </w:rPr>
                    <w:t>是否达标</w:t>
                  </w:r>
                </w:p>
              </w:tc>
              <w:tc>
                <w:tcPr>
                  <w:tcW w:w="1014" w:type="pct"/>
                  <w:vAlign w:val="center"/>
                </w:tcPr>
                <w:p w14:paraId="3809DB63">
                  <w:pPr>
                    <w:adjustRightInd w:val="0"/>
                    <w:snapToGrid w:val="0"/>
                    <w:jc w:val="center"/>
                    <w:rPr>
                      <w:b/>
                      <w:szCs w:val="21"/>
                      <w:u w:val="single"/>
                    </w:rPr>
                  </w:pPr>
                  <w:r>
                    <w:rPr>
                      <w:rFonts w:hint="eastAsia"/>
                      <w:b/>
                      <w:szCs w:val="21"/>
                      <w:u w:val="single"/>
                    </w:rPr>
                    <w:t>执行标准</w:t>
                  </w:r>
                </w:p>
              </w:tc>
            </w:tr>
            <w:tr w14:paraId="7E268E31">
              <w:tblPrEx>
                <w:tblBorders>
                  <w:top w:val="single" w:color="auto" w:sz="4" w:space="0"/>
                  <w:left w:val="single" w:color="auto" w:sz="4" w:space="0"/>
                  <w:bottom w:val="single" w:color="auto" w:sz="4" w:space="0"/>
                  <w:right w:val="single" w:color="auto" w:sz="4" w:space="0"/>
                  <w:insideH w:val="single" w:color="auto" w:sz="6" w:space="0"/>
                  <w:insideV w:val="single" w:color="auto" w:sz="4" w:space="0"/>
                </w:tblBorders>
                <w:tblCellMar>
                  <w:top w:w="0" w:type="dxa"/>
                  <w:left w:w="108" w:type="dxa"/>
                  <w:bottom w:w="0" w:type="dxa"/>
                  <w:right w:w="108" w:type="dxa"/>
                </w:tblCellMar>
              </w:tblPrEx>
              <w:trPr>
                <w:cantSplit/>
                <w:trHeight w:val="227" w:hRule="atLeast"/>
              </w:trPr>
              <w:tc>
                <w:tcPr>
                  <w:tcW w:w="1718" w:type="pct"/>
                  <w:vAlign w:val="center"/>
                </w:tcPr>
                <w:p w14:paraId="3F280EF0">
                  <w:pPr>
                    <w:adjustRightInd w:val="0"/>
                    <w:snapToGrid w:val="0"/>
                    <w:jc w:val="center"/>
                    <w:rPr>
                      <w:b/>
                      <w:szCs w:val="21"/>
                      <w:u w:val="single"/>
                    </w:rPr>
                  </w:pPr>
                  <w:r>
                    <w:rPr>
                      <w:rFonts w:hint="eastAsia"/>
                      <w:b/>
                      <w:szCs w:val="21"/>
                      <w:u w:val="single"/>
                    </w:rPr>
                    <w:t>东厂界</w:t>
                  </w:r>
                </w:p>
              </w:tc>
              <w:tc>
                <w:tcPr>
                  <w:tcW w:w="1252" w:type="pct"/>
                  <w:vAlign w:val="center"/>
                </w:tcPr>
                <w:p w14:paraId="311A8DD8">
                  <w:pPr>
                    <w:tabs>
                      <w:tab w:val="center" w:pos="813"/>
                      <w:tab w:val="right" w:pos="1505"/>
                    </w:tabs>
                    <w:adjustRightInd w:val="0"/>
                    <w:snapToGrid w:val="0"/>
                    <w:jc w:val="center"/>
                    <w:rPr>
                      <w:b/>
                      <w:szCs w:val="21"/>
                      <w:u w:val="single"/>
                    </w:rPr>
                  </w:pPr>
                  <w:r>
                    <w:rPr>
                      <w:b/>
                      <w:szCs w:val="21"/>
                      <w:u w:val="single"/>
                    </w:rPr>
                    <w:t>45.1</w:t>
                  </w:r>
                </w:p>
              </w:tc>
              <w:tc>
                <w:tcPr>
                  <w:tcW w:w="1016" w:type="pct"/>
                  <w:vAlign w:val="center"/>
                </w:tcPr>
                <w:p w14:paraId="4BA04C2C">
                  <w:pPr>
                    <w:adjustRightInd w:val="0"/>
                    <w:snapToGrid w:val="0"/>
                    <w:jc w:val="center"/>
                    <w:rPr>
                      <w:b/>
                      <w:szCs w:val="21"/>
                      <w:u w:val="single"/>
                    </w:rPr>
                  </w:pPr>
                  <w:r>
                    <w:rPr>
                      <w:rFonts w:hint="eastAsia"/>
                      <w:b/>
                      <w:szCs w:val="21"/>
                      <w:u w:val="single"/>
                    </w:rPr>
                    <w:t>是</w:t>
                  </w:r>
                </w:p>
              </w:tc>
              <w:tc>
                <w:tcPr>
                  <w:tcW w:w="1014" w:type="pct"/>
                  <w:vMerge w:val="restart"/>
                  <w:vAlign w:val="center"/>
                </w:tcPr>
                <w:p w14:paraId="0E4F4203">
                  <w:pPr>
                    <w:tabs>
                      <w:tab w:val="left" w:pos="560"/>
                    </w:tabs>
                    <w:adjustRightInd w:val="0"/>
                    <w:snapToGrid w:val="0"/>
                    <w:jc w:val="center"/>
                    <w:rPr>
                      <w:b/>
                      <w:szCs w:val="21"/>
                      <w:u w:val="single"/>
                    </w:rPr>
                  </w:pPr>
                  <w:r>
                    <w:rPr>
                      <w:rFonts w:hint="eastAsia"/>
                      <w:b/>
                      <w:szCs w:val="21"/>
                      <w:u w:val="single"/>
                    </w:rPr>
                    <w:t>昼间60，</w:t>
                  </w:r>
                  <w:r>
                    <w:rPr>
                      <w:b/>
                      <w:szCs w:val="21"/>
                      <w:u w:val="single"/>
                    </w:rPr>
                    <w:t>夜间</w:t>
                  </w:r>
                  <w:r>
                    <w:rPr>
                      <w:rFonts w:hint="eastAsia"/>
                      <w:b/>
                      <w:szCs w:val="21"/>
                      <w:u w:val="single"/>
                    </w:rPr>
                    <w:t>50</w:t>
                  </w:r>
                </w:p>
              </w:tc>
            </w:tr>
            <w:tr w14:paraId="31385117">
              <w:tblPrEx>
                <w:tblBorders>
                  <w:top w:val="single" w:color="auto" w:sz="4" w:space="0"/>
                  <w:left w:val="single" w:color="auto" w:sz="4" w:space="0"/>
                  <w:bottom w:val="single" w:color="auto" w:sz="4" w:space="0"/>
                  <w:right w:val="single" w:color="auto" w:sz="4" w:space="0"/>
                  <w:insideH w:val="single" w:color="auto" w:sz="6" w:space="0"/>
                  <w:insideV w:val="single" w:color="auto" w:sz="4" w:space="0"/>
                </w:tblBorders>
                <w:tblCellMar>
                  <w:top w:w="0" w:type="dxa"/>
                  <w:left w:w="108" w:type="dxa"/>
                  <w:bottom w:w="0" w:type="dxa"/>
                  <w:right w:w="108" w:type="dxa"/>
                </w:tblCellMar>
              </w:tblPrEx>
              <w:trPr>
                <w:cantSplit/>
                <w:trHeight w:val="227" w:hRule="atLeast"/>
              </w:trPr>
              <w:tc>
                <w:tcPr>
                  <w:tcW w:w="1718" w:type="pct"/>
                  <w:vAlign w:val="center"/>
                </w:tcPr>
                <w:p w14:paraId="774E24A9">
                  <w:pPr>
                    <w:adjustRightInd w:val="0"/>
                    <w:snapToGrid w:val="0"/>
                    <w:jc w:val="center"/>
                    <w:rPr>
                      <w:b/>
                      <w:szCs w:val="21"/>
                      <w:u w:val="single"/>
                    </w:rPr>
                  </w:pPr>
                  <w:r>
                    <w:rPr>
                      <w:rFonts w:hint="eastAsia"/>
                      <w:b/>
                      <w:szCs w:val="21"/>
                      <w:u w:val="single"/>
                    </w:rPr>
                    <w:t>南厂界</w:t>
                  </w:r>
                </w:p>
              </w:tc>
              <w:tc>
                <w:tcPr>
                  <w:tcW w:w="1252" w:type="pct"/>
                  <w:vAlign w:val="center"/>
                </w:tcPr>
                <w:p w14:paraId="0EDF5818">
                  <w:pPr>
                    <w:adjustRightInd w:val="0"/>
                    <w:snapToGrid w:val="0"/>
                    <w:jc w:val="center"/>
                    <w:rPr>
                      <w:b/>
                      <w:szCs w:val="21"/>
                      <w:u w:val="single"/>
                    </w:rPr>
                  </w:pPr>
                  <w:r>
                    <w:rPr>
                      <w:b/>
                      <w:szCs w:val="21"/>
                      <w:u w:val="single"/>
                    </w:rPr>
                    <w:t>37</w:t>
                  </w:r>
                </w:p>
              </w:tc>
              <w:tc>
                <w:tcPr>
                  <w:tcW w:w="1016" w:type="pct"/>
                  <w:vAlign w:val="center"/>
                </w:tcPr>
                <w:p w14:paraId="60450048">
                  <w:pPr>
                    <w:adjustRightInd w:val="0"/>
                    <w:snapToGrid w:val="0"/>
                    <w:jc w:val="center"/>
                    <w:rPr>
                      <w:b/>
                      <w:szCs w:val="21"/>
                      <w:u w:val="single"/>
                    </w:rPr>
                  </w:pPr>
                  <w:r>
                    <w:rPr>
                      <w:rFonts w:hint="eastAsia"/>
                      <w:b/>
                      <w:szCs w:val="21"/>
                      <w:u w:val="single"/>
                    </w:rPr>
                    <w:t>是</w:t>
                  </w:r>
                </w:p>
              </w:tc>
              <w:tc>
                <w:tcPr>
                  <w:tcW w:w="1014" w:type="pct"/>
                  <w:vMerge w:val="continue"/>
                  <w:vAlign w:val="center"/>
                </w:tcPr>
                <w:p w14:paraId="707497BA">
                  <w:pPr>
                    <w:adjustRightInd w:val="0"/>
                    <w:snapToGrid w:val="0"/>
                    <w:jc w:val="center"/>
                    <w:rPr>
                      <w:b/>
                      <w:szCs w:val="21"/>
                      <w:u w:val="single"/>
                    </w:rPr>
                  </w:pPr>
                </w:p>
              </w:tc>
            </w:tr>
            <w:tr w14:paraId="0B9F9716">
              <w:tblPrEx>
                <w:tblBorders>
                  <w:top w:val="single" w:color="auto" w:sz="4" w:space="0"/>
                  <w:left w:val="single" w:color="auto" w:sz="4" w:space="0"/>
                  <w:bottom w:val="single" w:color="auto" w:sz="4" w:space="0"/>
                  <w:right w:val="single" w:color="auto" w:sz="4" w:space="0"/>
                  <w:insideH w:val="single" w:color="auto" w:sz="6" w:space="0"/>
                  <w:insideV w:val="single" w:color="auto" w:sz="4" w:space="0"/>
                </w:tblBorders>
                <w:tblCellMar>
                  <w:top w:w="0" w:type="dxa"/>
                  <w:left w:w="108" w:type="dxa"/>
                  <w:bottom w:w="0" w:type="dxa"/>
                  <w:right w:w="108" w:type="dxa"/>
                </w:tblCellMar>
              </w:tblPrEx>
              <w:trPr>
                <w:cantSplit/>
                <w:trHeight w:val="227" w:hRule="atLeast"/>
              </w:trPr>
              <w:tc>
                <w:tcPr>
                  <w:tcW w:w="1718" w:type="pct"/>
                  <w:vAlign w:val="center"/>
                </w:tcPr>
                <w:p w14:paraId="4D1B3A0E">
                  <w:pPr>
                    <w:adjustRightInd w:val="0"/>
                    <w:snapToGrid w:val="0"/>
                    <w:jc w:val="center"/>
                    <w:rPr>
                      <w:b/>
                      <w:szCs w:val="21"/>
                      <w:u w:val="single"/>
                    </w:rPr>
                  </w:pPr>
                  <w:r>
                    <w:rPr>
                      <w:rFonts w:hint="eastAsia"/>
                      <w:b/>
                      <w:szCs w:val="21"/>
                      <w:u w:val="single"/>
                    </w:rPr>
                    <w:t>西厂界</w:t>
                  </w:r>
                </w:p>
              </w:tc>
              <w:tc>
                <w:tcPr>
                  <w:tcW w:w="1252" w:type="pct"/>
                  <w:vAlign w:val="center"/>
                </w:tcPr>
                <w:p w14:paraId="3DDBF1AD">
                  <w:pPr>
                    <w:adjustRightInd w:val="0"/>
                    <w:snapToGrid w:val="0"/>
                    <w:jc w:val="center"/>
                    <w:rPr>
                      <w:b/>
                      <w:szCs w:val="21"/>
                      <w:u w:val="single"/>
                    </w:rPr>
                  </w:pPr>
                  <w:r>
                    <w:rPr>
                      <w:b/>
                      <w:szCs w:val="21"/>
                      <w:u w:val="single"/>
                    </w:rPr>
                    <w:t>31.7</w:t>
                  </w:r>
                </w:p>
              </w:tc>
              <w:tc>
                <w:tcPr>
                  <w:tcW w:w="1016" w:type="pct"/>
                  <w:vAlign w:val="center"/>
                </w:tcPr>
                <w:p w14:paraId="5A850BD1">
                  <w:pPr>
                    <w:adjustRightInd w:val="0"/>
                    <w:snapToGrid w:val="0"/>
                    <w:jc w:val="center"/>
                    <w:rPr>
                      <w:b/>
                      <w:szCs w:val="21"/>
                      <w:u w:val="single"/>
                    </w:rPr>
                  </w:pPr>
                  <w:r>
                    <w:rPr>
                      <w:rFonts w:hint="eastAsia"/>
                      <w:b/>
                      <w:szCs w:val="21"/>
                      <w:u w:val="single"/>
                    </w:rPr>
                    <w:t>是</w:t>
                  </w:r>
                </w:p>
              </w:tc>
              <w:tc>
                <w:tcPr>
                  <w:tcW w:w="1014" w:type="pct"/>
                  <w:vMerge w:val="continue"/>
                  <w:vAlign w:val="center"/>
                </w:tcPr>
                <w:p w14:paraId="54746C3A">
                  <w:pPr>
                    <w:adjustRightInd w:val="0"/>
                    <w:snapToGrid w:val="0"/>
                    <w:jc w:val="center"/>
                    <w:rPr>
                      <w:b/>
                      <w:szCs w:val="21"/>
                      <w:u w:val="single"/>
                    </w:rPr>
                  </w:pPr>
                </w:p>
              </w:tc>
            </w:tr>
            <w:tr w14:paraId="61AF6E17">
              <w:tblPrEx>
                <w:tblBorders>
                  <w:top w:val="single" w:color="auto" w:sz="4" w:space="0"/>
                  <w:left w:val="single" w:color="auto" w:sz="4" w:space="0"/>
                  <w:bottom w:val="single" w:color="auto" w:sz="4" w:space="0"/>
                  <w:right w:val="single" w:color="auto" w:sz="4" w:space="0"/>
                  <w:insideH w:val="single" w:color="auto" w:sz="6" w:space="0"/>
                  <w:insideV w:val="single" w:color="auto" w:sz="4" w:space="0"/>
                </w:tblBorders>
                <w:tblCellMar>
                  <w:top w:w="0" w:type="dxa"/>
                  <w:left w:w="108" w:type="dxa"/>
                  <w:bottom w:w="0" w:type="dxa"/>
                  <w:right w:w="108" w:type="dxa"/>
                </w:tblCellMar>
              </w:tblPrEx>
              <w:trPr>
                <w:cantSplit/>
                <w:trHeight w:val="227" w:hRule="atLeast"/>
              </w:trPr>
              <w:tc>
                <w:tcPr>
                  <w:tcW w:w="1718" w:type="pct"/>
                  <w:vAlign w:val="center"/>
                </w:tcPr>
                <w:p w14:paraId="15726B09">
                  <w:pPr>
                    <w:adjustRightInd w:val="0"/>
                    <w:snapToGrid w:val="0"/>
                    <w:jc w:val="center"/>
                    <w:rPr>
                      <w:b/>
                      <w:szCs w:val="21"/>
                      <w:u w:val="single"/>
                    </w:rPr>
                  </w:pPr>
                  <w:r>
                    <w:rPr>
                      <w:rFonts w:hint="eastAsia"/>
                      <w:b/>
                      <w:szCs w:val="21"/>
                      <w:u w:val="single"/>
                    </w:rPr>
                    <w:t>北厂界</w:t>
                  </w:r>
                </w:p>
              </w:tc>
              <w:tc>
                <w:tcPr>
                  <w:tcW w:w="1252" w:type="pct"/>
                  <w:vAlign w:val="center"/>
                </w:tcPr>
                <w:p w14:paraId="22FB6DFB">
                  <w:pPr>
                    <w:adjustRightInd w:val="0"/>
                    <w:snapToGrid w:val="0"/>
                    <w:jc w:val="center"/>
                    <w:rPr>
                      <w:b/>
                      <w:szCs w:val="21"/>
                      <w:u w:val="single"/>
                    </w:rPr>
                  </w:pPr>
                  <w:r>
                    <w:rPr>
                      <w:rFonts w:hint="eastAsia"/>
                      <w:b/>
                      <w:szCs w:val="21"/>
                      <w:u w:val="single"/>
                    </w:rPr>
                    <w:t>49.5</w:t>
                  </w:r>
                </w:p>
              </w:tc>
              <w:tc>
                <w:tcPr>
                  <w:tcW w:w="1016" w:type="pct"/>
                  <w:vAlign w:val="center"/>
                </w:tcPr>
                <w:p w14:paraId="1DA126D7">
                  <w:pPr>
                    <w:adjustRightInd w:val="0"/>
                    <w:snapToGrid w:val="0"/>
                    <w:jc w:val="center"/>
                    <w:rPr>
                      <w:b/>
                      <w:szCs w:val="21"/>
                      <w:u w:val="single"/>
                    </w:rPr>
                  </w:pPr>
                  <w:r>
                    <w:rPr>
                      <w:rFonts w:hint="eastAsia"/>
                      <w:b/>
                      <w:szCs w:val="21"/>
                      <w:u w:val="single"/>
                    </w:rPr>
                    <w:t>是</w:t>
                  </w:r>
                </w:p>
              </w:tc>
              <w:tc>
                <w:tcPr>
                  <w:tcW w:w="1014" w:type="pct"/>
                  <w:vMerge w:val="continue"/>
                  <w:vAlign w:val="center"/>
                </w:tcPr>
                <w:p w14:paraId="2101E904">
                  <w:pPr>
                    <w:adjustRightInd w:val="0"/>
                    <w:snapToGrid w:val="0"/>
                    <w:jc w:val="center"/>
                    <w:rPr>
                      <w:b/>
                      <w:szCs w:val="21"/>
                      <w:u w:val="single"/>
                    </w:rPr>
                  </w:pPr>
                </w:p>
              </w:tc>
            </w:tr>
          </w:tbl>
          <w:p w14:paraId="29501835">
            <w:pPr>
              <w:jc w:val="center"/>
              <w:rPr>
                <w:rFonts w:hAnsi="黑体"/>
                <w:b/>
                <w:sz w:val="24"/>
                <w:u w:val="single"/>
              </w:rPr>
            </w:pPr>
            <w:r>
              <w:rPr>
                <w:rFonts w:hint="eastAsia" w:hAnsi="黑体"/>
                <w:b/>
                <w:sz w:val="24"/>
                <w:u w:val="single"/>
              </w:rPr>
              <w:t>表</w:t>
            </w:r>
            <w:r>
              <w:rPr>
                <w:rFonts w:hAnsi="黑体"/>
                <w:b/>
                <w:sz w:val="24"/>
                <w:u w:val="single"/>
              </w:rPr>
              <w:t>29</w:t>
            </w:r>
            <w:r>
              <w:rPr>
                <w:rFonts w:hint="eastAsia" w:hAnsi="黑体"/>
                <w:b/>
                <w:sz w:val="24"/>
                <w:u w:val="single"/>
              </w:rPr>
              <w:t xml:space="preserve">  项目周边环境敏感点噪声预测一览表   单位：dB(A)</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783"/>
              <w:gridCol w:w="1031"/>
              <w:gridCol w:w="544"/>
              <w:gridCol w:w="975"/>
              <w:gridCol w:w="598"/>
              <w:gridCol w:w="880"/>
              <w:gridCol w:w="673"/>
              <w:gridCol w:w="897"/>
              <w:gridCol w:w="1068"/>
            </w:tblGrid>
            <w:tr w14:paraId="35F5F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71" w:hRule="atLeast"/>
                <w:jc w:val="center"/>
              </w:trPr>
              <w:tc>
                <w:tcPr>
                  <w:tcW w:w="1055" w:type="pct"/>
                  <w:vMerge w:val="restart"/>
                  <w:vAlign w:val="center"/>
                </w:tcPr>
                <w:p w14:paraId="2CBBDF4D">
                  <w:pPr>
                    <w:pStyle w:val="63"/>
                    <w:spacing w:line="276" w:lineRule="auto"/>
                    <w:rPr>
                      <w:b/>
                      <w:szCs w:val="21"/>
                      <w:u w:val="single"/>
                    </w:rPr>
                  </w:pPr>
                  <w:r>
                    <w:rPr>
                      <w:b/>
                      <w:szCs w:val="21"/>
                      <w:u w:val="single"/>
                    </w:rPr>
                    <w:t>预测点位</w:t>
                  </w:r>
                </w:p>
              </w:tc>
              <w:tc>
                <w:tcPr>
                  <w:tcW w:w="932" w:type="pct"/>
                  <w:gridSpan w:val="2"/>
                  <w:vAlign w:val="center"/>
                </w:tcPr>
                <w:p w14:paraId="01F3C2BA">
                  <w:pPr>
                    <w:pStyle w:val="63"/>
                    <w:spacing w:line="276" w:lineRule="auto"/>
                    <w:rPr>
                      <w:b/>
                      <w:szCs w:val="21"/>
                      <w:u w:val="single"/>
                    </w:rPr>
                  </w:pPr>
                  <w:r>
                    <w:rPr>
                      <w:b/>
                      <w:szCs w:val="21"/>
                      <w:u w:val="single"/>
                    </w:rPr>
                    <w:t>贡献值</w:t>
                  </w:r>
                </w:p>
              </w:tc>
              <w:tc>
                <w:tcPr>
                  <w:tcW w:w="931" w:type="pct"/>
                  <w:gridSpan w:val="2"/>
                  <w:vAlign w:val="center"/>
                </w:tcPr>
                <w:p w14:paraId="30B663E2">
                  <w:pPr>
                    <w:pStyle w:val="63"/>
                    <w:spacing w:line="276" w:lineRule="auto"/>
                    <w:rPr>
                      <w:b/>
                      <w:szCs w:val="21"/>
                      <w:u w:val="single"/>
                    </w:rPr>
                  </w:pPr>
                  <w:r>
                    <w:rPr>
                      <w:b/>
                      <w:szCs w:val="21"/>
                      <w:u w:val="single"/>
                    </w:rPr>
                    <w:t>背景值</w:t>
                  </w:r>
                </w:p>
              </w:tc>
              <w:tc>
                <w:tcPr>
                  <w:tcW w:w="919" w:type="pct"/>
                  <w:gridSpan w:val="2"/>
                  <w:vAlign w:val="center"/>
                </w:tcPr>
                <w:p w14:paraId="17288B4C">
                  <w:pPr>
                    <w:pStyle w:val="63"/>
                    <w:spacing w:line="276" w:lineRule="auto"/>
                    <w:rPr>
                      <w:b/>
                      <w:szCs w:val="21"/>
                      <w:u w:val="single"/>
                    </w:rPr>
                  </w:pPr>
                  <w:r>
                    <w:rPr>
                      <w:b/>
                      <w:szCs w:val="21"/>
                      <w:u w:val="single"/>
                    </w:rPr>
                    <w:t>预测值</w:t>
                  </w:r>
                </w:p>
              </w:tc>
              <w:tc>
                <w:tcPr>
                  <w:tcW w:w="531" w:type="pct"/>
                  <w:vMerge w:val="restart"/>
                  <w:vAlign w:val="center"/>
                </w:tcPr>
                <w:p w14:paraId="137349A8">
                  <w:pPr>
                    <w:pStyle w:val="63"/>
                    <w:spacing w:line="276" w:lineRule="auto"/>
                    <w:rPr>
                      <w:b/>
                      <w:szCs w:val="21"/>
                      <w:u w:val="single"/>
                    </w:rPr>
                  </w:pPr>
                  <w:r>
                    <w:rPr>
                      <w:b/>
                      <w:szCs w:val="21"/>
                      <w:u w:val="single"/>
                    </w:rPr>
                    <w:t>是否达标</w:t>
                  </w:r>
                </w:p>
              </w:tc>
              <w:tc>
                <w:tcPr>
                  <w:tcW w:w="632" w:type="pct"/>
                  <w:vMerge w:val="restart"/>
                  <w:vAlign w:val="center"/>
                </w:tcPr>
                <w:p w14:paraId="0707E7C4">
                  <w:pPr>
                    <w:pStyle w:val="63"/>
                    <w:spacing w:line="276" w:lineRule="auto"/>
                    <w:rPr>
                      <w:b/>
                      <w:szCs w:val="21"/>
                      <w:u w:val="single"/>
                    </w:rPr>
                  </w:pPr>
                  <w:r>
                    <w:rPr>
                      <w:b/>
                      <w:szCs w:val="21"/>
                      <w:u w:val="single"/>
                    </w:rPr>
                    <w:t>执行标准</w:t>
                  </w:r>
                </w:p>
              </w:tc>
            </w:tr>
            <w:tr w14:paraId="16D48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71" w:hRule="atLeast"/>
                <w:jc w:val="center"/>
              </w:trPr>
              <w:tc>
                <w:tcPr>
                  <w:tcW w:w="1055" w:type="pct"/>
                  <w:vMerge w:val="continue"/>
                  <w:vAlign w:val="center"/>
                </w:tcPr>
                <w:p w14:paraId="57C3D13D">
                  <w:pPr>
                    <w:pStyle w:val="63"/>
                    <w:spacing w:line="276" w:lineRule="auto"/>
                    <w:rPr>
                      <w:b/>
                      <w:szCs w:val="21"/>
                      <w:u w:val="single"/>
                    </w:rPr>
                  </w:pPr>
                </w:p>
              </w:tc>
              <w:tc>
                <w:tcPr>
                  <w:tcW w:w="610" w:type="pct"/>
                  <w:vAlign w:val="center"/>
                </w:tcPr>
                <w:p w14:paraId="64F1A20C">
                  <w:pPr>
                    <w:pStyle w:val="63"/>
                    <w:spacing w:line="276" w:lineRule="auto"/>
                    <w:rPr>
                      <w:b/>
                      <w:szCs w:val="21"/>
                      <w:u w:val="single"/>
                    </w:rPr>
                  </w:pPr>
                  <w:r>
                    <w:rPr>
                      <w:b/>
                      <w:szCs w:val="21"/>
                      <w:u w:val="single"/>
                    </w:rPr>
                    <w:t>昼间</w:t>
                  </w:r>
                </w:p>
              </w:tc>
              <w:tc>
                <w:tcPr>
                  <w:tcW w:w="322" w:type="pct"/>
                  <w:vAlign w:val="center"/>
                </w:tcPr>
                <w:p w14:paraId="78F3BF2A">
                  <w:pPr>
                    <w:pStyle w:val="63"/>
                    <w:spacing w:line="276" w:lineRule="auto"/>
                    <w:rPr>
                      <w:b/>
                      <w:szCs w:val="21"/>
                      <w:u w:val="single"/>
                    </w:rPr>
                  </w:pPr>
                  <w:r>
                    <w:rPr>
                      <w:rFonts w:hint="eastAsia"/>
                      <w:b/>
                      <w:szCs w:val="21"/>
                      <w:u w:val="single"/>
                    </w:rPr>
                    <w:t>夜间</w:t>
                  </w:r>
                </w:p>
              </w:tc>
              <w:tc>
                <w:tcPr>
                  <w:tcW w:w="577" w:type="pct"/>
                  <w:vAlign w:val="center"/>
                </w:tcPr>
                <w:p w14:paraId="58EC4DA5">
                  <w:pPr>
                    <w:pStyle w:val="63"/>
                    <w:spacing w:line="276" w:lineRule="auto"/>
                    <w:rPr>
                      <w:b/>
                      <w:szCs w:val="21"/>
                      <w:u w:val="single"/>
                    </w:rPr>
                  </w:pPr>
                  <w:r>
                    <w:rPr>
                      <w:b/>
                      <w:szCs w:val="21"/>
                      <w:u w:val="single"/>
                    </w:rPr>
                    <w:t>昼间</w:t>
                  </w:r>
                </w:p>
              </w:tc>
              <w:tc>
                <w:tcPr>
                  <w:tcW w:w="354" w:type="pct"/>
                  <w:vAlign w:val="center"/>
                </w:tcPr>
                <w:p w14:paraId="65412FB7">
                  <w:pPr>
                    <w:pStyle w:val="63"/>
                    <w:spacing w:line="276" w:lineRule="auto"/>
                    <w:rPr>
                      <w:b/>
                      <w:szCs w:val="21"/>
                      <w:u w:val="single"/>
                    </w:rPr>
                  </w:pPr>
                  <w:r>
                    <w:rPr>
                      <w:rFonts w:hint="eastAsia"/>
                      <w:b/>
                      <w:szCs w:val="21"/>
                      <w:u w:val="single"/>
                    </w:rPr>
                    <w:t>夜间</w:t>
                  </w:r>
                </w:p>
              </w:tc>
              <w:tc>
                <w:tcPr>
                  <w:tcW w:w="521" w:type="pct"/>
                  <w:vAlign w:val="center"/>
                </w:tcPr>
                <w:p w14:paraId="01887619">
                  <w:pPr>
                    <w:pStyle w:val="63"/>
                    <w:spacing w:line="276" w:lineRule="auto"/>
                    <w:rPr>
                      <w:b/>
                      <w:szCs w:val="21"/>
                      <w:u w:val="single"/>
                    </w:rPr>
                  </w:pPr>
                  <w:r>
                    <w:rPr>
                      <w:b/>
                      <w:szCs w:val="21"/>
                      <w:u w:val="single"/>
                    </w:rPr>
                    <w:t>昼间</w:t>
                  </w:r>
                </w:p>
              </w:tc>
              <w:tc>
                <w:tcPr>
                  <w:tcW w:w="398" w:type="pct"/>
                  <w:vAlign w:val="center"/>
                </w:tcPr>
                <w:p w14:paraId="01EEE27E">
                  <w:pPr>
                    <w:pStyle w:val="63"/>
                    <w:spacing w:line="276" w:lineRule="auto"/>
                    <w:rPr>
                      <w:b/>
                      <w:szCs w:val="21"/>
                      <w:u w:val="single"/>
                    </w:rPr>
                  </w:pPr>
                  <w:r>
                    <w:rPr>
                      <w:rFonts w:hint="eastAsia"/>
                      <w:b/>
                      <w:szCs w:val="21"/>
                      <w:u w:val="single"/>
                    </w:rPr>
                    <w:t>夜间</w:t>
                  </w:r>
                </w:p>
              </w:tc>
              <w:tc>
                <w:tcPr>
                  <w:tcW w:w="531" w:type="pct"/>
                  <w:vMerge w:val="continue"/>
                  <w:vAlign w:val="center"/>
                </w:tcPr>
                <w:p w14:paraId="421DA0FF">
                  <w:pPr>
                    <w:pStyle w:val="63"/>
                    <w:spacing w:line="276" w:lineRule="auto"/>
                    <w:rPr>
                      <w:b/>
                      <w:szCs w:val="21"/>
                      <w:u w:val="single"/>
                    </w:rPr>
                  </w:pPr>
                </w:p>
              </w:tc>
              <w:tc>
                <w:tcPr>
                  <w:tcW w:w="632" w:type="pct"/>
                  <w:vMerge w:val="continue"/>
                  <w:vAlign w:val="center"/>
                </w:tcPr>
                <w:p w14:paraId="6F30AAF3">
                  <w:pPr>
                    <w:pStyle w:val="63"/>
                    <w:spacing w:line="276" w:lineRule="auto"/>
                    <w:rPr>
                      <w:b/>
                      <w:szCs w:val="21"/>
                      <w:u w:val="single"/>
                    </w:rPr>
                  </w:pPr>
                </w:p>
              </w:tc>
            </w:tr>
            <w:tr w14:paraId="41CAA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70" w:hRule="atLeast"/>
                <w:jc w:val="center"/>
              </w:trPr>
              <w:tc>
                <w:tcPr>
                  <w:tcW w:w="1055" w:type="pct"/>
                  <w:vAlign w:val="center"/>
                </w:tcPr>
                <w:p w14:paraId="4022A831">
                  <w:pPr>
                    <w:widowControl/>
                    <w:spacing w:line="276" w:lineRule="auto"/>
                    <w:jc w:val="center"/>
                    <w:rPr>
                      <w:b/>
                      <w:szCs w:val="21"/>
                      <w:u w:val="single"/>
                    </w:rPr>
                  </w:pPr>
                  <w:r>
                    <w:rPr>
                      <w:b/>
                      <w:bCs/>
                      <w:szCs w:val="21"/>
                      <w:u w:val="single"/>
                    </w:rPr>
                    <w:t>民权慧佳幼儿园</w:t>
                  </w:r>
                </w:p>
              </w:tc>
              <w:tc>
                <w:tcPr>
                  <w:tcW w:w="610" w:type="pct"/>
                  <w:vAlign w:val="center"/>
                </w:tcPr>
                <w:p w14:paraId="1EF90663">
                  <w:pPr>
                    <w:pStyle w:val="63"/>
                    <w:spacing w:line="276" w:lineRule="auto"/>
                    <w:rPr>
                      <w:b/>
                      <w:szCs w:val="21"/>
                      <w:u w:val="single"/>
                    </w:rPr>
                  </w:pPr>
                  <w:r>
                    <w:rPr>
                      <w:b/>
                      <w:szCs w:val="21"/>
                      <w:u w:val="single"/>
                    </w:rPr>
                    <w:t>28.5</w:t>
                  </w:r>
                </w:p>
              </w:tc>
              <w:tc>
                <w:tcPr>
                  <w:tcW w:w="322" w:type="pct"/>
                  <w:vAlign w:val="center"/>
                </w:tcPr>
                <w:p w14:paraId="41AC12C8">
                  <w:pPr>
                    <w:pStyle w:val="63"/>
                    <w:spacing w:line="276" w:lineRule="auto"/>
                    <w:rPr>
                      <w:b/>
                      <w:szCs w:val="21"/>
                      <w:u w:val="single"/>
                    </w:rPr>
                  </w:pPr>
                  <w:r>
                    <w:rPr>
                      <w:rFonts w:hint="eastAsia"/>
                      <w:b/>
                      <w:szCs w:val="21"/>
                      <w:u w:val="single"/>
                    </w:rPr>
                    <w:t>28.5</w:t>
                  </w:r>
                </w:p>
              </w:tc>
              <w:tc>
                <w:tcPr>
                  <w:tcW w:w="577" w:type="pct"/>
                  <w:vAlign w:val="center"/>
                </w:tcPr>
                <w:p w14:paraId="256067FE">
                  <w:pPr>
                    <w:pStyle w:val="63"/>
                    <w:spacing w:line="276" w:lineRule="auto"/>
                    <w:rPr>
                      <w:b/>
                      <w:u w:val="single"/>
                    </w:rPr>
                  </w:pPr>
                  <w:r>
                    <w:rPr>
                      <w:b/>
                      <w:u w:val="single"/>
                    </w:rPr>
                    <w:t>54</w:t>
                  </w:r>
                </w:p>
              </w:tc>
              <w:tc>
                <w:tcPr>
                  <w:tcW w:w="354" w:type="pct"/>
                  <w:vAlign w:val="center"/>
                </w:tcPr>
                <w:p w14:paraId="7C903882">
                  <w:pPr>
                    <w:pStyle w:val="63"/>
                    <w:spacing w:line="276" w:lineRule="auto"/>
                    <w:rPr>
                      <w:b/>
                      <w:u w:val="single"/>
                    </w:rPr>
                  </w:pPr>
                  <w:r>
                    <w:rPr>
                      <w:rFonts w:hint="eastAsia"/>
                      <w:b/>
                      <w:u w:val="single"/>
                    </w:rPr>
                    <w:t>43</w:t>
                  </w:r>
                </w:p>
              </w:tc>
              <w:tc>
                <w:tcPr>
                  <w:tcW w:w="521" w:type="pct"/>
                  <w:vAlign w:val="center"/>
                </w:tcPr>
                <w:p w14:paraId="198943AD">
                  <w:pPr>
                    <w:pStyle w:val="63"/>
                    <w:spacing w:line="276" w:lineRule="auto"/>
                    <w:rPr>
                      <w:b/>
                      <w:szCs w:val="21"/>
                      <w:u w:val="single"/>
                    </w:rPr>
                  </w:pPr>
                  <w:r>
                    <w:rPr>
                      <w:rFonts w:hint="eastAsia"/>
                      <w:b/>
                      <w:szCs w:val="21"/>
                      <w:u w:val="single"/>
                    </w:rPr>
                    <w:t>54</w:t>
                  </w:r>
                </w:p>
              </w:tc>
              <w:tc>
                <w:tcPr>
                  <w:tcW w:w="398" w:type="pct"/>
                  <w:vAlign w:val="center"/>
                </w:tcPr>
                <w:p w14:paraId="0AB429D4">
                  <w:pPr>
                    <w:pStyle w:val="63"/>
                    <w:spacing w:line="276" w:lineRule="auto"/>
                    <w:rPr>
                      <w:b/>
                      <w:szCs w:val="21"/>
                      <w:u w:val="single"/>
                    </w:rPr>
                  </w:pPr>
                  <w:r>
                    <w:rPr>
                      <w:rFonts w:hint="eastAsia"/>
                      <w:b/>
                      <w:szCs w:val="21"/>
                      <w:u w:val="single"/>
                    </w:rPr>
                    <w:t>43.2</w:t>
                  </w:r>
                </w:p>
              </w:tc>
              <w:tc>
                <w:tcPr>
                  <w:tcW w:w="531" w:type="pct"/>
                  <w:vAlign w:val="center"/>
                </w:tcPr>
                <w:p w14:paraId="6AA01ABA">
                  <w:pPr>
                    <w:pStyle w:val="63"/>
                    <w:spacing w:line="276" w:lineRule="auto"/>
                    <w:rPr>
                      <w:b/>
                      <w:szCs w:val="21"/>
                      <w:u w:val="single"/>
                    </w:rPr>
                  </w:pPr>
                  <w:r>
                    <w:rPr>
                      <w:b/>
                      <w:szCs w:val="21"/>
                      <w:u w:val="single"/>
                    </w:rPr>
                    <w:t>是</w:t>
                  </w:r>
                </w:p>
              </w:tc>
              <w:tc>
                <w:tcPr>
                  <w:tcW w:w="632" w:type="pct"/>
                  <w:vAlign w:val="center"/>
                </w:tcPr>
                <w:p w14:paraId="4B4FBD34">
                  <w:pPr>
                    <w:pStyle w:val="63"/>
                    <w:spacing w:line="276" w:lineRule="auto"/>
                    <w:rPr>
                      <w:b/>
                      <w:szCs w:val="21"/>
                      <w:u w:val="single"/>
                    </w:rPr>
                  </w:pPr>
                  <w:r>
                    <w:rPr>
                      <w:b/>
                      <w:szCs w:val="21"/>
                      <w:u w:val="single"/>
                    </w:rPr>
                    <w:t>昼间60</w:t>
                  </w:r>
                  <w:r>
                    <w:rPr>
                      <w:rFonts w:hint="eastAsia"/>
                      <w:b/>
                      <w:szCs w:val="21"/>
                      <w:u w:val="single"/>
                    </w:rPr>
                    <w:t>，</w:t>
                  </w:r>
                </w:p>
                <w:p w14:paraId="663EA49B">
                  <w:pPr>
                    <w:rPr>
                      <w:b/>
                      <w:u w:val="single"/>
                    </w:rPr>
                  </w:pPr>
                  <w:r>
                    <w:rPr>
                      <w:rFonts w:hint="eastAsia"/>
                      <w:b/>
                      <w:u w:val="single"/>
                    </w:rPr>
                    <w:t>夜间50</w:t>
                  </w:r>
                </w:p>
              </w:tc>
            </w:tr>
          </w:tbl>
          <w:p w14:paraId="713CC4C4">
            <w:pPr>
              <w:spacing w:line="360" w:lineRule="auto"/>
              <w:ind w:firstLine="482" w:firstLineChars="200"/>
              <w:jc w:val="left"/>
              <w:rPr>
                <w:b/>
                <w:spacing w:val="6"/>
                <w:sz w:val="24"/>
                <w:u w:val="single"/>
              </w:rPr>
            </w:pPr>
            <w:r>
              <w:rPr>
                <w:b/>
                <w:bCs/>
                <w:sz w:val="24"/>
                <w:u w:val="single"/>
              </w:rPr>
              <w:t>由预测结果</w:t>
            </w:r>
            <w:r>
              <w:rPr>
                <w:rFonts w:hint="eastAsia"/>
                <w:b/>
                <w:bCs/>
                <w:sz w:val="24"/>
                <w:u w:val="single"/>
              </w:rPr>
              <w:t>可</w:t>
            </w:r>
            <w:r>
              <w:rPr>
                <w:b/>
                <w:bCs/>
                <w:sz w:val="24"/>
                <w:u w:val="single"/>
              </w:rPr>
              <w:t>知，本项目四厂界</w:t>
            </w:r>
            <w:r>
              <w:rPr>
                <w:rFonts w:hint="eastAsia"/>
                <w:b/>
                <w:bCs/>
                <w:sz w:val="24"/>
                <w:u w:val="single"/>
              </w:rPr>
              <w:t>,</w:t>
            </w:r>
            <w:r>
              <w:rPr>
                <w:b/>
                <w:bCs/>
                <w:sz w:val="24"/>
                <w:u w:val="single"/>
              </w:rPr>
              <w:t>噪声</w:t>
            </w:r>
            <w:r>
              <w:rPr>
                <w:rFonts w:hint="eastAsia"/>
                <w:b/>
                <w:bCs/>
                <w:sz w:val="24"/>
                <w:u w:val="single"/>
              </w:rPr>
              <w:t>贡献</w:t>
            </w:r>
            <w:r>
              <w:rPr>
                <w:b/>
                <w:bCs/>
                <w:sz w:val="24"/>
                <w:u w:val="single"/>
              </w:rPr>
              <w:t>值均能满足《工业企业厂界环境噪声排放标准》（GB12348-2008）</w:t>
            </w:r>
            <w:r>
              <w:rPr>
                <w:b/>
                <w:sz w:val="24"/>
                <w:u w:val="single"/>
              </w:rPr>
              <w:t>2类</w:t>
            </w:r>
            <w:r>
              <w:rPr>
                <w:b/>
                <w:bCs/>
                <w:sz w:val="24"/>
                <w:u w:val="single"/>
              </w:rPr>
              <w:t>标准要求，</w:t>
            </w:r>
            <w:r>
              <w:rPr>
                <w:rFonts w:hint="eastAsia"/>
                <w:b/>
                <w:bCs/>
                <w:sz w:val="24"/>
                <w:u w:val="single"/>
              </w:rPr>
              <w:t>项目</w:t>
            </w:r>
            <w:r>
              <w:rPr>
                <w:b/>
                <w:bCs/>
                <w:sz w:val="24"/>
                <w:u w:val="single"/>
              </w:rPr>
              <w:t>西</w:t>
            </w:r>
            <w:r>
              <w:rPr>
                <w:rFonts w:hint="eastAsia"/>
                <w:b/>
                <w:bCs/>
                <w:sz w:val="24"/>
                <w:u w:val="single"/>
              </w:rPr>
              <w:t>侧敏感点</w:t>
            </w:r>
            <w:r>
              <w:rPr>
                <w:b/>
                <w:bCs/>
                <w:sz w:val="24"/>
                <w:u w:val="single"/>
              </w:rPr>
              <w:t>民权慧佳幼儿园噪声预测值满足</w:t>
            </w:r>
            <w:r>
              <w:rPr>
                <w:b/>
                <w:sz w:val="24"/>
                <w:u w:val="single"/>
              </w:rPr>
              <w:t>《声环境质量标准》（GB3096-2008）2类标准要求，</w:t>
            </w:r>
            <w:r>
              <w:rPr>
                <w:rFonts w:hint="eastAsia"/>
                <w:b/>
                <w:sz w:val="24"/>
                <w:u w:val="single"/>
              </w:rPr>
              <w:t>因此</w:t>
            </w:r>
            <w:r>
              <w:rPr>
                <w:b/>
                <w:bCs/>
                <w:sz w:val="24"/>
                <w:u w:val="single"/>
              </w:rPr>
              <w:t>本项目噪声对区域声环境影响较小。</w:t>
            </w:r>
          </w:p>
          <w:p w14:paraId="0759A9B2">
            <w:pPr>
              <w:spacing w:line="360" w:lineRule="auto"/>
              <w:ind w:firstLine="480" w:firstLineChars="200"/>
              <w:rPr>
                <w:sz w:val="24"/>
              </w:rPr>
            </w:pPr>
            <w:r>
              <w:rPr>
                <w:sz w:val="24"/>
              </w:rPr>
              <w:t>本项目噪声监测要求见下表。</w:t>
            </w:r>
          </w:p>
          <w:p w14:paraId="493C4DCA">
            <w:pPr>
              <w:ind w:firstLine="482" w:firstLineChars="200"/>
              <w:jc w:val="center"/>
              <w:rPr>
                <w:rFonts w:eastAsiaTheme="minorEastAsia"/>
                <w:b/>
                <w:sz w:val="24"/>
              </w:rPr>
            </w:pPr>
            <w:r>
              <w:rPr>
                <w:rFonts w:hAnsiTheme="minorEastAsia" w:eastAsiaTheme="minorEastAsia"/>
                <w:b/>
                <w:sz w:val="24"/>
              </w:rPr>
              <w:t>表</w:t>
            </w:r>
            <w:r>
              <w:rPr>
                <w:rFonts w:eastAsiaTheme="minorEastAsia"/>
                <w:b/>
                <w:sz w:val="24"/>
              </w:rPr>
              <w:t xml:space="preserve">30    </w:t>
            </w:r>
            <w:r>
              <w:rPr>
                <w:rFonts w:hAnsiTheme="minorEastAsia" w:eastAsiaTheme="minorEastAsia"/>
                <w:b/>
                <w:sz w:val="24"/>
              </w:rPr>
              <w:t>噪声监测要求一览表</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2344"/>
              <w:gridCol w:w="2585"/>
              <w:gridCol w:w="3520"/>
            </w:tblGrid>
            <w:tr w14:paraId="32414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12" w:hRule="atLeast"/>
              </w:trPr>
              <w:tc>
                <w:tcPr>
                  <w:tcW w:w="1387" w:type="pct"/>
                  <w:vAlign w:val="center"/>
                </w:tcPr>
                <w:p w14:paraId="6CD7E7EC">
                  <w:pPr>
                    <w:adjustRightInd w:val="0"/>
                    <w:snapToGrid w:val="0"/>
                    <w:jc w:val="center"/>
                    <w:rPr>
                      <w:bCs/>
                      <w:szCs w:val="21"/>
                    </w:rPr>
                  </w:pPr>
                  <w:r>
                    <w:rPr>
                      <w:bCs/>
                      <w:szCs w:val="21"/>
                    </w:rPr>
                    <w:t>监测点位</w:t>
                  </w:r>
                </w:p>
              </w:tc>
              <w:tc>
                <w:tcPr>
                  <w:tcW w:w="1530" w:type="pct"/>
                  <w:vAlign w:val="center"/>
                </w:tcPr>
                <w:p w14:paraId="6D75AC1C">
                  <w:pPr>
                    <w:adjustRightInd w:val="0"/>
                    <w:snapToGrid w:val="0"/>
                    <w:jc w:val="center"/>
                    <w:rPr>
                      <w:bCs/>
                      <w:szCs w:val="21"/>
                    </w:rPr>
                  </w:pPr>
                  <w:r>
                    <w:rPr>
                      <w:bCs/>
                      <w:szCs w:val="21"/>
                    </w:rPr>
                    <w:t>监测频次</w:t>
                  </w:r>
                </w:p>
              </w:tc>
              <w:tc>
                <w:tcPr>
                  <w:tcW w:w="2083" w:type="pct"/>
                  <w:vAlign w:val="center"/>
                </w:tcPr>
                <w:p w14:paraId="39F36ED4">
                  <w:pPr>
                    <w:adjustRightInd w:val="0"/>
                    <w:snapToGrid w:val="0"/>
                    <w:jc w:val="center"/>
                    <w:rPr>
                      <w:bCs/>
                      <w:szCs w:val="21"/>
                    </w:rPr>
                  </w:pPr>
                  <w:r>
                    <w:rPr>
                      <w:bCs/>
                      <w:szCs w:val="21"/>
                    </w:rPr>
                    <w:t>标准要求</w:t>
                  </w:r>
                </w:p>
              </w:tc>
            </w:tr>
            <w:tr w14:paraId="6B701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12" w:hRule="atLeast"/>
              </w:trPr>
              <w:tc>
                <w:tcPr>
                  <w:tcW w:w="1387" w:type="pct"/>
                  <w:vAlign w:val="center"/>
                </w:tcPr>
                <w:p w14:paraId="67AFE262">
                  <w:pPr>
                    <w:adjustRightInd w:val="0"/>
                    <w:snapToGrid w:val="0"/>
                    <w:jc w:val="center"/>
                    <w:rPr>
                      <w:bCs/>
                      <w:szCs w:val="21"/>
                    </w:rPr>
                  </w:pPr>
                  <w:r>
                    <w:rPr>
                      <w:bCs/>
                      <w:szCs w:val="21"/>
                    </w:rPr>
                    <w:t>东厂界</w:t>
                  </w:r>
                </w:p>
              </w:tc>
              <w:tc>
                <w:tcPr>
                  <w:tcW w:w="1530" w:type="pct"/>
                  <w:vMerge w:val="restart"/>
                  <w:vAlign w:val="center"/>
                </w:tcPr>
                <w:p w14:paraId="26CA783E">
                  <w:pPr>
                    <w:adjustRightInd w:val="0"/>
                    <w:snapToGrid w:val="0"/>
                    <w:jc w:val="center"/>
                    <w:rPr>
                      <w:bCs/>
                      <w:szCs w:val="21"/>
                    </w:rPr>
                  </w:pPr>
                  <w:r>
                    <w:rPr>
                      <w:rFonts w:hint="eastAsia"/>
                      <w:bCs/>
                      <w:szCs w:val="21"/>
                    </w:rPr>
                    <w:t>每季度监测1次</w:t>
                  </w:r>
                </w:p>
              </w:tc>
              <w:tc>
                <w:tcPr>
                  <w:tcW w:w="2083" w:type="pct"/>
                  <w:vMerge w:val="restart"/>
                  <w:vAlign w:val="center"/>
                </w:tcPr>
                <w:p w14:paraId="62E2E3DC">
                  <w:pPr>
                    <w:adjustRightInd w:val="0"/>
                    <w:snapToGrid w:val="0"/>
                    <w:jc w:val="center"/>
                    <w:rPr>
                      <w:bCs/>
                      <w:szCs w:val="21"/>
                    </w:rPr>
                  </w:pPr>
                  <w:r>
                    <w:rPr>
                      <w:szCs w:val="21"/>
                    </w:rPr>
                    <w:t>《工业企业厂界环境噪声排放标准》（GB12348-2008）</w:t>
                  </w:r>
                  <w:r>
                    <w:rPr>
                      <w:rFonts w:hint="eastAsia"/>
                      <w:szCs w:val="21"/>
                    </w:rPr>
                    <w:t>2类</w:t>
                  </w:r>
                  <w:r>
                    <w:rPr>
                      <w:szCs w:val="21"/>
                    </w:rPr>
                    <w:t>标准</w:t>
                  </w:r>
                </w:p>
              </w:tc>
            </w:tr>
            <w:tr w14:paraId="4BED7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12" w:hRule="atLeast"/>
              </w:trPr>
              <w:tc>
                <w:tcPr>
                  <w:tcW w:w="1387" w:type="pct"/>
                  <w:vAlign w:val="center"/>
                </w:tcPr>
                <w:p w14:paraId="0E650BC7">
                  <w:pPr>
                    <w:adjustRightInd w:val="0"/>
                    <w:snapToGrid w:val="0"/>
                    <w:jc w:val="center"/>
                    <w:rPr>
                      <w:bCs/>
                      <w:szCs w:val="21"/>
                    </w:rPr>
                  </w:pPr>
                  <w:r>
                    <w:rPr>
                      <w:bCs/>
                      <w:szCs w:val="21"/>
                    </w:rPr>
                    <w:t>南厂界</w:t>
                  </w:r>
                </w:p>
              </w:tc>
              <w:tc>
                <w:tcPr>
                  <w:tcW w:w="1530" w:type="pct"/>
                  <w:vMerge w:val="continue"/>
                  <w:vAlign w:val="center"/>
                </w:tcPr>
                <w:p w14:paraId="2894DB7D">
                  <w:pPr>
                    <w:adjustRightInd w:val="0"/>
                    <w:snapToGrid w:val="0"/>
                    <w:jc w:val="center"/>
                    <w:rPr>
                      <w:bCs/>
                      <w:szCs w:val="21"/>
                    </w:rPr>
                  </w:pPr>
                </w:p>
              </w:tc>
              <w:tc>
                <w:tcPr>
                  <w:tcW w:w="2083" w:type="pct"/>
                  <w:vMerge w:val="continue"/>
                  <w:vAlign w:val="center"/>
                </w:tcPr>
                <w:p w14:paraId="2ECF8CE5">
                  <w:pPr>
                    <w:adjustRightInd w:val="0"/>
                    <w:snapToGrid w:val="0"/>
                    <w:jc w:val="center"/>
                    <w:rPr>
                      <w:bCs/>
                      <w:szCs w:val="21"/>
                    </w:rPr>
                  </w:pPr>
                </w:p>
              </w:tc>
            </w:tr>
            <w:tr w14:paraId="47DE9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12" w:hRule="atLeast"/>
              </w:trPr>
              <w:tc>
                <w:tcPr>
                  <w:tcW w:w="1387" w:type="pct"/>
                  <w:vAlign w:val="center"/>
                </w:tcPr>
                <w:p w14:paraId="0E2F8465">
                  <w:pPr>
                    <w:adjustRightInd w:val="0"/>
                    <w:snapToGrid w:val="0"/>
                    <w:jc w:val="center"/>
                    <w:rPr>
                      <w:bCs/>
                      <w:szCs w:val="21"/>
                    </w:rPr>
                  </w:pPr>
                  <w:r>
                    <w:rPr>
                      <w:bCs/>
                      <w:szCs w:val="21"/>
                    </w:rPr>
                    <w:t>西厂界</w:t>
                  </w:r>
                </w:p>
              </w:tc>
              <w:tc>
                <w:tcPr>
                  <w:tcW w:w="1530" w:type="pct"/>
                  <w:vMerge w:val="continue"/>
                  <w:vAlign w:val="center"/>
                </w:tcPr>
                <w:p w14:paraId="1EBF37B9">
                  <w:pPr>
                    <w:adjustRightInd w:val="0"/>
                    <w:snapToGrid w:val="0"/>
                    <w:jc w:val="center"/>
                    <w:rPr>
                      <w:bCs/>
                      <w:szCs w:val="21"/>
                    </w:rPr>
                  </w:pPr>
                </w:p>
              </w:tc>
              <w:tc>
                <w:tcPr>
                  <w:tcW w:w="2083" w:type="pct"/>
                  <w:vMerge w:val="continue"/>
                  <w:vAlign w:val="center"/>
                </w:tcPr>
                <w:p w14:paraId="2F4B2E34">
                  <w:pPr>
                    <w:adjustRightInd w:val="0"/>
                    <w:snapToGrid w:val="0"/>
                    <w:jc w:val="center"/>
                    <w:rPr>
                      <w:bCs/>
                      <w:szCs w:val="21"/>
                    </w:rPr>
                  </w:pPr>
                </w:p>
              </w:tc>
            </w:tr>
            <w:tr w14:paraId="6B70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trPr>
              <w:tc>
                <w:tcPr>
                  <w:tcW w:w="1387" w:type="pct"/>
                  <w:vAlign w:val="center"/>
                </w:tcPr>
                <w:p w14:paraId="768C8506">
                  <w:pPr>
                    <w:adjustRightInd w:val="0"/>
                    <w:snapToGrid w:val="0"/>
                    <w:jc w:val="center"/>
                    <w:rPr>
                      <w:bCs/>
                      <w:szCs w:val="21"/>
                    </w:rPr>
                  </w:pPr>
                  <w:r>
                    <w:rPr>
                      <w:rFonts w:hint="eastAsia"/>
                      <w:bCs/>
                      <w:szCs w:val="21"/>
                    </w:rPr>
                    <w:t>北厂界</w:t>
                  </w:r>
                </w:p>
              </w:tc>
              <w:tc>
                <w:tcPr>
                  <w:tcW w:w="1530" w:type="pct"/>
                  <w:vMerge w:val="continue"/>
                  <w:vAlign w:val="center"/>
                </w:tcPr>
                <w:p w14:paraId="146C1B05">
                  <w:pPr>
                    <w:adjustRightInd w:val="0"/>
                    <w:snapToGrid w:val="0"/>
                    <w:jc w:val="center"/>
                    <w:rPr>
                      <w:bCs/>
                      <w:szCs w:val="21"/>
                    </w:rPr>
                  </w:pPr>
                </w:p>
              </w:tc>
              <w:tc>
                <w:tcPr>
                  <w:tcW w:w="2083" w:type="pct"/>
                  <w:vMerge w:val="continue"/>
                  <w:vAlign w:val="center"/>
                </w:tcPr>
                <w:p w14:paraId="43E7057C">
                  <w:pPr>
                    <w:adjustRightInd w:val="0"/>
                    <w:snapToGrid w:val="0"/>
                    <w:jc w:val="center"/>
                    <w:rPr>
                      <w:bCs/>
                      <w:szCs w:val="21"/>
                    </w:rPr>
                  </w:pPr>
                </w:p>
              </w:tc>
            </w:tr>
            <w:tr w14:paraId="5313A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12" w:hRule="atLeast"/>
              </w:trPr>
              <w:tc>
                <w:tcPr>
                  <w:tcW w:w="1387" w:type="pct"/>
                  <w:vAlign w:val="center"/>
                </w:tcPr>
                <w:p w14:paraId="19174AAA">
                  <w:pPr>
                    <w:adjustRightInd w:val="0"/>
                    <w:snapToGrid w:val="0"/>
                    <w:jc w:val="center"/>
                    <w:rPr>
                      <w:bCs/>
                      <w:szCs w:val="21"/>
                    </w:rPr>
                  </w:pPr>
                  <w:r>
                    <w:rPr>
                      <w:bCs/>
                      <w:szCs w:val="21"/>
                    </w:rPr>
                    <w:t>民权慧佳幼儿园</w:t>
                  </w:r>
                </w:p>
              </w:tc>
              <w:tc>
                <w:tcPr>
                  <w:tcW w:w="1530" w:type="pct"/>
                  <w:vAlign w:val="center"/>
                </w:tcPr>
                <w:p w14:paraId="0F1A0CE3">
                  <w:pPr>
                    <w:adjustRightInd w:val="0"/>
                    <w:snapToGrid w:val="0"/>
                    <w:jc w:val="center"/>
                    <w:rPr>
                      <w:bCs/>
                      <w:szCs w:val="21"/>
                    </w:rPr>
                  </w:pPr>
                  <w:r>
                    <w:rPr>
                      <w:rFonts w:hint="eastAsia"/>
                      <w:bCs/>
                      <w:szCs w:val="21"/>
                    </w:rPr>
                    <w:t>每季度监测1次</w:t>
                  </w:r>
                </w:p>
              </w:tc>
              <w:tc>
                <w:tcPr>
                  <w:tcW w:w="2083" w:type="pct"/>
                  <w:vAlign w:val="center"/>
                </w:tcPr>
                <w:p w14:paraId="0DF5EF20">
                  <w:pPr>
                    <w:adjustRightInd w:val="0"/>
                    <w:snapToGrid w:val="0"/>
                    <w:jc w:val="center"/>
                    <w:rPr>
                      <w:bCs/>
                      <w:szCs w:val="21"/>
                    </w:rPr>
                  </w:pPr>
                  <w:r>
                    <w:rPr>
                      <w:szCs w:val="21"/>
                    </w:rPr>
                    <w:t>《声环境质量标准》（GB3096-2008）2类标准</w:t>
                  </w:r>
                </w:p>
              </w:tc>
            </w:tr>
          </w:tbl>
          <w:p w14:paraId="5A9DE3E5">
            <w:pPr>
              <w:spacing w:line="360" w:lineRule="auto"/>
              <w:ind w:firstLine="482" w:firstLineChars="200"/>
              <w:jc w:val="left"/>
              <w:rPr>
                <w:sz w:val="24"/>
              </w:rPr>
            </w:pPr>
            <w:r>
              <w:rPr>
                <w:rFonts w:eastAsia="黑体"/>
                <w:b/>
                <w:sz w:val="24"/>
              </w:rPr>
              <w:t>4、固废</w:t>
            </w:r>
          </w:p>
          <w:p w14:paraId="25907A92">
            <w:pPr>
              <w:spacing w:line="348" w:lineRule="auto"/>
              <w:ind w:firstLine="504" w:firstLineChars="200"/>
              <w:rPr>
                <w:rFonts w:ascii="宋体" w:cs="宋体"/>
                <w:kern w:val="0"/>
                <w:sz w:val="24"/>
              </w:rPr>
            </w:pPr>
            <w:r>
              <w:rPr>
                <w:rFonts w:hint="eastAsia"/>
                <w:bCs/>
                <w:spacing w:val="6"/>
                <w:sz w:val="24"/>
              </w:rPr>
              <w:t>本项目营运期产生的固体废物包括</w:t>
            </w:r>
            <w:r>
              <w:rPr>
                <w:rFonts w:hint="eastAsia" w:ascii="宋体" w:cs="宋体"/>
                <w:kern w:val="0"/>
                <w:sz w:val="24"/>
              </w:rPr>
              <w:t>废包装袋、</w:t>
            </w:r>
            <w:r>
              <w:rPr>
                <w:kern w:val="0"/>
                <w:sz w:val="24"/>
              </w:rPr>
              <w:t>PE薄膜废</w:t>
            </w:r>
            <w:r>
              <w:rPr>
                <w:rFonts w:ascii="宋体" w:cs="宋体"/>
                <w:kern w:val="0"/>
                <w:sz w:val="24"/>
              </w:rPr>
              <w:t>卷筒</w:t>
            </w:r>
            <w:r>
              <w:rPr>
                <w:rFonts w:hint="eastAsia" w:ascii="宋体" w:cs="宋体"/>
                <w:kern w:val="0"/>
                <w:sz w:val="24"/>
              </w:rPr>
              <w:t>、废</w:t>
            </w:r>
            <w:r>
              <w:rPr>
                <w:rFonts w:ascii="宋体" w:cs="宋体"/>
                <w:kern w:val="0"/>
                <w:sz w:val="24"/>
              </w:rPr>
              <w:t>塑料薄膜、</w:t>
            </w:r>
            <w:r>
              <w:rPr>
                <w:rFonts w:hint="eastAsia" w:ascii="宋体" w:cs="宋体"/>
                <w:kern w:val="0"/>
                <w:sz w:val="24"/>
              </w:rPr>
              <w:t>沉淀池</w:t>
            </w:r>
            <w:r>
              <w:rPr>
                <w:rFonts w:ascii="宋体" w:cs="宋体"/>
                <w:kern w:val="0"/>
                <w:sz w:val="24"/>
              </w:rPr>
              <w:t>沉渣、</w:t>
            </w:r>
            <w:r>
              <w:rPr>
                <w:rFonts w:hint="eastAsia" w:ascii="宋体" w:cs="宋体"/>
                <w:kern w:val="0"/>
                <w:sz w:val="24"/>
              </w:rPr>
              <w:t>废活性炭、废润滑油</w:t>
            </w:r>
            <w:r>
              <w:rPr>
                <w:rFonts w:ascii="宋体" w:cs="宋体"/>
                <w:kern w:val="0"/>
                <w:sz w:val="24"/>
              </w:rPr>
              <w:t>及废</w:t>
            </w:r>
            <w:r>
              <w:rPr>
                <w:rFonts w:hint="eastAsia" w:ascii="宋体" w:cs="宋体"/>
                <w:kern w:val="0"/>
                <w:sz w:val="24"/>
              </w:rPr>
              <w:t>润滑油</w:t>
            </w:r>
            <w:r>
              <w:rPr>
                <w:rFonts w:ascii="宋体" w:cs="宋体"/>
                <w:kern w:val="0"/>
                <w:sz w:val="24"/>
              </w:rPr>
              <w:t>包装桶</w:t>
            </w:r>
            <w:r>
              <w:rPr>
                <w:rFonts w:hint="eastAsia" w:ascii="宋体" w:cs="宋体"/>
                <w:kern w:val="0"/>
                <w:sz w:val="24"/>
              </w:rPr>
              <w:t>、</w:t>
            </w:r>
            <w:r>
              <w:rPr>
                <w:rFonts w:hint="eastAsia"/>
                <w:bCs/>
                <w:sz w:val="24"/>
              </w:rPr>
              <w:t>生活垃圾。</w:t>
            </w:r>
          </w:p>
          <w:p w14:paraId="0A911D3E">
            <w:pPr>
              <w:spacing w:line="360" w:lineRule="auto"/>
              <w:ind w:firstLine="482" w:firstLineChars="200"/>
              <w:jc w:val="left"/>
              <w:rPr>
                <w:b/>
                <w:bCs/>
                <w:sz w:val="24"/>
              </w:rPr>
            </w:pPr>
            <w:r>
              <w:rPr>
                <w:rFonts w:hint="eastAsia"/>
                <w:b/>
                <w:bCs/>
                <w:sz w:val="24"/>
              </w:rPr>
              <w:t>4.1一般固废</w:t>
            </w:r>
          </w:p>
          <w:p w14:paraId="6FE7A316">
            <w:pPr>
              <w:spacing w:line="360" w:lineRule="auto"/>
              <w:ind w:firstLine="480" w:firstLineChars="200"/>
              <w:jc w:val="left"/>
              <w:rPr>
                <w:b/>
                <w:bCs/>
                <w:sz w:val="24"/>
              </w:rPr>
            </w:pPr>
            <w:r>
              <w:rPr>
                <w:rFonts w:hint="eastAsia"/>
                <w:bCs/>
                <w:sz w:val="24"/>
              </w:rPr>
              <w:t>项目一般固废主要包括</w:t>
            </w:r>
            <w:r>
              <w:rPr>
                <w:rFonts w:hint="eastAsia" w:ascii="宋体" w:cs="宋体"/>
                <w:kern w:val="0"/>
                <w:sz w:val="24"/>
              </w:rPr>
              <w:t>废包装袋、</w:t>
            </w:r>
            <w:r>
              <w:rPr>
                <w:kern w:val="0"/>
                <w:sz w:val="24"/>
              </w:rPr>
              <w:t>PE薄膜废</w:t>
            </w:r>
            <w:r>
              <w:rPr>
                <w:rFonts w:ascii="宋体" w:cs="宋体"/>
                <w:kern w:val="0"/>
                <w:sz w:val="24"/>
              </w:rPr>
              <w:t>卷筒</w:t>
            </w:r>
            <w:r>
              <w:rPr>
                <w:rFonts w:hint="eastAsia" w:ascii="宋体" w:cs="宋体"/>
                <w:kern w:val="0"/>
                <w:sz w:val="24"/>
              </w:rPr>
              <w:t>、废</w:t>
            </w:r>
            <w:r>
              <w:rPr>
                <w:rFonts w:ascii="宋体" w:cs="宋体"/>
                <w:kern w:val="0"/>
                <w:sz w:val="24"/>
              </w:rPr>
              <w:t>塑料薄膜</w:t>
            </w:r>
            <w:r>
              <w:rPr>
                <w:rFonts w:hint="eastAsia"/>
                <w:bCs/>
                <w:spacing w:val="6"/>
                <w:sz w:val="24"/>
              </w:rPr>
              <w:t>以及生活垃圾。</w:t>
            </w:r>
          </w:p>
          <w:p w14:paraId="35900FF9">
            <w:pPr>
              <w:spacing w:line="360" w:lineRule="auto"/>
              <w:ind w:firstLine="480" w:firstLineChars="200"/>
              <w:jc w:val="left"/>
              <w:rPr>
                <w:bCs/>
                <w:sz w:val="24"/>
              </w:rPr>
            </w:pPr>
            <w:r>
              <w:rPr>
                <w:rFonts w:hint="eastAsia"/>
                <w:bCs/>
                <w:sz w:val="24"/>
              </w:rPr>
              <w:t>（</w:t>
            </w:r>
            <w:r>
              <w:rPr>
                <w:bCs/>
                <w:sz w:val="24"/>
              </w:rPr>
              <w:t>1</w:t>
            </w:r>
            <w:r>
              <w:rPr>
                <w:rFonts w:hint="eastAsia"/>
                <w:bCs/>
                <w:sz w:val="24"/>
              </w:rPr>
              <w:t>）</w:t>
            </w:r>
            <w:r>
              <w:rPr>
                <w:rFonts w:hint="eastAsia" w:ascii="宋体" w:cs="宋体"/>
                <w:kern w:val="0"/>
                <w:sz w:val="24"/>
              </w:rPr>
              <w:t>废包装袋</w:t>
            </w:r>
            <w:r>
              <w:rPr>
                <w:rFonts w:hint="eastAsia"/>
                <w:sz w:val="24"/>
              </w:rPr>
              <w:t>：项目原料</w:t>
            </w:r>
            <w:r>
              <w:rPr>
                <w:sz w:val="24"/>
              </w:rPr>
              <w:t>包装采用吨包袋，共计产生废吨包袋</w:t>
            </w:r>
            <w:r>
              <w:rPr>
                <w:rFonts w:hint="eastAsia"/>
                <w:sz w:val="24"/>
              </w:rPr>
              <w:t>5</w:t>
            </w:r>
            <w:r>
              <w:rPr>
                <w:sz w:val="24"/>
              </w:rPr>
              <w:t>010</w:t>
            </w:r>
            <w:r>
              <w:rPr>
                <w:rFonts w:hint="eastAsia"/>
                <w:sz w:val="24"/>
              </w:rPr>
              <w:t>个/</w:t>
            </w:r>
            <w:r>
              <w:rPr>
                <w:sz w:val="24"/>
              </w:rPr>
              <w:t>a</w:t>
            </w:r>
            <w:r>
              <w:rPr>
                <w:rFonts w:hint="eastAsia"/>
                <w:sz w:val="24"/>
              </w:rPr>
              <w:t>，</w:t>
            </w:r>
            <w:r>
              <w:rPr>
                <w:sz w:val="24"/>
              </w:rPr>
              <w:t>单个吨包袋</w:t>
            </w:r>
            <w:r>
              <w:rPr>
                <w:rFonts w:hint="eastAsia"/>
                <w:sz w:val="24"/>
              </w:rPr>
              <w:t>重量</w:t>
            </w:r>
            <w:r>
              <w:rPr>
                <w:sz w:val="24"/>
              </w:rPr>
              <w:t>约50g</w:t>
            </w:r>
            <w:r>
              <w:rPr>
                <w:rFonts w:hint="eastAsia"/>
                <w:sz w:val="24"/>
              </w:rPr>
              <w:t>，</w:t>
            </w:r>
            <w:r>
              <w:rPr>
                <w:sz w:val="24"/>
              </w:rPr>
              <w:t>则项目废包装袋产生量为</w:t>
            </w:r>
            <w:r>
              <w:rPr>
                <w:rFonts w:hint="eastAsia"/>
                <w:sz w:val="24"/>
              </w:rPr>
              <w:t>0.2505</w:t>
            </w:r>
            <w:r>
              <w:rPr>
                <w:sz w:val="24"/>
              </w:rPr>
              <w:t>t/a</w:t>
            </w:r>
            <w:r>
              <w:rPr>
                <w:bCs/>
                <w:sz w:val="24"/>
              </w:rPr>
              <w:t>，</w:t>
            </w:r>
            <w:r>
              <w:rPr>
                <w:rFonts w:hint="eastAsia"/>
                <w:sz w:val="24"/>
              </w:rPr>
              <w:t>经收集后暂存</w:t>
            </w:r>
            <w:r>
              <w:rPr>
                <w:sz w:val="24"/>
              </w:rPr>
              <w:t>于</w:t>
            </w:r>
            <w:r>
              <w:rPr>
                <w:rFonts w:hint="eastAsia"/>
                <w:sz w:val="24"/>
              </w:rPr>
              <w:t>一般固废间</w:t>
            </w:r>
            <w:r>
              <w:rPr>
                <w:sz w:val="24"/>
              </w:rPr>
              <w:t>，</w:t>
            </w:r>
            <w:r>
              <w:rPr>
                <w:rFonts w:hint="eastAsia"/>
                <w:sz w:val="24"/>
              </w:rPr>
              <w:t>定期外售综合</w:t>
            </w:r>
            <w:r>
              <w:rPr>
                <w:sz w:val="24"/>
              </w:rPr>
              <w:t>利用</w:t>
            </w:r>
            <w:r>
              <w:rPr>
                <w:rFonts w:hint="eastAsia"/>
                <w:sz w:val="24"/>
              </w:rPr>
              <w:t>。</w:t>
            </w:r>
          </w:p>
          <w:p w14:paraId="26AD30A1">
            <w:pPr>
              <w:autoSpaceDE w:val="0"/>
              <w:autoSpaceDN w:val="0"/>
              <w:spacing w:line="360" w:lineRule="auto"/>
              <w:ind w:firstLine="480" w:firstLineChars="200"/>
              <w:jc w:val="left"/>
              <w:rPr>
                <w:sz w:val="24"/>
              </w:rPr>
            </w:pPr>
            <w:r>
              <w:rPr>
                <w:rFonts w:hint="eastAsia"/>
                <w:sz w:val="24"/>
              </w:rPr>
              <w:t>（</w:t>
            </w:r>
            <w:r>
              <w:rPr>
                <w:sz w:val="24"/>
              </w:rPr>
              <w:t>2</w:t>
            </w:r>
            <w:r>
              <w:rPr>
                <w:rFonts w:hint="eastAsia"/>
                <w:sz w:val="24"/>
              </w:rPr>
              <w:t>）</w:t>
            </w:r>
            <w:r>
              <w:rPr>
                <w:kern w:val="0"/>
                <w:sz w:val="24"/>
              </w:rPr>
              <w:t>PE薄膜废</w:t>
            </w:r>
            <w:r>
              <w:rPr>
                <w:rFonts w:ascii="宋体" w:cs="宋体"/>
                <w:kern w:val="0"/>
                <w:sz w:val="24"/>
              </w:rPr>
              <w:t>卷筒</w:t>
            </w:r>
            <w:r>
              <w:rPr>
                <w:rFonts w:hint="eastAsia"/>
                <w:sz w:val="24"/>
              </w:rPr>
              <w:t>：P</w:t>
            </w:r>
            <w:r>
              <w:rPr>
                <w:sz w:val="24"/>
              </w:rPr>
              <w:t>E</w:t>
            </w:r>
            <w:r>
              <w:rPr>
                <w:rFonts w:hint="eastAsia"/>
                <w:sz w:val="24"/>
              </w:rPr>
              <w:t>薄膜成卷</w:t>
            </w:r>
            <w:r>
              <w:rPr>
                <w:sz w:val="24"/>
              </w:rPr>
              <w:t>进</w:t>
            </w:r>
            <w:r>
              <w:rPr>
                <w:rFonts w:hint="eastAsia"/>
                <w:sz w:val="24"/>
              </w:rPr>
              <w:t>厂</w:t>
            </w:r>
            <w:r>
              <w:rPr>
                <w:sz w:val="24"/>
              </w:rPr>
              <w:t>，</w:t>
            </w:r>
            <w:r>
              <w:rPr>
                <w:rFonts w:hint="eastAsia"/>
                <w:sz w:val="24"/>
              </w:rPr>
              <w:t>包丝</w:t>
            </w:r>
            <w:r>
              <w:rPr>
                <w:sz w:val="24"/>
              </w:rPr>
              <w:t>后产生的废卷筒主要</w:t>
            </w:r>
            <w:r>
              <w:rPr>
                <w:rFonts w:hint="eastAsia"/>
                <w:sz w:val="24"/>
              </w:rPr>
              <w:t>成分是</w:t>
            </w:r>
            <w:r>
              <w:rPr>
                <w:sz w:val="24"/>
              </w:rPr>
              <w:t>纸质品，产生量约</w:t>
            </w:r>
            <w:r>
              <w:rPr>
                <w:rFonts w:hint="eastAsia"/>
                <w:sz w:val="24"/>
              </w:rPr>
              <w:t>0.0</w:t>
            </w:r>
            <w:r>
              <w:rPr>
                <w:sz w:val="24"/>
              </w:rPr>
              <w:t>01t/a</w:t>
            </w:r>
            <w:r>
              <w:rPr>
                <w:rFonts w:hint="eastAsia"/>
                <w:bCs/>
                <w:sz w:val="24"/>
              </w:rPr>
              <w:t>，</w:t>
            </w:r>
            <w:r>
              <w:rPr>
                <w:rFonts w:hint="eastAsia"/>
                <w:sz w:val="24"/>
              </w:rPr>
              <w:t>经收集后暂存</w:t>
            </w:r>
            <w:r>
              <w:rPr>
                <w:sz w:val="24"/>
              </w:rPr>
              <w:t>于</w:t>
            </w:r>
            <w:r>
              <w:rPr>
                <w:rFonts w:hint="eastAsia"/>
                <w:sz w:val="24"/>
              </w:rPr>
              <w:t>一般固废间</w:t>
            </w:r>
            <w:r>
              <w:rPr>
                <w:sz w:val="24"/>
              </w:rPr>
              <w:t>，</w:t>
            </w:r>
            <w:r>
              <w:rPr>
                <w:rFonts w:hint="eastAsia"/>
                <w:sz w:val="24"/>
              </w:rPr>
              <w:t>定期外售综合</w:t>
            </w:r>
            <w:r>
              <w:rPr>
                <w:sz w:val="24"/>
              </w:rPr>
              <w:t>利用</w:t>
            </w:r>
            <w:r>
              <w:rPr>
                <w:rFonts w:hint="eastAsia"/>
                <w:sz w:val="24"/>
              </w:rPr>
              <w:t>。</w:t>
            </w:r>
          </w:p>
          <w:p w14:paraId="709BA95E">
            <w:pPr>
              <w:spacing w:line="360" w:lineRule="auto"/>
              <w:ind w:firstLine="480" w:firstLineChars="200"/>
              <w:jc w:val="left"/>
              <w:rPr>
                <w:bCs/>
                <w:sz w:val="24"/>
              </w:rPr>
            </w:pPr>
            <w:r>
              <w:rPr>
                <w:rFonts w:hint="eastAsia"/>
                <w:bCs/>
                <w:sz w:val="24"/>
              </w:rPr>
              <w:t>（3）</w:t>
            </w:r>
            <w:r>
              <w:rPr>
                <w:rFonts w:hint="eastAsia" w:ascii="宋体" w:cs="宋体"/>
                <w:kern w:val="0"/>
                <w:sz w:val="24"/>
              </w:rPr>
              <w:t>废</w:t>
            </w:r>
            <w:r>
              <w:rPr>
                <w:rFonts w:ascii="宋体" w:cs="宋体"/>
                <w:kern w:val="0"/>
                <w:sz w:val="24"/>
              </w:rPr>
              <w:t>塑料薄膜</w:t>
            </w:r>
            <w:r>
              <w:rPr>
                <w:rFonts w:hint="eastAsia"/>
                <w:bCs/>
                <w:sz w:val="24"/>
              </w:rPr>
              <w:t>：晾晒工序</w:t>
            </w:r>
            <w:r>
              <w:rPr>
                <w:bCs/>
                <w:sz w:val="24"/>
              </w:rPr>
              <w:t>需拆除包丝用的塑料薄膜，产生量约</w:t>
            </w:r>
            <w:r>
              <w:rPr>
                <w:rFonts w:hint="eastAsia"/>
                <w:bCs/>
                <w:sz w:val="24"/>
              </w:rPr>
              <w:t>0.4</w:t>
            </w:r>
            <w:r>
              <w:rPr>
                <w:bCs/>
                <w:sz w:val="24"/>
              </w:rPr>
              <w:t>t/a</w:t>
            </w:r>
            <w:r>
              <w:rPr>
                <w:rFonts w:hint="eastAsia"/>
                <w:bCs/>
                <w:sz w:val="24"/>
              </w:rPr>
              <w:t>，</w:t>
            </w:r>
            <w:r>
              <w:rPr>
                <w:rFonts w:hint="eastAsia"/>
                <w:sz w:val="24"/>
              </w:rPr>
              <w:t>经收集后暂存</w:t>
            </w:r>
            <w:r>
              <w:rPr>
                <w:sz w:val="24"/>
              </w:rPr>
              <w:t>于</w:t>
            </w:r>
            <w:r>
              <w:rPr>
                <w:rFonts w:hint="eastAsia"/>
                <w:sz w:val="24"/>
              </w:rPr>
              <w:t>一般固废间</w:t>
            </w:r>
            <w:r>
              <w:rPr>
                <w:sz w:val="24"/>
              </w:rPr>
              <w:t>，</w:t>
            </w:r>
            <w:r>
              <w:rPr>
                <w:bCs/>
                <w:sz w:val="24"/>
              </w:rPr>
              <w:t>定期外售综合利用</w:t>
            </w:r>
            <w:r>
              <w:rPr>
                <w:rFonts w:hint="eastAsia"/>
                <w:bCs/>
                <w:sz w:val="24"/>
              </w:rPr>
              <w:t>。</w:t>
            </w:r>
          </w:p>
          <w:p w14:paraId="42CABFD9">
            <w:pPr>
              <w:spacing w:line="360" w:lineRule="auto"/>
              <w:ind w:firstLine="480" w:firstLineChars="200"/>
              <w:jc w:val="left"/>
              <w:rPr>
                <w:bCs/>
                <w:sz w:val="24"/>
              </w:rPr>
            </w:pPr>
            <w:r>
              <w:rPr>
                <w:rFonts w:hint="eastAsia"/>
                <w:bCs/>
                <w:sz w:val="24"/>
              </w:rPr>
              <w:t>（</w:t>
            </w:r>
            <w:r>
              <w:rPr>
                <w:bCs/>
                <w:sz w:val="24"/>
              </w:rPr>
              <w:t>4</w:t>
            </w:r>
            <w:r>
              <w:rPr>
                <w:rFonts w:hint="eastAsia"/>
                <w:bCs/>
                <w:sz w:val="24"/>
              </w:rPr>
              <w:t>）</w:t>
            </w:r>
            <w:r>
              <w:rPr>
                <w:rFonts w:hint="eastAsia" w:ascii="宋体" w:cs="宋体"/>
                <w:kern w:val="0"/>
                <w:sz w:val="24"/>
              </w:rPr>
              <w:t>沉淀池沉渣</w:t>
            </w:r>
            <w:r>
              <w:rPr>
                <w:rFonts w:hint="eastAsia"/>
                <w:bCs/>
                <w:sz w:val="24"/>
              </w:rPr>
              <w:t>：沉淀池每</w:t>
            </w:r>
            <w:r>
              <w:rPr>
                <w:bCs/>
                <w:sz w:val="24"/>
              </w:rPr>
              <w:t>三天清理一次</w:t>
            </w:r>
            <w:r>
              <w:rPr>
                <w:rFonts w:hint="eastAsia"/>
                <w:bCs/>
                <w:sz w:val="24"/>
              </w:rPr>
              <w:t>沉</w:t>
            </w:r>
            <w:r>
              <w:rPr>
                <w:bCs/>
                <w:sz w:val="24"/>
              </w:rPr>
              <w:t>渣</w:t>
            </w:r>
            <w:r>
              <w:rPr>
                <w:rFonts w:hint="eastAsia"/>
                <w:bCs/>
                <w:sz w:val="24"/>
              </w:rPr>
              <w:t>，</w:t>
            </w:r>
            <w:r>
              <w:rPr>
                <w:bCs/>
                <w:sz w:val="24"/>
              </w:rPr>
              <w:t>沉渣主要成分为</w:t>
            </w:r>
            <w:r>
              <w:rPr>
                <w:rFonts w:hint="eastAsia"/>
                <w:bCs/>
                <w:sz w:val="24"/>
              </w:rPr>
              <w:t>磨尖</w:t>
            </w:r>
            <w:r>
              <w:rPr>
                <w:bCs/>
                <w:sz w:val="24"/>
              </w:rPr>
              <w:t>过程中产生的废塑料碎屑，碎屑共计</w:t>
            </w:r>
            <w:r>
              <w:rPr>
                <w:rFonts w:hint="eastAsia"/>
                <w:bCs/>
                <w:sz w:val="24"/>
              </w:rPr>
              <w:t>25</w:t>
            </w:r>
            <w:r>
              <w:rPr>
                <w:bCs/>
                <w:sz w:val="24"/>
              </w:rPr>
              <w:t>t/a</w:t>
            </w:r>
            <w:r>
              <w:rPr>
                <w:rFonts w:hint="eastAsia"/>
                <w:bCs/>
                <w:sz w:val="24"/>
              </w:rPr>
              <w:t>（干份</w:t>
            </w:r>
            <w:r>
              <w:rPr>
                <w:bCs/>
                <w:sz w:val="24"/>
              </w:rPr>
              <w:t>）</w:t>
            </w:r>
            <w:r>
              <w:rPr>
                <w:rFonts w:hint="eastAsia"/>
                <w:bCs/>
                <w:sz w:val="24"/>
              </w:rPr>
              <w:t>，</w:t>
            </w:r>
            <w:r>
              <w:rPr>
                <w:bCs/>
                <w:sz w:val="24"/>
              </w:rPr>
              <w:t>与</w:t>
            </w:r>
            <w:r>
              <w:rPr>
                <w:rFonts w:hint="eastAsia"/>
                <w:bCs/>
                <w:sz w:val="24"/>
              </w:rPr>
              <w:t>废水</w:t>
            </w:r>
            <w:r>
              <w:rPr>
                <w:bCs/>
                <w:sz w:val="24"/>
              </w:rPr>
              <w:t>一起去下游北关镇污水处理厂的量为</w:t>
            </w:r>
            <w:r>
              <w:rPr>
                <w:rFonts w:hint="eastAsia"/>
                <w:bCs/>
                <w:sz w:val="24"/>
              </w:rPr>
              <w:t>0.415</w:t>
            </w:r>
            <w:r>
              <w:rPr>
                <w:bCs/>
                <w:sz w:val="24"/>
              </w:rPr>
              <w:t>t/a，</w:t>
            </w:r>
            <w:r>
              <w:rPr>
                <w:rFonts w:hint="eastAsia"/>
                <w:bCs/>
                <w:sz w:val="24"/>
              </w:rPr>
              <w:t>则</w:t>
            </w:r>
            <w:r>
              <w:rPr>
                <w:bCs/>
                <w:sz w:val="24"/>
              </w:rPr>
              <w:t>沉渣干份</w:t>
            </w:r>
            <w:r>
              <w:rPr>
                <w:rFonts w:hint="eastAsia"/>
                <w:bCs/>
                <w:sz w:val="24"/>
              </w:rPr>
              <w:t>重量</w:t>
            </w:r>
            <w:r>
              <w:rPr>
                <w:bCs/>
                <w:sz w:val="24"/>
              </w:rPr>
              <w:t>约</w:t>
            </w:r>
            <w:r>
              <w:rPr>
                <w:rFonts w:hint="eastAsia"/>
                <w:bCs/>
                <w:sz w:val="24"/>
              </w:rPr>
              <w:t>24.585</w:t>
            </w:r>
            <w:r>
              <w:rPr>
                <w:bCs/>
                <w:sz w:val="24"/>
              </w:rPr>
              <w:t>t/a</w:t>
            </w:r>
            <w:r>
              <w:rPr>
                <w:rFonts w:hint="eastAsia"/>
                <w:bCs/>
                <w:sz w:val="24"/>
              </w:rPr>
              <w:t>，</w:t>
            </w:r>
            <w:r>
              <w:rPr>
                <w:bCs/>
                <w:sz w:val="24"/>
              </w:rPr>
              <w:t>沉渣经压滤后含</w:t>
            </w:r>
            <w:r>
              <w:rPr>
                <w:rFonts w:hint="eastAsia"/>
                <w:bCs/>
                <w:sz w:val="24"/>
              </w:rPr>
              <w:t>有</w:t>
            </w:r>
            <w:r>
              <w:rPr>
                <w:bCs/>
                <w:sz w:val="24"/>
              </w:rPr>
              <w:t>一</w:t>
            </w:r>
            <w:r>
              <w:rPr>
                <w:rFonts w:hint="eastAsia"/>
                <w:bCs/>
                <w:sz w:val="24"/>
              </w:rPr>
              <w:t>定量</w:t>
            </w:r>
            <w:r>
              <w:rPr>
                <w:bCs/>
                <w:sz w:val="24"/>
              </w:rPr>
              <w:t>的水分，</w:t>
            </w:r>
            <w:r>
              <w:rPr>
                <w:rFonts w:hint="eastAsia"/>
                <w:bCs/>
                <w:sz w:val="24"/>
              </w:rPr>
              <w:t>湿沉渣</w:t>
            </w:r>
            <w:r>
              <w:rPr>
                <w:bCs/>
                <w:sz w:val="24"/>
              </w:rPr>
              <w:t>产生量共计</w:t>
            </w:r>
            <w:r>
              <w:rPr>
                <w:rFonts w:hint="eastAsia"/>
                <w:bCs/>
                <w:sz w:val="24"/>
              </w:rPr>
              <w:t>42.585</w:t>
            </w:r>
            <w:r>
              <w:rPr>
                <w:bCs/>
                <w:sz w:val="24"/>
              </w:rPr>
              <w:t>t/a</w:t>
            </w:r>
            <w:r>
              <w:rPr>
                <w:rFonts w:hint="eastAsia"/>
                <w:bCs/>
                <w:sz w:val="24"/>
              </w:rPr>
              <w:t>，</w:t>
            </w:r>
            <w:r>
              <w:rPr>
                <w:rFonts w:hint="eastAsia"/>
                <w:sz w:val="24"/>
              </w:rPr>
              <w:t>经收集后暂存</w:t>
            </w:r>
            <w:r>
              <w:rPr>
                <w:sz w:val="24"/>
              </w:rPr>
              <w:t>于</w:t>
            </w:r>
            <w:r>
              <w:rPr>
                <w:rFonts w:hint="eastAsia"/>
                <w:sz w:val="24"/>
              </w:rPr>
              <w:t>一般固废间</w:t>
            </w:r>
            <w:r>
              <w:rPr>
                <w:sz w:val="24"/>
              </w:rPr>
              <w:t>，</w:t>
            </w:r>
            <w:r>
              <w:rPr>
                <w:bCs/>
                <w:sz w:val="24"/>
              </w:rPr>
              <w:t>定期外售综合利用</w:t>
            </w:r>
            <w:r>
              <w:rPr>
                <w:rFonts w:hint="eastAsia"/>
                <w:bCs/>
                <w:sz w:val="24"/>
              </w:rPr>
              <w:t>。</w:t>
            </w:r>
          </w:p>
          <w:p w14:paraId="31C9A72E">
            <w:pPr>
              <w:spacing w:line="360" w:lineRule="auto"/>
              <w:ind w:firstLine="480" w:firstLineChars="200"/>
              <w:jc w:val="left"/>
              <w:rPr>
                <w:sz w:val="24"/>
              </w:rPr>
            </w:pPr>
            <w:r>
              <w:rPr>
                <w:rFonts w:hint="eastAsia"/>
                <w:bCs/>
                <w:sz w:val="24"/>
              </w:rPr>
              <w:t>（</w:t>
            </w:r>
            <w:r>
              <w:rPr>
                <w:bCs/>
                <w:sz w:val="24"/>
              </w:rPr>
              <w:t>5</w:t>
            </w:r>
            <w:r>
              <w:rPr>
                <w:rFonts w:hint="eastAsia"/>
                <w:bCs/>
                <w:sz w:val="24"/>
              </w:rPr>
              <w:t>）</w:t>
            </w:r>
            <w:r>
              <w:rPr>
                <w:rFonts w:hint="eastAsia"/>
                <w:sz w:val="24"/>
              </w:rPr>
              <w:t>生活垃圾：本项目劳动定员50人，年工作时间为300</w:t>
            </w:r>
            <w:r>
              <w:rPr>
                <w:sz w:val="24"/>
              </w:rPr>
              <w:t>d</w:t>
            </w:r>
            <w:r>
              <w:rPr>
                <w:rFonts w:hint="eastAsia"/>
                <w:sz w:val="24"/>
              </w:rPr>
              <w:t>，生活垃圾产生量按</w:t>
            </w:r>
            <w:r>
              <w:rPr>
                <w:sz w:val="24"/>
              </w:rPr>
              <w:t>0.5kg/</w:t>
            </w:r>
            <w:r>
              <w:rPr>
                <w:rFonts w:hint="eastAsia"/>
                <w:sz w:val="24"/>
              </w:rPr>
              <w:t>（人</w:t>
            </w:r>
            <w:r>
              <w:rPr>
                <w:sz w:val="24"/>
              </w:rPr>
              <w:t>•d</w:t>
            </w:r>
            <w:r>
              <w:rPr>
                <w:rFonts w:hint="eastAsia"/>
                <w:sz w:val="24"/>
              </w:rPr>
              <w:t>）计，则生活垃圾产生量为</w:t>
            </w:r>
            <w:r>
              <w:rPr>
                <w:sz w:val="24"/>
              </w:rPr>
              <w:t>7.5t/a</w:t>
            </w:r>
            <w:r>
              <w:rPr>
                <w:rFonts w:hint="eastAsia"/>
                <w:sz w:val="24"/>
              </w:rPr>
              <w:t>。生活垃圾在厂内垃圾箱暂存，定期交由环卫部门统一处理。</w:t>
            </w:r>
          </w:p>
          <w:p w14:paraId="5A0A4B41">
            <w:pPr>
              <w:spacing w:line="360" w:lineRule="auto"/>
              <w:ind w:firstLine="482" w:firstLineChars="200"/>
              <w:jc w:val="left"/>
              <w:rPr>
                <w:b/>
                <w:bCs/>
                <w:sz w:val="24"/>
              </w:rPr>
            </w:pPr>
            <w:r>
              <w:rPr>
                <w:rFonts w:hint="eastAsia"/>
                <w:b/>
                <w:bCs/>
                <w:sz w:val="24"/>
              </w:rPr>
              <w:t>4.2危险废物</w:t>
            </w:r>
          </w:p>
          <w:p w14:paraId="35D410DD">
            <w:pPr>
              <w:spacing w:line="348" w:lineRule="auto"/>
              <w:ind w:firstLine="480" w:firstLineChars="200"/>
              <w:rPr>
                <w:rFonts w:ascii="宋体" w:cs="宋体"/>
                <w:kern w:val="0"/>
                <w:sz w:val="24"/>
              </w:rPr>
            </w:pPr>
            <w:r>
              <w:rPr>
                <w:rFonts w:hint="eastAsia"/>
                <w:bCs/>
                <w:sz w:val="24"/>
              </w:rPr>
              <w:t>项目危险废物为</w:t>
            </w:r>
            <w:r>
              <w:rPr>
                <w:rFonts w:hint="eastAsia" w:ascii="宋体" w:cs="宋体"/>
                <w:kern w:val="0"/>
                <w:sz w:val="24"/>
              </w:rPr>
              <w:t>废活性炭、废润滑油及废润滑油包装桶</w:t>
            </w:r>
            <w:r>
              <w:rPr>
                <w:rFonts w:hint="eastAsia"/>
                <w:bCs/>
                <w:sz w:val="24"/>
              </w:rPr>
              <w:t>。</w:t>
            </w:r>
          </w:p>
          <w:p w14:paraId="19DF7D66">
            <w:pPr>
              <w:spacing w:line="360" w:lineRule="auto"/>
              <w:ind w:firstLine="480" w:firstLineChars="200"/>
              <w:rPr>
                <w:kern w:val="0"/>
                <w:sz w:val="24"/>
              </w:rPr>
            </w:pPr>
            <w:r>
              <w:rPr>
                <w:bCs/>
                <w:sz w:val="24"/>
              </w:rPr>
              <w:t>（1）</w:t>
            </w:r>
            <w:r>
              <w:rPr>
                <w:rFonts w:hint="eastAsia"/>
                <w:kern w:val="0"/>
                <w:sz w:val="24"/>
              </w:rPr>
              <w:t>废活性炭</w:t>
            </w:r>
          </w:p>
          <w:p w14:paraId="6361B92E">
            <w:pPr>
              <w:spacing w:line="360" w:lineRule="auto"/>
              <w:ind w:firstLine="504" w:firstLineChars="200"/>
              <w:rPr>
                <w:rFonts w:ascii="宋体" w:cs="宋体"/>
                <w:kern w:val="0"/>
                <w:sz w:val="24"/>
              </w:rPr>
            </w:pPr>
            <w:r>
              <w:rPr>
                <w:rFonts w:hint="eastAsia"/>
                <w:bCs/>
                <w:spacing w:val="6"/>
                <w:sz w:val="24"/>
              </w:rPr>
              <w:t>项目设置</w:t>
            </w:r>
            <w:r>
              <w:rPr>
                <w:bCs/>
                <w:spacing w:val="6"/>
                <w:sz w:val="24"/>
              </w:rPr>
              <w:t>1套</w:t>
            </w:r>
            <w:r>
              <w:rPr>
                <w:rFonts w:hint="eastAsia"/>
                <w:bCs/>
                <w:spacing w:val="6"/>
                <w:sz w:val="24"/>
              </w:rPr>
              <w:t>两级活性炭吸附</w:t>
            </w:r>
            <w:r>
              <w:rPr>
                <w:rFonts w:hint="eastAsia"/>
                <w:color w:val="000000"/>
                <w:sz w:val="24"/>
              </w:rPr>
              <w:t>装置</w:t>
            </w:r>
            <w:r>
              <w:rPr>
                <w:bCs/>
                <w:spacing w:val="6"/>
                <w:sz w:val="24"/>
              </w:rPr>
              <w:t>对</w:t>
            </w:r>
            <w:r>
              <w:rPr>
                <w:rFonts w:hint="eastAsia"/>
                <w:bCs/>
                <w:spacing w:val="6"/>
                <w:sz w:val="24"/>
              </w:rPr>
              <w:t>非甲烷总烃</w:t>
            </w:r>
            <w:r>
              <w:rPr>
                <w:bCs/>
                <w:spacing w:val="6"/>
                <w:sz w:val="24"/>
              </w:rPr>
              <w:t>废气进行处理</w:t>
            </w:r>
            <w:r>
              <w:rPr>
                <w:rFonts w:hint="eastAsia"/>
                <w:bCs/>
                <w:spacing w:val="6"/>
                <w:sz w:val="24"/>
              </w:rPr>
              <w:t>。有机</w:t>
            </w:r>
            <w:r>
              <w:rPr>
                <w:bCs/>
                <w:spacing w:val="6"/>
                <w:sz w:val="24"/>
              </w:rPr>
              <w:t>废气</w:t>
            </w:r>
            <w:r>
              <w:rPr>
                <w:rFonts w:hint="eastAsia"/>
                <w:bCs/>
                <w:spacing w:val="6"/>
                <w:sz w:val="24"/>
              </w:rPr>
              <w:t>处理</w:t>
            </w:r>
            <w:r>
              <w:rPr>
                <w:bCs/>
                <w:spacing w:val="6"/>
                <w:sz w:val="24"/>
              </w:rPr>
              <w:t>装置配套</w:t>
            </w:r>
            <w:r>
              <w:rPr>
                <w:rFonts w:hint="eastAsia"/>
                <w:bCs/>
                <w:spacing w:val="6"/>
                <w:sz w:val="24"/>
              </w:rPr>
              <w:t>2</w:t>
            </w:r>
            <w:r>
              <w:rPr>
                <w:bCs/>
                <w:spacing w:val="6"/>
                <w:sz w:val="24"/>
              </w:rPr>
              <w:t>个活性炭吸附箱</w:t>
            </w:r>
            <w:r>
              <w:rPr>
                <w:rFonts w:hint="eastAsia"/>
                <w:bCs/>
                <w:spacing w:val="6"/>
                <w:sz w:val="24"/>
              </w:rPr>
              <w:t>（</w:t>
            </w:r>
            <w:r>
              <w:rPr>
                <w:bCs/>
                <w:color w:val="000000"/>
                <w:sz w:val="24"/>
              </w:rPr>
              <w:t>填充量与每小时处理废气量体积之比</w:t>
            </w:r>
            <w:r>
              <w:rPr>
                <w:rFonts w:hint="eastAsia"/>
                <w:bCs/>
                <w:color w:val="000000"/>
                <w:sz w:val="24"/>
              </w:rPr>
              <w:t>=</w:t>
            </w:r>
            <w:r>
              <w:rPr>
                <w:color w:val="000000"/>
                <w:sz w:val="24"/>
              </w:rPr>
              <w:t>1:7000</w:t>
            </w:r>
            <w:r>
              <w:rPr>
                <w:bCs/>
                <w:spacing w:val="6"/>
                <w:sz w:val="24"/>
              </w:rPr>
              <w:t>），</w:t>
            </w:r>
            <w:r>
              <w:rPr>
                <w:rFonts w:hint="eastAsia"/>
                <w:bCs/>
                <w:spacing w:val="6"/>
                <w:sz w:val="24"/>
              </w:rPr>
              <w:t>理论合计活性炭</w:t>
            </w:r>
            <w:r>
              <w:rPr>
                <w:bCs/>
                <w:spacing w:val="6"/>
                <w:sz w:val="24"/>
              </w:rPr>
              <w:t>填充量为2.29m</w:t>
            </w:r>
            <w:r>
              <w:rPr>
                <w:bCs/>
                <w:spacing w:val="6"/>
                <w:sz w:val="24"/>
                <w:vertAlign w:val="superscript"/>
              </w:rPr>
              <w:t>3</w:t>
            </w:r>
            <w:r>
              <w:rPr>
                <w:bCs/>
                <w:spacing w:val="6"/>
                <w:sz w:val="24"/>
              </w:rPr>
              <w:t>，</w:t>
            </w:r>
            <w:r>
              <w:rPr>
                <w:rFonts w:hint="eastAsia"/>
                <w:bCs/>
                <w:spacing w:val="6"/>
                <w:sz w:val="24"/>
              </w:rPr>
              <w:t>实际企业设计的活性炭填充量为</w:t>
            </w:r>
            <w:r>
              <w:rPr>
                <w:bCs/>
                <w:spacing w:val="6"/>
                <w:sz w:val="24"/>
              </w:rPr>
              <w:t>3m</w:t>
            </w:r>
            <w:r>
              <w:rPr>
                <w:bCs/>
                <w:spacing w:val="6"/>
                <w:sz w:val="24"/>
                <w:vertAlign w:val="superscript"/>
              </w:rPr>
              <w:t>3</w:t>
            </w:r>
            <w:r>
              <w:rPr>
                <w:rFonts w:hint="eastAsia"/>
                <w:bCs/>
                <w:spacing w:val="6"/>
                <w:sz w:val="24"/>
              </w:rPr>
              <w:t>，</w:t>
            </w:r>
            <w:r>
              <w:rPr>
                <w:bCs/>
                <w:spacing w:val="6"/>
                <w:sz w:val="24"/>
              </w:rPr>
              <w:t>活性炭</w:t>
            </w:r>
            <w:r>
              <w:rPr>
                <w:rFonts w:hint="eastAsia"/>
                <w:bCs/>
                <w:spacing w:val="6"/>
                <w:sz w:val="24"/>
              </w:rPr>
              <w:t>密度</w:t>
            </w:r>
            <w:r>
              <w:rPr>
                <w:bCs/>
                <w:spacing w:val="6"/>
                <w:sz w:val="24"/>
              </w:rPr>
              <w:t>按0.5g/cm</w:t>
            </w:r>
            <w:r>
              <w:rPr>
                <w:bCs/>
                <w:spacing w:val="6"/>
                <w:sz w:val="24"/>
                <w:vertAlign w:val="superscript"/>
              </w:rPr>
              <w:t>3</w:t>
            </w:r>
            <w:r>
              <w:rPr>
                <w:bCs/>
                <w:spacing w:val="6"/>
                <w:sz w:val="24"/>
              </w:rPr>
              <w:t>计，</w:t>
            </w:r>
            <w:r>
              <w:rPr>
                <w:rFonts w:hint="eastAsia"/>
                <w:bCs/>
                <w:spacing w:val="6"/>
                <w:sz w:val="24"/>
              </w:rPr>
              <w:t>2</w:t>
            </w:r>
            <w:r>
              <w:rPr>
                <w:bCs/>
                <w:spacing w:val="6"/>
                <w:sz w:val="24"/>
              </w:rPr>
              <w:t>个活性炭吸附箱</w:t>
            </w:r>
            <w:r>
              <w:rPr>
                <w:rFonts w:hint="eastAsia"/>
                <w:bCs/>
                <w:spacing w:val="6"/>
                <w:sz w:val="24"/>
              </w:rPr>
              <w:t>合计活性炭重量</w:t>
            </w:r>
            <w:r>
              <w:rPr>
                <w:bCs/>
                <w:spacing w:val="6"/>
                <w:sz w:val="24"/>
              </w:rPr>
              <w:t>为1.5t，</w:t>
            </w:r>
            <w:r>
              <w:rPr>
                <w:rFonts w:hint="eastAsia"/>
                <w:bCs/>
                <w:spacing w:val="6"/>
                <w:sz w:val="24"/>
              </w:rPr>
              <w:t>企业</w:t>
            </w:r>
            <w:r>
              <w:rPr>
                <w:bCs/>
                <w:spacing w:val="6"/>
                <w:sz w:val="24"/>
              </w:rPr>
              <w:t>为保障</w:t>
            </w:r>
            <w:r>
              <w:rPr>
                <w:rFonts w:hint="eastAsia"/>
                <w:bCs/>
                <w:spacing w:val="6"/>
                <w:sz w:val="24"/>
              </w:rPr>
              <w:t>活性炭</w:t>
            </w:r>
            <w:r>
              <w:rPr>
                <w:bCs/>
                <w:spacing w:val="6"/>
                <w:sz w:val="24"/>
              </w:rPr>
              <w:t>吸附效率，拟每年更换</w:t>
            </w:r>
            <w:r>
              <w:rPr>
                <w:rFonts w:hint="eastAsia"/>
                <w:bCs/>
                <w:spacing w:val="6"/>
                <w:sz w:val="24"/>
              </w:rPr>
              <w:t>四</w:t>
            </w:r>
            <w:r>
              <w:rPr>
                <w:bCs/>
                <w:spacing w:val="6"/>
                <w:sz w:val="24"/>
              </w:rPr>
              <w:t>次活性炭，</w:t>
            </w:r>
            <w:r>
              <w:rPr>
                <w:rFonts w:hint="eastAsia"/>
                <w:bCs/>
                <w:spacing w:val="6"/>
                <w:sz w:val="24"/>
              </w:rPr>
              <w:t>活性炭</w:t>
            </w:r>
            <w:r>
              <w:rPr>
                <w:bCs/>
                <w:spacing w:val="6"/>
                <w:sz w:val="24"/>
              </w:rPr>
              <w:t>吸附的有机废气量为1.3415t/a</w:t>
            </w:r>
            <w:r>
              <w:rPr>
                <w:rFonts w:hint="eastAsia"/>
                <w:bCs/>
                <w:spacing w:val="6"/>
                <w:sz w:val="24"/>
              </w:rPr>
              <w:t>，</w:t>
            </w:r>
            <w:r>
              <w:rPr>
                <w:bCs/>
                <w:spacing w:val="6"/>
                <w:sz w:val="24"/>
              </w:rPr>
              <w:t>则废活性炭产生量为7.3415t/a</w:t>
            </w:r>
            <w:r>
              <w:rPr>
                <w:rFonts w:hint="eastAsia"/>
                <w:bCs/>
                <w:spacing w:val="6"/>
                <w:sz w:val="24"/>
              </w:rPr>
              <w:t>。</w:t>
            </w:r>
            <w:r>
              <w:rPr>
                <w:kern w:val="0"/>
                <w:sz w:val="24"/>
              </w:rPr>
              <w:t>经查阅《国家危险废物名录》（202</w:t>
            </w:r>
            <w:r>
              <w:rPr>
                <w:rFonts w:hint="eastAsia"/>
                <w:kern w:val="0"/>
                <w:sz w:val="24"/>
              </w:rPr>
              <w:t>5</w:t>
            </w:r>
            <w:r>
              <w:rPr>
                <w:kern w:val="0"/>
                <w:sz w:val="24"/>
              </w:rPr>
              <w:t>年版），废活性炭属于危险废物</w:t>
            </w:r>
            <w:r>
              <w:rPr>
                <w:rFonts w:hint="eastAsia"/>
                <w:kern w:val="0"/>
                <w:sz w:val="24"/>
              </w:rPr>
              <w:t>，</w:t>
            </w:r>
            <w:r>
              <w:rPr>
                <w:bCs/>
                <w:sz w:val="24"/>
              </w:rPr>
              <w:t>废物类别为HW49其他废物，废物代码为900-039-49（</w:t>
            </w:r>
            <w:r>
              <w:rPr>
                <w:rFonts w:hint="eastAsia"/>
                <w:bCs/>
                <w:sz w:val="24"/>
              </w:rPr>
              <w:t>烟气、VOCs治理过程（不包括餐饮行业油烟治理过程）产生的废活性炭</w:t>
            </w:r>
            <w:r>
              <w:rPr>
                <w:bCs/>
                <w:sz w:val="24"/>
              </w:rPr>
              <w:t>），</w:t>
            </w:r>
            <w:r>
              <w:rPr>
                <w:kern w:val="0"/>
                <w:sz w:val="24"/>
              </w:rPr>
              <w:t>危险特性为T，</w:t>
            </w:r>
            <w:r>
              <w:rPr>
                <w:rFonts w:hint="eastAsia"/>
                <w:bCs/>
                <w:spacing w:val="6"/>
                <w:sz w:val="24"/>
              </w:rPr>
              <w:t>评价要求废活性炭使用密闭容器进行包装后封口暂存于危废暂存间内，定期委托有资质单位进行安全处置。</w:t>
            </w:r>
          </w:p>
          <w:p w14:paraId="76BB85BE">
            <w:pPr>
              <w:spacing w:line="360" w:lineRule="auto"/>
              <w:ind w:firstLine="480" w:firstLineChars="200"/>
              <w:rPr>
                <w:kern w:val="0"/>
                <w:sz w:val="24"/>
              </w:rPr>
            </w:pPr>
            <w:r>
              <w:rPr>
                <w:bCs/>
                <w:sz w:val="24"/>
              </w:rPr>
              <w:t>（2）</w:t>
            </w:r>
            <w:r>
              <w:rPr>
                <w:rFonts w:hint="eastAsia"/>
                <w:sz w:val="24"/>
              </w:rPr>
              <w:t>废润滑油</w:t>
            </w:r>
          </w:p>
          <w:p w14:paraId="77582254">
            <w:pPr>
              <w:spacing w:line="360" w:lineRule="auto"/>
              <w:ind w:firstLine="480" w:firstLineChars="200"/>
              <w:rPr>
                <w:kern w:val="0"/>
                <w:sz w:val="24"/>
              </w:rPr>
            </w:pPr>
            <w:r>
              <w:rPr>
                <w:sz w:val="24"/>
              </w:rPr>
              <w:t>本项目</w:t>
            </w:r>
            <w:r>
              <w:rPr>
                <w:rFonts w:hint="eastAsia"/>
                <w:sz w:val="24"/>
              </w:rPr>
              <w:t>拉丝</w:t>
            </w:r>
            <w:r>
              <w:rPr>
                <w:sz w:val="24"/>
              </w:rPr>
              <w:t>机运行时需使用</w:t>
            </w:r>
            <w:r>
              <w:rPr>
                <w:rFonts w:hint="eastAsia"/>
                <w:sz w:val="24"/>
              </w:rPr>
              <w:t>润滑油</w:t>
            </w:r>
            <w:r>
              <w:rPr>
                <w:sz w:val="24"/>
              </w:rPr>
              <w:t>，设备在线量共计约0.1t/a，更换周期为1年，</w:t>
            </w:r>
            <w:r>
              <w:rPr>
                <w:rFonts w:hint="eastAsia"/>
                <w:sz w:val="24"/>
              </w:rPr>
              <w:t>考虑</w:t>
            </w:r>
            <w:r>
              <w:rPr>
                <w:sz w:val="24"/>
              </w:rPr>
              <w:t>到损耗，废</w:t>
            </w:r>
            <w:r>
              <w:rPr>
                <w:rFonts w:hint="eastAsia"/>
                <w:sz w:val="24"/>
              </w:rPr>
              <w:t>润滑油</w:t>
            </w:r>
            <w:r>
              <w:rPr>
                <w:sz w:val="24"/>
              </w:rPr>
              <w:t>产生量约0.08t/a。</w:t>
            </w:r>
            <w:r>
              <w:rPr>
                <w:spacing w:val="6"/>
                <w:sz w:val="24"/>
              </w:rPr>
              <w:t>经查阅《国家危险废物名录》（2025年版），</w:t>
            </w:r>
            <w:r>
              <w:rPr>
                <w:sz w:val="24"/>
              </w:rPr>
              <w:t>废</w:t>
            </w:r>
            <w:r>
              <w:rPr>
                <w:rFonts w:hint="eastAsia"/>
                <w:sz w:val="24"/>
              </w:rPr>
              <w:t>润滑油</w:t>
            </w:r>
            <w:r>
              <w:rPr>
                <w:sz w:val="24"/>
              </w:rPr>
              <w:t>属于危险废物，废物类别HW08废矿物油与含矿物油废物，产生行业为非特定行业，废物代码900-214-08，危险特性T，I</w:t>
            </w:r>
            <w:r>
              <w:rPr>
                <w:rFonts w:hint="eastAsia"/>
                <w:sz w:val="24"/>
              </w:rPr>
              <w:t>。</w:t>
            </w:r>
            <w:r>
              <w:rPr>
                <w:sz w:val="24"/>
              </w:rPr>
              <w:t>更换的</w:t>
            </w:r>
            <w:r>
              <w:rPr>
                <w:rFonts w:hint="eastAsia"/>
                <w:sz w:val="24"/>
              </w:rPr>
              <w:t>废润滑油</w:t>
            </w:r>
            <w:r>
              <w:rPr>
                <w:sz w:val="24"/>
              </w:rPr>
              <w:t>置于密闭容器内，经危废暂存间暂存后，定期交由有资质的单位处置。</w:t>
            </w:r>
          </w:p>
          <w:p w14:paraId="2D06944F">
            <w:pPr>
              <w:spacing w:line="360" w:lineRule="auto"/>
              <w:ind w:firstLine="480" w:firstLineChars="200"/>
              <w:rPr>
                <w:rFonts w:ascii="宋体" w:cs="宋体"/>
                <w:kern w:val="0"/>
                <w:sz w:val="24"/>
              </w:rPr>
            </w:pPr>
            <w:r>
              <w:rPr>
                <w:kern w:val="0"/>
                <w:sz w:val="24"/>
              </w:rPr>
              <w:t>（</w:t>
            </w:r>
            <w:r>
              <w:rPr>
                <w:rFonts w:hint="eastAsia"/>
                <w:kern w:val="0"/>
                <w:sz w:val="24"/>
              </w:rPr>
              <w:t>3</w:t>
            </w:r>
            <w:r>
              <w:rPr>
                <w:kern w:val="0"/>
                <w:sz w:val="24"/>
              </w:rPr>
              <w:t>）</w:t>
            </w:r>
            <w:r>
              <w:rPr>
                <w:rFonts w:hint="eastAsia" w:ascii="宋体" w:cs="宋体"/>
                <w:kern w:val="0"/>
                <w:sz w:val="24"/>
              </w:rPr>
              <w:t>废润滑油桶</w:t>
            </w:r>
          </w:p>
          <w:p w14:paraId="3DAC5BFC">
            <w:pPr>
              <w:spacing w:line="360" w:lineRule="auto"/>
              <w:ind w:firstLine="480" w:firstLineChars="200"/>
              <w:rPr>
                <w:rFonts w:ascii="宋体" w:cs="宋体"/>
                <w:kern w:val="0"/>
                <w:sz w:val="24"/>
              </w:rPr>
            </w:pPr>
            <w:r>
              <w:rPr>
                <w:rFonts w:hint="eastAsia"/>
                <w:sz w:val="24"/>
              </w:rPr>
              <w:t>项目年用矿物油（含</w:t>
            </w:r>
            <w:r>
              <w:rPr>
                <w:sz w:val="24"/>
              </w:rPr>
              <w:t>润滑油和液压油）</w:t>
            </w:r>
            <w:r>
              <w:rPr>
                <w:rFonts w:hint="eastAsia"/>
                <w:sz w:val="24"/>
              </w:rPr>
              <w:t>量0.</w:t>
            </w:r>
            <w:r>
              <w:rPr>
                <w:sz w:val="24"/>
              </w:rPr>
              <w:t>1t</w:t>
            </w:r>
            <w:r>
              <w:rPr>
                <w:rFonts w:hint="eastAsia"/>
                <w:sz w:val="24"/>
              </w:rPr>
              <w:t>，合计用</w:t>
            </w:r>
            <w:r>
              <w:rPr>
                <w:sz w:val="24"/>
              </w:rPr>
              <w:t>10</w:t>
            </w:r>
            <w:r>
              <w:rPr>
                <w:rFonts w:hint="eastAsia"/>
                <w:sz w:val="24"/>
              </w:rPr>
              <w:t>桶，单个桶种量约</w:t>
            </w:r>
            <w:r>
              <w:rPr>
                <w:sz w:val="24"/>
              </w:rPr>
              <w:t>1</w:t>
            </w:r>
            <w:r>
              <w:rPr>
                <w:rFonts w:hint="eastAsia"/>
                <w:sz w:val="24"/>
              </w:rPr>
              <w:t>kg，本项目</w:t>
            </w:r>
            <w:r>
              <w:rPr>
                <w:rFonts w:hint="eastAsia" w:ascii="宋体" w:hAnsi="宋体"/>
                <w:sz w:val="24"/>
              </w:rPr>
              <w:t>废润滑油桶</w:t>
            </w:r>
            <w:r>
              <w:rPr>
                <w:rFonts w:hint="eastAsia"/>
                <w:sz w:val="24"/>
              </w:rPr>
              <w:t>共计产生量为</w:t>
            </w:r>
            <w:r>
              <w:rPr>
                <w:sz w:val="24"/>
              </w:rPr>
              <w:t>0.01</w:t>
            </w:r>
            <w:r>
              <w:rPr>
                <w:rFonts w:hint="eastAsia"/>
                <w:sz w:val="24"/>
              </w:rPr>
              <w:t>t/a。</w:t>
            </w:r>
            <w:r>
              <w:rPr>
                <w:bCs/>
                <w:kern w:val="0"/>
                <w:sz w:val="24"/>
              </w:rPr>
              <w:t>经查阅《国家危险废物名录》（202</w:t>
            </w:r>
            <w:r>
              <w:rPr>
                <w:rFonts w:hint="eastAsia"/>
                <w:bCs/>
                <w:kern w:val="0"/>
                <w:sz w:val="24"/>
              </w:rPr>
              <w:t>5</w:t>
            </w:r>
            <w:r>
              <w:rPr>
                <w:bCs/>
                <w:kern w:val="0"/>
                <w:sz w:val="24"/>
              </w:rPr>
              <w:t>年版），</w:t>
            </w:r>
            <w:r>
              <w:rPr>
                <w:rFonts w:hint="eastAsia" w:ascii="宋体" w:hAnsi="宋体"/>
                <w:sz w:val="24"/>
              </w:rPr>
              <w:t>废润滑油桶</w:t>
            </w:r>
            <w:r>
              <w:rPr>
                <w:bCs/>
                <w:kern w:val="0"/>
                <w:sz w:val="24"/>
              </w:rPr>
              <w:t>属于危险废物</w:t>
            </w:r>
            <w:r>
              <w:rPr>
                <w:rFonts w:hint="eastAsia"/>
                <w:bCs/>
                <w:kern w:val="0"/>
                <w:sz w:val="24"/>
              </w:rPr>
              <w:t>，</w:t>
            </w:r>
            <w:r>
              <w:rPr>
                <w:bCs/>
                <w:sz w:val="24"/>
              </w:rPr>
              <w:t>废物类别为HW</w:t>
            </w:r>
            <w:r>
              <w:rPr>
                <w:rFonts w:hint="eastAsia"/>
                <w:bCs/>
                <w:sz w:val="24"/>
              </w:rPr>
              <w:t>08</w:t>
            </w:r>
            <w:r>
              <w:rPr>
                <w:bCs/>
                <w:sz w:val="24"/>
              </w:rPr>
              <w:t>废矿物油与含矿物油废物</w:t>
            </w:r>
            <w:r>
              <w:rPr>
                <w:rFonts w:hint="eastAsia"/>
                <w:sz w:val="24"/>
              </w:rPr>
              <w:t>9</w:t>
            </w:r>
            <w:r>
              <w:rPr>
                <w:sz w:val="24"/>
              </w:rPr>
              <w:t>00-</w:t>
            </w:r>
            <w:r>
              <w:rPr>
                <w:rFonts w:hint="eastAsia"/>
                <w:sz w:val="24"/>
              </w:rPr>
              <w:t>249</w:t>
            </w:r>
            <w:r>
              <w:rPr>
                <w:sz w:val="24"/>
              </w:rPr>
              <w:t>-</w:t>
            </w:r>
            <w:r>
              <w:rPr>
                <w:rFonts w:hint="eastAsia"/>
                <w:sz w:val="24"/>
              </w:rPr>
              <w:t>08</w:t>
            </w:r>
            <w:r>
              <w:rPr>
                <w:rFonts w:hint="eastAsia"/>
                <w:bCs/>
                <w:sz w:val="24"/>
              </w:rPr>
              <w:t>其他生产、销售、使用过程中产生的废矿物油及沾染矿物油的废弃包装物</w:t>
            </w:r>
            <w:r>
              <w:rPr>
                <w:bCs/>
                <w:sz w:val="24"/>
              </w:rPr>
              <w:t>，</w:t>
            </w:r>
            <w:r>
              <w:rPr>
                <w:bCs/>
                <w:kern w:val="0"/>
                <w:sz w:val="24"/>
              </w:rPr>
              <w:t>危险特性为T</w:t>
            </w:r>
            <w:r>
              <w:rPr>
                <w:rFonts w:hint="eastAsia"/>
                <w:bCs/>
                <w:kern w:val="0"/>
                <w:sz w:val="24"/>
              </w:rPr>
              <w:t>，I</w:t>
            </w:r>
            <w:r>
              <w:rPr>
                <w:bCs/>
                <w:kern w:val="0"/>
                <w:sz w:val="24"/>
              </w:rPr>
              <w:t>，</w:t>
            </w:r>
            <w:r>
              <w:rPr>
                <w:rFonts w:hint="eastAsia" w:ascii="宋体" w:hAnsi="宋体"/>
                <w:sz w:val="24"/>
              </w:rPr>
              <w:t>废润滑油桶</w:t>
            </w:r>
            <w:r>
              <w:rPr>
                <w:rFonts w:hint="eastAsia"/>
                <w:bCs/>
                <w:spacing w:val="6"/>
                <w:sz w:val="24"/>
              </w:rPr>
              <w:t>使用后加盖封口密闭</w:t>
            </w:r>
            <w:r>
              <w:rPr>
                <w:bCs/>
                <w:kern w:val="0"/>
                <w:sz w:val="24"/>
              </w:rPr>
              <w:t>暂存于</w:t>
            </w:r>
            <w:r>
              <w:rPr>
                <w:rFonts w:hint="eastAsia"/>
                <w:bCs/>
                <w:spacing w:val="-2"/>
                <w:kern w:val="0"/>
                <w:sz w:val="24"/>
              </w:rPr>
              <w:t>危废暂存间</w:t>
            </w:r>
            <w:r>
              <w:rPr>
                <w:bCs/>
                <w:spacing w:val="6"/>
                <w:sz w:val="24"/>
              </w:rPr>
              <w:t>，</w:t>
            </w:r>
            <w:r>
              <w:rPr>
                <w:rFonts w:hint="eastAsia"/>
                <w:bCs/>
                <w:spacing w:val="6"/>
                <w:sz w:val="24"/>
              </w:rPr>
              <w:t>定期委托有资质单位进行安全处置</w:t>
            </w:r>
            <w:r>
              <w:rPr>
                <w:bCs/>
                <w:kern w:val="0"/>
                <w:sz w:val="24"/>
              </w:rPr>
              <w:t>。</w:t>
            </w:r>
          </w:p>
          <w:p w14:paraId="24972DFD">
            <w:pPr>
              <w:spacing w:line="360" w:lineRule="auto"/>
              <w:ind w:firstLine="480" w:firstLineChars="200"/>
              <w:rPr>
                <w:bCs/>
                <w:sz w:val="24"/>
              </w:rPr>
            </w:pPr>
            <w:r>
              <w:rPr>
                <w:rFonts w:hint="eastAsia"/>
                <w:bCs/>
                <w:sz w:val="24"/>
              </w:rPr>
              <w:t>本项目危险废物汇总见表</w:t>
            </w:r>
            <w:r>
              <w:rPr>
                <w:bCs/>
                <w:sz w:val="24"/>
              </w:rPr>
              <w:t>31</w:t>
            </w:r>
            <w:r>
              <w:rPr>
                <w:rFonts w:hint="eastAsia"/>
                <w:bCs/>
                <w:sz w:val="24"/>
              </w:rPr>
              <w:t>。</w:t>
            </w:r>
          </w:p>
          <w:p w14:paraId="3C9B6700">
            <w:pPr>
              <w:pStyle w:val="61"/>
              <w:rPr>
                <w:sz w:val="24"/>
              </w:rPr>
            </w:pPr>
            <w:r>
              <w:rPr>
                <w:rFonts w:hint="eastAsia"/>
                <w:sz w:val="24"/>
              </w:rPr>
              <w:t>表3</w:t>
            </w:r>
            <w:r>
              <w:rPr>
                <w:sz w:val="24"/>
              </w:rPr>
              <w:t>1</w:t>
            </w:r>
            <w:r>
              <w:rPr>
                <w:rFonts w:hint="eastAsia"/>
                <w:sz w:val="24"/>
              </w:rPr>
              <w:t xml:space="preserve">           危险废物排放情况一览表</w:t>
            </w:r>
          </w:p>
          <w:tbl>
            <w:tblPr>
              <w:tblStyle w:val="29"/>
              <w:tblW w:w="8369" w:type="dxa"/>
              <w:tblInd w:w="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04"/>
              <w:gridCol w:w="962"/>
              <w:gridCol w:w="1311"/>
              <w:gridCol w:w="798"/>
              <w:gridCol w:w="866"/>
              <w:gridCol w:w="486"/>
              <w:gridCol w:w="926"/>
              <w:gridCol w:w="587"/>
              <w:gridCol w:w="623"/>
              <w:gridCol w:w="1006"/>
            </w:tblGrid>
            <w:tr w14:paraId="43CF3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804" w:type="dxa"/>
                  <w:tcBorders>
                    <w:tl2br w:val="nil"/>
                    <w:tr2bl w:val="nil"/>
                  </w:tcBorders>
                  <w:shd w:val="clear" w:color="auto" w:fill="auto"/>
                  <w:vAlign w:val="center"/>
                </w:tcPr>
                <w:p w14:paraId="307555DB">
                  <w:pPr>
                    <w:jc w:val="center"/>
                    <w:rPr>
                      <w:rFonts w:cs="宋体"/>
                      <w:bCs/>
                      <w:szCs w:val="21"/>
                    </w:rPr>
                  </w:pPr>
                  <w:r>
                    <w:rPr>
                      <w:rFonts w:hint="eastAsia" w:cs="宋体"/>
                      <w:bCs/>
                      <w:szCs w:val="21"/>
                    </w:rPr>
                    <w:t>危险废物名称</w:t>
                  </w:r>
                </w:p>
              </w:tc>
              <w:tc>
                <w:tcPr>
                  <w:tcW w:w="962" w:type="dxa"/>
                  <w:tcBorders>
                    <w:tl2br w:val="nil"/>
                    <w:tr2bl w:val="nil"/>
                  </w:tcBorders>
                  <w:shd w:val="clear" w:color="auto" w:fill="auto"/>
                  <w:vAlign w:val="center"/>
                </w:tcPr>
                <w:p w14:paraId="1147657A">
                  <w:pPr>
                    <w:jc w:val="center"/>
                    <w:rPr>
                      <w:rFonts w:cs="宋体"/>
                      <w:bCs/>
                      <w:szCs w:val="21"/>
                    </w:rPr>
                  </w:pPr>
                  <w:r>
                    <w:rPr>
                      <w:rFonts w:hint="eastAsia" w:cs="宋体"/>
                      <w:bCs/>
                      <w:szCs w:val="21"/>
                    </w:rPr>
                    <w:t>危险废物类别</w:t>
                  </w:r>
                </w:p>
              </w:tc>
              <w:tc>
                <w:tcPr>
                  <w:tcW w:w="1311" w:type="dxa"/>
                  <w:tcBorders>
                    <w:tl2br w:val="nil"/>
                    <w:tr2bl w:val="nil"/>
                  </w:tcBorders>
                  <w:shd w:val="clear" w:color="auto" w:fill="auto"/>
                  <w:vAlign w:val="center"/>
                </w:tcPr>
                <w:p w14:paraId="40C6B533">
                  <w:pPr>
                    <w:jc w:val="center"/>
                    <w:rPr>
                      <w:rFonts w:cs="宋体"/>
                      <w:bCs/>
                      <w:szCs w:val="21"/>
                    </w:rPr>
                  </w:pPr>
                  <w:r>
                    <w:rPr>
                      <w:rFonts w:hint="eastAsia" w:cs="宋体"/>
                      <w:bCs/>
                      <w:szCs w:val="21"/>
                    </w:rPr>
                    <w:t>危险废物代码</w:t>
                  </w:r>
                </w:p>
              </w:tc>
              <w:tc>
                <w:tcPr>
                  <w:tcW w:w="798" w:type="dxa"/>
                  <w:tcBorders>
                    <w:tl2br w:val="nil"/>
                    <w:tr2bl w:val="nil"/>
                  </w:tcBorders>
                  <w:shd w:val="clear" w:color="auto" w:fill="auto"/>
                  <w:vAlign w:val="center"/>
                </w:tcPr>
                <w:p w14:paraId="728AB78C">
                  <w:pPr>
                    <w:jc w:val="center"/>
                    <w:rPr>
                      <w:rFonts w:cs="宋体"/>
                      <w:bCs/>
                      <w:szCs w:val="21"/>
                    </w:rPr>
                  </w:pPr>
                  <w:r>
                    <w:rPr>
                      <w:rFonts w:hint="eastAsia" w:cs="宋体"/>
                      <w:bCs/>
                      <w:szCs w:val="21"/>
                    </w:rPr>
                    <w:t>产生量（</w:t>
                  </w:r>
                  <w:r>
                    <w:rPr>
                      <w:rFonts w:cs="宋体"/>
                      <w:bCs/>
                      <w:szCs w:val="21"/>
                    </w:rPr>
                    <w:t>t/a</w:t>
                  </w:r>
                  <w:r>
                    <w:rPr>
                      <w:rFonts w:hint="eastAsia" w:cs="宋体"/>
                      <w:bCs/>
                      <w:szCs w:val="21"/>
                    </w:rPr>
                    <w:t>）</w:t>
                  </w:r>
                </w:p>
              </w:tc>
              <w:tc>
                <w:tcPr>
                  <w:tcW w:w="866" w:type="dxa"/>
                  <w:tcBorders>
                    <w:tl2br w:val="nil"/>
                    <w:tr2bl w:val="nil"/>
                  </w:tcBorders>
                  <w:shd w:val="clear" w:color="auto" w:fill="auto"/>
                  <w:vAlign w:val="center"/>
                </w:tcPr>
                <w:p w14:paraId="163EE833">
                  <w:pPr>
                    <w:jc w:val="center"/>
                    <w:rPr>
                      <w:rFonts w:cs="宋体"/>
                      <w:bCs/>
                      <w:szCs w:val="21"/>
                    </w:rPr>
                  </w:pPr>
                  <w:r>
                    <w:rPr>
                      <w:rFonts w:hint="eastAsia" w:cs="宋体"/>
                      <w:bCs/>
                      <w:szCs w:val="21"/>
                    </w:rPr>
                    <w:t>产生工序及装置</w:t>
                  </w:r>
                </w:p>
              </w:tc>
              <w:tc>
                <w:tcPr>
                  <w:tcW w:w="486" w:type="dxa"/>
                  <w:tcBorders>
                    <w:tl2br w:val="nil"/>
                    <w:tr2bl w:val="nil"/>
                  </w:tcBorders>
                  <w:shd w:val="clear" w:color="auto" w:fill="auto"/>
                  <w:vAlign w:val="center"/>
                </w:tcPr>
                <w:p w14:paraId="11BDB4D5">
                  <w:pPr>
                    <w:jc w:val="center"/>
                    <w:rPr>
                      <w:rFonts w:cs="宋体"/>
                      <w:bCs/>
                      <w:szCs w:val="21"/>
                    </w:rPr>
                  </w:pPr>
                  <w:r>
                    <w:rPr>
                      <w:rFonts w:hint="eastAsia" w:cs="宋体"/>
                      <w:bCs/>
                      <w:szCs w:val="21"/>
                    </w:rPr>
                    <w:t>形态</w:t>
                  </w:r>
                </w:p>
              </w:tc>
              <w:tc>
                <w:tcPr>
                  <w:tcW w:w="926" w:type="dxa"/>
                  <w:tcBorders>
                    <w:tl2br w:val="nil"/>
                    <w:tr2bl w:val="nil"/>
                  </w:tcBorders>
                  <w:shd w:val="clear" w:color="auto" w:fill="auto"/>
                  <w:vAlign w:val="center"/>
                </w:tcPr>
                <w:p w14:paraId="257AC031">
                  <w:pPr>
                    <w:jc w:val="center"/>
                    <w:rPr>
                      <w:rFonts w:cs="宋体"/>
                      <w:bCs/>
                      <w:szCs w:val="21"/>
                    </w:rPr>
                  </w:pPr>
                  <w:r>
                    <w:rPr>
                      <w:rFonts w:hint="eastAsia" w:cs="宋体"/>
                      <w:bCs/>
                      <w:szCs w:val="21"/>
                    </w:rPr>
                    <w:t>有害成分</w:t>
                  </w:r>
                </w:p>
              </w:tc>
              <w:tc>
                <w:tcPr>
                  <w:tcW w:w="587" w:type="dxa"/>
                  <w:tcBorders>
                    <w:tl2br w:val="nil"/>
                    <w:tr2bl w:val="nil"/>
                  </w:tcBorders>
                  <w:shd w:val="clear" w:color="auto" w:fill="auto"/>
                  <w:vAlign w:val="center"/>
                </w:tcPr>
                <w:p w14:paraId="1F6708DF">
                  <w:pPr>
                    <w:jc w:val="center"/>
                    <w:rPr>
                      <w:rFonts w:cs="宋体"/>
                      <w:bCs/>
                      <w:szCs w:val="21"/>
                    </w:rPr>
                  </w:pPr>
                  <w:r>
                    <w:rPr>
                      <w:rFonts w:hint="eastAsia" w:cs="宋体"/>
                      <w:bCs/>
                      <w:szCs w:val="21"/>
                    </w:rPr>
                    <w:t>产废</w:t>
                  </w:r>
                </w:p>
                <w:p w14:paraId="5397DBF4">
                  <w:pPr>
                    <w:jc w:val="center"/>
                    <w:rPr>
                      <w:rFonts w:cs="宋体"/>
                      <w:bCs/>
                      <w:szCs w:val="21"/>
                    </w:rPr>
                  </w:pPr>
                  <w:r>
                    <w:rPr>
                      <w:rFonts w:hint="eastAsia" w:cs="宋体"/>
                      <w:bCs/>
                      <w:szCs w:val="21"/>
                    </w:rPr>
                    <w:t>周期</w:t>
                  </w:r>
                </w:p>
              </w:tc>
              <w:tc>
                <w:tcPr>
                  <w:tcW w:w="623" w:type="dxa"/>
                  <w:tcBorders>
                    <w:tl2br w:val="nil"/>
                    <w:tr2bl w:val="nil"/>
                  </w:tcBorders>
                  <w:shd w:val="clear" w:color="auto" w:fill="auto"/>
                  <w:vAlign w:val="center"/>
                </w:tcPr>
                <w:p w14:paraId="0EF97B67">
                  <w:pPr>
                    <w:jc w:val="center"/>
                    <w:rPr>
                      <w:rFonts w:cs="宋体"/>
                      <w:bCs/>
                      <w:szCs w:val="21"/>
                    </w:rPr>
                  </w:pPr>
                  <w:r>
                    <w:rPr>
                      <w:rFonts w:hint="eastAsia" w:cs="宋体"/>
                      <w:bCs/>
                      <w:szCs w:val="21"/>
                    </w:rPr>
                    <w:t>危险</w:t>
                  </w:r>
                </w:p>
                <w:p w14:paraId="7B249F11">
                  <w:pPr>
                    <w:jc w:val="center"/>
                    <w:rPr>
                      <w:rFonts w:cs="宋体"/>
                      <w:bCs/>
                      <w:szCs w:val="21"/>
                    </w:rPr>
                  </w:pPr>
                  <w:r>
                    <w:rPr>
                      <w:rFonts w:hint="eastAsia" w:cs="宋体"/>
                      <w:bCs/>
                      <w:szCs w:val="21"/>
                    </w:rPr>
                    <w:t>特性</w:t>
                  </w:r>
                </w:p>
              </w:tc>
              <w:tc>
                <w:tcPr>
                  <w:tcW w:w="1006" w:type="dxa"/>
                  <w:tcBorders>
                    <w:tl2br w:val="nil"/>
                    <w:tr2bl w:val="nil"/>
                  </w:tcBorders>
                  <w:shd w:val="clear" w:color="auto" w:fill="auto"/>
                  <w:vAlign w:val="center"/>
                </w:tcPr>
                <w:p w14:paraId="00F8393D">
                  <w:pPr>
                    <w:jc w:val="center"/>
                    <w:rPr>
                      <w:rFonts w:cs="宋体"/>
                      <w:bCs/>
                      <w:szCs w:val="21"/>
                    </w:rPr>
                  </w:pPr>
                  <w:r>
                    <w:rPr>
                      <w:rFonts w:hint="eastAsia" w:cs="宋体"/>
                      <w:bCs/>
                      <w:szCs w:val="21"/>
                    </w:rPr>
                    <w:t>污染防治措施</w:t>
                  </w:r>
                </w:p>
              </w:tc>
            </w:tr>
            <w:tr w14:paraId="2EE0A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804" w:type="dxa"/>
                  <w:tcBorders>
                    <w:tl2br w:val="nil"/>
                    <w:tr2bl w:val="nil"/>
                  </w:tcBorders>
                  <w:shd w:val="clear" w:color="auto" w:fill="auto"/>
                  <w:vAlign w:val="center"/>
                </w:tcPr>
                <w:p w14:paraId="7E0EE4CC">
                  <w:pPr>
                    <w:jc w:val="center"/>
                    <w:rPr>
                      <w:bCs/>
                      <w:szCs w:val="21"/>
                    </w:rPr>
                  </w:pPr>
                  <w:r>
                    <w:rPr>
                      <w:rFonts w:hint="eastAsia"/>
                      <w:bCs/>
                      <w:szCs w:val="21"/>
                    </w:rPr>
                    <w:t>废活性炭</w:t>
                  </w:r>
                </w:p>
              </w:tc>
              <w:tc>
                <w:tcPr>
                  <w:tcW w:w="962" w:type="dxa"/>
                  <w:tcBorders>
                    <w:tl2br w:val="nil"/>
                    <w:tr2bl w:val="nil"/>
                  </w:tcBorders>
                  <w:shd w:val="clear" w:color="auto" w:fill="auto"/>
                  <w:vAlign w:val="center"/>
                </w:tcPr>
                <w:p w14:paraId="035FFA4B">
                  <w:pPr>
                    <w:jc w:val="center"/>
                    <w:rPr>
                      <w:rFonts w:cs="宋体"/>
                      <w:bCs/>
                      <w:szCs w:val="21"/>
                    </w:rPr>
                  </w:pPr>
                  <w:r>
                    <w:rPr>
                      <w:rFonts w:hint="eastAsia" w:cs="宋体"/>
                      <w:bCs/>
                      <w:szCs w:val="21"/>
                    </w:rPr>
                    <w:t>HW49其他废物</w:t>
                  </w:r>
                </w:p>
              </w:tc>
              <w:tc>
                <w:tcPr>
                  <w:tcW w:w="1311" w:type="dxa"/>
                  <w:tcBorders>
                    <w:tl2br w:val="nil"/>
                    <w:tr2bl w:val="nil"/>
                  </w:tcBorders>
                  <w:shd w:val="clear" w:color="auto" w:fill="auto"/>
                  <w:vAlign w:val="center"/>
                </w:tcPr>
                <w:p w14:paraId="4574C445">
                  <w:pPr>
                    <w:jc w:val="center"/>
                    <w:rPr>
                      <w:bCs/>
                      <w:spacing w:val="6"/>
                      <w:szCs w:val="21"/>
                    </w:rPr>
                  </w:pPr>
                  <w:r>
                    <w:rPr>
                      <w:rFonts w:hint="eastAsia"/>
                      <w:bCs/>
                      <w:spacing w:val="6"/>
                      <w:szCs w:val="21"/>
                    </w:rPr>
                    <w:t>900-039-49</w:t>
                  </w:r>
                </w:p>
              </w:tc>
              <w:tc>
                <w:tcPr>
                  <w:tcW w:w="798" w:type="dxa"/>
                  <w:tcBorders>
                    <w:tl2br w:val="nil"/>
                    <w:tr2bl w:val="nil"/>
                  </w:tcBorders>
                  <w:shd w:val="clear" w:color="auto" w:fill="auto"/>
                  <w:vAlign w:val="center"/>
                </w:tcPr>
                <w:p w14:paraId="3D82CE96">
                  <w:pPr>
                    <w:jc w:val="center"/>
                    <w:rPr>
                      <w:rFonts w:cs="宋体"/>
                      <w:bCs/>
                      <w:szCs w:val="21"/>
                    </w:rPr>
                  </w:pPr>
                  <w:r>
                    <w:rPr>
                      <w:bCs/>
                      <w:spacing w:val="6"/>
                      <w:szCs w:val="21"/>
                    </w:rPr>
                    <w:t>7.3415</w:t>
                  </w:r>
                </w:p>
              </w:tc>
              <w:tc>
                <w:tcPr>
                  <w:tcW w:w="866" w:type="dxa"/>
                  <w:tcBorders>
                    <w:tl2br w:val="nil"/>
                    <w:tr2bl w:val="nil"/>
                  </w:tcBorders>
                  <w:shd w:val="clear" w:color="auto" w:fill="auto"/>
                  <w:vAlign w:val="center"/>
                </w:tcPr>
                <w:p w14:paraId="385C8ADC">
                  <w:pPr>
                    <w:jc w:val="center"/>
                    <w:rPr>
                      <w:rFonts w:cs="宋体"/>
                      <w:bCs/>
                      <w:szCs w:val="21"/>
                    </w:rPr>
                  </w:pPr>
                  <w:r>
                    <w:rPr>
                      <w:rFonts w:hint="eastAsia" w:cs="宋体"/>
                      <w:bCs/>
                      <w:szCs w:val="21"/>
                    </w:rPr>
                    <w:t>废气处理</w:t>
                  </w:r>
                </w:p>
              </w:tc>
              <w:tc>
                <w:tcPr>
                  <w:tcW w:w="486" w:type="dxa"/>
                  <w:tcBorders>
                    <w:tl2br w:val="nil"/>
                    <w:tr2bl w:val="nil"/>
                  </w:tcBorders>
                  <w:shd w:val="clear" w:color="auto" w:fill="auto"/>
                  <w:vAlign w:val="center"/>
                </w:tcPr>
                <w:p w14:paraId="44DF334B">
                  <w:pPr>
                    <w:jc w:val="center"/>
                    <w:rPr>
                      <w:rFonts w:cs="宋体"/>
                      <w:bCs/>
                      <w:szCs w:val="21"/>
                    </w:rPr>
                  </w:pPr>
                  <w:r>
                    <w:rPr>
                      <w:rFonts w:hint="eastAsia" w:cs="宋体"/>
                      <w:bCs/>
                      <w:szCs w:val="21"/>
                    </w:rPr>
                    <w:t>固态</w:t>
                  </w:r>
                </w:p>
              </w:tc>
              <w:tc>
                <w:tcPr>
                  <w:tcW w:w="926" w:type="dxa"/>
                  <w:tcBorders>
                    <w:tl2br w:val="nil"/>
                    <w:tr2bl w:val="nil"/>
                  </w:tcBorders>
                  <w:shd w:val="clear" w:color="auto" w:fill="auto"/>
                  <w:vAlign w:val="center"/>
                </w:tcPr>
                <w:p w14:paraId="70489A28">
                  <w:pPr>
                    <w:jc w:val="center"/>
                    <w:rPr>
                      <w:rFonts w:cs="宋体"/>
                      <w:bCs/>
                      <w:szCs w:val="21"/>
                    </w:rPr>
                  </w:pPr>
                  <w:r>
                    <w:rPr>
                      <w:rFonts w:hint="eastAsia" w:cs="宋体"/>
                      <w:bCs/>
                      <w:szCs w:val="21"/>
                    </w:rPr>
                    <w:t>非甲烷总烃</w:t>
                  </w:r>
                </w:p>
              </w:tc>
              <w:tc>
                <w:tcPr>
                  <w:tcW w:w="587" w:type="dxa"/>
                  <w:tcBorders>
                    <w:tl2br w:val="nil"/>
                    <w:tr2bl w:val="nil"/>
                  </w:tcBorders>
                  <w:shd w:val="clear" w:color="auto" w:fill="auto"/>
                  <w:vAlign w:val="center"/>
                </w:tcPr>
                <w:p w14:paraId="5BFC7168">
                  <w:pPr>
                    <w:jc w:val="center"/>
                    <w:rPr>
                      <w:rFonts w:cs="宋体"/>
                      <w:bCs/>
                      <w:szCs w:val="21"/>
                    </w:rPr>
                  </w:pPr>
                  <w:r>
                    <w:rPr>
                      <w:rFonts w:cs="宋体"/>
                      <w:bCs/>
                      <w:szCs w:val="21"/>
                    </w:rPr>
                    <w:t>3</w:t>
                  </w:r>
                  <w:r>
                    <w:rPr>
                      <w:rFonts w:hint="eastAsia" w:cs="宋体"/>
                      <w:bCs/>
                      <w:szCs w:val="21"/>
                    </w:rPr>
                    <w:t>个</w:t>
                  </w:r>
                  <w:r>
                    <w:rPr>
                      <w:rFonts w:cs="宋体"/>
                      <w:bCs/>
                      <w:szCs w:val="21"/>
                    </w:rPr>
                    <w:t>月</w:t>
                  </w:r>
                </w:p>
              </w:tc>
              <w:tc>
                <w:tcPr>
                  <w:tcW w:w="623" w:type="dxa"/>
                  <w:tcBorders>
                    <w:tl2br w:val="nil"/>
                    <w:tr2bl w:val="nil"/>
                  </w:tcBorders>
                  <w:shd w:val="clear" w:color="auto" w:fill="auto"/>
                  <w:vAlign w:val="center"/>
                </w:tcPr>
                <w:p w14:paraId="43206F4F">
                  <w:pPr>
                    <w:jc w:val="center"/>
                    <w:rPr>
                      <w:rFonts w:cs="宋体"/>
                      <w:bCs/>
                      <w:szCs w:val="21"/>
                    </w:rPr>
                  </w:pPr>
                  <w:r>
                    <w:rPr>
                      <w:rFonts w:hint="eastAsia" w:cs="宋体"/>
                      <w:bCs/>
                      <w:szCs w:val="21"/>
                    </w:rPr>
                    <w:t>T</w:t>
                  </w:r>
                </w:p>
              </w:tc>
              <w:tc>
                <w:tcPr>
                  <w:tcW w:w="1006" w:type="dxa"/>
                  <w:vMerge w:val="restart"/>
                  <w:tcBorders>
                    <w:tl2br w:val="nil"/>
                    <w:tr2bl w:val="nil"/>
                  </w:tcBorders>
                  <w:shd w:val="clear" w:color="auto" w:fill="auto"/>
                  <w:vAlign w:val="center"/>
                </w:tcPr>
                <w:p w14:paraId="28DA9C61">
                  <w:pPr>
                    <w:jc w:val="center"/>
                    <w:rPr>
                      <w:rFonts w:cs="宋体"/>
                      <w:bCs/>
                      <w:szCs w:val="21"/>
                    </w:rPr>
                  </w:pPr>
                  <w:r>
                    <w:rPr>
                      <w:rFonts w:hint="eastAsia" w:cs="宋体"/>
                      <w:bCs/>
                      <w:szCs w:val="21"/>
                    </w:rPr>
                    <w:t>危废间暂存，交由有资质单位处置</w:t>
                  </w:r>
                </w:p>
              </w:tc>
            </w:tr>
            <w:tr w14:paraId="702BE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804" w:type="dxa"/>
                  <w:tcBorders>
                    <w:tl2br w:val="nil"/>
                    <w:tr2bl w:val="nil"/>
                  </w:tcBorders>
                  <w:shd w:val="clear" w:color="auto" w:fill="auto"/>
                  <w:vAlign w:val="center"/>
                </w:tcPr>
                <w:p w14:paraId="75843B7B">
                  <w:pPr>
                    <w:pStyle w:val="73"/>
                    <w:spacing w:line="240" w:lineRule="auto"/>
                    <w:rPr>
                      <w:rFonts w:ascii="Times New Roman" w:hAnsi="Times New Roman"/>
                      <w:color w:val="auto"/>
                      <w:sz w:val="21"/>
                      <w:szCs w:val="21"/>
                    </w:rPr>
                  </w:pPr>
                  <w:r>
                    <w:rPr>
                      <w:rFonts w:ascii="Times New Roman" w:hAnsi="Times New Roman"/>
                      <w:color w:val="auto"/>
                      <w:sz w:val="21"/>
                      <w:szCs w:val="21"/>
                    </w:rPr>
                    <w:t>废</w:t>
                  </w:r>
                  <w:r>
                    <w:rPr>
                      <w:rFonts w:hint="eastAsia" w:ascii="Times New Roman" w:hAnsi="Times New Roman"/>
                      <w:color w:val="auto"/>
                      <w:sz w:val="21"/>
                      <w:szCs w:val="21"/>
                    </w:rPr>
                    <w:t>润滑油</w:t>
                  </w:r>
                </w:p>
              </w:tc>
              <w:tc>
                <w:tcPr>
                  <w:tcW w:w="962" w:type="dxa"/>
                  <w:vMerge w:val="restart"/>
                  <w:tcBorders>
                    <w:tl2br w:val="nil"/>
                    <w:tr2bl w:val="nil"/>
                  </w:tcBorders>
                  <w:shd w:val="clear" w:color="auto" w:fill="auto"/>
                  <w:vAlign w:val="center"/>
                </w:tcPr>
                <w:p w14:paraId="03255E03">
                  <w:pPr>
                    <w:pStyle w:val="73"/>
                    <w:spacing w:line="240" w:lineRule="auto"/>
                    <w:rPr>
                      <w:rFonts w:ascii="Times New Roman" w:hAnsi="Times New Roman"/>
                      <w:color w:val="auto"/>
                      <w:sz w:val="21"/>
                      <w:szCs w:val="21"/>
                    </w:rPr>
                  </w:pPr>
                  <w:r>
                    <w:rPr>
                      <w:rFonts w:ascii="Times New Roman" w:hAnsi="Times New Roman"/>
                      <w:bCs/>
                      <w:color w:val="auto"/>
                      <w:sz w:val="21"/>
                      <w:szCs w:val="21"/>
                    </w:rPr>
                    <w:t>HW08废矿物油与含矿物油废物</w:t>
                  </w:r>
                </w:p>
              </w:tc>
              <w:tc>
                <w:tcPr>
                  <w:tcW w:w="1311" w:type="dxa"/>
                  <w:tcBorders>
                    <w:tl2br w:val="nil"/>
                    <w:tr2bl w:val="nil"/>
                  </w:tcBorders>
                  <w:shd w:val="clear" w:color="auto" w:fill="auto"/>
                  <w:vAlign w:val="center"/>
                </w:tcPr>
                <w:p w14:paraId="35FAF822">
                  <w:pPr>
                    <w:pStyle w:val="73"/>
                    <w:spacing w:line="240" w:lineRule="auto"/>
                    <w:rPr>
                      <w:rFonts w:ascii="Times New Roman" w:hAnsi="Times New Roman"/>
                      <w:color w:val="auto"/>
                      <w:sz w:val="21"/>
                      <w:szCs w:val="21"/>
                    </w:rPr>
                  </w:pPr>
                  <w:r>
                    <w:rPr>
                      <w:rFonts w:ascii="Times New Roman" w:hAnsi="Times New Roman"/>
                      <w:bCs/>
                      <w:color w:val="auto"/>
                      <w:sz w:val="21"/>
                      <w:szCs w:val="21"/>
                    </w:rPr>
                    <w:t>900-214-08</w:t>
                  </w:r>
                </w:p>
              </w:tc>
              <w:tc>
                <w:tcPr>
                  <w:tcW w:w="798" w:type="dxa"/>
                  <w:tcBorders>
                    <w:tl2br w:val="nil"/>
                    <w:tr2bl w:val="nil"/>
                  </w:tcBorders>
                  <w:shd w:val="clear" w:color="auto" w:fill="auto"/>
                  <w:vAlign w:val="center"/>
                </w:tcPr>
                <w:p w14:paraId="2617C040">
                  <w:pPr>
                    <w:pStyle w:val="73"/>
                    <w:spacing w:line="240" w:lineRule="auto"/>
                    <w:rPr>
                      <w:rFonts w:ascii="Times New Roman" w:hAnsi="Times New Roman"/>
                      <w:color w:val="auto"/>
                      <w:sz w:val="21"/>
                      <w:szCs w:val="21"/>
                    </w:rPr>
                  </w:pPr>
                  <w:r>
                    <w:rPr>
                      <w:rFonts w:ascii="Times New Roman" w:hAnsi="Times New Roman"/>
                      <w:bCs/>
                      <w:color w:val="auto"/>
                      <w:sz w:val="21"/>
                      <w:szCs w:val="21"/>
                    </w:rPr>
                    <w:t>0.08</w:t>
                  </w:r>
                </w:p>
              </w:tc>
              <w:tc>
                <w:tcPr>
                  <w:tcW w:w="866" w:type="dxa"/>
                  <w:vMerge w:val="restart"/>
                  <w:tcBorders>
                    <w:tl2br w:val="nil"/>
                    <w:tr2bl w:val="nil"/>
                  </w:tcBorders>
                  <w:shd w:val="clear" w:color="auto" w:fill="auto"/>
                  <w:vAlign w:val="center"/>
                </w:tcPr>
                <w:p w14:paraId="7AFBC820">
                  <w:pPr>
                    <w:pStyle w:val="73"/>
                    <w:spacing w:line="240" w:lineRule="auto"/>
                    <w:jc w:val="both"/>
                    <w:rPr>
                      <w:rFonts w:ascii="Times New Roman" w:hAnsi="Times New Roman"/>
                      <w:color w:val="auto"/>
                      <w:sz w:val="21"/>
                      <w:szCs w:val="21"/>
                    </w:rPr>
                  </w:pPr>
                  <w:r>
                    <w:rPr>
                      <w:rFonts w:hint="eastAsia" w:ascii="Times New Roman" w:hAnsi="Times New Roman"/>
                      <w:color w:val="auto"/>
                      <w:sz w:val="21"/>
                      <w:szCs w:val="21"/>
                    </w:rPr>
                    <w:t>设备</w:t>
                  </w:r>
                  <w:r>
                    <w:rPr>
                      <w:rFonts w:ascii="Times New Roman" w:hAnsi="Times New Roman"/>
                      <w:color w:val="auto"/>
                      <w:sz w:val="21"/>
                      <w:szCs w:val="21"/>
                    </w:rPr>
                    <w:t>维护</w:t>
                  </w:r>
                </w:p>
              </w:tc>
              <w:tc>
                <w:tcPr>
                  <w:tcW w:w="486" w:type="dxa"/>
                  <w:tcBorders>
                    <w:tl2br w:val="nil"/>
                    <w:tr2bl w:val="nil"/>
                  </w:tcBorders>
                  <w:shd w:val="clear" w:color="auto" w:fill="auto"/>
                  <w:vAlign w:val="center"/>
                </w:tcPr>
                <w:p w14:paraId="42C6DD95">
                  <w:pPr>
                    <w:pStyle w:val="73"/>
                    <w:spacing w:line="240" w:lineRule="auto"/>
                    <w:rPr>
                      <w:rFonts w:ascii="Times New Roman" w:hAnsi="Times New Roman"/>
                      <w:color w:val="auto"/>
                      <w:sz w:val="21"/>
                      <w:szCs w:val="21"/>
                    </w:rPr>
                  </w:pPr>
                  <w:r>
                    <w:rPr>
                      <w:rFonts w:ascii="Times New Roman" w:hAnsi="Times New Roman"/>
                      <w:color w:val="auto"/>
                      <w:sz w:val="21"/>
                      <w:szCs w:val="21"/>
                    </w:rPr>
                    <w:t>液态</w:t>
                  </w:r>
                </w:p>
              </w:tc>
              <w:tc>
                <w:tcPr>
                  <w:tcW w:w="926" w:type="dxa"/>
                  <w:tcBorders>
                    <w:tl2br w:val="nil"/>
                    <w:tr2bl w:val="nil"/>
                  </w:tcBorders>
                  <w:shd w:val="clear" w:color="auto" w:fill="auto"/>
                  <w:vAlign w:val="center"/>
                </w:tcPr>
                <w:p w14:paraId="18FBCBD1">
                  <w:pPr>
                    <w:pStyle w:val="73"/>
                    <w:spacing w:line="240" w:lineRule="auto"/>
                    <w:rPr>
                      <w:rFonts w:ascii="Times New Roman" w:hAnsi="Times New Roman"/>
                      <w:color w:val="auto"/>
                      <w:sz w:val="21"/>
                      <w:szCs w:val="21"/>
                    </w:rPr>
                  </w:pPr>
                  <w:r>
                    <w:rPr>
                      <w:rFonts w:ascii="Times New Roman" w:hAnsi="Times New Roman"/>
                      <w:color w:val="auto"/>
                      <w:sz w:val="21"/>
                      <w:szCs w:val="21"/>
                    </w:rPr>
                    <w:t>基础油、添加剂等</w:t>
                  </w:r>
                </w:p>
              </w:tc>
              <w:tc>
                <w:tcPr>
                  <w:tcW w:w="587" w:type="dxa"/>
                  <w:tcBorders>
                    <w:tl2br w:val="nil"/>
                    <w:tr2bl w:val="nil"/>
                  </w:tcBorders>
                  <w:shd w:val="clear" w:color="auto" w:fill="auto"/>
                  <w:vAlign w:val="center"/>
                </w:tcPr>
                <w:p w14:paraId="77F23DF6">
                  <w:pPr>
                    <w:pStyle w:val="73"/>
                    <w:spacing w:line="240" w:lineRule="auto"/>
                    <w:rPr>
                      <w:rFonts w:ascii="Times New Roman" w:hAnsi="Times New Roman"/>
                      <w:color w:val="auto"/>
                      <w:sz w:val="21"/>
                      <w:szCs w:val="21"/>
                    </w:rPr>
                  </w:pPr>
                  <w:r>
                    <w:rPr>
                      <w:rFonts w:ascii="Times New Roman" w:hAnsi="Times New Roman"/>
                      <w:color w:val="auto"/>
                      <w:sz w:val="21"/>
                      <w:szCs w:val="21"/>
                    </w:rPr>
                    <w:t>1a</w:t>
                  </w:r>
                </w:p>
              </w:tc>
              <w:tc>
                <w:tcPr>
                  <w:tcW w:w="623" w:type="dxa"/>
                  <w:tcBorders>
                    <w:tl2br w:val="nil"/>
                    <w:tr2bl w:val="nil"/>
                  </w:tcBorders>
                  <w:shd w:val="clear" w:color="auto" w:fill="auto"/>
                  <w:vAlign w:val="center"/>
                </w:tcPr>
                <w:p w14:paraId="6C47F052">
                  <w:pPr>
                    <w:pStyle w:val="73"/>
                    <w:spacing w:line="240" w:lineRule="auto"/>
                    <w:rPr>
                      <w:rFonts w:ascii="Times New Roman" w:hAnsi="Times New Roman"/>
                      <w:color w:val="auto"/>
                      <w:sz w:val="21"/>
                      <w:szCs w:val="21"/>
                    </w:rPr>
                  </w:pPr>
                  <w:r>
                    <w:rPr>
                      <w:rFonts w:ascii="Times New Roman" w:hAnsi="Times New Roman"/>
                      <w:color w:val="auto"/>
                      <w:sz w:val="21"/>
                      <w:szCs w:val="21"/>
                    </w:rPr>
                    <w:t>T</w:t>
                  </w:r>
                  <w:r>
                    <w:rPr>
                      <w:rFonts w:hint="eastAsia" w:ascii="Times New Roman" w:hAnsi="Times New Roman"/>
                      <w:color w:val="auto"/>
                      <w:sz w:val="21"/>
                      <w:szCs w:val="21"/>
                    </w:rPr>
                    <w:t>，</w:t>
                  </w:r>
                  <w:r>
                    <w:rPr>
                      <w:rFonts w:ascii="Times New Roman" w:hAnsi="Times New Roman"/>
                      <w:color w:val="auto"/>
                      <w:sz w:val="21"/>
                      <w:szCs w:val="21"/>
                    </w:rPr>
                    <w:t>I</w:t>
                  </w:r>
                </w:p>
              </w:tc>
              <w:tc>
                <w:tcPr>
                  <w:tcW w:w="1006" w:type="dxa"/>
                  <w:vMerge w:val="continue"/>
                  <w:tcBorders>
                    <w:tl2br w:val="nil"/>
                    <w:tr2bl w:val="nil"/>
                  </w:tcBorders>
                  <w:shd w:val="clear" w:color="auto" w:fill="auto"/>
                  <w:vAlign w:val="center"/>
                </w:tcPr>
                <w:p w14:paraId="6927FCFE">
                  <w:pPr>
                    <w:jc w:val="center"/>
                    <w:rPr>
                      <w:rFonts w:cs="宋体"/>
                      <w:bCs/>
                      <w:szCs w:val="21"/>
                    </w:rPr>
                  </w:pPr>
                </w:p>
              </w:tc>
            </w:tr>
            <w:tr w14:paraId="04DFD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804" w:type="dxa"/>
                  <w:tcBorders>
                    <w:tl2br w:val="nil"/>
                    <w:tr2bl w:val="nil"/>
                  </w:tcBorders>
                  <w:shd w:val="clear" w:color="auto" w:fill="auto"/>
                  <w:vAlign w:val="center"/>
                </w:tcPr>
                <w:p w14:paraId="2298DA7D">
                  <w:pPr>
                    <w:jc w:val="center"/>
                    <w:rPr>
                      <w:bCs/>
                      <w:szCs w:val="21"/>
                    </w:rPr>
                  </w:pPr>
                  <w:r>
                    <w:rPr>
                      <w:rFonts w:hint="eastAsia"/>
                      <w:bCs/>
                      <w:szCs w:val="21"/>
                    </w:rPr>
                    <w:t>废润滑油桶</w:t>
                  </w:r>
                </w:p>
              </w:tc>
              <w:tc>
                <w:tcPr>
                  <w:tcW w:w="962" w:type="dxa"/>
                  <w:vMerge w:val="continue"/>
                  <w:tcBorders>
                    <w:tl2br w:val="nil"/>
                    <w:tr2bl w:val="nil"/>
                  </w:tcBorders>
                  <w:shd w:val="clear" w:color="auto" w:fill="auto"/>
                  <w:vAlign w:val="center"/>
                </w:tcPr>
                <w:p w14:paraId="73963AB1">
                  <w:pPr>
                    <w:jc w:val="center"/>
                    <w:rPr>
                      <w:rFonts w:cs="宋体"/>
                      <w:bCs/>
                      <w:szCs w:val="21"/>
                    </w:rPr>
                  </w:pPr>
                </w:p>
              </w:tc>
              <w:tc>
                <w:tcPr>
                  <w:tcW w:w="1311" w:type="dxa"/>
                  <w:tcBorders>
                    <w:tl2br w:val="nil"/>
                    <w:tr2bl w:val="nil"/>
                  </w:tcBorders>
                  <w:shd w:val="clear" w:color="auto" w:fill="auto"/>
                  <w:vAlign w:val="center"/>
                </w:tcPr>
                <w:p w14:paraId="7C4E33D5">
                  <w:pPr>
                    <w:jc w:val="center"/>
                    <w:rPr>
                      <w:bCs/>
                      <w:spacing w:val="6"/>
                      <w:szCs w:val="21"/>
                    </w:rPr>
                  </w:pPr>
                  <w:r>
                    <w:rPr>
                      <w:rFonts w:hint="eastAsia"/>
                      <w:szCs w:val="21"/>
                    </w:rPr>
                    <w:t>9</w:t>
                  </w:r>
                  <w:r>
                    <w:rPr>
                      <w:szCs w:val="21"/>
                    </w:rPr>
                    <w:t>00-</w:t>
                  </w:r>
                  <w:r>
                    <w:rPr>
                      <w:rFonts w:hint="eastAsia"/>
                      <w:szCs w:val="21"/>
                    </w:rPr>
                    <w:t>249</w:t>
                  </w:r>
                  <w:r>
                    <w:rPr>
                      <w:szCs w:val="21"/>
                    </w:rPr>
                    <w:t>-</w:t>
                  </w:r>
                  <w:r>
                    <w:rPr>
                      <w:rFonts w:hint="eastAsia"/>
                      <w:szCs w:val="21"/>
                    </w:rPr>
                    <w:t>08</w:t>
                  </w:r>
                </w:p>
              </w:tc>
              <w:tc>
                <w:tcPr>
                  <w:tcW w:w="798" w:type="dxa"/>
                  <w:tcBorders>
                    <w:tl2br w:val="nil"/>
                    <w:tr2bl w:val="nil"/>
                  </w:tcBorders>
                  <w:shd w:val="clear" w:color="auto" w:fill="auto"/>
                  <w:vAlign w:val="center"/>
                </w:tcPr>
                <w:p w14:paraId="22123EB1">
                  <w:pPr>
                    <w:jc w:val="center"/>
                    <w:rPr>
                      <w:rFonts w:cs="宋体"/>
                      <w:bCs/>
                      <w:szCs w:val="21"/>
                    </w:rPr>
                  </w:pPr>
                  <w:r>
                    <w:rPr>
                      <w:rFonts w:hint="eastAsia" w:cs="宋体"/>
                      <w:bCs/>
                      <w:szCs w:val="21"/>
                    </w:rPr>
                    <w:t>0.</w:t>
                  </w:r>
                  <w:r>
                    <w:rPr>
                      <w:rFonts w:cs="宋体"/>
                      <w:bCs/>
                      <w:szCs w:val="21"/>
                    </w:rPr>
                    <w:t>01</w:t>
                  </w:r>
                </w:p>
              </w:tc>
              <w:tc>
                <w:tcPr>
                  <w:tcW w:w="866" w:type="dxa"/>
                  <w:vMerge w:val="continue"/>
                  <w:tcBorders>
                    <w:tl2br w:val="nil"/>
                    <w:tr2bl w:val="nil"/>
                  </w:tcBorders>
                  <w:shd w:val="clear" w:color="auto" w:fill="auto"/>
                  <w:vAlign w:val="center"/>
                </w:tcPr>
                <w:p w14:paraId="00383BC8">
                  <w:pPr>
                    <w:jc w:val="center"/>
                    <w:rPr>
                      <w:rFonts w:cs="宋体"/>
                      <w:bCs/>
                      <w:szCs w:val="21"/>
                    </w:rPr>
                  </w:pPr>
                </w:p>
              </w:tc>
              <w:tc>
                <w:tcPr>
                  <w:tcW w:w="486" w:type="dxa"/>
                  <w:tcBorders>
                    <w:tl2br w:val="nil"/>
                    <w:tr2bl w:val="nil"/>
                  </w:tcBorders>
                  <w:shd w:val="clear" w:color="auto" w:fill="auto"/>
                  <w:vAlign w:val="center"/>
                </w:tcPr>
                <w:p w14:paraId="0B1AA952">
                  <w:pPr>
                    <w:jc w:val="center"/>
                    <w:rPr>
                      <w:rFonts w:cs="宋体"/>
                      <w:bCs/>
                      <w:szCs w:val="21"/>
                    </w:rPr>
                  </w:pPr>
                  <w:r>
                    <w:rPr>
                      <w:rFonts w:hint="eastAsia" w:cs="宋体"/>
                      <w:bCs/>
                      <w:szCs w:val="21"/>
                    </w:rPr>
                    <w:t>固态</w:t>
                  </w:r>
                </w:p>
              </w:tc>
              <w:tc>
                <w:tcPr>
                  <w:tcW w:w="926" w:type="dxa"/>
                  <w:tcBorders>
                    <w:tl2br w:val="nil"/>
                    <w:tr2bl w:val="nil"/>
                  </w:tcBorders>
                  <w:shd w:val="clear" w:color="auto" w:fill="auto"/>
                  <w:vAlign w:val="center"/>
                </w:tcPr>
                <w:p w14:paraId="5C5D5E08">
                  <w:pPr>
                    <w:jc w:val="center"/>
                    <w:rPr>
                      <w:rFonts w:cs="宋体"/>
                      <w:bCs/>
                      <w:szCs w:val="21"/>
                    </w:rPr>
                  </w:pPr>
                  <w:r>
                    <w:rPr>
                      <w:szCs w:val="21"/>
                    </w:rPr>
                    <w:t>基础油、添加剂等</w:t>
                  </w:r>
                </w:p>
              </w:tc>
              <w:tc>
                <w:tcPr>
                  <w:tcW w:w="587" w:type="dxa"/>
                  <w:tcBorders>
                    <w:tl2br w:val="nil"/>
                    <w:tr2bl w:val="nil"/>
                  </w:tcBorders>
                  <w:shd w:val="clear" w:color="auto" w:fill="auto"/>
                  <w:vAlign w:val="center"/>
                </w:tcPr>
                <w:p w14:paraId="456F4692">
                  <w:pPr>
                    <w:pStyle w:val="73"/>
                    <w:spacing w:line="240" w:lineRule="auto"/>
                    <w:rPr>
                      <w:rFonts w:ascii="Times New Roman" w:hAnsi="Times New Roman"/>
                      <w:color w:val="auto"/>
                      <w:sz w:val="21"/>
                      <w:szCs w:val="21"/>
                    </w:rPr>
                  </w:pPr>
                  <w:r>
                    <w:rPr>
                      <w:rFonts w:ascii="Times New Roman" w:hAnsi="Times New Roman"/>
                      <w:color w:val="auto"/>
                      <w:sz w:val="21"/>
                      <w:szCs w:val="21"/>
                    </w:rPr>
                    <w:t>1a</w:t>
                  </w:r>
                </w:p>
              </w:tc>
              <w:tc>
                <w:tcPr>
                  <w:tcW w:w="623" w:type="dxa"/>
                  <w:tcBorders>
                    <w:tl2br w:val="nil"/>
                    <w:tr2bl w:val="nil"/>
                  </w:tcBorders>
                  <w:shd w:val="clear" w:color="auto" w:fill="auto"/>
                  <w:vAlign w:val="center"/>
                </w:tcPr>
                <w:p w14:paraId="4C034C07">
                  <w:pPr>
                    <w:pStyle w:val="73"/>
                    <w:spacing w:line="240" w:lineRule="auto"/>
                    <w:rPr>
                      <w:rFonts w:ascii="Times New Roman" w:hAnsi="Times New Roman"/>
                      <w:color w:val="auto"/>
                      <w:sz w:val="21"/>
                      <w:szCs w:val="21"/>
                    </w:rPr>
                  </w:pPr>
                  <w:r>
                    <w:rPr>
                      <w:rFonts w:ascii="Times New Roman" w:hAnsi="Times New Roman"/>
                      <w:color w:val="auto"/>
                      <w:sz w:val="21"/>
                      <w:szCs w:val="21"/>
                    </w:rPr>
                    <w:t>T</w:t>
                  </w:r>
                  <w:r>
                    <w:rPr>
                      <w:rFonts w:hint="eastAsia" w:ascii="Times New Roman" w:hAnsi="Times New Roman"/>
                      <w:color w:val="auto"/>
                      <w:sz w:val="21"/>
                      <w:szCs w:val="21"/>
                    </w:rPr>
                    <w:t>，</w:t>
                  </w:r>
                  <w:r>
                    <w:rPr>
                      <w:rFonts w:ascii="Times New Roman" w:hAnsi="Times New Roman"/>
                      <w:color w:val="auto"/>
                      <w:sz w:val="21"/>
                      <w:szCs w:val="21"/>
                    </w:rPr>
                    <w:t>I</w:t>
                  </w:r>
                </w:p>
              </w:tc>
              <w:tc>
                <w:tcPr>
                  <w:tcW w:w="1006" w:type="dxa"/>
                  <w:vMerge w:val="continue"/>
                  <w:tcBorders>
                    <w:tl2br w:val="nil"/>
                    <w:tr2bl w:val="nil"/>
                  </w:tcBorders>
                  <w:shd w:val="clear" w:color="auto" w:fill="auto"/>
                  <w:vAlign w:val="center"/>
                </w:tcPr>
                <w:p w14:paraId="12404E9B">
                  <w:pPr>
                    <w:jc w:val="center"/>
                    <w:rPr>
                      <w:rFonts w:cs="宋体"/>
                      <w:bCs/>
                      <w:szCs w:val="21"/>
                    </w:rPr>
                  </w:pPr>
                </w:p>
              </w:tc>
            </w:tr>
          </w:tbl>
          <w:p w14:paraId="5720849D">
            <w:pPr>
              <w:spacing w:line="360" w:lineRule="auto"/>
              <w:ind w:firstLine="482" w:firstLineChars="200"/>
              <w:rPr>
                <w:sz w:val="24"/>
              </w:rPr>
            </w:pPr>
            <w:r>
              <w:rPr>
                <w:rFonts w:hint="eastAsia"/>
                <w:b/>
                <w:sz w:val="24"/>
                <w:u w:val="single"/>
              </w:rPr>
              <w:t>评价要求</w:t>
            </w:r>
            <w:r>
              <w:rPr>
                <w:rFonts w:hint="eastAsia" w:ascii="宋体" w:cs="宋体"/>
                <w:b/>
                <w:kern w:val="0"/>
                <w:sz w:val="24"/>
                <w:u w:val="single"/>
              </w:rPr>
              <w:t>厂区</w:t>
            </w:r>
            <w:r>
              <w:rPr>
                <w:rFonts w:hint="eastAsia"/>
                <w:b/>
                <w:sz w:val="24"/>
                <w:u w:val="single"/>
              </w:rPr>
              <w:t>设置10</w:t>
            </w:r>
            <w:r>
              <w:rPr>
                <w:b/>
                <w:sz w:val="24"/>
                <w:u w:val="single"/>
              </w:rPr>
              <w:t>m</w:t>
            </w:r>
            <w:r>
              <w:rPr>
                <w:b/>
                <w:sz w:val="24"/>
                <w:u w:val="single"/>
                <w:vertAlign w:val="superscript"/>
              </w:rPr>
              <w:t>2</w:t>
            </w:r>
            <w:r>
              <w:rPr>
                <w:rFonts w:hint="eastAsia"/>
                <w:b/>
                <w:sz w:val="24"/>
                <w:u w:val="single"/>
              </w:rPr>
              <w:t>危废暂存间暂存危险废物，位于生产车间东北侧</w:t>
            </w:r>
            <w:r>
              <w:rPr>
                <w:rFonts w:hint="eastAsia"/>
                <w:sz w:val="24"/>
              </w:rPr>
              <w:t>，定期将危险废物交由有资质单位处置，危废暂存间建设需符合《危险废物贮存污染控制标准》（</w:t>
            </w:r>
            <w:r>
              <w:rPr>
                <w:sz w:val="24"/>
              </w:rPr>
              <w:t>GB18597-20</w:t>
            </w:r>
            <w:r>
              <w:rPr>
                <w:rFonts w:hint="eastAsia"/>
                <w:sz w:val="24"/>
              </w:rPr>
              <w:t>23）及《建设项目危险废物环境影响评价指南》（环境保护部公告</w:t>
            </w:r>
            <w:r>
              <w:rPr>
                <w:sz w:val="24"/>
              </w:rPr>
              <w:t>[2017]43</w:t>
            </w:r>
            <w:r>
              <w:rPr>
                <w:rFonts w:hint="eastAsia"/>
                <w:sz w:val="24"/>
              </w:rPr>
              <w:t>号）要求进行设计、运行和贮存，</w:t>
            </w:r>
            <w:r>
              <w:rPr>
                <w:rFonts w:hint="eastAsia"/>
                <w:b/>
                <w:sz w:val="24"/>
                <w:u w:val="single"/>
              </w:rPr>
              <w:t>危废贮存应注意“四防”（防风、防雨、防晒、防渗漏），并在存储容器上张贴标签、张贴警示标识；建设单位必须做好危险废物情况的记录，记录上注明危险废物的名称、来源、数量、特征和包装容器的类别、入库日期、存放库位、废物出库日期及接收单位的名称，为防止危险废物散落、泄漏，必须定期对贮存危险废物的包装容器及危废暂存间进行检查，发现破损，应及时采取措施清理更换。本次评价建议建设单位危废间按照相关要求将废活性炭、废润滑油等危废</w:t>
            </w:r>
            <w:r>
              <w:rPr>
                <w:b/>
                <w:sz w:val="24"/>
                <w:u w:val="single"/>
              </w:rPr>
              <w:t>使用密闭容器</w:t>
            </w:r>
            <w:r>
              <w:rPr>
                <w:rFonts w:hint="eastAsia"/>
                <w:b/>
                <w:sz w:val="24"/>
                <w:u w:val="single"/>
              </w:rPr>
              <w:t>进行包装后封口</w:t>
            </w:r>
            <w:r>
              <w:rPr>
                <w:b/>
                <w:sz w:val="24"/>
                <w:u w:val="single"/>
              </w:rPr>
              <w:t>暂存于</w:t>
            </w:r>
            <w:r>
              <w:rPr>
                <w:rFonts w:hint="eastAsia"/>
                <w:b/>
                <w:sz w:val="24"/>
                <w:u w:val="single"/>
              </w:rPr>
              <w:t>危废暂存间，废包装桶加盖密闭暂存，</w:t>
            </w:r>
            <w:r>
              <w:rPr>
                <w:b/>
                <w:sz w:val="24"/>
                <w:u w:val="single"/>
              </w:rPr>
              <w:t>同时评价要求企业危废间设置废气收集装置，废气引入二级活性炭吸附装置处理后排放</w:t>
            </w:r>
            <w:r>
              <w:rPr>
                <w:rFonts w:hint="eastAsia"/>
                <w:sz w:val="24"/>
              </w:rPr>
              <w:t>。本项目危险废物贮存场所基本情况见下表。</w:t>
            </w:r>
          </w:p>
          <w:p w14:paraId="120EF422">
            <w:pPr>
              <w:pStyle w:val="61"/>
              <w:ind w:firstLine="480"/>
              <w:rPr>
                <w:rFonts w:eastAsia="宋体"/>
                <w:sz w:val="24"/>
              </w:rPr>
            </w:pPr>
            <w:r>
              <w:rPr>
                <w:rFonts w:hAnsi="宋体" w:eastAsia="宋体"/>
                <w:sz w:val="24"/>
              </w:rPr>
              <w:t>表</w:t>
            </w:r>
            <w:r>
              <w:rPr>
                <w:rFonts w:eastAsia="宋体"/>
                <w:sz w:val="24"/>
              </w:rPr>
              <w:t>32</w:t>
            </w:r>
            <w:r>
              <w:rPr>
                <w:rFonts w:hint="eastAsia" w:eastAsia="宋体"/>
                <w:sz w:val="24"/>
              </w:rPr>
              <w:t xml:space="preserve">    </w:t>
            </w:r>
            <w:r>
              <w:rPr>
                <w:rFonts w:hAnsi="宋体" w:eastAsia="宋体"/>
                <w:sz w:val="24"/>
              </w:rPr>
              <w:t>危险废物贮存场所基本情况一览表</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99"/>
              <w:gridCol w:w="727"/>
              <w:gridCol w:w="1017"/>
              <w:gridCol w:w="1555"/>
              <w:gridCol w:w="1129"/>
              <w:gridCol w:w="703"/>
              <w:gridCol w:w="596"/>
              <w:gridCol w:w="1109"/>
              <w:gridCol w:w="509"/>
              <w:gridCol w:w="605"/>
            </w:tblGrid>
            <w:tr w14:paraId="21B7D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296" w:type="pct"/>
                  <w:vAlign w:val="center"/>
                </w:tcPr>
                <w:p w14:paraId="6491EE0A">
                  <w:pPr>
                    <w:pStyle w:val="63"/>
                    <w:rPr>
                      <w:szCs w:val="21"/>
                    </w:rPr>
                  </w:pPr>
                  <w:r>
                    <w:rPr>
                      <w:szCs w:val="21"/>
                    </w:rPr>
                    <w:t>序号</w:t>
                  </w:r>
                </w:p>
              </w:tc>
              <w:tc>
                <w:tcPr>
                  <w:tcW w:w="430" w:type="pct"/>
                  <w:vAlign w:val="center"/>
                </w:tcPr>
                <w:p w14:paraId="6753C7FB">
                  <w:pPr>
                    <w:pStyle w:val="63"/>
                    <w:rPr>
                      <w:szCs w:val="21"/>
                    </w:rPr>
                  </w:pPr>
                  <w:r>
                    <w:rPr>
                      <w:szCs w:val="21"/>
                    </w:rPr>
                    <w:t>贮存场所名称</w:t>
                  </w:r>
                </w:p>
              </w:tc>
              <w:tc>
                <w:tcPr>
                  <w:tcW w:w="602" w:type="pct"/>
                  <w:vAlign w:val="center"/>
                </w:tcPr>
                <w:p w14:paraId="69929410">
                  <w:pPr>
                    <w:pStyle w:val="63"/>
                    <w:rPr>
                      <w:szCs w:val="21"/>
                    </w:rPr>
                  </w:pPr>
                  <w:r>
                    <w:rPr>
                      <w:szCs w:val="21"/>
                    </w:rPr>
                    <w:t>危险废物名称</w:t>
                  </w:r>
                </w:p>
              </w:tc>
              <w:tc>
                <w:tcPr>
                  <w:tcW w:w="920" w:type="pct"/>
                  <w:vAlign w:val="center"/>
                </w:tcPr>
                <w:p w14:paraId="7F6E5F18">
                  <w:pPr>
                    <w:pStyle w:val="63"/>
                    <w:rPr>
                      <w:szCs w:val="21"/>
                    </w:rPr>
                  </w:pPr>
                  <w:r>
                    <w:rPr>
                      <w:szCs w:val="21"/>
                    </w:rPr>
                    <w:t>危险废物类别</w:t>
                  </w:r>
                </w:p>
              </w:tc>
              <w:tc>
                <w:tcPr>
                  <w:tcW w:w="668" w:type="pct"/>
                  <w:vAlign w:val="center"/>
                </w:tcPr>
                <w:p w14:paraId="226AA10F">
                  <w:pPr>
                    <w:pStyle w:val="63"/>
                    <w:rPr>
                      <w:szCs w:val="21"/>
                    </w:rPr>
                  </w:pPr>
                  <w:r>
                    <w:rPr>
                      <w:szCs w:val="21"/>
                    </w:rPr>
                    <w:t>危险废物</w:t>
                  </w:r>
                </w:p>
                <w:p w14:paraId="5F3D7AA6">
                  <w:pPr>
                    <w:pStyle w:val="63"/>
                    <w:rPr>
                      <w:szCs w:val="21"/>
                    </w:rPr>
                  </w:pPr>
                  <w:r>
                    <w:rPr>
                      <w:szCs w:val="21"/>
                    </w:rPr>
                    <w:t>代码</w:t>
                  </w:r>
                </w:p>
              </w:tc>
              <w:tc>
                <w:tcPr>
                  <w:tcW w:w="416" w:type="pct"/>
                  <w:vAlign w:val="center"/>
                </w:tcPr>
                <w:p w14:paraId="528681EF">
                  <w:pPr>
                    <w:pStyle w:val="63"/>
                    <w:rPr>
                      <w:szCs w:val="21"/>
                    </w:rPr>
                  </w:pPr>
                  <w:r>
                    <w:rPr>
                      <w:rFonts w:hint="eastAsia"/>
                      <w:szCs w:val="21"/>
                    </w:rPr>
                    <w:t>危废间</w:t>
                  </w:r>
                  <w:r>
                    <w:rPr>
                      <w:szCs w:val="21"/>
                    </w:rPr>
                    <w:t>位置</w:t>
                  </w:r>
                </w:p>
              </w:tc>
              <w:tc>
                <w:tcPr>
                  <w:tcW w:w="353" w:type="pct"/>
                  <w:vAlign w:val="center"/>
                </w:tcPr>
                <w:p w14:paraId="13F70978">
                  <w:pPr>
                    <w:pStyle w:val="63"/>
                    <w:rPr>
                      <w:szCs w:val="21"/>
                    </w:rPr>
                  </w:pPr>
                  <w:r>
                    <w:rPr>
                      <w:szCs w:val="21"/>
                    </w:rPr>
                    <w:t>占地</w:t>
                  </w:r>
                </w:p>
                <w:p w14:paraId="36188422">
                  <w:pPr>
                    <w:pStyle w:val="63"/>
                    <w:rPr>
                      <w:szCs w:val="21"/>
                    </w:rPr>
                  </w:pPr>
                  <w:r>
                    <w:rPr>
                      <w:szCs w:val="21"/>
                    </w:rPr>
                    <w:t>面积</w:t>
                  </w:r>
                </w:p>
              </w:tc>
              <w:tc>
                <w:tcPr>
                  <w:tcW w:w="656" w:type="pct"/>
                  <w:vAlign w:val="center"/>
                </w:tcPr>
                <w:p w14:paraId="0442C4DA">
                  <w:pPr>
                    <w:pStyle w:val="63"/>
                    <w:rPr>
                      <w:szCs w:val="21"/>
                    </w:rPr>
                  </w:pPr>
                  <w:r>
                    <w:rPr>
                      <w:szCs w:val="21"/>
                    </w:rPr>
                    <w:t>贮存方式</w:t>
                  </w:r>
                </w:p>
              </w:tc>
              <w:tc>
                <w:tcPr>
                  <w:tcW w:w="301" w:type="pct"/>
                  <w:vAlign w:val="center"/>
                </w:tcPr>
                <w:p w14:paraId="3C6AEC39">
                  <w:pPr>
                    <w:pStyle w:val="63"/>
                    <w:rPr>
                      <w:szCs w:val="21"/>
                    </w:rPr>
                  </w:pPr>
                  <w:r>
                    <w:rPr>
                      <w:szCs w:val="21"/>
                    </w:rPr>
                    <w:t>贮存能力</w:t>
                  </w:r>
                </w:p>
              </w:tc>
              <w:tc>
                <w:tcPr>
                  <w:tcW w:w="359" w:type="pct"/>
                  <w:vAlign w:val="center"/>
                </w:tcPr>
                <w:p w14:paraId="3F24A923">
                  <w:pPr>
                    <w:pStyle w:val="63"/>
                    <w:rPr>
                      <w:szCs w:val="21"/>
                    </w:rPr>
                  </w:pPr>
                  <w:r>
                    <w:rPr>
                      <w:szCs w:val="21"/>
                    </w:rPr>
                    <w:t>贮存</w:t>
                  </w:r>
                </w:p>
                <w:p w14:paraId="71ABEF15">
                  <w:pPr>
                    <w:pStyle w:val="63"/>
                    <w:rPr>
                      <w:szCs w:val="21"/>
                    </w:rPr>
                  </w:pPr>
                  <w:r>
                    <w:rPr>
                      <w:szCs w:val="21"/>
                    </w:rPr>
                    <w:t>周期</w:t>
                  </w:r>
                </w:p>
              </w:tc>
            </w:tr>
            <w:tr w14:paraId="539B5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296" w:type="pct"/>
                  <w:vAlign w:val="center"/>
                </w:tcPr>
                <w:p w14:paraId="2EC64A81">
                  <w:pPr>
                    <w:pStyle w:val="63"/>
                    <w:rPr>
                      <w:szCs w:val="21"/>
                    </w:rPr>
                  </w:pPr>
                  <w:r>
                    <w:rPr>
                      <w:szCs w:val="21"/>
                    </w:rPr>
                    <w:t>1</w:t>
                  </w:r>
                </w:p>
              </w:tc>
              <w:tc>
                <w:tcPr>
                  <w:tcW w:w="430" w:type="pct"/>
                  <w:vMerge w:val="restart"/>
                  <w:vAlign w:val="center"/>
                </w:tcPr>
                <w:p w14:paraId="0FF50AEB">
                  <w:pPr>
                    <w:pStyle w:val="63"/>
                    <w:rPr>
                      <w:szCs w:val="21"/>
                    </w:rPr>
                  </w:pPr>
                  <w:r>
                    <w:rPr>
                      <w:szCs w:val="21"/>
                    </w:rPr>
                    <w:t>危废暂存间</w:t>
                  </w:r>
                </w:p>
              </w:tc>
              <w:tc>
                <w:tcPr>
                  <w:tcW w:w="602" w:type="pct"/>
                  <w:vAlign w:val="center"/>
                </w:tcPr>
                <w:p w14:paraId="4588FB96">
                  <w:pPr>
                    <w:pStyle w:val="63"/>
                    <w:rPr>
                      <w:szCs w:val="21"/>
                    </w:rPr>
                  </w:pPr>
                  <w:r>
                    <w:rPr>
                      <w:rFonts w:hint="eastAsia"/>
                      <w:szCs w:val="21"/>
                    </w:rPr>
                    <w:t>废活性炭</w:t>
                  </w:r>
                </w:p>
              </w:tc>
              <w:tc>
                <w:tcPr>
                  <w:tcW w:w="920" w:type="pct"/>
                  <w:vAlign w:val="center"/>
                </w:tcPr>
                <w:p w14:paraId="552D9262">
                  <w:pPr>
                    <w:pStyle w:val="63"/>
                    <w:rPr>
                      <w:szCs w:val="21"/>
                    </w:rPr>
                  </w:pPr>
                  <w:r>
                    <w:rPr>
                      <w:rFonts w:hint="eastAsia"/>
                      <w:szCs w:val="21"/>
                    </w:rPr>
                    <w:t>HW49其他废物</w:t>
                  </w:r>
                </w:p>
              </w:tc>
              <w:tc>
                <w:tcPr>
                  <w:tcW w:w="668" w:type="pct"/>
                  <w:vAlign w:val="center"/>
                </w:tcPr>
                <w:p w14:paraId="4541C9B1">
                  <w:pPr>
                    <w:pStyle w:val="63"/>
                    <w:rPr>
                      <w:szCs w:val="21"/>
                    </w:rPr>
                  </w:pPr>
                  <w:r>
                    <w:rPr>
                      <w:rFonts w:hint="eastAsia"/>
                      <w:szCs w:val="21"/>
                    </w:rPr>
                    <w:t>900-039-49</w:t>
                  </w:r>
                </w:p>
              </w:tc>
              <w:tc>
                <w:tcPr>
                  <w:tcW w:w="416" w:type="pct"/>
                  <w:vMerge w:val="restart"/>
                  <w:vAlign w:val="center"/>
                </w:tcPr>
                <w:p w14:paraId="3B0CDAB3">
                  <w:pPr>
                    <w:pStyle w:val="63"/>
                    <w:rPr>
                      <w:szCs w:val="21"/>
                    </w:rPr>
                  </w:pPr>
                  <w:r>
                    <w:rPr>
                      <w:rFonts w:hint="eastAsia"/>
                      <w:szCs w:val="21"/>
                    </w:rPr>
                    <w:t>车间北侧</w:t>
                  </w:r>
                </w:p>
              </w:tc>
              <w:tc>
                <w:tcPr>
                  <w:tcW w:w="353" w:type="pct"/>
                  <w:vMerge w:val="restart"/>
                  <w:vAlign w:val="center"/>
                </w:tcPr>
                <w:p w14:paraId="3E7B5CB5">
                  <w:pPr>
                    <w:pStyle w:val="63"/>
                    <w:rPr>
                      <w:szCs w:val="21"/>
                    </w:rPr>
                  </w:pPr>
                  <w:r>
                    <w:rPr>
                      <w:rFonts w:hint="eastAsia"/>
                      <w:szCs w:val="21"/>
                    </w:rPr>
                    <w:t>10</w:t>
                  </w:r>
                  <w:r>
                    <w:rPr>
                      <w:szCs w:val="21"/>
                    </w:rPr>
                    <w:t>m</w:t>
                  </w:r>
                  <w:r>
                    <w:rPr>
                      <w:szCs w:val="21"/>
                      <w:vertAlign w:val="superscript"/>
                    </w:rPr>
                    <w:t>2</w:t>
                  </w:r>
                </w:p>
              </w:tc>
              <w:tc>
                <w:tcPr>
                  <w:tcW w:w="656" w:type="pct"/>
                  <w:vMerge w:val="restart"/>
                  <w:vAlign w:val="center"/>
                </w:tcPr>
                <w:p w14:paraId="191034BB">
                  <w:pPr>
                    <w:pStyle w:val="63"/>
                    <w:rPr>
                      <w:szCs w:val="21"/>
                    </w:rPr>
                  </w:pPr>
                  <w:r>
                    <w:rPr>
                      <w:szCs w:val="21"/>
                    </w:rPr>
                    <w:t>密闭</w:t>
                  </w:r>
                  <w:r>
                    <w:rPr>
                      <w:rFonts w:hint="eastAsia"/>
                      <w:szCs w:val="21"/>
                    </w:rPr>
                    <w:t>容器</w:t>
                  </w:r>
                  <w:r>
                    <w:rPr>
                      <w:szCs w:val="21"/>
                    </w:rPr>
                    <w:t>贮存</w:t>
                  </w:r>
                </w:p>
              </w:tc>
              <w:tc>
                <w:tcPr>
                  <w:tcW w:w="301" w:type="pct"/>
                  <w:vMerge w:val="restart"/>
                  <w:vAlign w:val="center"/>
                </w:tcPr>
                <w:p w14:paraId="26840324">
                  <w:pPr>
                    <w:pStyle w:val="63"/>
                    <w:rPr>
                      <w:szCs w:val="21"/>
                    </w:rPr>
                  </w:pPr>
                  <w:r>
                    <w:rPr>
                      <w:szCs w:val="21"/>
                    </w:rPr>
                    <w:t>10t</w:t>
                  </w:r>
                </w:p>
              </w:tc>
              <w:tc>
                <w:tcPr>
                  <w:tcW w:w="359" w:type="pct"/>
                  <w:vMerge w:val="restart"/>
                  <w:vAlign w:val="center"/>
                </w:tcPr>
                <w:p w14:paraId="70CAD162">
                  <w:pPr>
                    <w:pStyle w:val="63"/>
                    <w:rPr>
                      <w:szCs w:val="21"/>
                    </w:rPr>
                  </w:pPr>
                  <w:r>
                    <w:rPr>
                      <w:szCs w:val="21"/>
                    </w:rPr>
                    <w:t>90d</w:t>
                  </w:r>
                </w:p>
              </w:tc>
            </w:tr>
            <w:tr w14:paraId="69648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296" w:type="pct"/>
                  <w:vAlign w:val="center"/>
                </w:tcPr>
                <w:p w14:paraId="496A3C8D">
                  <w:pPr>
                    <w:pStyle w:val="63"/>
                    <w:rPr>
                      <w:szCs w:val="21"/>
                    </w:rPr>
                  </w:pPr>
                  <w:r>
                    <w:rPr>
                      <w:rFonts w:hint="eastAsia"/>
                      <w:szCs w:val="21"/>
                    </w:rPr>
                    <w:t>2</w:t>
                  </w:r>
                </w:p>
              </w:tc>
              <w:tc>
                <w:tcPr>
                  <w:tcW w:w="430" w:type="pct"/>
                  <w:vMerge w:val="continue"/>
                  <w:vAlign w:val="center"/>
                </w:tcPr>
                <w:p w14:paraId="6E75766A">
                  <w:pPr>
                    <w:pStyle w:val="63"/>
                    <w:rPr>
                      <w:szCs w:val="21"/>
                    </w:rPr>
                  </w:pPr>
                </w:p>
              </w:tc>
              <w:tc>
                <w:tcPr>
                  <w:tcW w:w="602" w:type="pct"/>
                  <w:vAlign w:val="center"/>
                </w:tcPr>
                <w:p w14:paraId="532F8924">
                  <w:pPr>
                    <w:pStyle w:val="73"/>
                    <w:spacing w:line="240" w:lineRule="auto"/>
                    <w:rPr>
                      <w:rFonts w:ascii="Times New Roman" w:hAnsi="Times New Roman"/>
                      <w:color w:val="auto"/>
                      <w:sz w:val="21"/>
                      <w:szCs w:val="21"/>
                    </w:rPr>
                  </w:pPr>
                  <w:r>
                    <w:rPr>
                      <w:rFonts w:ascii="Times New Roman" w:hAnsi="Times New Roman"/>
                      <w:color w:val="auto"/>
                      <w:sz w:val="21"/>
                      <w:szCs w:val="21"/>
                    </w:rPr>
                    <w:t>废</w:t>
                  </w:r>
                  <w:r>
                    <w:rPr>
                      <w:rFonts w:hint="eastAsia" w:ascii="Times New Roman" w:hAnsi="Times New Roman"/>
                      <w:color w:val="auto"/>
                      <w:sz w:val="21"/>
                      <w:szCs w:val="21"/>
                    </w:rPr>
                    <w:t>润滑油</w:t>
                  </w:r>
                </w:p>
              </w:tc>
              <w:tc>
                <w:tcPr>
                  <w:tcW w:w="920" w:type="pct"/>
                  <w:vMerge w:val="restart"/>
                  <w:vAlign w:val="center"/>
                </w:tcPr>
                <w:p w14:paraId="2C7B2817">
                  <w:pPr>
                    <w:pStyle w:val="73"/>
                    <w:spacing w:line="240" w:lineRule="auto"/>
                    <w:rPr>
                      <w:rFonts w:ascii="Times New Roman" w:hAnsi="Times New Roman"/>
                      <w:color w:val="auto"/>
                      <w:sz w:val="21"/>
                      <w:szCs w:val="21"/>
                    </w:rPr>
                  </w:pPr>
                  <w:r>
                    <w:rPr>
                      <w:rFonts w:ascii="Times New Roman" w:hAnsi="Times New Roman"/>
                      <w:bCs/>
                      <w:color w:val="auto"/>
                      <w:sz w:val="21"/>
                      <w:szCs w:val="21"/>
                    </w:rPr>
                    <w:t>HW08废矿物油与含矿物油废物</w:t>
                  </w:r>
                </w:p>
              </w:tc>
              <w:tc>
                <w:tcPr>
                  <w:tcW w:w="668" w:type="pct"/>
                  <w:vAlign w:val="center"/>
                </w:tcPr>
                <w:p w14:paraId="46CFBEB7">
                  <w:pPr>
                    <w:pStyle w:val="73"/>
                    <w:spacing w:line="240" w:lineRule="auto"/>
                    <w:rPr>
                      <w:rFonts w:ascii="Times New Roman" w:hAnsi="Times New Roman"/>
                      <w:color w:val="auto"/>
                      <w:sz w:val="21"/>
                      <w:szCs w:val="21"/>
                    </w:rPr>
                  </w:pPr>
                  <w:r>
                    <w:rPr>
                      <w:rFonts w:ascii="Times New Roman" w:hAnsi="Times New Roman"/>
                      <w:bCs/>
                      <w:color w:val="auto"/>
                      <w:sz w:val="21"/>
                      <w:szCs w:val="21"/>
                    </w:rPr>
                    <w:t>900-214-08</w:t>
                  </w:r>
                </w:p>
              </w:tc>
              <w:tc>
                <w:tcPr>
                  <w:tcW w:w="416" w:type="pct"/>
                  <w:vMerge w:val="continue"/>
                  <w:vAlign w:val="center"/>
                </w:tcPr>
                <w:p w14:paraId="02F30E28">
                  <w:pPr>
                    <w:pStyle w:val="63"/>
                    <w:rPr>
                      <w:szCs w:val="21"/>
                    </w:rPr>
                  </w:pPr>
                </w:p>
              </w:tc>
              <w:tc>
                <w:tcPr>
                  <w:tcW w:w="353" w:type="pct"/>
                  <w:vMerge w:val="continue"/>
                  <w:vAlign w:val="center"/>
                </w:tcPr>
                <w:p w14:paraId="2543F6E5">
                  <w:pPr>
                    <w:pStyle w:val="63"/>
                    <w:rPr>
                      <w:szCs w:val="21"/>
                    </w:rPr>
                  </w:pPr>
                </w:p>
              </w:tc>
              <w:tc>
                <w:tcPr>
                  <w:tcW w:w="656" w:type="pct"/>
                  <w:vMerge w:val="continue"/>
                  <w:vAlign w:val="center"/>
                </w:tcPr>
                <w:p w14:paraId="6F8F91A6">
                  <w:pPr>
                    <w:pStyle w:val="63"/>
                    <w:rPr>
                      <w:szCs w:val="21"/>
                    </w:rPr>
                  </w:pPr>
                </w:p>
              </w:tc>
              <w:tc>
                <w:tcPr>
                  <w:tcW w:w="301" w:type="pct"/>
                  <w:vMerge w:val="continue"/>
                  <w:vAlign w:val="center"/>
                </w:tcPr>
                <w:p w14:paraId="6336E345">
                  <w:pPr>
                    <w:pStyle w:val="63"/>
                    <w:rPr>
                      <w:szCs w:val="21"/>
                    </w:rPr>
                  </w:pPr>
                </w:p>
              </w:tc>
              <w:tc>
                <w:tcPr>
                  <w:tcW w:w="359" w:type="pct"/>
                  <w:vMerge w:val="continue"/>
                  <w:vAlign w:val="center"/>
                </w:tcPr>
                <w:p w14:paraId="17C7C386">
                  <w:pPr>
                    <w:pStyle w:val="63"/>
                    <w:rPr>
                      <w:szCs w:val="21"/>
                    </w:rPr>
                  </w:pPr>
                </w:p>
              </w:tc>
            </w:tr>
            <w:tr w14:paraId="122E9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296" w:type="pct"/>
                  <w:vAlign w:val="center"/>
                </w:tcPr>
                <w:p w14:paraId="676908A5">
                  <w:pPr>
                    <w:pStyle w:val="63"/>
                    <w:rPr>
                      <w:szCs w:val="21"/>
                    </w:rPr>
                  </w:pPr>
                  <w:r>
                    <w:rPr>
                      <w:szCs w:val="21"/>
                    </w:rPr>
                    <w:t>3</w:t>
                  </w:r>
                </w:p>
              </w:tc>
              <w:tc>
                <w:tcPr>
                  <w:tcW w:w="430" w:type="pct"/>
                  <w:vMerge w:val="continue"/>
                  <w:vAlign w:val="center"/>
                </w:tcPr>
                <w:p w14:paraId="39A89B1F">
                  <w:pPr>
                    <w:pStyle w:val="63"/>
                    <w:rPr>
                      <w:szCs w:val="21"/>
                    </w:rPr>
                  </w:pPr>
                </w:p>
              </w:tc>
              <w:tc>
                <w:tcPr>
                  <w:tcW w:w="602" w:type="pct"/>
                  <w:vAlign w:val="center"/>
                </w:tcPr>
                <w:p w14:paraId="2AA47957">
                  <w:pPr>
                    <w:jc w:val="center"/>
                    <w:rPr>
                      <w:bCs/>
                    </w:rPr>
                  </w:pPr>
                  <w:r>
                    <w:rPr>
                      <w:rFonts w:hint="eastAsia"/>
                      <w:bCs/>
                    </w:rPr>
                    <w:t>废润滑油桶</w:t>
                  </w:r>
                </w:p>
              </w:tc>
              <w:tc>
                <w:tcPr>
                  <w:tcW w:w="920" w:type="pct"/>
                  <w:vMerge w:val="continue"/>
                  <w:vAlign w:val="center"/>
                </w:tcPr>
                <w:p w14:paraId="52E72B15">
                  <w:pPr>
                    <w:jc w:val="center"/>
                    <w:rPr>
                      <w:rFonts w:cs="宋体"/>
                      <w:bCs/>
                    </w:rPr>
                  </w:pPr>
                </w:p>
              </w:tc>
              <w:tc>
                <w:tcPr>
                  <w:tcW w:w="668" w:type="pct"/>
                  <w:vAlign w:val="center"/>
                </w:tcPr>
                <w:p w14:paraId="4EB71847">
                  <w:pPr>
                    <w:jc w:val="center"/>
                    <w:rPr>
                      <w:bCs/>
                      <w:spacing w:val="6"/>
                    </w:rPr>
                  </w:pPr>
                  <w:r>
                    <w:rPr>
                      <w:rFonts w:hint="eastAsia"/>
                    </w:rPr>
                    <w:t>9</w:t>
                  </w:r>
                  <w:r>
                    <w:t>00-</w:t>
                  </w:r>
                  <w:r>
                    <w:rPr>
                      <w:rFonts w:hint="eastAsia"/>
                    </w:rPr>
                    <w:t>249</w:t>
                  </w:r>
                  <w:r>
                    <w:t>-</w:t>
                  </w:r>
                  <w:r>
                    <w:rPr>
                      <w:rFonts w:hint="eastAsia"/>
                    </w:rPr>
                    <w:t>08</w:t>
                  </w:r>
                </w:p>
              </w:tc>
              <w:tc>
                <w:tcPr>
                  <w:tcW w:w="416" w:type="pct"/>
                  <w:vMerge w:val="continue"/>
                  <w:vAlign w:val="center"/>
                </w:tcPr>
                <w:p w14:paraId="2D21809D">
                  <w:pPr>
                    <w:pStyle w:val="63"/>
                    <w:rPr>
                      <w:szCs w:val="21"/>
                    </w:rPr>
                  </w:pPr>
                </w:p>
              </w:tc>
              <w:tc>
                <w:tcPr>
                  <w:tcW w:w="353" w:type="pct"/>
                  <w:vMerge w:val="continue"/>
                  <w:vAlign w:val="center"/>
                </w:tcPr>
                <w:p w14:paraId="342433AA">
                  <w:pPr>
                    <w:pStyle w:val="63"/>
                    <w:rPr>
                      <w:szCs w:val="21"/>
                    </w:rPr>
                  </w:pPr>
                </w:p>
              </w:tc>
              <w:tc>
                <w:tcPr>
                  <w:tcW w:w="656" w:type="pct"/>
                  <w:vAlign w:val="center"/>
                </w:tcPr>
                <w:p w14:paraId="79F03EB0">
                  <w:pPr>
                    <w:pStyle w:val="63"/>
                    <w:rPr>
                      <w:szCs w:val="21"/>
                    </w:rPr>
                  </w:pPr>
                  <w:r>
                    <w:rPr>
                      <w:rFonts w:hint="eastAsia"/>
                      <w:szCs w:val="21"/>
                    </w:rPr>
                    <w:t>加盖</w:t>
                  </w:r>
                  <w:r>
                    <w:rPr>
                      <w:szCs w:val="21"/>
                    </w:rPr>
                    <w:t>封口</w:t>
                  </w:r>
                </w:p>
              </w:tc>
              <w:tc>
                <w:tcPr>
                  <w:tcW w:w="301" w:type="pct"/>
                  <w:vMerge w:val="continue"/>
                  <w:vAlign w:val="center"/>
                </w:tcPr>
                <w:p w14:paraId="5E83D464">
                  <w:pPr>
                    <w:pStyle w:val="63"/>
                    <w:rPr>
                      <w:szCs w:val="21"/>
                    </w:rPr>
                  </w:pPr>
                </w:p>
              </w:tc>
              <w:tc>
                <w:tcPr>
                  <w:tcW w:w="359" w:type="pct"/>
                  <w:vMerge w:val="continue"/>
                  <w:vAlign w:val="center"/>
                </w:tcPr>
                <w:p w14:paraId="7A1C46A0">
                  <w:pPr>
                    <w:pStyle w:val="63"/>
                    <w:rPr>
                      <w:szCs w:val="21"/>
                    </w:rPr>
                  </w:pPr>
                </w:p>
              </w:tc>
            </w:tr>
          </w:tbl>
          <w:p w14:paraId="17C3A35B">
            <w:pPr>
              <w:spacing w:line="360" w:lineRule="auto"/>
              <w:ind w:firstLine="480" w:firstLineChars="200"/>
              <w:rPr>
                <w:b/>
                <w:bCs/>
                <w:sz w:val="24"/>
                <w:u w:val="single"/>
              </w:rPr>
            </w:pPr>
            <w:r>
              <w:rPr>
                <w:rFonts w:hint="eastAsia"/>
                <w:bCs/>
                <w:sz w:val="24"/>
              </w:rPr>
              <w:t>本项目产生的危险废物主要为废活性炭、废润滑油等，项目生产过程中产生的废物收集于危废暂存间暂存后，由有资质单位收运、处置，危险废物应严格按照《危险废物贮存污染控制标准》（</w:t>
            </w:r>
            <w:r>
              <w:rPr>
                <w:bCs/>
                <w:sz w:val="24"/>
              </w:rPr>
              <w:t>GB18597-20</w:t>
            </w:r>
            <w:r>
              <w:rPr>
                <w:rFonts w:hint="eastAsia"/>
                <w:bCs/>
                <w:sz w:val="24"/>
              </w:rPr>
              <w:t>23）要求进行贮存，</w:t>
            </w:r>
            <w:r>
              <w:rPr>
                <w:rFonts w:hint="eastAsia"/>
                <w:b/>
                <w:bCs/>
                <w:sz w:val="24"/>
                <w:u w:val="single"/>
              </w:rPr>
              <w:t>危险废物运输、转移过程中应严格遵守以下要求：</w:t>
            </w:r>
          </w:p>
          <w:p w14:paraId="11578113">
            <w:pPr>
              <w:spacing w:line="360" w:lineRule="auto"/>
              <w:ind w:firstLine="482" w:firstLineChars="200"/>
              <w:rPr>
                <w:b/>
                <w:bCs/>
                <w:sz w:val="24"/>
                <w:u w:val="single"/>
              </w:rPr>
            </w:pPr>
            <w:r>
              <w:rPr>
                <w:rFonts w:hint="eastAsia" w:ascii="宋体" w:hAnsi="宋体" w:cs="宋体"/>
                <w:b/>
                <w:bCs/>
                <w:sz w:val="24"/>
                <w:u w:val="single"/>
              </w:rPr>
              <w:t>①</w:t>
            </w:r>
            <w:r>
              <w:rPr>
                <w:rFonts w:hint="eastAsia"/>
                <w:b/>
                <w:bCs/>
                <w:sz w:val="24"/>
                <w:u w:val="single"/>
              </w:rPr>
              <w:t>危险废物运输应由持有危险废物经营许可证的单位按照其许可证的经营范围组织实施，承担危险废物运输的单位应获得交通运输部门颁发的危险货物运输资质。</w:t>
            </w:r>
          </w:p>
          <w:p w14:paraId="4ADACD01">
            <w:pPr>
              <w:spacing w:line="360" w:lineRule="auto"/>
              <w:ind w:firstLine="482" w:firstLineChars="200"/>
              <w:rPr>
                <w:b/>
                <w:bCs/>
                <w:sz w:val="24"/>
                <w:u w:val="single"/>
              </w:rPr>
            </w:pPr>
            <w:r>
              <w:rPr>
                <w:rFonts w:hint="eastAsia" w:ascii="宋体" w:hAnsi="宋体" w:cs="宋体"/>
                <w:b/>
                <w:bCs/>
                <w:sz w:val="24"/>
                <w:u w:val="single"/>
              </w:rPr>
              <w:t>②</w:t>
            </w:r>
            <w:r>
              <w:rPr>
                <w:rFonts w:hint="eastAsia"/>
                <w:b/>
                <w:bCs/>
                <w:sz w:val="24"/>
                <w:u w:val="single"/>
              </w:rPr>
              <w:t>运输单位承运危险废物时应在危险废物包装上按照</w:t>
            </w:r>
            <w:r>
              <w:rPr>
                <w:b/>
                <w:bCs/>
                <w:sz w:val="24"/>
                <w:u w:val="single"/>
              </w:rPr>
              <w:t>GB18597</w:t>
            </w:r>
            <w:r>
              <w:rPr>
                <w:rFonts w:hint="eastAsia"/>
                <w:b/>
                <w:bCs/>
                <w:sz w:val="24"/>
                <w:u w:val="single"/>
              </w:rPr>
              <w:t>附录</w:t>
            </w:r>
            <w:r>
              <w:rPr>
                <w:b/>
                <w:bCs/>
                <w:sz w:val="24"/>
                <w:u w:val="single"/>
              </w:rPr>
              <w:t>A</w:t>
            </w:r>
            <w:r>
              <w:rPr>
                <w:rFonts w:hint="eastAsia"/>
                <w:b/>
                <w:bCs/>
                <w:sz w:val="24"/>
                <w:u w:val="single"/>
              </w:rPr>
              <w:t>设置标志。</w:t>
            </w:r>
          </w:p>
          <w:p w14:paraId="55FAB77F">
            <w:pPr>
              <w:spacing w:line="360" w:lineRule="auto"/>
              <w:ind w:firstLine="482" w:firstLineChars="200"/>
              <w:rPr>
                <w:b/>
                <w:bCs/>
                <w:sz w:val="24"/>
                <w:u w:val="single"/>
              </w:rPr>
            </w:pPr>
            <w:r>
              <w:rPr>
                <w:rFonts w:hint="eastAsia" w:ascii="宋体" w:hAnsi="宋体" w:cs="宋体"/>
                <w:b/>
                <w:bCs/>
                <w:sz w:val="24"/>
                <w:u w:val="single"/>
              </w:rPr>
              <w:t>③</w:t>
            </w:r>
            <w:r>
              <w:rPr>
                <w:rFonts w:hint="eastAsia"/>
                <w:b/>
                <w:bCs/>
                <w:sz w:val="24"/>
                <w:u w:val="single"/>
              </w:rPr>
              <w:t>危险废物公路运输时，运输车辆应按照</w:t>
            </w:r>
            <w:r>
              <w:rPr>
                <w:b/>
                <w:bCs/>
                <w:sz w:val="24"/>
                <w:u w:val="single"/>
              </w:rPr>
              <w:t>GB13392</w:t>
            </w:r>
            <w:r>
              <w:rPr>
                <w:rFonts w:hint="eastAsia"/>
                <w:b/>
                <w:bCs/>
                <w:sz w:val="24"/>
                <w:u w:val="single"/>
              </w:rPr>
              <w:t>设置车辆标志。铁路运输和水路运输危险废物时应在集装箱外按</w:t>
            </w:r>
            <w:r>
              <w:rPr>
                <w:b/>
                <w:bCs/>
                <w:sz w:val="24"/>
                <w:u w:val="single"/>
              </w:rPr>
              <w:t>GB190</w:t>
            </w:r>
            <w:r>
              <w:rPr>
                <w:rFonts w:hint="eastAsia"/>
                <w:b/>
                <w:bCs/>
                <w:sz w:val="24"/>
                <w:u w:val="single"/>
              </w:rPr>
              <w:t>规定悬挂标志。</w:t>
            </w:r>
          </w:p>
          <w:p w14:paraId="620DF4B4">
            <w:pPr>
              <w:spacing w:line="360" w:lineRule="auto"/>
              <w:ind w:firstLine="482" w:firstLineChars="200"/>
              <w:rPr>
                <w:rFonts w:hint="eastAsia"/>
                <w:b/>
                <w:bCs/>
                <w:sz w:val="24"/>
                <w:u w:val="single"/>
              </w:rPr>
            </w:pPr>
            <w:r>
              <w:rPr>
                <w:rFonts w:hint="eastAsia" w:ascii="宋体" w:hAnsi="宋体"/>
                <w:b/>
                <w:bCs/>
                <w:sz w:val="24"/>
                <w:u w:val="single"/>
              </w:rPr>
              <w:t>④</w:t>
            </w:r>
            <w:r>
              <w:rPr>
                <w:rFonts w:hint="eastAsia"/>
                <w:b/>
                <w:bCs/>
                <w:sz w:val="24"/>
                <w:u w:val="single"/>
              </w:rPr>
              <w:t>危废转移时应严格执行转移联单制度。</w:t>
            </w:r>
          </w:p>
          <w:p w14:paraId="3685AF02">
            <w:pPr>
              <w:spacing w:line="360" w:lineRule="auto"/>
              <w:ind w:firstLine="482" w:firstLineChars="200"/>
              <w:rPr>
                <w:b/>
                <w:sz w:val="24"/>
                <w:u w:val="single"/>
              </w:rPr>
            </w:pPr>
            <w:r>
              <w:rPr>
                <w:rFonts w:hint="eastAsia"/>
                <w:b/>
                <w:bCs/>
                <w:sz w:val="24"/>
                <w:u w:val="single"/>
              </w:rPr>
              <w:t>项目危废在收集、贮存、运输、处置等环节均按照《危险废物贮存污染控制标准》（</w:t>
            </w:r>
            <w:r>
              <w:rPr>
                <w:b/>
                <w:bCs/>
                <w:sz w:val="24"/>
                <w:u w:val="single"/>
              </w:rPr>
              <w:t>GB18597-20</w:t>
            </w:r>
            <w:r>
              <w:rPr>
                <w:rFonts w:hint="eastAsia"/>
                <w:b/>
                <w:bCs/>
                <w:sz w:val="24"/>
                <w:u w:val="single"/>
              </w:rPr>
              <w:t>23）要求严格落实后，能够安全、妥善处置，对周围环境影响较小。</w:t>
            </w:r>
          </w:p>
          <w:p w14:paraId="110E2352">
            <w:pPr>
              <w:spacing w:line="360" w:lineRule="auto"/>
              <w:ind w:firstLine="480" w:firstLineChars="200"/>
              <w:rPr>
                <w:bCs/>
                <w:sz w:val="24"/>
              </w:rPr>
            </w:pPr>
            <w:r>
              <w:rPr>
                <w:rFonts w:hint="eastAsia"/>
                <w:bCs/>
                <w:sz w:val="24"/>
              </w:rPr>
              <w:t>本项目固废产生种类及处理措施一览表详见下表。</w:t>
            </w:r>
          </w:p>
          <w:p w14:paraId="26C0587F">
            <w:pPr>
              <w:jc w:val="center"/>
              <w:rPr>
                <w:b/>
                <w:bCs/>
                <w:color w:val="000000"/>
                <w:sz w:val="24"/>
              </w:rPr>
            </w:pPr>
            <w:r>
              <w:rPr>
                <w:rFonts w:hint="eastAsia"/>
                <w:b/>
                <w:color w:val="000000"/>
                <w:sz w:val="24"/>
              </w:rPr>
              <w:t>表</w:t>
            </w:r>
            <w:r>
              <w:rPr>
                <w:b/>
                <w:color w:val="000000"/>
                <w:sz w:val="24"/>
              </w:rPr>
              <w:t>33</w:t>
            </w:r>
            <w:r>
              <w:rPr>
                <w:rFonts w:hint="eastAsia"/>
                <w:b/>
                <w:color w:val="000000"/>
                <w:sz w:val="24"/>
              </w:rPr>
              <w:t xml:space="preserve">    项目固体废物种类及处理处置措施表</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68"/>
              <w:gridCol w:w="1590"/>
              <w:gridCol w:w="576"/>
              <w:gridCol w:w="1298"/>
              <w:gridCol w:w="723"/>
              <w:gridCol w:w="1009"/>
              <w:gridCol w:w="1154"/>
              <w:gridCol w:w="837"/>
              <w:gridCol w:w="694"/>
            </w:tblGrid>
            <w:tr w14:paraId="6178F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36" w:type="pct"/>
                  <w:shd w:val="clear" w:color="auto" w:fill="auto"/>
                  <w:vAlign w:val="center"/>
                </w:tcPr>
                <w:p w14:paraId="314EE0FC">
                  <w:pPr>
                    <w:jc w:val="center"/>
                    <w:rPr>
                      <w:bCs/>
                      <w:spacing w:val="6"/>
                      <w:szCs w:val="21"/>
                    </w:rPr>
                  </w:pPr>
                  <w:r>
                    <w:rPr>
                      <w:bCs/>
                      <w:spacing w:val="6"/>
                      <w:szCs w:val="21"/>
                    </w:rPr>
                    <w:t>序号</w:t>
                  </w:r>
                </w:p>
              </w:tc>
              <w:tc>
                <w:tcPr>
                  <w:tcW w:w="941" w:type="pct"/>
                  <w:shd w:val="clear" w:color="auto" w:fill="auto"/>
                  <w:vAlign w:val="center"/>
                </w:tcPr>
                <w:p w14:paraId="0AAA01C7">
                  <w:pPr>
                    <w:jc w:val="center"/>
                    <w:rPr>
                      <w:bCs/>
                      <w:spacing w:val="6"/>
                      <w:szCs w:val="21"/>
                    </w:rPr>
                  </w:pPr>
                  <w:r>
                    <w:rPr>
                      <w:bCs/>
                      <w:spacing w:val="6"/>
                      <w:szCs w:val="21"/>
                    </w:rPr>
                    <w:t>名称</w:t>
                  </w:r>
                </w:p>
              </w:tc>
              <w:tc>
                <w:tcPr>
                  <w:tcW w:w="341" w:type="pct"/>
                  <w:shd w:val="clear" w:color="auto" w:fill="auto"/>
                  <w:vAlign w:val="center"/>
                </w:tcPr>
                <w:p w14:paraId="41F36EE9">
                  <w:pPr>
                    <w:jc w:val="center"/>
                    <w:rPr>
                      <w:bCs/>
                      <w:spacing w:val="6"/>
                      <w:szCs w:val="21"/>
                    </w:rPr>
                  </w:pPr>
                  <w:r>
                    <w:rPr>
                      <w:bCs/>
                      <w:spacing w:val="6"/>
                      <w:szCs w:val="21"/>
                    </w:rPr>
                    <w:t>属性</w:t>
                  </w:r>
                </w:p>
              </w:tc>
              <w:tc>
                <w:tcPr>
                  <w:tcW w:w="768" w:type="pct"/>
                  <w:vAlign w:val="center"/>
                </w:tcPr>
                <w:p w14:paraId="0D89F153">
                  <w:pPr>
                    <w:jc w:val="center"/>
                    <w:rPr>
                      <w:bCs/>
                      <w:spacing w:val="6"/>
                      <w:szCs w:val="21"/>
                    </w:rPr>
                  </w:pPr>
                  <w:r>
                    <w:rPr>
                      <w:bCs/>
                      <w:spacing w:val="6"/>
                      <w:szCs w:val="21"/>
                    </w:rPr>
                    <w:t>编码</w:t>
                  </w:r>
                </w:p>
              </w:tc>
              <w:tc>
                <w:tcPr>
                  <w:tcW w:w="428" w:type="pct"/>
                  <w:shd w:val="clear" w:color="auto" w:fill="auto"/>
                  <w:vAlign w:val="center"/>
                </w:tcPr>
                <w:p w14:paraId="71D289B1">
                  <w:pPr>
                    <w:jc w:val="center"/>
                    <w:rPr>
                      <w:bCs/>
                      <w:spacing w:val="6"/>
                      <w:szCs w:val="21"/>
                    </w:rPr>
                  </w:pPr>
                  <w:r>
                    <w:rPr>
                      <w:bCs/>
                      <w:spacing w:val="6"/>
                      <w:szCs w:val="21"/>
                    </w:rPr>
                    <w:t>物理</w:t>
                  </w:r>
                </w:p>
                <w:p w14:paraId="221A7256">
                  <w:pPr>
                    <w:jc w:val="center"/>
                    <w:rPr>
                      <w:bCs/>
                      <w:spacing w:val="6"/>
                      <w:szCs w:val="21"/>
                    </w:rPr>
                  </w:pPr>
                  <w:r>
                    <w:rPr>
                      <w:bCs/>
                      <w:spacing w:val="6"/>
                      <w:szCs w:val="21"/>
                    </w:rPr>
                    <w:t>性状</w:t>
                  </w:r>
                </w:p>
              </w:tc>
              <w:tc>
                <w:tcPr>
                  <w:tcW w:w="597" w:type="pct"/>
                  <w:shd w:val="clear" w:color="auto" w:fill="auto"/>
                  <w:vAlign w:val="center"/>
                </w:tcPr>
                <w:p w14:paraId="564386C9">
                  <w:pPr>
                    <w:jc w:val="center"/>
                    <w:rPr>
                      <w:bCs/>
                      <w:spacing w:val="6"/>
                      <w:szCs w:val="21"/>
                    </w:rPr>
                  </w:pPr>
                  <w:r>
                    <w:rPr>
                      <w:bCs/>
                      <w:spacing w:val="6"/>
                      <w:szCs w:val="21"/>
                    </w:rPr>
                    <w:t>年度产生量（t/a）</w:t>
                  </w:r>
                </w:p>
              </w:tc>
              <w:tc>
                <w:tcPr>
                  <w:tcW w:w="683" w:type="pct"/>
                  <w:shd w:val="clear" w:color="auto" w:fill="auto"/>
                  <w:vAlign w:val="center"/>
                </w:tcPr>
                <w:p w14:paraId="598959AB">
                  <w:pPr>
                    <w:jc w:val="center"/>
                    <w:rPr>
                      <w:bCs/>
                      <w:spacing w:val="6"/>
                      <w:szCs w:val="21"/>
                    </w:rPr>
                  </w:pPr>
                  <w:r>
                    <w:rPr>
                      <w:bCs/>
                      <w:spacing w:val="6"/>
                      <w:szCs w:val="21"/>
                    </w:rPr>
                    <w:t>贮存方式</w:t>
                  </w:r>
                </w:p>
              </w:tc>
              <w:tc>
                <w:tcPr>
                  <w:tcW w:w="495" w:type="pct"/>
                  <w:shd w:val="clear" w:color="auto" w:fill="auto"/>
                  <w:vAlign w:val="center"/>
                </w:tcPr>
                <w:p w14:paraId="4C257697">
                  <w:pPr>
                    <w:jc w:val="center"/>
                    <w:rPr>
                      <w:bCs/>
                      <w:spacing w:val="6"/>
                      <w:szCs w:val="21"/>
                    </w:rPr>
                  </w:pPr>
                  <w:r>
                    <w:rPr>
                      <w:bCs/>
                      <w:spacing w:val="6"/>
                      <w:szCs w:val="21"/>
                    </w:rPr>
                    <w:t>处置方式和去向</w:t>
                  </w:r>
                </w:p>
              </w:tc>
              <w:tc>
                <w:tcPr>
                  <w:tcW w:w="410" w:type="pct"/>
                  <w:shd w:val="clear" w:color="auto" w:fill="auto"/>
                  <w:vAlign w:val="center"/>
                </w:tcPr>
                <w:p w14:paraId="4A04C68E">
                  <w:pPr>
                    <w:jc w:val="center"/>
                    <w:rPr>
                      <w:bCs/>
                      <w:spacing w:val="6"/>
                      <w:szCs w:val="21"/>
                    </w:rPr>
                  </w:pPr>
                  <w:r>
                    <w:rPr>
                      <w:bCs/>
                      <w:spacing w:val="6"/>
                      <w:szCs w:val="21"/>
                    </w:rPr>
                    <w:t>利用或处置量（t/a）</w:t>
                  </w:r>
                </w:p>
              </w:tc>
            </w:tr>
            <w:tr w14:paraId="45FB5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36" w:type="pct"/>
                  <w:shd w:val="clear" w:color="auto" w:fill="auto"/>
                  <w:vAlign w:val="center"/>
                </w:tcPr>
                <w:p w14:paraId="54A0EAB6">
                  <w:pPr>
                    <w:jc w:val="center"/>
                    <w:rPr>
                      <w:bCs/>
                      <w:spacing w:val="6"/>
                      <w:szCs w:val="21"/>
                    </w:rPr>
                  </w:pPr>
                  <w:r>
                    <w:rPr>
                      <w:bCs/>
                      <w:spacing w:val="6"/>
                      <w:szCs w:val="21"/>
                    </w:rPr>
                    <w:t>1</w:t>
                  </w:r>
                </w:p>
              </w:tc>
              <w:tc>
                <w:tcPr>
                  <w:tcW w:w="941" w:type="pct"/>
                  <w:shd w:val="clear" w:color="auto" w:fill="auto"/>
                  <w:vAlign w:val="center"/>
                </w:tcPr>
                <w:p w14:paraId="518812AB">
                  <w:pPr>
                    <w:jc w:val="center"/>
                    <w:rPr>
                      <w:bCs/>
                      <w:spacing w:val="6"/>
                      <w:szCs w:val="21"/>
                    </w:rPr>
                  </w:pPr>
                  <w:r>
                    <w:rPr>
                      <w:bCs/>
                      <w:spacing w:val="6"/>
                      <w:szCs w:val="21"/>
                    </w:rPr>
                    <w:t>废包装袋</w:t>
                  </w:r>
                </w:p>
              </w:tc>
              <w:tc>
                <w:tcPr>
                  <w:tcW w:w="341" w:type="pct"/>
                  <w:vMerge w:val="restart"/>
                  <w:shd w:val="clear" w:color="auto" w:fill="auto"/>
                  <w:vAlign w:val="center"/>
                </w:tcPr>
                <w:p w14:paraId="346DCFCF">
                  <w:pPr>
                    <w:jc w:val="center"/>
                    <w:rPr>
                      <w:bCs/>
                      <w:spacing w:val="6"/>
                      <w:szCs w:val="21"/>
                    </w:rPr>
                  </w:pPr>
                  <w:r>
                    <w:rPr>
                      <w:bCs/>
                      <w:spacing w:val="6"/>
                      <w:szCs w:val="21"/>
                    </w:rPr>
                    <w:t>一般固废</w:t>
                  </w:r>
                </w:p>
              </w:tc>
              <w:tc>
                <w:tcPr>
                  <w:tcW w:w="768" w:type="pct"/>
                  <w:vAlign w:val="center"/>
                </w:tcPr>
                <w:p w14:paraId="2F2AA279">
                  <w:pPr>
                    <w:jc w:val="center"/>
                    <w:rPr>
                      <w:bCs/>
                      <w:spacing w:val="6"/>
                      <w:szCs w:val="21"/>
                    </w:rPr>
                  </w:pPr>
                  <w:r>
                    <w:rPr>
                      <w:rFonts w:hint="eastAsia"/>
                      <w:bCs/>
                      <w:spacing w:val="6"/>
                    </w:rPr>
                    <w:t>900-0</w:t>
                  </w:r>
                  <w:r>
                    <w:rPr>
                      <w:bCs/>
                      <w:spacing w:val="6"/>
                    </w:rPr>
                    <w:t>03</w:t>
                  </w:r>
                  <w:r>
                    <w:rPr>
                      <w:rFonts w:hint="eastAsia"/>
                      <w:bCs/>
                      <w:spacing w:val="6"/>
                    </w:rPr>
                    <w:t>-S17</w:t>
                  </w:r>
                </w:p>
              </w:tc>
              <w:tc>
                <w:tcPr>
                  <w:tcW w:w="428" w:type="pct"/>
                  <w:shd w:val="clear" w:color="auto" w:fill="auto"/>
                  <w:vAlign w:val="center"/>
                </w:tcPr>
                <w:p w14:paraId="3A6D7764">
                  <w:pPr>
                    <w:jc w:val="center"/>
                    <w:rPr>
                      <w:bCs/>
                      <w:spacing w:val="6"/>
                      <w:szCs w:val="21"/>
                    </w:rPr>
                  </w:pPr>
                  <w:r>
                    <w:rPr>
                      <w:bCs/>
                      <w:spacing w:val="6"/>
                      <w:szCs w:val="21"/>
                    </w:rPr>
                    <w:t>固态</w:t>
                  </w:r>
                </w:p>
              </w:tc>
              <w:tc>
                <w:tcPr>
                  <w:tcW w:w="597" w:type="pct"/>
                  <w:shd w:val="clear" w:color="auto" w:fill="auto"/>
                  <w:vAlign w:val="center"/>
                </w:tcPr>
                <w:p w14:paraId="77BD81EB">
                  <w:pPr>
                    <w:jc w:val="center"/>
                    <w:rPr>
                      <w:bCs/>
                      <w:spacing w:val="6"/>
                      <w:szCs w:val="21"/>
                    </w:rPr>
                  </w:pPr>
                  <w:r>
                    <w:rPr>
                      <w:bCs/>
                      <w:spacing w:val="6"/>
                      <w:szCs w:val="21"/>
                    </w:rPr>
                    <w:t>0.2505</w:t>
                  </w:r>
                </w:p>
              </w:tc>
              <w:tc>
                <w:tcPr>
                  <w:tcW w:w="683" w:type="pct"/>
                  <w:vMerge w:val="restart"/>
                  <w:shd w:val="clear" w:color="auto" w:fill="auto"/>
                  <w:vAlign w:val="center"/>
                </w:tcPr>
                <w:p w14:paraId="4C016981">
                  <w:pPr>
                    <w:jc w:val="center"/>
                    <w:rPr>
                      <w:bCs/>
                      <w:spacing w:val="6"/>
                      <w:szCs w:val="21"/>
                    </w:rPr>
                  </w:pPr>
                  <w:r>
                    <w:rPr>
                      <w:bCs/>
                      <w:spacing w:val="6"/>
                      <w:szCs w:val="21"/>
                    </w:rPr>
                    <w:t>一般固废间</w:t>
                  </w:r>
                </w:p>
              </w:tc>
              <w:tc>
                <w:tcPr>
                  <w:tcW w:w="495" w:type="pct"/>
                  <w:vMerge w:val="restart"/>
                  <w:shd w:val="clear" w:color="auto" w:fill="auto"/>
                  <w:vAlign w:val="center"/>
                </w:tcPr>
                <w:p w14:paraId="0A32D773">
                  <w:pPr>
                    <w:jc w:val="center"/>
                    <w:rPr>
                      <w:bCs/>
                      <w:spacing w:val="6"/>
                      <w:szCs w:val="21"/>
                    </w:rPr>
                  </w:pPr>
                  <w:r>
                    <w:rPr>
                      <w:bCs/>
                      <w:spacing w:val="6"/>
                      <w:szCs w:val="21"/>
                    </w:rPr>
                    <w:t>外售综合利用</w:t>
                  </w:r>
                </w:p>
              </w:tc>
              <w:tc>
                <w:tcPr>
                  <w:tcW w:w="410" w:type="pct"/>
                  <w:shd w:val="clear" w:color="auto" w:fill="auto"/>
                  <w:vAlign w:val="center"/>
                </w:tcPr>
                <w:p w14:paraId="02FADA04">
                  <w:pPr>
                    <w:jc w:val="center"/>
                    <w:rPr>
                      <w:bCs/>
                      <w:spacing w:val="6"/>
                      <w:szCs w:val="21"/>
                    </w:rPr>
                  </w:pPr>
                  <w:r>
                    <w:rPr>
                      <w:bCs/>
                      <w:spacing w:val="6"/>
                      <w:szCs w:val="21"/>
                    </w:rPr>
                    <w:t>0.2505</w:t>
                  </w:r>
                </w:p>
              </w:tc>
            </w:tr>
            <w:tr w14:paraId="776CD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36" w:type="pct"/>
                  <w:shd w:val="clear" w:color="auto" w:fill="auto"/>
                  <w:vAlign w:val="center"/>
                </w:tcPr>
                <w:p w14:paraId="5923D07D">
                  <w:pPr>
                    <w:jc w:val="center"/>
                    <w:rPr>
                      <w:bCs/>
                      <w:spacing w:val="6"/>
                      <w:szCs w:val="21"/>
                    </w:rPr>
                  </w:pPr>
                  <w:r>
                    <w:rPr>
                      <w:bCs/>
                      <w:spacing w:val="6"/>
                      <w:szCs w:val="21"/>
                    </w:rPr>
                    <w:t>2</w:t>
                  </w:r>
                </w:p>
              </w:tc>
              <w:tc>
                <w:tcPr>
                  <w:tcW w:w="941" w:type="pct"/>
                  <w:shd w:val="clear" w:color="auto" w:fill="auto"/>
                  <w:vAlign w:val="center"/>
                </w:tcPr>
                <w:p w14:paraId="30796A2C">
                  <w:pPr>
                    <w:jc w:val="center"/>
                    <w:rPr>
                      <w:bCs/>
                      <w:spacing w:val="6"/>
                      <w:szCs w:val="21"/>
                    </w:rPr>
                  </w:pPr>
                  <w:r>
                    <w:rPr>
                      <w:kern w:val="0"/>
                      <w:szCs w:val="21"/>
                    </w:rPr>
                    <w:t>PE薄膜废卷筒</w:t>
                  </w:r>
                </w:p>
              </w:tc>
              <w:tc>
                <w:tcPr>
                  <w:tcW w:w="341" w:type="pct"/>
                  <w:vMerge w:val="continue"/>
                  <w:shd w:val="clear" w:color="auto" w:fill="auto"/>
                  <w:vAlign w:val="center"/>
                </w:tcPr>
                <w:p w14:paraId="4D6F56F1">
                  <w:pPr>
                    <w:jc w:val="center"/>
                    <w:rPr>
                      <w:bCs/>
                      <w:spacing w:val="6"/>
                      <w:szCs w:val="21"/>
                    </w:rPr>
                  </w:pPr>
                </w:p>
              </w:tc>
              <w:tc>
                <w:tcPr>
                  <w:tcW w:w="768" w:type="pct"/>
                  <w:vAlign w:val="center"/>
                </w:tcPr>
                <w:p w14:paraId="5C483C8C">
                  <w:pPr>
                    <w:jc w:val="center"/>
                    <w:rPr>
                      <w:bCs/>
                      <w:spacing w:val="6"/>
                      <w:szCs w:val="21"/>
                    </w:rPr>
                  </w:pPr>
                  <w:r>
                    <w:rPr>
                      <w:rFonts w:hint="eastAsia"/>
                      <w:bCs/>
                      <w:spacing w:val="6"/>
                    </w:rPr>
                    <w:t>900-0</w:t>
                  </w:r>
                  <w:r>
                    <w:rPr>
                      <w:bCs/>
                      <w:spacing w:val="6"/>
                    </w:rPr>
                    <w:t>05</w:t>
                  </w:r>
                  <w:r>
                    <w:rPr>
                      <w:rFonts w:hint="eastAsia"/>
                      <w:bCs/>
                      <w:spacing w:val="6"/>
                    </w:rPr>
                    <w:t>-S17</w:t>
                  </w:r>
                </w:p>
              </w:tc>
              <w:tc>
                <w:tcPr>
                  <w:tcW w:w="428" w:type="pct"/>
                  <w:shd w:val="clear" w:color="auto" w:fill="auto"/>
                  <w:vAlign w:val="center"/>
                </w:tcPr>
                <w:p w14:paraId="6B6F7819">
                  <w:pPr>
                    <w:jc w:val="center"/>
                    <w:rPr>
                      <w:bCs/>
                      <w:spacing w:val="6"/>
                      <w:szCs w:val="21"/>
                    </w:rPr>
                  </w:pPr>
                  <w:r>
                    <w:rPr>
                      <w:bCs/>
                      <w:spacing w:val="6"/>
                      <w:szCs w:val="21"/>
                    </w:rPr>
                    <w:t>固态</w:t>
                  </w:r>
                </w:p>
              </w:tc>
              <w:tc>
                <w:tcPr>
                  <w:tcW w:w="597" w:type="pct"/>
                  <w:shd w:val="clear" w:color="auto" w:fill="auto"/>
                  <w:vAlign w:val="center"/>
                </w:tcPr>
                <w:p w14:paraId="28F4844E">
                  <w:pPr>
                    <w:jc w:val="center"/>
                    <w:rPr>
                      <w:bCs/>
                      <w:spacing w:val="6"/>
                      <w:szCs w:val="21"/>
                    </w:rPr>
                  </w:pPr>
                  <w:r>
                    <w:rPr>
                      <w:bCs/>
                      <w:spacing w:val="6"/>
                      <w:szCs w:val="21"/>
                    </w:rPr>
                    <w:t>0.001</w:t>
                  </w:r>
                </w:p>
              </w:tc>
              <w:tc>
                <w:tcPr>
                  <w:tcW w:w="683" w:type="pct"/>
                  <w:vMerge w:val="continue"/>
                  <w:shd w:val="clear" w:color="auto" w:fill="auto"/>
                  <w:vAlign w:val="center"/>
                </w:tcPr>
                <w:p w14:paraId="0227C5BE">
                  <w:pPr>
                    <w:jc w:val="center"/>
                    <w:rPr>
                      <w:bCs/>
                      <w:spacing w:val="6"/>
                      <w:szCs w:val="21"/>
                    </w:rPr>
                  </w:pPr>
                </w:p>
              </w:tc>
              <w:tc>
                <w:tcPr>
                  <w:tcW w:w="495" w:type="pct"/>
                  <w:vMerge w:val="continue"/>
                  <w:shd w:val="clear" w:color="auto" w:fill="auto"/>
                  <w:vAlign w:val="center"/>
                </w:tcPr>
                <w:p w14:paraId="4CEEA120">
                  <w:pPr>
                    <w:jc w:val="center"/>
                    <w:rPr>
                      <w:bCs/>
                      <w:spacing w:val="6"/>
                      <w:szCs w:val="21"/>
                    </w:rPr>
                  </w:pPr>
                </w:p>
              </w:tc>
              <w:tc>
                <w:tcPr>
                  <w:tcW w:w="410" w:type="pct"/>
                  <w:shd w:val="clear" w:color="auto" w:fill="auto"/>
                  <w:vAlign w:val="center"/>
                </w:tcPr>
                <w:p w14:paraId="351BE229">
                  <w:pPr>
                    <w:jc w:val="center"/>
                    <w:rPr>
                      <w:bCs/>
                      <w:spacing w:val="6"/>
                      <w:szCs w:val="21"/>
                    </w:rPr>
                  </w:pPr>
                  <w:r>
                    <w:rPr>
                      <w:bCs/>
                      <w:spacing w:val="6"/>
                      <w:szCs w:val="21"/>
                    </w:rPr>
                    <w:t>0.001</w:t>
                  </w:r>
                </w:p>
              </w:tc>
            </w:tr>
            <w:tr w14:paraId="3CBCE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36" w:type="pct"/>
                  <w:shd w:val="clear" w:color="auto" w:fill="auto"/>
                  <w:vAlign w:val="center"/>
                </w:tcPr>
                <w:p w14:paraId="2C7DBBC1">
                  <w:pPr>
                    <w:jc w:val="center"/>
                    <w:rPr>
                      <w:bCs/>
                      <w:spacing w:val="6"/>
                      <w:szCs w:val="21"/>
                    </w:rPr>
                  </w:pPr>
                  <w:r>
                    <w:rPr>
                      <w:rFonts w:hint="eastAsia"/>
                      <w:bCs/>
                      <w:spacing w:val="6"/>
                      <w:szCs w:val="21"/>
                    </w:rPr>
                    <w:t>3</w:t>
                  </w:r>
                </w:p>
              </w:tc>
              <w:tc>
                <w:tcPr>
                  <w:tcW w:w="941" w:type="pct"/>
                  <w:shd w:val="clear" w:color="auto" w:fill="auto"/>
                  <w:vAlign w:val="center"/>
                </w:tcPr>
                <w:p w14:paraId="0E1081A4">
                  <w:pPr>
                    <w:jc w:val="center"/>
                    <w:rPr>
                      <w:kern w:val="0"/>
                      <w:szCs w:val="21"/>
                    </w:rPr>
                  </w:pPr>
                  <w:r>
                    <w:rPr>
                      <w:kern w:val="0"/>
                      <w:szCs w:val="21"/>
                    </w:rPr>
                    <w:t>废塑料薄膜</w:t>
                  </w:r>
                </w:p>
              </w:tc>
              <w:tc>
                <w:tcPr>
                  <w:tcW w:w="341" w:type="pct"/>
                  <w:vMerge w:val="continue"/>
                  <w:shd w:val="clear" w:color="auto" w:fill="auto"/>
                  <w:vAlign w:val="center"/>
                </w:tcPr>
                <w:p w14:paraId="1C905960">
                  <w:pPr>
                    <w:jc w:val="center"/>
                    <w:rPr>
                      <w:bCs/>
                      <w:spacing w:val="6"/>
                      <w:szCs w:val="21"/>
                    </w:rPr>
                  </w:pPr>
                </w:p>
              </w:tc>
              <w:tc>
                <w:tcPr>
                  <w:tcW w:w="768" w:type="pct"/>
                  <w:vAlign w:val="center"/>
                </w:tcPr>
                <w:p w14:paraId="0F76A9F4">
                  <w:pPr>
                    <w:jc w:val="center"/>
                    <w:rPr>
                      <w:bCs/>
                      <w:spacing w:val="6"/>
                    </w:rPr>
                  </w:pPr>
                  <w:r>
                    <w:rPr>
                      <w:rFonts w:hint="eastAsia"/>
                      <w:bCs/>
                      <w:spacing w:val="6"/>
                    </w:rPr>
                    <w:t>900-0</w:t>
                  </w:r>
                  <w:r>
                    <w:rPr>
                      <w:bCs/>
                      <w:spacing w:val="6"/>
                    </w:rPr>
                    <w:t>03</w:t>
                  </w:r>
                  <w:r>
                    <w:rPr>
                      <w:rFonts w:hint="eastAsia"/>
                      <w:bCs/>
                      <w:spacing w:val="6"/>
                    </w:rPr>
                    <w:t>-S17</w:t>
                  </w:r>
                </w:p>
              </w:tc>
              <w:tc>
                <w:tcPr>
                  <w:tcW w:w="428" w:type="pct"/>
                  <w:shd w:val="clear" w:color="auto" w:fill="auto"/>
                  <w:vAlign w:val="center"/>
                </w:tcPr>
                <w:p w14:paraId="22321DAD">
                  <w:pPr>
                    <w:jc w:val="center"/>
                    <w:rPr>
                      <w:bCs/>
                      <w:spacing w:val="6"/>
                      <w:szCs w:val="21"/>
                    </w:rPr>
                  </w:pPr>
                  <w:r>
                    <w:rPr>
                      <w:bCs/>
                      <w:spacing w:val="6"/>
                      <w:szCs w:val="21"/>
                    </w:rPr>
                    <w:t>固态</w:t>
                  </w:r>
                </w:p>
              </w:tc>
              <w:tc>
                <w:tcPr>
                  <w:tcW w:w="597" w:type="pct"/>
                  <w:shd w:val="clear" w:color="auto" w:fill="auto"/>
                  <w:vAlign w:val="center"/>
                </w:tcPr>
                <w:p w14:paraId="66B7B74F">
                  <w:pPr>
                    <w:jc w:val="center"/>
                    <w:rPr>
                      <w:bCs/>
                      <w:spacing w:val="6"/>
                      <w:szCs w:val="21"/>
                    </w:rPr>
                  </w:pPr>
                  <w:r>
                    <w:rPr>
                      <w:bCs/>
                      <w:spacing w:val="6"/>
                      <w:szCs w:val="21"/>
                    </w:rPr>
                    <w:t>0.4</w:t>
                  </w:r>
                </w:p>
              </w:tc>
              <w:tc>
                <w:tcPr>
                  <w:tcW w:w="683" w:type="pct"/>
                  <w:vMerge w:val="continue"/>
                  <w:shd w:val="clear" w:color="auto" w:fill="auto"/>
                  <w:vAlign w:val="center"/>
                </w:tcPr>
                <w:p w14:paraId="4D8ECC53">
                  <w:pPr>
                    <w:jc w:val="center"/>
                    <w:rPr>
                      <w:bCs/>
                      <w:spacing w:val="6"/>
                      <w:szCs w:val="21"/>
                    </w:rPr>
                  </w:pPr>
                </w:p>
              </w:tc>
              <w:tc>
                <w:tcPr>
                  <w:tcW w:w="495" w:type="pct"/>
                  <w:vMerge w:val="continue"/>
                  <w:shd w:val="clear" w:color="auto" w:fill="auto"/>
                  <w:vAlign w:val="center"/>
                </w:tcPr>
                <w:p w14:paraId="0E73B3B9">
                  <w:pPr>
                    <w:jc w:val="center"/>
                    <w:rPr>
                      <w:bCs/>
                      <w:spacing w:val="6"/>
                      <w:szCs w:val="21"/>
                    </w:rPr>
                  </w:pPr>
                </w:p>
              </w:tc>
              <w:tc>
                <w:tcPr>
                  <w:tcW w:w="410" w:type="pct"/>
                  <w:shd w:val="clear" w:color="auto" w:fill="auto"/>
                  <w:vAlign w:val="center"/>
                </w:tcPr>
                <w:p w14:paraId="24AE7E27">
                  <w:pPr>
                    <w:jc w:val="center"/>
                    <w:rPr>
                      <w:bCs/>
                      <w:spacing w:val="6"/>
                      <w:szCs w:val="21"/>
                    </w:rPr>
                  </w:pPr>
                  <w:r>
                    <w:rPr>
                      <w:rFonts w:hint="eastAsia"/>
                      <w:bCs/>
                      <w:spacing w:val="6"/>
                      <w:szCs w:val="21"/>
                    </w:rPr>
                    <w:t>0.4</w:t>
                  </w:r>
                </w:p>
              </w:tc>
            </w:tr>
            <w:tr w14:paraId="0103E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36" w:type="pct"/>
                  <w:shd w:val="clear" w:color="auto" w:fill="auto"/>
                  <w:vAlign w:val="center"/>
                </w:tcPr>
                <w:p w14:paraId="63673088">
                  <w:pPr>
                    <w:jc w:val="center"/>
                    <w:rPr>
                      <w:bCs/>
                      <w:spacing w:val="6"/>
                      <w:szCs w:val="21"/>
                    </w:rPr>
                  </w:pPr>
                  <w:r>
                    <w:rPr>
                      <w:bCs/>
                      <w:spacing w:val="6"/>
                      <w:szCs w:val="21"/>
                    </w:rPr>
                    <w:t>4</w:t>
                  </w:r>
                </w:p>
              </w:tc>
              <w:tc>
                <w:tcPr>
                  <w:tcW w:w="941" w:type="pct"/>
                  <w:shd w:val="clear" w:color="auto" w:fill="auto"/>
                  <w:vAlign w:val="center"/>
                </w:tcPr>
                <w:p w14:paraId="332F3B30">
                  <w:pPr>
                    <w:jc w:val="center"/>
                    <w:rPr>
                      <w:bCs/>
                      <w:spacing w:val="6"/>
                      <w:szCs w:val="21"/>
                    </w:rPr>
                  </w:pPr>
                  <w:r>
                    <w:rPr>
                      <w:rFonts w:hint="eastAsia"/>
                      <w:bCs/>
                      <w:spacing w:val="6"/>
                      <w:szCs w:val="21"/>
                    </w:rPr>
                    <w:t>沉淀池</w:t>
                  </w:r>
                  <w:r>
                    <w:rPr>
                      <w:bCs/>
                      <w:spacing w:val="6"/>
                      <w:szCs w:val="21"/>
                    </w:rPr>
                    <w:t>沉渣</w:t>
                  </w:r>
                </w:p>
              </w:tc>
              <w:tc>
                <w:tcPr>
                  <w:tcW w:w="341" w:type="pct"/>
                  <w:vMerge w:val="continue"/>
                  <w:shd w:val="clear" w:color="auto" w:fill="auto"/>
                  <w:vAlign w:val="center"/>
                </w:tcPr>
                <w:p w14:paraId="3F77C5D9">
                  <w:pPr>
                    <w:jc w:val="center"/>
                    <w:rPr>
                      <w:bCs/>
                      <w:spacing w:val="6"/>
                      <w:szCs w:val="21"/>
                    </w:rPr>
                  </w:pPr>
                </w:p>
              </w:tc>
              <w:tc>
                <w:tcPr>
                  <w:tcW w:w="768" w:type="pct"/>
                  <w:vAlign w:val="center"/>
                </w:tcPr>
                <w:p w14:paraId="56471749">
                  <w:pPr>
                    <w:jc w:val="center"/>
                    <w:rPr>
                      <w:bCs/>
                      <w:spacing w:val="6"/>
                      <w:szCs w:val="21"/>
                    </w:rPr>
                  </w:pPr>
                  <w:r>
                    <w:rPr>
                      <w:rFonts w:hint="eastAsia"/>
                      <w:bCs/>
                      <w:spacing w:val="6"/>
                    </w:rPr>
                    <w:t>900-0</w:t>
                  </w:r>
                  <w:r>
                    <w:rPr>
                      <w:bCs/>
                      <w:spacing w:val="6"/>
                    </w:rPr>
                    <w:t>03</w:t>
                  </w:r>
                  <w:r>
                    <w:rPr>
                      <w:rFonts w:hint="eastAsia"/>
                      <w:bCs/>
                      <w:spacing w:val="6"/>
                    </w:rPr>
                    <w:t>-S17</w:t>
                  </w:r>
                </w:p>
              </w:tc>
              <w:tc>
                <w:tcPr>
                  <w:tcW w:w="428" w:type="pct"/>
                  <w:shd w:val="clear" w:color="auto" w:fill="auto"/>
                  <w:vAlign w:val="center"/>
                </w:tcPr>
                <w:p w14:paraId="6E9950E9">
                  <w:pPr>
                    <w:jc w:val="center"/>
                    <w:rPr>
                      <w:bCs/>
                      <w:spacing w:val="6"/>
                      <w:szCs w:val="21"/>
                    </w:rPr>
                  </w:pPr>
                  <w:r>
                    <w:rPr>
                      <w:bCs/>
                      <w:spacing w:val="6"/>
                      <w:szCs w:val="21"/>
                    </w:rPr>
                    <w:t>固态</w:t>
                  </w:r>
                </w:p>
              </w:tc>
              <w:tc>
                <w:tcPr>
                  <w:tcW w:w="597" w:type="pct"/>
                  <w:shd w:val="clear" w:color="auto" w:fill="auto"/>
                  <w:vAlign w:val="center"/>
                </w:tcPr>
                <w:p w14:paraId="5CB50035">
                  <w:pPr>
                    <w:jc w:val="center"/>
                    <w:rPr>
                      <w:bCs/>
                      <w:spacing w:val="6"/>
                      <w:szCs w:val="21"/>
                    </w:rPr>
                  </w:pPr>
                  <w:r>
                    <w:rPr>
                      <w:bCs/>
                      <w:spacing w:val="6"/>
                      <w:szCs w:val="21"/>
                    </w:rPr>
                    <w:t>42.585</w:t>
                  </w:r>
                </w:p>
              </w:tc>
              <w:tc>
                <w:tcPr>
                  <w:tcW w:w="683" w:type="pct"/>
                  <w:vMerge w:val="continue"/>
                  <w:shd w:val="clear" w:color="auto" w:fill="auto"/>
                  <w:vAlign w:val="center"/>
                </w:tcPr>
                <w:p w14:paraId="3FCF0E6D">
                  <w:pPr>
                    <w:jc w:val="center"/>
                    <w:rPr>
                      <w:bCs/>
                      <w:spacing w:val="6"/>
                      <w:szCs w:val="21"/>
                    </w:rPr>
                  </w:pPr>
                </w:p>
              </w:tc>
              <w:tc>
                <w:tcPr>
                  <w:tcW w:w="495" w:type="pct"/>
                  <w:vMerge w:val="continue"/>
                  <w:shd w:val="clear" w:color="auto" w:fill="auto"/>
                  <w:vAlign w:val="center"/>
                </w:tcPr>
                <w:p w14:paraId="1192C0D8">
                  <w:pPr>
                    <w:jc w:val="center"/>
                    <w:rPr>
                      <w:bCs/>
                      <w:spacing w:val="6"/>
                      <w:szCs w:val="21"/>
                    </w:rPr>
                  </w:pPr>
                </w:p>
              </w:tc>
              <w:tc>
                <w:tcPr>
                  <w:tcW w:w="410" w:type="pct"/>
                  <w:shd w:val="clear" w:color="auto" w:fill="auto"/>
                  <w:vAlign w:val="center"/>
                </w:tcPr>
                <w:p w14:paraId="54FFFC34">
                  <w:pPr>
                    <w:jc w:val="center"/>
                    <w:rPr>
                      <w:bCs/>
                      <w:spacing w:val="6"/>
                      <w:szCs w:val="21"/>
                    </w:rPr>
                  </w:pPr>
                  <w:r>
                    <w:rPr>
                      <w:bCs/>
                      <w:spacing w:val="6"/>
                      <w:szCs w:val="21"/>
                    </w:rPr>
                    <w:t>42.585</w:t>
                  </w:r>
                </w:p>
              </w:tc>
            </w:tr>
            <w:tr w14:paraId="569AE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36" w:type="pct"/>
                  <w:shd w:val="clear" w:color="auto" w:fill="auto"/>
                  <w:vAlign w:val="center"/>
                </w:tcPr>
                <w:p w14:paraId="5C8985A2">
                  <w:pPr>
                    <w:jc w:val="center"/>
                    <w:rPr>
                      <w:bCs/>
                      <w:spacing w:val="6"/>
                      <w:szCs w:val="21"/>
                    </w:rPr>
                  </w:pPr>
                  <w:r>
                    <w:rPr>
                      <w:bCs/>
                      <w:spacing w:val="6"/>
                      <w:szCs w:val="21"/>
                    </w:rPr>
                    <w:t>5</w:t>
                  </w:r>
                </w:p>
              </w:tc>
              <w:tc>
                <w:tcPr>
                  <w:tcW w:w="941" w:type="pct"/>
                  <w:shd w:val="clear" w:color="auto" w:fill="auto"/>
                  <w:vAlign w:val="center"/>
                </w:tcPr>
                <w:p w14:paraId="3EFC1E7D">
                  <w:pPr>
                    <w:jc w:val="center"/>
                    <w:rPr>
                      <w:bCs/>
                      <w:spacing w:val="6"/>
                      <w:szCs w:val="21"/>
                    </w:rPr>
                  </w:pPr>
                  <w:r>
                    <w:rPr>
                      <w:bCs/>
                      <w:spacing w:val="6"/>
                      <w:szCs w:val="21"/>
                    </w:rPr>
                    <w:t>废活性炭</w:t>
                  </w:r>
                </w:p>
              </w:tc>
              <w:tc>
                <w:tcPr>
                  <w:tcW w:w="341" w:type="pct"/>
                  <w:vMerge w:val="restart"/>
                  <w:shd w:val="clear" w:color="auto" w:fill="auto"/>
                  <w:vAlign w:val="center"/>
                </w:tcPr>
                <w:p w14:paraId="1AAA3A87">
                  <w:pPr>
                    <w:jc w:val="center"/>
                    <w:rPr>
                      <w:bCs/>
                      <w:spacing w:val="6"/>
                      <w:szCs w:val="21"/>
                    </w:rPr>
                  </w:pPr>
                  <w:r>
                    <w:rPr>
                      <w:bCs/>
                      <w:spacing w:val="6"/>
                      <w:szCs w:val="21"/>
                    </w:rPr>
                    <w:t>危险废物</w:t>
                  </w:r>
                </w:p>
              </w:tc>
              <w:tc>
                <w:tcPr>
                  <w:tcW w:w="768" w:type="pct"/>
                  <w:vAlign w:val="center"/>
                </w:tcPr>
                <w:p w14:paraId="25290707">
                  <w:pPr>
                    <w:pStyle w:val="63"/>
                    <w:rPr>
                      <w:szCs w:val="21"/>
                    </w:rPr>
                  </w:pPr>
                  <w:r>
                    <w:rPr>
                      <w:szCs w:val="21"/>
                    </w:rPr>
                    <w:t>HW49：900-039-49</w:t>
                  </w:r>
                </w:p>
              </w:tc>
              <w:tc>
                <w:tcPr>
                  <w:tcW w:w="428" w:type="pct"/>
                  <w:shd w:val="clear" w:color="auto" w:fill="auto"/>
                  <w:vAlign w:val="center"/>
                </w:tcPr>
                <w:p w14:paraId="15B48F90">
                  <w:pPr>
                    <w:jc w:val="center"/>
                    <w:rPr>
                      <w:bCs/>
                      <w:spacing w:val="6"/>
                      <w:szCs w:val="21"/>
                    </w:rPr>
                  </w:pPr>
                  <w:r>
                    <w:rPr>
                      <w:bCs/>
                      <w:spacing w:val="6"/>
                      <w:szCs w:val="21"/>
                    </w:rPr>
                    <w:t>固态</w:t>
                  </w:r>
                </w:p>
              </w:tc>
              <w:tc>
                <w:tcPr>
                  <w:tcW w:w="597" w:type="pct"/>
                  <w:shd w:val="clear" w:color="auto" w:fill="auto"/>
                  <w:vAlign w:val="center"/>
                </w:tcPr>
                <w:p w14:paraId="7611CC93">
                  <w:pPr>
                    <w:jc w:val="center"/>
                    <w:rPr>
                      <w:bCs/>
                      <w:spacing w:val="6"/>
                      <w:szCs w:val="21"/>
                    </w:rPr>
                  </w:pPr>
                  <w:r>
                    <w:rPr>
                      <w:bCs/>
                      <w:spacing w:val="6"/>
                      <w:szCs w:val="21"/>
                    </w:rPr>
                    <w:t>7.3415</w:t>
                  </w:r>
                </w:p>
              </w:tc>
              <w:tc>
                <w:tcPr>
                  <w:tcW w:w="683" w:type="pct"/>
                  <w:vMerge w:val="restart"/>
                  <w:shd w:val="clear" w:color="auto" w:fill="auto"/>
                  <w:vAlign w:val="center"/>
                </w:tcPr>
                <w:p w14:paraId="13F020F0">
                  <w:pPr>
                    <w:jc w:val="center"/>
                    <w:rPr>
                      <w:bCs/>
                      <w:spacing w:val="6"/>
                      <w:szCs w:val="21"/>
                    </w:rPr>
                  </w:pPr>
                  <w:r>
                    <w:rPr>
                      <w:bCs/>
                      <w:spacing w:val="6"/>
                      <w:szCs w:val="21"/>
                    </w:rPr>
                    <w:t>危废暂存间</w:t>
                  </w:r>
                </w:p>
              </w:tc>
              <w:tc>
                <w:tcPr>
                  <w:tcW w:w="495" w:type="pct"/>
                  <w:vMerge w:val="restart"/>
                  <w:shd w:val="clear" w:color="auto" w:fill="auto"/>
                  <w:vAlign w:val="center"/>
                </w:tcPr>
                <w:p w14:paraId="5AD7E573">
                  <w:pPr>
                    <w:jc w:val="center"/>
                    <w:rPr>
                      <w:bCs/>
                      <w:spacing w:val="6"/>
                      <w:szCs w:val="21"/>
                    </w:rPr>
                  </w:pPr>
                  <w:r>
                    <w:rPr>
                      <w:bCs/>
                      <w:spacing w:val="6"/>
                      <w:szCs w:val="21"/>
                    </w:rPr>
                    <w:t>交由有资质单位处置</w:t>
                  </w:r>
                </w:p>
              </w:tc>
              <w:tc>
                <w:tcPr>
                  <w:tcW w:w="410" w:type="pct"/>
                  <w:shd w:val="clear" w:color="auto" w:fill="auto"/>
                  <w:vAlign w:val="center"/>
                </w:tcPr>
                <w:p w14:paraId="3E1CA781">
                  <w:pPr>
                    <w:jc w:val="center"/>
                    <w:rPr>
                      <w:bCs/>
                      <w:spacing w:val="6"/>
                      <w:szCs w:val="21"/>
                    </w:rPr>
                  </w:pPr>
                  <w:r>
                    <w:rPr>
                      <w:bCs/>
                      <w:spacing w:val="6"/>
                      <w:szCs w:val="21"/>
                    </w:rPr>
                    <w:t>7.3415</w:t>
                  </w:r>
                </w:p>
              </w:tc>
            </w:tr>
            <w:tr w14:paraId="244DB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36" w:type="pct"/>
                  <w:vMerge w:val="restart"/>
                  <w:shd w:val="clear" w:color="auto" w:fill="auto"/>
                  <w:vAlign w:val="center"/>
                </w:tcPr>
                <w:p w14:paraId="790A6B23">
                  <w:pPr>
                    <w:jc w:val="center"/>
                    <w:rPr>
                      <w:bCs/>
                      <w:spacing w:val="6"/>
                      <w:szCs w:val="21"/>
                    </w:rPr>
                  </w:pPr>
                  <w:r>
                    <w:rPr>
                      <w:bCs/>
                      <w:spacing w:val="6"/>
                      <w:szCs w:val="21"/>
                    </w:rPr>
                    <w:t>6</w:t>
                  </w:r>
                </w:p>
              </w:tc>
              <w:tc>
                <w:tcPr>
                  <w:tcW w:w="941" w:type="pct"/>
                  <w:shd w:val="clear" w:color="auto" w:fill="auto"/>
                  <w:vAlign w:val="center"/>
                </w:tcPr>
                <w:p w14:paraId="2EC50164">
                  <w:pPr>
                    <w:jc w:val="center"/>
                    <w:rPr>
                      <w:bCs/>
                      <w:spacing w:val="6"/>
                      <w:szCs w:val="21"/>
                    </w:rPr>
                  </w:pPr>
                  <w:r>
                    <w:rPr>
                      <w:bCs/>
                      <w:spacing w:val="6"/>
                      <w:szCs w:val="21"/>
                    </w:rPr>
                    <w:t>废润滑油</w:t>
                  </w:r>
                </w:p>
              </w:tc>
              <w:tc>
                <w:tcPr>
                  <w:tcW w:w="341" w:type="pct"/>
                  <w:vMerge w:val="continue"/>
                  <w:shd w:val="clear" w:color="auto" w:fill="auto"/>
                  <w:vAlign w:val="center"/>
                </w:tcPr>
                <w:p w14:paraId="00767613">
                  <w:pPr>
                    <w:jc w:val="center"/>
                    <w:rPr>
                      <w:bCs/>
                      <w:spacing w:val="6"/>
                      <w:szCs w:val="21"/>
                    </w:rPr>
                  </w:pPr>
                </w:p>
              </w:tc>
              <w:tc>
                <w:tcPr>
                  <w:tcW w:w="768" w:type="pct"/>
                  <w:vAlign w:val="center"/>
                </w:tcPr>
                <w:p w14:paraId="170764A0">
                  <w:pPr>
                    <w:pStyle w:val="73"/>
                    <w:spacing w:line="240" w:lineRule="auto"/>
                    <w:rPr>
                      <w:rFonts w:ascii="Times New Roman" w:hAnsi="Times New Roman"/>
                      <w:color w:val="auto"/>
                      <w:sz w:val="21"/>
                      <w:szCs w:val="21"/>
                    </w:rPr>
                  </w:pPr>
                  <w:r>
                    <w:rPr>
                      <w:rFonts w:ascii="Times New Roman" w:hAnsi="Times New Roman"/>
                      <w:sz w:val="21"/>
                      <w:szCs w:val="21"/>
                    </w:rPr>
                    <w:t>HW08：</w:t>
                  </w:r>
                  <w:r>
                    <w:rPr>
                      <w:rFonts w:ascii="Times New Roman" w:hAnsi="Times New Roman"/>
                      <w:bCs/>
                      <w:color w:val="auto"/>
                      <w:sz w:val="21"/>
                      <w:szCs w:val="21"/>
                    </w:rPr>
                    <w:t>900-214-08</w:t>
                  </w:r>
                </w:p>
              </w:tc>
              <w:tc>
                <w:tcPr>
                  <w:tcW w:w="428" w:type="pct"/>
                  <w:shd w:val="clear" w:color="auto" w:fill="auto"/>
                  <w:vAlign w:val="center"/>
                </w:tcPr>
                <w:p w14:paraId="01F9AC85">
                  <w:pPr>
                    <w:jc w:val="center"/>
                    <w:rPr>
                      <w:bCs/>
                      <w:spacing w:val="6"/>
                      <w:szCs w:val="21"/>
                    </w:rPr>
                  </w:pPr>
                  <w:r>
                    <w:rPr>
                      <w:bCs/>
                      <w:spacing w:val="6"/>
                      <w:szCs w:val="21"/>
                    </w:rPr>
                    <w:t>液态</w:t>
                  </w:r>
                </w:p>
              </w:tc>
              <w:tc>
                <w:tcPr>
                  <w:tcW w:w="597" w:type="pct"/>
                  <w:shd w:val="clear" w:color="auto" w:fill="auto"/>
                  <w:vAlign w:val="center"/>
                </w:tcPr>
                <w:p w14:paraId="331AA18A">
                  <w:pPr>
                    <w:jc w:val="center"/>
                    <w:rPr>
                      <w:bCs/>
                      <w:spacing w:val="6"/>
                      <w:szCs w:val="21"/>
                    </w:rPr>
                  </w:pPr>
                  <w:r>
                    <w:rPr>
                      <w:bCs/>
                      <w:szCs w:val="21"/>
                    </w:rPr>
                    <w:t>0.08</w:t>
                  </w:r>
                </w:p>
              </w:tc>
              <w:tc>
                <w:tcPr>
                  <w:tcW w:w="683" w:type="pct"/>
                  <w:vMerge w:val="continue"/>
                  <w:shd w:val="clear" w:color="auto" w:fill="auto"/>
                  <w:vAlign w:val="center"/>
                </w:tcPr>
                <w:p w14:paraId="66999D3B">
                  <w:pPr>
                    <w:jc w:val="center"/>
                    <w:rPr>
                      <w:bCs/>
                      <w:spacing w:val="6"/>
                      <w:szCs w:val="21"/>
                    </w:rPr>
                  </w:pPr>
                </w:p>
              </w:tc>
              <w:tc>
                <w:tcPr>
                  <w:tcW w:w="495" w:type="pct"/>
                  <w:vMerge w:val="continue"/>
                  <w:shd w:val="clear" w:color="auto" w:fill="auto"/>
                  <w:vAlign w:val="center"/>
                </w:tcPr>
                <w:p w14:paraId="48B6F0A3">
                  <w:pPr>
                    <w:jc w:val="center"/>
                    <w:rPr>
                      <w:bCs/>
                      <w:spacing w:val="6"/>
                      <w:szCs w:val="21"/>
                    </w:rPr>
                  </w:pPr>
                </w:p>
              </w:tc>
              <w:tc>
                <w:tcPr>
                  <w:tcW w:w="410" w:type="pct"/>
                  <w:shd w:val="clear" w:color="auto" w:fill="auto"/>
                  <w:vAlign w:val="center"/>
                </w:tcPr>
                <w:p w14:paraId="4894E4EE">
                  <w:pPr>
                    <w:jc w:val="center"/>
                    <w:rPr>
                      <w:bCs/>
                      <w:spacing w:val="6"/>
                      <w:szCs w:val="21"/>
                    </w:rPr>
                  </w:pPr>
                  <w:r>
                    <w:rPr>
                      <w:bCs/>
                      <w:szCs w:val="21"/>
                    </w:rPr>
                    <w:t>0.08</w:t>
                  </w:r>
                </w:p>
              </w:tc>
            </w:tr>
            <w:tr w14:paraId="1A248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36" w:type="pct"/>
                  <w:vMerge w:val="continue"/>
                  <w:shd w:val="clear" w:color="auto" w:fill="auto"/>
                  <w:vAlign w:val="center"/>
                </w:tcPr>
                <w:p w14:paraId="4322B090">
                  <w:pPr>
                    <w:jc w:val="center"/>
                    <w:rPr>
                      <w:bCs/>
                      <w:spacing w:val="6"/>
                      <w:szCs w:val="21"/>
                    </w:rPr>
                  </w:pPr>
                </w:p>
              </w:tc>
              <w:tc>
                <w:tcPr>
                  <w:tcW w:w="941" w:type="pct"/>
                  <w:shd w:val="clear" w:color="auto" w:fill="auto"/>
                  <w:vAlign w:val="center"/>
                </w:tcPr>
                <w:p w14:paraId="76A6B671">
                  <w:pPr>
                    <w:jc w:val="center"/>
                    <w:rPr>
                      <w:bCs/>
                      <w:spacing w:val="6"/>
                      <w:szCs w:val="21"/>
                    </w:rPr>
                  </w:pPr>
                  <w:r>
                    <w:rPr>
                      <w:bCs/>
                      <w:spacing w:val="6"/>
                      <w:szCs w:val="21"/>
                    </w:rPr>
                    <w:t>废润滑油桶</w:t>
                  </w:r>
                </w:p>
              </w:tc>
              <w:tc>
                <w:tcPr>
                  <w:tcW w:w="341" w:type="pct"/>
                  <w:vMerge w:val="continue"/>
                  <w:shd w:val="clear" w:color="auto" w:fill="auto"/>
                  <w:vAlign w:val="center"/>
                </w:tcPr>
                <w:p w14:paraId="22F79EB3">
                  <w:pPr>
                    <w:jc w:val="center"/>
                    <w:rPr>
                      <w:bCs/>
                      <w:spacing w:val="6"/>
                      <w:szCs w:val="21"/>
                    </w:rPr>
                  </w:pPr>
                </w:p>
              </w:tc>
              <w:tc>
                <w:tcPr>
                  <w:tcW w:w="768" w:type="pct"/>
                  <w:vAlign w:val="center"/>
                </w:tcPr>
                <w:p w14:paraId="4459DDC2">
                  <w:pPr>
                    <w:jc w:val="center"/>
                    <w:rPr>
                      <w:bCs/>
                      <w:spacing w:val="6"/>
                      <w:szCs w:val="21"/>
                    </w:rPr>
                  </w:pPr>
                  <w:r>
                    <w:rPr>
                      <w:szCs w:val="21"/>
                    </w:rPr>
                    <w:t>HW08：900-249-08</w:t>
                  </w:r>
                </w:p>
              </w:tc>
              <w:tc>
                <w:tcPr>
                  <w:tcW w:w="428" w:type="pct"/>
                  <w:shd w:val="clear" w:color="auto" w:fill="auto"/>
                  <w:vAlign w:val="center"/>
                </w:tcPr>
                <w:p w14:paraId="398F5C17">
                  <w:pPr>
                    <w:jc w:val="center"/>
                    <w:rPr>
                      <w:bCs/>
                      <w:spacing w:val="6"/>
                      <w:szCs w:val="21"/>
                    </w:rPr>
                  </w:pPr>
                  <w:r>
                    <w:rPr>
                      <w:bCs/>
                      <w:spacing w:val="6"/>
                      <w:szCs w:val="21"/>
                    </w:rPr>
                    <w:t>固态</w:t>
                  </w:r>
                </w:p>
              </w:tc>
              <w:tc>
                <w:tcPr>
                  <w:tcW w:w="597" w:type="pct"/>
                  <w:shd w:val="clear" w:color="auto" w:fill="auto"/>
                  <w:vAlign w:val="center"/>
                </w:tcPr>
                <w:p w14:paraId="40EF33E9">
                  <w:pPr>
                    <w:jc w:val="center"/>
                    <w:rPr>
                      <w:bCs/>
                      <w:spacing w:val="6"/>
                      <w:szCs w:val="21"/>
                    </w:rPr>
                  </w:pPr>
                  <w:r>
                    <w:rPr>
                      <w:bCs/>
                      <w:szCs w:val="21"/>
                    </w:rPr>
                    <w:t>0.01</w:t>
                  </w:r>
                </w:p>
              </w:tc>
              <w:tc>
                <w:tcPr>
                  <w:tcW w:w="683" w:type="pct"/>
                  <w:vMerge w:val="continue"/>
                  <w:shd w:val="clear" w:color="auto" w:fill="auto"/>
                  <w:vAlign w:val="center"/>
                </w:tcPr>
                <w:p w14:paraId="02E8270E">
                  <w:pPr>
                    <w:jc w:val="center"/>
                    <w:rPr>
                      <w:bCs/>
                      <w:spacing w:val="6"/>
                      <w:szCs w:val="21"/>
                    </w:rPr>
                  </w:pPr>
                </w:p>
              </w:tc>
              <w:tc>
                <w:tcPr>
                  <w:tcW w:w="495" w:type="pct"/>
                  <w:vMerge w:val="continue"/>
                  <w:shd w:val="clear" w:color="auto" w:fill="auto"/>
                  <w:vAlign w:val="center"/>
                </w:tcPr>
                <w:p w14:paraId="5A6B2B55">
                  <w:pPr>
                    <w:jc w:val="center"/>
                    <w:rPr>
                      <w:bCs/>
                      <w:spacing w:val="6"/>
                      <w:szCs w:val="21"/>
                    </w:rPr>
                  </w:pPr>
                </w:p>
              </w:tc>
              <w:tc>
                <w:tcPr>
                  <w:tcW w:w="410" w:type="pct"/>
                  <w:shd w:val="clear" w:color="auto" w:fill="auto"/>
                  <w:vAlign w:val="center"/>
                </w:tcPr>
                <w:p w14:paraId="41DBC6D0">
                  <w:pPr>
                    <w:jc w:val="center"/>
                    <w:rPr>
                      <w:bCs/>
                      <w:spacing w:val="6"/>
                      <w:szCs w:val="21"/>
                    </w:rPr>
                  </w:pPr>
                  <w:r>
                    <w:rPr>
                      <w:bCs/>
                      <w:szCs w:val="21"/>
                    </w:rPr>
                    <w:t>0.01</w:t>
                  </w:r>
                </w:p>
              </w:tc>
            </w:tr>
            <w:tr w14:paraId="119AF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36" w:type="pct"/>
                  <w:shd w:val="clear" w:color="auto" w:fill="auto"/>
                  <w:vAlign w:val="center"/>
                </w:tcPr>
                <w:p w14:paraId="579B1F29">
                  <w:pPr>
                    <w:pStyle w:val="63"/>
                    <w:rPr>
                      <w:bCs/>
                      <w:spacing w:val="6"/>
                      <w:szCs w:val="21"/>
                    </w:rPr>
                  </w:pPr>
                  <w:r>
                    <w:rPr>
                      <w:bCs/>
                      <w:spacing w:val="6"/>
                      <w:szCs w:val="21"/>
                    </w:rPr>
                    <w:t>7</w:t>
                  </w:r>
                </w:p>
              </w:tc>
              <w:tc>
                <w:tcPr>
                  <w:tcW w:w="941" w:type="pct"/>
                  <w:shd w:val="clear" w:color="auto" w:fill="auto"/>
                  <w:vAlign w:val="center"/>
                </w:tcPr>
                <w:p w14:paraId="1544BBFA">
                  <w:pPr>
                    <w:pStyle w:val="63"/>
                    <w:rPr>
                      <w:bCs/>
                      <w:spacing w:val="6"/>
                      <w:szCs w:val="21"/>
                    </w:rPr>
                  </w:pPr>
                  <w:r>
                    <w:rPr>
                      <w:szCs w:val="21"/>
                    </w:rPr>
                    <w:t>生活垃圾</w:t>
                  </w:r>
                </w:p>
              </w:tc>
              <w:tc>
                <w:tcPr>
                  <w:tcW w:w="341" w:type="pct"/>
                  <w:shd w:val="clear" w:color="auto" w:fill="auto"/>
                  <w:vAlign w:val="center"/>
                </w:tcPr>
                <w:p w14:paraId="3370B093">
                  <w:pPr>
                    <w:jc w:val="center"/>
                    <w:rPr>
                      <w:bCs/>
                      <w:spacing w:val="6"/>
                      <w:szCs w:val="21"/>
                    </w:rPr>
                  </w:pPr>
                  <w:r>
                    <w:rPr>
                      <w:bCs/>
                      <w:spacing w:val="6"/>
                      <w:szCs w:val="21"/>
                    </w:rPr>
                    <w:t>/</w:t>
                  </w:r>
                </w:p>
              </w:tc>
              <w:tc>
                <w:tcPr>
                  <w:tcW w:w="768" w:type="pct"/>
                  <w:vAlign w:val="center"/>
                </w:tcPr>
                <w:p w14:paraId="2D0CF06C">
                  <w:pPr>
                    <w:jc w:val="center"/>
                    <w:rPr>
                      <w:bCs/>
                      <w:spacing w:val="6"/>
                      <w:szCs w:val="21"/>
                    </w:rPr>
                  </w:pPr>
                  <w:r>
                    <w:rPr>
                      <w:bCs/>
                      <w:spacing w:val="6"/>
                      <w:szCs w:val="21"/>
                    </w:rPr>
                    <w:t>/</w:t>
                  </w:r>
                </w:p>
              </w:tc>
              <w:tc>
                <w:tcPr>
                  <w:tcW w:w="428" w:type="pct"/>
                  <w:shd w:val="clear" w:color="auto" w:fill="auto"/>
                  <w:vAlign w:val="center"/>
                </w:tcPr>
                <w:p w14:paraId="16685C87">
                  <w:pPr>
                    <w:jc w:val="center"/>
                    <w:rPr>
                      <w:bCs/>
                      <w:spacing w:val="6"/>
                      <w:szCs w:val="21"/>
                    </w:rPr>
                  </w:pPr>
                  <w:r>
                    <w:rPr>
                      <w:bCs/>
                      <w:spacing w:val="6"/>
                      <w:szCs w:val="21"/>
                    </w:rPr>
                    <w:t>固态</w:t>
                  </w:r>
                </w:p>
              </w:tc>
              <w:tc>
                <w:tcPr>
                  <w:tcW w:w="597" w:type="pct"/>
                  <w:shd w:val="clear" w:color="auto" w:fill="auto"/>
                  <w:vAlign w:val="center"/>
                </w:tcPr>
                <w:p w14:paraId="0E44B8C9">
                  <w:pPr>
                    <w:jc w:val="center"/>
                    <w:rPr>
                      <w:bCs/>
                      <w:spacing w:val="6"/>
                      <w:szCs w:val="21"/>
                    </w:rPr>
                  </w:pPr>
                  <w:r>
                    <w:rPr>
                      <w:bCs/>
                      <w:spacing w:val="6"/>
                      <w:szCs w:val="21"/>
                    </w:rPr>
                    <w:t>7.5</w:t>
                  </w:r>
                </w:p>
              </w:tc>
              <w:tc>
                <w:tcPr>
                  <w:tcW w:w="683" w:type="pct"/>
                  <w:shd w:val="clear" w:color="auto" w:fill="auto"/>
                  <w:vAlign w:val="center"/>
                </w:tcPr>
                <w:p w14:paraId="02E904F9">
                  <w:pPr>
                    <w:jc w:val="center"/>
                    <w:rPr>
                      <w:bCs/>
                      <w:spacing w:val="6"/>
                      <w:szCs w:val="21"/>
                    </w:rPr>
                  </w:pPr>
                  <w:r>
                    <w:rPr>
                      <w:bCs/>
                      <w:spacing w:val="6"/>
                      <w:szCs w:val="21"/>
                    </w:rPr>
                    <w:t>垃圾桶收集</w:t>
                  </w:r>
                </w:p>
              </w:tc>
              <w:tc>
                <w:tcPr>
                  <w:tcW w:w="495" w:type="pct"/>
                  <w:shd w:val="clear" w:color="auto" w:fill="auto"/>
                  <w:vAlign w:val="center"/>
                </w:tcPr>
                <w:p w14:paraId="773A5071">
                  <w:pPr>
                    <w:jc w:val="center"/>
                    <w:rPr>
                      <w:bCs/>
                      <w:spacing w:val="6"/>
                      <w:szCs w:val="21"/>
                    </w:rPr>
                  </w:pPr>
                  <w:r>
                    <w:rPr>
                      <w:bCs/>
                      <w:spacing w:val="6"/>
                      <w:szCs w:val="21"/>
                    </w:rPr>
                    <w:t>交由环卫部门处置</w:t>
                  </w:r>
                </w:p>
              </w:tc>
              <w:tc>
                <w:tcPr>
                  <w:tcW w:w="410" w:type="pct"/>
                  <w:shd w:val="clear" w:color="auto" w:fill="auto"/>
                  <w:vAlign w:val="center"/>
                </w:tcPr>
                <w:p w14:paraId="1175D21C">
                  <w:pPr>
                    <w:jc w:val="center"/>
                    <w:rPr>
                      <w:bCs/>
                      <w:spacing w:val="6"/>
                      <w:szCs w:val="21"/>
                    </w:rPr>
                  </w:pPr>
                  <w:r>
                    <w:rPr>
                      <w:bCs/>
                      <w:spacing w:val="6"/>
                      <w:szCs w:val="21"/>
                    </w:rPr>
                    <w:t>7.5</w:t>
                  </w:r>
                </w:p>
              </w:tc>
            </w:tr>
          </w:tbl>
          <w:p w14:paraId="37233DBE">
            <w:pPr>
              <w:spacing w:line="360" w:lineRule="auto"/>
              <w:ind w:firstLine="480" w:firstLineChars="200"/>
              <w:rPr>
                <w:color w:val="000000"/>
                <w:sz w:val="24"/>
              </w:rPr>
            </w:pPr>
            <w:r>
              <w:rPr>
                <w:rFonts w:hint="eastAsia"/>
                <w:color w:val="000000"/>
                <w:sz w:val="24"/>
              </w:rPr>
              <w:t>综上，本项目固废均得到合理处置，对周围环境影响较小。</w:t>
            </w:r>
          </w:p>
          <w:p w14:paraId="2587412F">
            <w:pPr>
              <w:spacing w:line="360" w:lineRule="auto"/>
              <w:ind w:firstLine="482" w:firstLineChars="200"/>
              <w:jc w:val="left"/>
              <w:rPr>
                <w:b/>
                <w:sz w:val="24"/>
              </w:rPr>
            </w:pPr>
            <w:r>
              <w:rPr>
                <w:rFonts w:hint="eastAsia"/>
                <w:b/>
                <w:sz w:val="24"/>
              </w:rPr>
              <w:t>5、地下水、土壤环境影响分析</w:t>
            </w:r>
          </w:p>
          <w:p w14:paraId="46710D43">
            <w:pPr>
              <w:spacing w:line="360" w:lineRule="auto"/>
              <w:ind w:firstLine="470" w:firstLineChars="196"/>
              <w:rPr>
                <w:bCs/>
                <w:sz w:val="24"/>
              </w:rPr>
            </w:pPr>
            <w:r>
              <w:rPr>
                <w:rFonts w:hint="eastAsia"/>
                <w:sz w:val="24"/>
              </w:rPr>
              <w:t>本项目主要废气污染物为热熔拉丝</w:t>
            </w:r>
            <w:r>
              <w:rPr>
                <w:sz w:val="24"/>
              </w:rPr>
              <w:t>过程中产生的非甲烷总烃</w:t>
            </w:r>
            <w:r>
              <w:rPr>
                <w:rFonts w:hint="eastAsia"/>
                <w:sz w:val="24"/>
              </w:rPr>
              <w:t>，会通过大气沉降的方式进入周围的土壤，</w:t>
            </w:r>
            <w:r>
              <w:rPr>
                <w:sz w:val="24"/>
              </w:rPr>
              <w:t>有机废气经收集、处理后达标排放</w:t>
            </w:r>
            <w:r>
              <w:rPr>
                <w:rFonts w:hint="eastAsia"/>
                <w:sz w:val="24"/>
              </w:rPr>
              <w:t>，对土壤环境影响较小；项目废水主要为磨尖废水</w:t>
            </w:r>
            <w:r>
              <w:rPr>
                <w:sz w:val="24"/>
              </w:rPr>
              <w:t>、</w:t>
            </w:r>
            <w:r>
              <w:rPr>
                <w:rFonts w:hint="eastAsia"/>
                <w:sz w:val="24"/>
              </w:rPr>
              <w:t>清洗废水，</w:t>
            </w:r>
            <w:r>
              <w:rPr>
                <w:color w:val="000000"/>
                <w:sz w:val="24"/>
                <w:szCs w:val="32"/>
              </w:rPr>
              <w:t>水质</w:t>
            </w:r>
            <w:r>
              <w:rPr>
                <w:rFonts w:hint="eastAsia"/>
                <w:color w:val="000000"/>
                <w:sz w:val="24"/>
                <w:szCs w:val="32"/>
              </w:rPr>
              <w:t>较为</w:t>
            </w:r>
            <w:r>
              <w:rPr>
                <w:color w:val="000000"/>
                <w:sz w:val="24"/>
                <w:szCs w:val="32"/>
              </w:rPr>
              <w:t>简单，污染因子不涉及《土壤环境质量 建设用地土壤污染风险管控标准（试行）(GB36600—2018)》中的基本项目和其它项目</w:t>
            </w:r>
            <w:r>
              <w:rPr>
                <w:rFonts w:hint="eastAsia"/>
                <w:color w:val="000000"/>
                <w:sz w:val="24"/>
                <w:szCs w:val="32"/>
              </w:rPr>
              <w:t>；</w:t>
            </w:r>
            <w:r>
              <w:rPr>
                <w:rFonts w:hint="eastAsia"/>
                <w:bCs/>
                <w:sz w:val="24"/>
              </w:rPr>
              <w:t>为防止</w:t>
            </w:r>
            <w:r>
              <w:rPr>
                <w:rFonts w:hint="eastAsia"/>
                <w:sz w:val="24"/>
              </w:rPr>
              <w:t>废水</w:t>
            </w:r>
            <w:r>
              <w:rPr>
                <w:rFonts w:hint="eastAsia"/>
                <w:bCs/>
                <w:sz w:val="24"/>
              </w:rPr>
              <w:t>垂直入渗对地下水造成影响，根据《环境影响评价技术导则地下水环境》（</w:t>
            </w:r>
            <w:r>
              <w:rPr>
                <w:bCs/>
                <w:sz w:val="24"/>
              </w:rPr>
              <w:t>HJ610-2016</w:t>
            </w:r>
            <w:r>
              <w:rPr>
                <w:rFonts w:hint="eastAsia"/>
                <w:bCs/>
                <w:sz w:val="24"/>
              </w:rPr>
              <w:t>）的相关内容，将厂区分为重点</w:t>
            </w:r>
            <w:r>
              <w:rPr>
                <w:bCs/>
                <w:sz w:val="24"/>
              </w:rPr>
              <w:t>防渗</w:t>
            </w:r>
            <w:r>
              <w:rPr>
                <w:rFonts w:hint="eastAsia"/>
                <w:bCs/>
                <w:sz w:val="24"/>
              </w:rPr>
              <w:t>、</w:t>
            </w:r>
            <w:r>
              <w:rPr>
                <w:bCs/>
                <w:sz w:val="24"/>
              </w:rPr>
              <w:t>一般</w:t>
            </w:r>
            <w:r>
              <w:rPr>
                <w:rFonts w:hint="eastAsia"/>
                <w:bCs/>
                <w:sz w:val="24"/>
              </w:rPr>
              <w:t>防渗</w:t>
            </w:r>
            <w:r>
              <w:rPr>
                <w:bCs/>
                <w:sz w:val="24"/>
              </w:rPr>
              <w:t>区</w:t>
            </w:r>
            <w:r>
              <w:rPr>
                <w:rFonts w:hint="eastAsia"/>
                <w:bCs/>
                <w:sz w:val="24"/>
              </w:rPr>
              <w:t>和简单防渗区，本项目厂区的具体污染防渗分区见下表。</w:t>
            </w:r>
          </w:p>
          <w:p w14:paraId="5B6DD213">
            <w:pPr>
              <w:snapToGrid w:val="0"/>
              <w:spacing w:line="520" w:lineRule="exact"/>
              <w:jc w:val="center"/>
              <w:rPr>
                <w:rFonts w:hAnsi="宋体"/>
                <w:b/>
                <w:sz w:val="24"/>
              </w:rPr>
            </w:pPr>
            <w:r>
              <w:rPr>
                <w:rFonts w:hint="eastAsia" w:hAnsi="宋体"/>
                <w:b/>
                <w:sz w:val="24"/>
              </w:rPr>
              <w:t>表</w:t>
            </w:r>
            <w:r>
              <w:rPr>
                <w:b/>
                <w:sz w:val="24"/>
              </w:rPr>
              <w:t>34</w:t>
            </w:r>
            <w:r>
              <w:rPr>
                <w:rFonts w:hint="eastAsia"/>
                <w:b/>
                <w:sz w:val="24"/>
              </w:rPr>
              <w:t xml:space="preserve">    </w:t>
            </w:r>
            <w:r>
              <w:rPr>
                <w:rFonts w:hint="eastAsia" w:hAnsi="宋体"/>
                <w:b/>
                <w:sz w:val="24"/>
              </w:rPr>
              <w:t>本项目厂区污染防治分区一览表</w:t>
            </w:r>
          </w:p>
          <w:tbl>
            <w:tblPr>
              <w:tblStyle w:val="29"/>
              <w:tblW w:w="5000"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0" w:type="dxa"/>
                <w:bottom w:w="0" w:type="dxa"/>
                <w:right w:w="0" w:type="dxa"/>
              </w:tblCellMar>
            </w:tblPr>
            <w:tblGrid>
              <w:gridCol w:w="535"/>
              <w:gridCol w:w="2925"/>
              <w:gridCol w:w="1439"/>
              <w:gridCol w:w="3545"/>
            </w:tblGrid>
            <w:tr w14:paraId="478EF0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10" w:hRule="atLeast"/>
              </w:trPr>
              <w:tc>
                <w:tcPr>
                  <w:tcW w:w="317" w:type="pct"/>
                  <w:tcBorders>
                    <w:top w:val="single" w:color="auto" w:sz="6" w:space="0"/>
                    <w:left w:val="single" w:color="auto" w:sz="6" w:space="0"/>
                    <w:bottom w:val="single" w:color="auto" w:sz="6" w:space="0"/>
                    <w:right w:val="single" w:color="auto" w:sz="6" w:space="0"/>
                  </w:tcBorders>
                  <w:vAlign w:val="center"/>
                </w:tcPr>
                <w:p w14:paraId="1D9050EF">
                  <w:pPr>
                    <w:ind w:left="27" w:leftChars="-38" w:right="-80" w:rightChars="-38" w:hanging="107" w:hangingChars="51"/>
                    <w:jc w:val="center"/>
                    <w:rPr>
                      <w:bCs/>
                      <w:szCs w:val="21"/>
                    </w:rPr>
                  </w:pPr>
                  <w:r>
                    <w:rPr>
                      <w:rFonts w:hint="eastAsia"/>
                      <w:bCs/>
                      <w:szCs w:val="21"/>
                    </w:rPr>
                    <w:t>序号</w:t>
                  </w:r>
                </w:p>
              </w:tc>
              <w:tc>
                <w:tcPr>
                  <w:tcW w:w="1732" w:type="pct"/>
                  <w:tcBorders>
                    <w:top w:val="single" w:color="auto" w:sz="6" w:space="0"/>
                    <w:left w:val="single" w:color="auto" w:sz="6" w:space="0"/>
                    <w:bottom w:val="single" w:color="auto" w:sz="6" w:space="0"/>
                    <w:right w:val="single" w:color="auto" w:sz="6" w:space="0"/>
                  </w:tcBorders>
                  <w:vAlign w:val="center"/>
                </w:tcPr>
                <w:p w14:paraId="48E2AD7D">
                  <w:pPr>
                    <w:jc w:val="center"/>
                    <w:rPr>
                      <w:bCs/>
                      <w:szCs w:val="21"/>
                    </w:rPr>
                  </w:pPr>
                  <w:r>
                    <w:rPr>
                      <w:rFonts w:hint="eastAsia"/>
                      <w:bCs/>
                      <w:szCs w:val="21"/>
                    </w:rPr>
                    <w:t>防渗区域及部位</w:t>
                  </w:r>
                </w:p>
              </w:tc>
              <w:tc>
                <w:tcPr>
                  <w:tcW w:w="852" w:type="pct"/>
                  <w:tcBorders>
                    <w:top w:val="single" w:color="auto" w:sz="6" w:space="0"/>
                    <w:left w:val="single" w:color="auto" w:sz="6" w:space="0"/>
                    <w:bottom w:val="single" w:color="auto" w:sz="6" w:space="0"/>
                    <w:right w:val="single" w:color="auto" w:sz="6" w:space="0"/>
                  </w:tcBorders>
                  <w:vAlign w:val="center"/>
                </w:tcPr>
                <w:p w14:paraId="7CC2C507">
                  <w:pPr>
                    <w:jc w:val="center"/>
                    <w:rPr>
                      <w:bCs/>
                      <w:szCs w:val="21"/>
                    </w:rPr>
                  </w:pPr>
                  <w:r>
                    <w:rPr>
                      <w:rFonts w:hint="eastAsia"/>
                      <w:bCs/>
                      <w:szCs w:val="21"/>
                    </w:rPr>
                    <w:t>防渗分区等级</w:t>
                  </w:r>
                </w:p>
              </w:tc>
              <w:tc>
                <w:tcPr>
                  <w:tcW w:w="2099" w:type="pct"/>
                  <w:tcBorders>
                    <w:top w:val="single" w:color="auto" w:sz="6" w:space="0"/>
                    <w:left w:val="single" w:color="auto" w:sz="6" w:space="0"/>
                    <w:bottom w:val="single" w:color="auto" w:sz="6" w:space="0"/>
                    <w:right w:val="single" w:color="auto" w:sz="6" w:space="0"/>
                  </w:tcBorders>
                  <w:vAlign w:val="center"/>
                </w:tcPr>
                <w:p w14:paraId="7B77C1C7">
                  <w:pPr>
                    <w:jc w:val="center"/>
                    <w:rPr>
                      <w:bCs/>
                      <w:szCs w:val="21"/>
                    </w:rPr>
                  </w:pPr>
                  <w:r>
                    <w:rPr>
                      <w:rFonts w:hint="eastAsia"/>
                      <w:bCs/>
                      <w:szCs w:val="21"/>
                    </w:rPr>
                    <w:t>防渗性能</w:t>
                  </w:r>
                </w:p>
              </w:tc>
            </w:tr>
            <w:tr w14:paraId="5A7292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10" w:hRule="atLeast"/>
              </w:trPr>
              <w:tc>
                <w:tcPr>
                  <w:tcW w:w="317" w:type="pct"/>
                  <w:tcBorders>
                    <w:top w:val="single" w:color="auto" w:sz="6" w:space="0"/>
                    <w:left w:val="single" w:color="auto" w:sz="6" w:space="0"/>
                    <w:bottom w:val="single" w:color="auto" w:sz="6" w:space="0"/>
                    <w:right w:val="single" w:color="auto" w:sz="6" w:space="0"/>
                  </w:tcBorders>
                  <w:vAlign w:val="center"/>
                </w:tcPr>
                <w:p w14:paraId="50E0A44E">
                  <w:pPr>
                    <w:ind w:left="27" w:leftChars="-38" w:right="-80" w:rightChars="-38" w:hanging="107" w:hangingChars="51"/>
                    <w:jc w:val="center"/>
                    <w:rPr>
                      <w:bCs/>
                      <w:szCs w:val="21"/>
                    </w:rPr>
                  </w:pPr>
                  <w:r>
                    <w:rPr>
                      <w:rFonts w:hint="eastAsia"/>
                      <w:bCs/>
                      <w:szCs w:val="21"/>
                    </w:rPr>
                    <w:t>1</w:t>
                  </w:r>
                </w:p>
              </w:tc>
              <w:tc>
                <w:tcPr>
                  <w:tcW w:w="1732" w:type="pct"/>
                  <w:tcBorders>
                    <w:top w:val="single" w:color="auto" w:sz="6" w:space="0"/>
                    <w:left w:val="single" w:color="auto" w:sz="6" w:space="0"/>
                    <w:bottom w:val="single" w:color="auto" w:sz="6" w:space="0"/>
                    <w:right w:val="single" w:color="auto" w:sz="6" w:space="0"/>
                  </w:tcBorders>
                  <w:vAlign w:val="center"/>
                </w:tcPr>
                <w:p w14:paraId="1471AF5C">
                  <w:pPr>
                    <w:jc w:val="center"/>
                    <w:rPr>
                      <w:bCs/>
                      <w:szCs w:val="21"/>
                    </w:rPr>
                  </w:pPr>
                  <w:r>
                    <w:rPr>
                      <w:rFonts w:hint="eastAsia"/>
                      <w:bCs/>
                      <w:szCs w:val="21"/>
                    </w:rPr>
                    <w:t>拉丝机</w:t>
                  </w:r>
                  <w:r>
                    <w:rPr>
                      <w:bCs/>
                      <w:szCs w:val="21"/>
                    </w:rPr>
                    <w:t>设备区、危废间</w:t>
                  </w:r>
                </w:p>
              </w:tc>
              <w:tc>
                <w:tcPr>
                  <w:tcW w:w="852" w:type="pct"/>
                  <w:tcBorders>
                    <w:top w:val="single" w:color="auto" w:sz="6" w:space="0"/>
                    <w:left w:val="single" w:color="auto" w:sz="6" w:space="0"/>
                    <w:bottom w:val="single" w:color="auto" w:sz="6" w:space="0"/>
                    <w:right w:val="single" w:color="auto" w:sz="6" w:space="0"/>
                  </w:tcBorders>
                  <w:vAlign w:val="center"/>
                </w:tcPr>
                <w:p w14:paraId="4015D26E">
                  <w:pPr>
                    <w:jc w:val="center"/>
                    <w:rPr>
                      <w:bCs/>
                      <w:szCs w:val="21"/>
                    </w:rPr>
                  </w:pPr>
                  <w:r>
                    <w:rPr>
                      <w:rFonts w:hint="eastAsia"/>
                      <w:bCs/>
                      <w:szCs w:val="21"/>
                    </w:rPr>
                    <w:t>重点</w:t>
                  </w:r>
                  <w:r>
                    <w:rPr>
                      <w:bCs/>
                      <w:szCs w:val="21"/>
                    </w:rPr>
                    <w:t>防渗</w:t>
                  </w:r>
                </w:p>
              </w:tc>
              <w:tc>
                <w:tcPr>
                  <w:tcW w:w="2099" w:type="pct"/>
                  <w:tcBorders>
                    <w:top w:val="single" w:color="auto" w:sz="6" w:space="0"/>
                    <w:left w:val="single" w:color="auto" w:sz="6" w:space="0"/>
                    <w:bottom w:val="single" w:color="auto" w:sz="6" w:space="0"/>
                    <w:right w:val="single" w:color="auto" w:sz="6" w:space="0"/>
                  </w:tcBorders>
                  <w:vAlign w:val="center"/>
                </w:tcPr>
                <w:p w14:paraId="6326D6BA">
                  <w:pPr>
                    <w:jc w:val="center"/>
                    <w:rPr>
                      <w:bCs/>
                      <w:szCs w:val="21"/>
                    </w:rPr>
                  </w:pPr>
                  <w:r>
                    <w:rPr>
                      <w:bCs/>
                    </w:rPr>
                    <w:t>等效粘土防渗层Mb≥6m，K≤1×10</w:t>
                  </w:r>
                  <w:r>
                    <w:rPr>
                      <w:bCs/>
                      <w:vertAlign w:val="superscript"/>
                    </w:rPr>
                    <w:t>-10</w:t>
                  </w:r>
                  <w:r>
                    <w:rPr>
                      <w:bCs/>
                    </w:rPr>
                    <w:t>cm/s；或参照GB16889执行</w:t>
                  </w:r>
                </w:p>
              </w:tc>
            </w:tr>
            <w:tr w14:paraId="2B708A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10" w:hRule="atLeast"/>
              </w:trPr>
              <w:tc>
                <w:tcPr>
                  <w:tcW w:w="317" w:type="pct"/>
                  <w:tcBorders>
                    <w:top w:val="single" w:color="auto" w:sz="6" w:space="0"/>
                    <w:left w:val="single" w:color="auto" w:sz="6" w:space="0"/>
                    <w:bottom w:val="single" w:color="auto" w:sz="6" w:space="0"/>
                    <w:right w:val="single" w:color="auto" w:sz="6" w:space="0"/>
                  </w:tcBorders>
                  <w:vAlign w:val="center"/>
                </w:tcPr>
                <w:p w14:paraId="245F1475">
                  <w:pPr>
                    <w:ind w:left="27" w:leftChars="-38" w:right="-80" w:rightChars="-38" w:hanging="107" w:hangingChars="51"/>
                    <w:jc w:val="center"/>
                    <w:rPr>
                      <w:bCs/>
                      <w:szCs w:val="21"/>
                    </w:rPr>
                  </w:pPr>
                  <w:r>
                    <w:rPr>
                      <w:rFonts w:hint="eastAsia"/>
                      <w:bCs/>
                      <w:szCs w:val="21"/>
                    </w:rPr>
                    <w:t>2</w:t>
                  </w:r>
                </w:p>
              </w:tc>
              <w:tc>
                <w:tcPr>
                  <w:tcW w:w="1732" w:type="pct"/>
                  <w:tcBorders>
                    <w:top w:val="single" w:color="auto" w:sz="6" w:space="0"/>
                    <w:left w:val="single" w:color="auto" w:sz="6" w:space="0"/>
                    <w:bottom w:val="single" w:color="auto" w:sz="6" w:space="0"/>
                    <w:right w:val="single" w:color="auto" w:sz="6" w:space="0"/>
                  </w:tcBorders>
                  <w:vAlign w:val="center"/>
                </w:tcPr>
                <w:p w14:paraId="444B57B4">
                  <w:pPr>
                    <w:jc w:val="center"/>
                    <w:rPr>
                      <w:rFonts w:hAnsi="宋体"/>
                      <w:bCs/>
                      <w:szCs w:val="21"/>
                    </w:rPr>
                  </w:pPr>
                  <w:r>
                    <w:rPr>
                      <w:rFonts w:hint="eastAsia"/>
                    </w:rPr>
                    <w:t>清洗区</w:t>
                  </w:r>
                  <w:r>
                    <w:t>、污水处理区、磨尖区</w:t>
                  </w:r>
                  <w:r>
                    <w:rPr>
                      <w:rFonts w:hint="eastAsia"/>
                    </w:rPr>
                    <w:t>、一般固废间</w:t>
                  </w:r>
                </w:p>
              </w:tc>
              <w:tc>
                <w:tcPr>
                  <w:tcW w:w="852" w:type="pct"/>
                  <w:tcBorders>
                    <w:top w:val="single" w:color="auto" w:sz="6" w:space="0"/>
                    <w:left w:val="single" w:color="auto" w:sz="6" w:space="0"/>
                    <w:bottom w:val="single" w:color="auto" w:sz="6" w:space="0"/>
                    <w:right w:val="single" w:color="auto" w:sz="6" w:space="0"/>
                  </w:tcBorders>
                  <w:vAlign w:val="center"/>
                </w:tcPr>
                <w:p w14:paraId="402A14EF">
                  <w:pPr>
                    <w:ind w:left="25" w:leftChars="-38" w:right="-80" w:rightChars="-38" w:hanging="105" w:hangingChars="50"/>
                    <w:jc w:val="center"/>
                    <w:rPr>
                      <w:bCs/>
                      <w:szCs w:val="21"/>
                    </w:rPr>
                  </w:pPr>
                  <w:r>
                    <w:rPr>
                      <w:rFonts w:hint="eastAsia"/>
                      <w:bCs/>
                      <w:szCs w:val="21"/>
                    </w:rPr>
                    <w:t>一般防渗</w:t>
                  </w:r>
                </w:p>
              </w:tc>
              <w:tc>
                <w:tcPr>
                  <w:tcW w:w="2099" w:type="pct"/>
                  <w:tcBorders>
                    <w:top w:val="single" w:color="auto" w:sz="6" w:space="0"/>
                    <w:left w:val="single" w:color="auto" w:sz="6" w:space="0"/>
                    <w:bottom w:val="single" w:color="auto" w:sz="6" w:space="0"/>
                    <w:right w:val="single" w:color="auto" w:sz="6" w:space="0"/>
                  </w:tcBorders>
                  <w:vAlign w:val="center"/>
                </w:tcPr>
                <w:p w14:paraId="725F2675">
                  <w:pPr>
                    <w:jc w:val="center"/>
                    <w:rPr>
                      <w:bCs/>
                      <w:spacing w:val="-14"/>
                      <w:szCs w:val="21"/>
                    </w:rPr>
                  </w:pPr>
                  <w:r>
                    <w:rPr>
                      <w:rFonts w:hint="eastAsia"/>
                      <w:bCs/>
                      <w:szCs w:val="21"/>
                    </w:rPr>
                    <w:t>等效黏土防渗层</w:t>
                  </w:r>
                  <w:r>
                    <w:rPr>
                      <w:bCs/>
                      <w:szCs w:val="21"/>
                    </w:rPr>
                    <w:t>Mb≥1.5m</w:t>
                  </w:r>
                  <w:r>
                    <w:rPr>
                      <w:rFonts w:hint="eastAsia"/>
                      <w:bCs/>
                      <w:szCs w:val="21"/>
                    </w:rPr>
                    <w:t>，</w:t>
                  </w:r>
                  <w:r>
                    <w:rPr>
                      <w:bCs/>
                      <w:spacing w:val="-14"/>
                      <w:szCs w:val="21"/>
                    </w:rPr>
                    <w:t>K≤1×10</w:t>
                  </w:r>
                  <w:r>
                    <w:rPr>
                      <w:bCs/>
                      <w:spacing w:val="-14"/>
                      <w:szCs w:val="21"/>
                      <w:vertAlign w:val="superscript"/>
                    </w:rPr>
                    <w:t>-7</w:t>
                  </w:r>
                  <w:r>
                    <w:rPr>
                      <w:bCs/>
                      <w:spacing w:val="-14"/>
                      <w:szCs w:val="21"/>
                    </w:rPr>
                    <w:t>cm/s</w:t>
                  </w:r>
                  <w:r>
                    <w:rPr>
                      <w:rFonts w:hint="eastAsia"/>
                      <w:bCs/>
                      <w:spacing w:val="-14"/>
                      <w:szCs w:val="21"/>
                    </w:rPr>
                    <w:t>；或参照</w:t>
                  </w:r>
                  <w:r>
                    <w:rPr>
                      <w:bCs/>
                      <w:spacing w:val="-14"/>
                      <w:szCs w:val="21"/>
                    </w:rPr>
                    <w:t>GB16889</w:t>
                  </w:r>
                  <w:r>
                    <w:rPr>
                      <w:rFonts w:hint="eastAsia"/>
                      <w:bCs/>
                      <w:spacing w:val="-14"/>
                      <w:szCs w:val="21"/>
                    </w:rPr>
                    <w:t>执行</w:t>
                  </w:r>
                </w:p>
              </w:tc>
            </w:tr>
            <w:tr w14:paraId="7C32BF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10" w:hRule="atLeast"/>
              </w:trPr>
              <w:tc>
                <w:tcPr>
                  <w:tcW w:w="317" w:type="pct"/>
                  <w:tcBorders>
                    <w:top w:val="single" w:color="auto" w:sz="6" w:space="0"/>
                    <w:left w:val="single" w:color="auto" w:sz="6" w:space="0"/>
                    <w:bottom w:val="single" w:color="auto" w:sz="6" w:space="0"/>
                    <w:right w:val="single" w:color="auto" w:sz="6" w:space="0"/>
                  </w:tcBorders>
                  <w:vAlign w:val="center"/>
                </w:tcPr>
                <w:p w14:paraId="3608880A">
                  <w:pPr>
                    <w:ind w:left="27" w:leftChars="-38" w:right="-80" w:rightChars="-38" w:hanging="107" w:hangingChars="51"/>
                    <w:jc w:val="center"/>
                    <w:rPr>
                      <w:bCs/>
                      <w:szCs w:val="21"/>
                    </w:rPr>
                  </w:pPr>
                  <w:r>
                    <w:rPr>
                      <w:rFonts w:hint="eastAsia"/>
                      <w:bCs/>
                      <w:szCs w:val="21"/>
                    </w:rPr>
                    <w:t>3</w:t>
                  </w:r>
                </w:p>
              </w:tc>
              <w:tc>
                <w:tcPr>
                  <w:tcW w:w="1732" w:type="pct"/>
                  <w:tcBorders>
                    <w:top w:val="single" w:color="auto" w:sz="6" w:space="0"/>
                    <w:left w:val="single" w:color="auto" w:sz="6" w:space="0"/>
                    <w:bottom w:val="single" w:color="auto" w:sz="6" w:space="0"/>
                    <w:right w:val="single" w:color="auto" w:sz="6" w:space="0"/>
                  </w:tcBorders>
                  <w:vAlign w:val="center"/>
                </w:tcPr>
                <w:p w14:paraId="6F3EDF40">
                  <w:pPr>
                    <w:jc w:val="center"/>
                    <w:rPr>
                      <w:bCs/>
                      <w:szCs w:val="21"/>
                    </w:rPr>
                  </w:pPr>
                  <w:r>
                    <w:rPr>
                      <w:rFonts w:hint="eastAsia"/>
                      <w:bCs/>
                      <w:szCs w:val="21"/>
                    </w:rPr>
                    <w:t>其他</w:t>
                  </w:r>
                  <w:r>
                    <w:rPr>
                      <w:bCs/>
                      <w:szCs w:val="21"/>
                    </w:rPr>
                    <w:t>区域</w:t>
                  </w:r>
                </w:p>
              </w:tc>
              <w:tc>
                <w:tcPr>
                  <w:tcW w:w="852" w:type="pct"/>
                  <w:tcBorders>
                    <w:top w:val="single" w:color="auto" w:sz="6" w:space="0"/>
                    <w:left w:val="single" w:color="auto" w:sz="6" w:space="0"/>
                    <w:bottom w:val="single" w:color="auto" w:sz="6" w:space="0"/>
                    <w:right w:val="single" w:color="auto" w:sz="6" w:space="0"/>
                  </w:tcBorders>
                  <w:vAlign w:val="center"/>
                </w:tcPr>
                <w:p w14:paraId="04717826">
                  <w:pPr>
                    <w:ind w:left="25" w:leftChars="-38" w:right="-80" w:rightChars="-38" w:hanging="105" w:hangingChars="50"/>
                    <w:jc w:val="center"/>
                    <w:rPr>
                      <w:bCs/>
                      <w:szCs w:val="21"/>
                    </w:rPr>
                  </w:pPr>
                  <w:r>
                    <w:rPr>
                      <w:rFonts w:hint="eastAsia"/>
                      <w:bCs/>
                      <w:szCs w:val="21"/>
                    </w:rPr>
                    <w:t>简单</w:t>
                  </w:r>
                  <w:r>
                    <w:rPr>
                      <w:bCs/>
                      <w:szCs w:val="21"/>
                    </w:rPr>
                    <w:t>防渗</w:t>
                  </w:r>
                </w:p>
              </w:tc>
              <w:tc>
                <w:tcPr>
                  <w:tcW w:w="2099" w:type="pct"/>
                  <w:tcBorders>
                    <w:top w:val="single" w:color="auto" w:sz="6" w:space="0"/>
                    <w:left w:val="single" w:color="auto" w:sz="6" w:space="0"/>
                    <w:bottom w:val="single" w:color="auto" w:sz="6" w:space="0"/>
                    <w:right w:val="single" w:color="auto" w:sz="6" w:space="0"/>
                  </w:tcBorders>
                  <w:vAlign w:val="center"/>
                </w:tcPr>
                <w:p w14:paraId="4A79D75E">
                  <w:pPr>
                    <w:jc w:val="center"/>
                    <w:rPr>
                      <w:bCs/>
                      <w:szCs w:val="21"/>
                    </w:rPr>
                  </w:pPr>
                  <w:r>
                    <w:rPr>
                      <w:rFonts w:hint="eastAsia"/>
                      <w:bCs/>
                      <w:szCs w:val="21"/>
                    </w:rPr>
                    <w:t>地面</w:t>
                  </w:r>
                  <w:r>
                    <w:rPr>
                      <w:bCs/>
                      <w:szCs w:val="21"/>
                    </w:rPr>
                    <w:t>硬化</w:t>
                  </w:r>
                </w:p>
              </w:tc>
            </w:tr>
          </w:tbl>
          <w:p w14:paraId="5AC26A66">
            <w:pPr>
              <w:spacing w:line="360" w:lineRule="auto"/>
              <w:ind w:firstLine="480" w:firstLineChars="200"/>
              <w:rPr>
                <w:sz w:val="24"/>
              </w:rPr>
            </w:pPr>
            <w:r>
              <w:rPr>
                <w:rFonts w:hint="eastAsia"/>
                <w:sz w:val="24"/>
              </w:rPr>
              <w:t>综上所述，在项目厂区采取分区防渗、加强厂区管理情况下，项目对</w:t>
            </w:r>
            <w:r>
              <w:rPr>
                <w:sz w:val="24"/>
              </w:rPr>
              <w:t>场地及周边土壤和地下水不会造成污染</w:t>
            </w:r>
            <w:r>
              <w:rPr>
                <w:rFonts w:hint="eastAsia"/>
                <w:sz w:val="24"/>
              </w:rPr>
              <w:t>。</w:t>
            </w:r>
          </w:p>
          <w:p w14:paraId="2BEAD85A">
            <w:pPr>
              <w:spacing w:line="360" w:lineRule="auto"/>
              <w:ind w:firstLine="482" w:firstLineChars="200"/>
              <w:rPr>
                <w:b/>
                <w:sz w:val="24"/>
              </w:rPr>
            </w:pPr>
            <w:r>
              <w:rPr>
                <w:rFonts w:hint="eastAsia"/>
                <w:b/>
                <w:sz w:val="24"/>
              </w:rPr>
              <w:t>6、环境风险分析</w:t>
            </w:r>
          </w:p>
          <w:p w14:paraId="47821567">
            <w:pPr>
              <w:adjustRightInd w:val="0"/>
              <w:snapToGrid w:val="0"/>
              <w:spacing w:line="360" w:lineRule="auto"/>
              <w:ind w:firstLine="480" w:firstLineChars="200"/>
              <w:rPr>
                <w:bCs/>
                <w:sz w:val="24"/>
              </w:rPr>
            </w:pPr>
            <w:r>
              <w:rPr>
                <w:sz w:val="24"/>
              </w:rPr>
              <w:t>根据《建设项目环境风险评价技术导则》（HJ169-2018）和《关于进一步加强环境影响评价管理防范环境风险的通知》（环发</w:t>
            </w:r>
            <w:r>
              <w:rPr>
                <w:bCs/>
                <w:sz w:val="24"/>
              </w:rPr>
              <w:t>[</w:t>
            </w:r>
            <w:r>
              <w:rPr>
                <w:sz w:val="24"/>
              </w:rPr>
              <w:t>2012</w:t>
            </w:r>
            <w:r>
              <w:rPr>
                <w:bCs/>
                <w:sz w:val="24"/>
              </w:rPr>
              <w:t>]</w:t>
            </w:r>
            <w:r>
              <w:rPr>
                <w:sz w:val="24"/>
              </w:rPr>
              <w:t>77号）、《关于加强环评管理防范环境风险的通知》（豫环文[2012]159号）的相关要求，对建设项目的环境风险进行分析、预测和评估，并从中提高风险管理意识，采取必要的防范措施，明确环境风险监测及应急要求，达到安全生产、发展经济的目的。</w:t>
            </w:r>
          </w:p>
          <w:p w14:paraId="71E92D95">
            <w:pPr>
              <w:pStyle w:val="4"/>
              <w:snapToGrid w:val="0"/>
              <w:spacing w:before="0" w:after="0" w:line="360" w:lineRule="auto"/>
              <w:ind w:firstLine="482" w:firstLineChars="200"/>
              <w:rPr>
                <w:bCs/>
                <w:sz w:val="24"/>
                <w:szCs w:val="24"/>
              </w:rPr>
            </w:pPr>
            <w:r>
              <w:rPr>
                <w:rFonts w:hint="eastAsia"/>
                <w:bCs/>
                <w:sz w:val="24"/>
                <w:szCs w:val="24"/>
              </w:rPr>
              <w:t>6.1环境风险识别</w:t>
            </w:r>
          </w:p>
          <w:p w14:paraId="05030AA7">
            <w:pPr>
              <w:pStyle w:val="66"/>
              <w:spacing w:line="360" w:lineRule="auto"/>
              <w:ind w:firstLine="480" w:firstLineChars="200"/>
              <w:rPr>
                <w:rFonts w:ascii="Times New Roman" w:cs="Times New Roman"/>
                <w:color w:val="auto"/>
              </w:rPr>
            </w:pPr>
            <w:r>
              <w:rPr>
                <w:rFonts w:hint="eastAsia"/>
                <w:bCs/>
              </w:rPr>
              <w:t>本项目原料</w:t>
            </w:r>
            <w:r>
              <w:rPr>
                <w:rFonts w:ascii="Times New Roman" w:cs="Times New Roman"/>
                <w:bCs/>
              </w:rPr>
              <w:t>均为易燃物质，在遇明火发生火灾事故后，会产生伴生/次生污染物CO，火灾产生的CO等有害气体</w:t>
            </w:r>
            <w:r>
              <w:rPr>
                <w:rFonts w:hint="eastAsia"/>
                <w:bCs/>
              </w:rPr>
              <w:t>。</w:t>
            </w:r>
            <w:r>
              <w:rPr>
                <w:rFonts w:hint="eastAsia" w:ascii="Times New Roman" w:cs="Times New Roman"/>
                <w:color w:val="auto"/>
              </w:rPr>
              <w:t>根据</w:t>
            </w:r>
            <w:r>
              <w:rPr>
                <w:rFonts w:ascii="Times New Roman" w:cs="Times New Roman"/>
                <w:color w:val="auto"/>
              </w:rPr>
              <w:t>《建设项目环境风险评价技术导则》（HJ169-2018）附录B所列物质，根据本项目原辅材料消耗及存储情况，本次评价识别出主要危险物质为</w:t>
            </w:r>
            <w:r>
              <w:rPr>
                <w:rFonts w:hint="eastAsia" w:ascii="Times New Roman" w:cs="Times New Roman"/>
                <w:color w:val="auto"/>
              </w:rPr>
              <w:t>润滑油</w:t>
            </w:r>
            <w:r>
              <w:rPr>
                <w:rFonts w:ascii="Times New Roman" w:cs="Times New Roman"/>
                <w:color w:val="auto"/>
              </w:rPr>
              <w:t>。本项目危险物质及储存情况见下表。</w:t>
            </w:r>
          </w:p>
          <w:p w14:paraId="0C4EFD02">
            <w:pPr>
              <w:jc w:val="center"/>
              <w:rPr>
                <w:sz w:val="24"/>
              </w:rPr>
            </w:pPr>
            <w:r>
              <w:rPr>
                <w:b/>
                <w:bCs/>
                <w:kern w:val="0"/>
                <w:sz w:val="24"/>
              </w:rPr>
              <w:t>表35   危险物质储存情况一览表</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688"/>
              <w:gridCol w:w="1690"/>
              <w:gridCol w:w="1690"/>
              <w:gridCol w:w="1691"/>
              <w:gridCol w:w="1690"/>
            </w:tblGrid>
            <w:tr w14:paraId="4E187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999" w:type="pct"/>
                  <w:vAlign w:val="center"/>
                </w:tcPr>
                <w:p w14:paraId="196ECF19">
                  <w:pPr>
                    <w:jc w:val="center"/>
                    <w:rPr>
                      <w:szCs w:val="21"/>
                    </w:rPr>
                  </w:pPr>
                  <w:r>
                    <w:rPr>
                      <w:szCs w:val="21"/>
                    </w:rPr>
                    <w:t>危险物质名称</w:t>
                  </w:r>
                </w:p>
              </w:tc>
              <w:tc>
                <w:tcPr>
                  <w:tcW w:w="1000" w:type="pct"/>
                  <w:vAlign w:val="center"/>
                </w:tcPr>
                <w:p w14:paraId="5C55CAFB">
                  <w:pPr>
                    <w:jc w:val="center"/>
                    <w:rPr>
                      <w:szCs w:val="21"/>
                    </w:rPr>
                  </w:pPr>
                  <w:r>
                    <w:rPr>
                      <w:szCs w:val="21"/>
                    </w:rPr>
                    <w:t>CAS号</w:t>
                  </w:r>
                </w:p>
              </w:tc>
              <w:tc>
                <w:tcPr>
                  <w:tcW w:w="1000" w:type="pct"/>
                  <w:vAlign w:val="center"/>
                </w:tcPr>
                <w:p w14:paraId="74DB3D8D">
                  <w:pPr>
                    <w:jc w:val="center"/>
                    <w:rPr>
                      <w:szCs w:val="21"/>
                    </w:rPr>
                  </w:pPr>
                  <w:r>
                    <w:rPr>
                      <w:szCs w:val="21"/>
                    </w:rPr>
                    <w:t>储存方式</w:t>
                  </w:r>
                </w:p>
              </w:tc>
              <w:tc>
                <w:tcPr>
                  <w:tcW w:w="1001" w:type="pct"/>
                  <w:vAlign w:val="center"/>
                </w:tcPr>
                <w:p w14:paraId="3F3AB30B">
                  <w:pPr>
                    <w:jc w:val="center"/>
                    <w:rPr>
                      <w:szCs w:val="21"/>
                    </w:rPr>
                  </w:pPr>
                  <w:r>
                    <w:rPr>
                      <w:szCs w:val="21"/>
                    </w:rPr>
                    <w:t>最大存在量（t）</w:t>
                  </w:r>
                </w:p>
              </w:tc>
              <w:tc>
                <w:tcPr>
                  <w:tcW w:w="1000" w:type="pct"/>
                  <w:vAlign w:val="center"/>
                </w:tcPr>
                <w:p w14:paraId="031D63AC">
                  <w:pPr>
                    <w:jc w:val="center"/>
                    <w:rPr>
                      <w:szCs w:val="21"/>
                    </w:rPr>
                  </w:pPr>
                  <w:r>
                    <w:rPr>
                      <w:szCs w:val="21"/>
                    </w:rPr>
                    <w:t>临界量（t）</w:t>
                  </w:r>
                </w:p>
              </w:tc>
            </w:tr>
            <w:tr w14:paraId="37921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999" w:type="pct"/>
                  <w:vAlign w:val="center"/>
                </w:tcPr>
                <w:p w14:paraId="683BC542">
                  <w:pPr>
                    <w:jc w:val="center"/>
                  </w:pPr>
                  <w:r>
                    <w:rPr>
                      <w:rFonts w:hint="eastAsia"/>
                    </w:rPr>
                    <w:t>润滑油</w:t>
                  </w:r>
                </w:p>
              </w:tc>
              <w:tc>
                <w:tcPr>
                  <w:tcW w:w="1000" w:type="pct"/>
                  <w:vAlign w:val="center"/>
                </w:tcPr>
                <w:p w14:paraId="6CDAD915">
                  <w:pPr>
                    <w:jc w:val="center"/>
                  </w:pPr>
                  <w:r>
                    <w:t>/</w:t>
                  </w:r>
                </w:p>
              </w:tc>
              <w:tc>
                <w:tcPr>
                  <w:tcW w:w="1000" w:type="pct"/>
                  <w:vAlign w:val="center"/>
                </w:tcPr>
                <w:p w14:paraId="2FD528B9">
                  <w:pPr>
                    <w:jc w:val="center"/>
                  </w:pPr>
                  <w:r>
                    <w:t>桶装</w:t>
                  </w:r>
                  <w:r>
                    <w:rPr>
                      <w:rFonts w:hint="eastAsia"/>
                    </w:rPr>
                    <w:t>/设备</w:t>
                  </w:r>
                  <w:r>
                    <w:t>在线</w:t>
                  </w:r>
                </w:p>
              </w:tc>
              <w:tc>
                <w:tcPr>
                  <w:tcW w:w="1001" w:type="pct"/>
                  <w:vAlign w:val="center"/>
                </w:tcPr>
                <w:p w14:paraId="1F3F3B68">
                  <w:pPr>
                    <w:jc w:val="center"/>
                  </w:pPr>
                  <w:r>
                    <w:t>0.18</w:t>
                  </w:r>
                </w:p>
              </w:tc>
              <w:tc>
                <w:tcPr>
                  <w:tcW w:w="1000" w:type="pct"/>
                  <w:vAlign w:val="center"/>
                </w:tcPr>
                <w:p w14:paraId="5952C528">
                  <w:pPr>
                    <w:jc w:val="center"/>
                  </w:pPr>
                  <w:r>
                    <w:t>2500</w:t>
                  </w:r>
                </w:p>
              </w:tc>
            </w:tr>
          </w:tbl>
          <w:p w14:paraId="4361B410">
            <w:pPr>
              <w:pStyle w:val="4"/>
              <w:snapToGrid w:val="0"/>
              <w:spacing w:before="0" w:after="0" w:line="360" w:lineRule="auto"/>
              <w:ind w:firstLine="482" w:firstLineChars="200"/>
              <w:rPr>
                <w:bCs/>
                <w:sz w:val="24"/>
                <w:szCs w:val="24"/>
              </w:rPr>
            </w:pPr>
            <w:r>
              <w:rPr>
                <w:bCs/>
                <w:sz w:val="24"/>
                <w:szCs w:val="24"/>
              </w:rPr>
              <w:t>6.2环境风险潜势初判</w:t>
            </w:r>
          </w:p>
          <w:p w14:paraId="373D37DB">
            <w:pPr>
              <w:spacing w:line="360" w:lineRule="auto"/>
              <w:ind w:firstLine="480" w:firstLineChars="200"/>
              <w:rPr>
                <w:sz w:val="24"/>
              </w:rPr>
            </w:pPr>
            <w:r>
              <w:rPr>
                <w:sz w:val="24"/>
              </w:rPr>
              <w:t>根据《建设项目环境风险评价技术导则》（HJ169-2018）附录B和C，当企业存在多种风险物质时，则按下列式计算物质总量与其临界量比值（Q）：</w:t>
            </w:r>
          </w:p>
          <w:p w14:paraId="49CD0DF1">
            <w:pPr>
              <w:spacing w:line="360" w:lineRule="auto"/>
              <w:ind w:firstLine="480" w:firstLineChars="200"/>
              <w:jc w:val="center"/>
              <w:rPr>
                <w:sz w:val="24"/>
              </w:rPr>
            </w:pPr>
            <w:r>
              <w:rPr>
                <w:sz w:val="24"/>
              </w:rPr>
              <w:t>Q=q</w:t>
            </w:r>
            <w:r>
              <w:rPr>
                <w:sz w:val="24"/>
                <w:vertAlign w:val="subscript"/>
              </w:rPr>
              <w:t>1</w:t>
            </w:r>
            <w:r>
              <w:rPr>
                <w:sz w:val="24"/>
              </w:rPr>
              <w:t>/Q</w:t>
            </w:r>
            <w:r>
              <w:rPr>
                <w:sz w:val="24"/>
                <w:vertAlign w:val="subscript"/>
              </w:rPr>
              <w:t>1</w:t>
            </w:r>
            <w:r>
              <w:rPr>
                <w:sz w:val="24"/>
              </w:rPr>
              <w:t>+q</w:t>
            </w:r>
            <w:r>
              <w:rPr>
                <w:sz w:val="24"/>
                <w:vertAlign w:val="subscript"/>
              </w:rPr>
              <w:t>2</w:t>
            </w:r>
            <w:r>
              <w:rPr>
                <w:sz w:val="24"/>
              </w:rPr>
              <w:t>/Q</w:t>
            </w:r>
            <w:r>
              <w:rPr>
                <w:sz w:val="24"/>
                <w:vertAlign w:val="subscript"/>
              </w:rPr>
              <w:t>2</w:t>
            </w:r>
            <w:r>
              <w:rPr>
                <w:sz w:val="24"/>
              </w:rPr>
              <w:t>+……+q</w:t>
            </w:r>
            <w:r>
              <w:rPr>
                <w:sz w:val="24"/>
                <w:vertAlign w:val="subscript"/>
              </w:rPr>
              <w:t>n</w:t>
            </w:r>
            <w:r>
              <w:rPr>
                <w:sz w:val="24"/>
              </w:rPr>
              <w:t>/Q</w:t>
            </w:r>
            <w:r>
              <w:rPr>
                <w:sz w:val="24"/>
                <w:vertAlign w:val="subscript"/>
              </w:rPr>
              <w:t>n</w:t>
            </w:r>
          </w:p>
          <w:p w14:paraId="2C9D3F32">
            <w:pPr>
              <w:spacing w:line="360" w:lineRule="auto"/>
              <w:ind w:firstLine="480" w:firstLineChars="200"/>
              <w:rPr>
                <w:sz w:val="24"/>
              </w:rPr>
            </w:pPr>
            <w:r>
              <w:rPr>
                <w:sz w:val="24"/>
              </w:rPr>
              <w:t>其中：q</w:t>
            </w:r>
            <w:r>
              <w:rPr>
                <w:sz w:val="24"/>
                <w:vertAlign w:val="subscript"/>
              </w:rPr>
              <w:t>1</w:t>
            </w:r>
            <w:r>
              <w:rPr>
                <w:sz w:val="24"/>
              </w:rPr>
              <w:t>，q</w:t>
            </w:r>
            <w:r>
              <w:rPr>
                <w:sz w:val="24"/>
                <w:vertAlign w:val="subscript"/>
              </w:rPr>
              <w:t>2</w:t>
            </w:r>
            <w:r>
              <w:rPr>
                <w:sz w:val="24"/>
              </w:rPr>
              <w:t>，……q</w:t>
            </w:r>
            <w:r>
              <w:rPr>
                <w:sz w:val="24"/>
                <w:vertAlign w:val="subscript"/>
              </w:rPr>
              <w:t>n</w:t>
            </w:r>
            <w:r>
              <w:rPr>
                <w:sz w:val="24"/>
              </w:rPr>
              <w:t>为每种危险物质的最大存在总量，单位t；</w:t>
            </w:r>
          </w:p>
          <w:p w14:paraId="4ECBA890">
            <w:pPr>
              <w:spacing w:line="360" w:lineRule="auto"/>
              <w:ind w:firstLine="480" w:firstLineChars="200"/>
              <w:rPr>
                <w:sz w:val="24"/>
              </w:rPr>
            </w:pPr>
            <w:r>
              <w:rPr>
                <w:sz w:val="24"/>
              </w:rPr>
              <w:t>Q</w:t>
            </w:r>
            <w:r>
              <w:rPr>
                <w:sz w:val="24"/>
                <w:vertAlign w:val="subscript"/>
              </w:rPr>
              <w:t>1</w:t>
            </w:r>
            <w:r>
              <w:rPr>
                <w:sz w:val="24"/>
              </w:rPr>
              <w:t>，Q</w:t>
            </w:r>
            <w:r>
              <w:rPr>
                <w:sz w:val="24"/>
                <w:vertAlign w:val="subscript"/>
              </w:rPr>
              <w:t>2</w:t>
            </w:r>
            <w:r>
              <w:rPr>
                <w:sz w:val="24"/>
              </w:rPr>
              <w:t>，……Q</w:t>
            </w:r>
            <w:r>
              <w:rPr>
                <w:sz w:val="24"/>
                <w:vertAlign w:val="subscript"/>
              </w:rPr>
              <w:t>n</w:t>
            </w:r>
            <w:r>
              <w:rPr>
                <w:sz w:val="24"/>
              </w:rPr>
              <w:t>为每种危险物质的临界量，单位t。</w:t>
            </w:r>
          </w:p>
          <w:p w14:paraId="503CC8B1">
            <w:pPr>
              <w:spacing w:line="360" w:lineRule="auto"/>
              <w:ind w:firstLine="480" w:firstLineChars="200"/>
              <w:rPr>
                <w:sz w:val="24"/>
              </w:rPr>
            </w:pPr>
            <w:r>
              <w:rPr>
                <w:sz w:val="24"/>
              </w:rPr>
              <w:t>当Q＜1时，该项目环境风险潜势为Ⅰ；</w:t>
            </w:r>
          </w:p>
          <w:p w14:paraId="1FC83BB3">
            <w:pPr>
              <w:spacing w:line="360" w:lineRule="auto"/>
              <w:ind w:firstLine="480" w:firstLineChars="200"/>
              <w:rPr>
                <w:sz w:val="24"/>
              </w:rPr>
            </w:pPr>
            <w:r>
              <w:rPr>
                <w:sz w:val="24"/>
              </w:rPr>
              <w:t>当Q≥1时，将Q值划分为：（1）1≤Q＜10；（2）10≤Q＜100；（3）Q≥100。</w:t>
            </w:r>
          </w:p>
          <w:p w14:paraId="5EB6E845">
            <w:pPr>
              <w:jc w:val="center"/>
              <w:rPr>
                <w:b/>
                <w:bCs/>
                <w:kern w:val="0"/>
                <w:sz w:val="24"/>
              </w:rPr>
            </w:pPr>
            <w:r>
              <w:rPr>
                <w:b/>
                <w:bCs/>
                <w:kern w:val="0"/>
                <w:sz w:val="24"/>
              </w:rPr>
              <w:t>表36  物质储存情况一览表</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00"/>
              <w:gridCol w:w="1823"/>
              <w:gridCol w:w="2114"/>
              <w:gridCol w:w="2112"/>
            </w:tblGrid>
            <w:tr w14:paraId="2277A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1420" w:type="pct"/>
                  <w:vAlign w:val="center"/>
                </w:tcPr>
                <w:p w14:paraId="6394006D">
                  <w:pPr>
                    <w:pStyle w:val="63"/>
                    <w:rPr>
                      <w:szCs w:val="21"/>
                    </w:rPr>
                  </w:pPr>
                  <w:r>
                    <w:rPr>
                      <w:szCs w:val="21"/>
                    </w:rPr>
                    <w:t>危险物质名称</w:t>
                  </w:r>
                </w:p>
              </w:tc>
              <w:tc>
                <w:tcPr>
                  <w:tcW w:w="1079" w:type="pct"/>
                  <w:vAlign w:val="center"/>
                </w:tcPr>
                <w:p w14:paraId="2B2D00BE">
                  <w:pPr>
                    <w:pStyle w:val="63"/>
                    <w:rPr>
                      <w:szCs w:val="21"/>
                    </w:rPr>
                  </w:pPr>
                  <w:r>
                    <w:rPr>
                      <w:szCs w:val="21"/>
                    </w:rPr>
                    <w:t>最大</w:t>
                  </w:r>
                  <w:r>
                    <w:rPr>
                      <w:rFonts w:hint="eastAsia"/>
                      <w:szCs w:val="21"/>
                    </w:rPr>
                    <w:t>存在</w:t>
                  </w:r>
                  <w:r>
                    <w:rPr>
                      <w:szCs w:val="21"/>
                    </w:rPr>
                    <w:t>量（t）</w:t>
                  </w:r>
                </w:p>
              </w:tc>
              <w:tc>
                <w:tcPr>
                  <w:tcW w:w="1251" w:type="pct"/>
                  <w:vAlign w:val="center"/>
                </w:tcPr>
                <w:p w14:paraId="5BC4954B">
                  <w:pPr>
                    <w:pStyle w:val="63"/>
                    <w:rPr>
                      <w:szCs w:val="21"/>
                    </w:rPr>
                  </w:pPr>
                  <w:r>
                    <w:rPr>
                      <w:szCs w:val="21"/>
                    </w:rPr>
                    <w:t>临界量（t）</w:t>
                  </w:r>
                </w:p>
              </w:tc>
              <w:tc>
                <w:tcPr>
                  <w:tcW w:w="1250" w:type="pct"/>
                  <w:vAlign w:val="center"/>
                </w:tcPr>
                <w:p w14:paraId="29957027">
                  <w:pPr>
                    <w:pStyle w:val="63"/>
                    <w:rPr>
                      <w:szCs w:val="21"/>
                    </w:rPr>
                  </w:pPr>
                  <w:r>
                    <w:rPr>
                      <w:szCs w:val="21"/>
                    </w:rPr>
                    <w:t>Q值</w:t>
                  </w:r>
                </w:p>
              </w:tc>
            </w:tr>
            <w:tr w14:paraId="1546B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1420" w:type="pct"/>
                  <w:vAlign w:val="center"/>
                </w:tcPr>
                <w:p w14:paraId="11858123">
                  <w:pPr>
                    <w:pStyle w:val="63"/>
                    <w:rPr>
                      <w:szCs w:val="21"/>
                    </w:rPr>
                  </w:pPr>
                  <w:r>
                    <w:rPr>
                      <w:rFonts w:hint="eastAsia"/>
                    </w:rPr>
                    <w:t>润滑油</w:t>
                  </w:r>
                </w:p>
              </w:tc>
              <w:tc>
                <w:tcPr>
                  <w:tcW w:w="1079" w:type="pct"/>
                  <w:vAlign w:val="center"/>
                </w:tcPr>
                <w:p w14:paraId="7E274606">
                  <w:pPr>
                    <w:pStyle w:val="63"/>
                    <w:rPr>
                      <w:szCs w:val="21"/>
                    </w:rPr>
                  </w:pPr>
                  <w:r>
                    <w:t>0.18</w:t>
                  </w:r>
                </w:p>
              </w:tc>
              <w:tc>
                <w:tcPr>
                  <w:tcW w:w="1251" w:type="pct"/>
                  <w:vAlign w:val="center"/>
                </w:tcPr>
                <w:p w14:paraId="18E0B568">
                  <w:pPr>
                    <w:pStyle w:val="63"/>
                    <w:rPr>
                      <w:szCs w:val="21"/>
                    </w:rPr>
                  </w:pPr>
                  <w:r>
                    <w:t>2500</w:t>
                  </w:r>
                </w:p>
              </w:tc>
              <w:tc>
                <w:tcPr>
                  <w:tcW w:w="1250" w:type="pct"/>
                  <w:vAlign w:val="center"/>
                </w:tcPr>
                <w:p w14:paraId="157362F5">
                  <w:pPr>
                    <w:pStyle w:val="63"/>
                  </w:pPr>
                  <w:r>
                    <w:rPr>
                      <w:rFonts w:hint="eastAsia"/>
                    </w:rPr>
                    <w:t>0.000</w:t>
                  </w:r>
                  <w:r>
                    <w:t>07</w:t>
                  </w:r>
                </w:p>
              </w:tc>
            </w:tr>
            <w:tr w14:paraId="7BD8F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3750" w:type="pct"/>
                  <w:gridSpan w:val="3"/>
                  <w:vAlign w:val="center"/>
                </w:tcPr>
                <w:p w14:paraId="3DEDA929">
                  <w:pPr>
                    <w:pStyle w:val="63"/>
                    <w:rPr>
                      <w:szCs w:val="21"/>
                    </w:rPr>
                  </w:pPr>
                  <w:r>
                    <w:rPr>
                      <w:szCs w:val="21"/>
                    </w:rPr>
                    <w:t>合计</w:t>
                  </w:r>
                </w:p>
              </w:tc>
              <w:tc>
                <w:tcPr>
                  <w:tcW w:w="1250" w:type="pct"/>
                  <w:vAlign w:val="center"/>
                </w:tcPr>
                <w:p w14:paraId="30752316">
                  <w:pPr>
                    <w:pStyle w:val="63"/>
                  </w:pPr>
                  <w:r>
                    <w:rPr>
                      <w:rFonts w:hint="eastAsia"/>
                    </w:rPr>
                    <w:t>0.0</w:t>
                  </w:r>
                  <w:r>
                    <w:t>0007</w:t>
                  </w:r>
                </w:p>
              </w:tc>
            </w:tr>
          </w:tbl>
          <w:p w14:paraId="3D5CE39F">
            <w:pPr>
              <w:pStyle w:val="4"/>
              <w:snapToGrid w:val="0"/>
              <w:spacing w:before="0" w:after="0" w:line="360" w:lineRule="auto"/>
              <w:ind w:firstLine="480" w:firstLineChars="200"/>
              <w:rPr>
                <w:b w:val="0"/>
                <w:sz w:val="24"/>
                <w:szCs w:val="24"/>
              </w:rPr>
            </w:pPr>
            <w:r>
              <w:rPr>
                <w:b w:val="0"/>
                <w:sz w:val="24"/>
                <w:szCs w:val="24"/>
              </w:rPr>
              <w:t>本项目危险物质数量与临界量比值Q=0.00007＜1，故本项目环境风险潜势为Ⅰ。</w:t>
            </w:r>
          </w:p>
          <w:p w14:paraId="2EE8D160">
            <w:pPr>
              <w:pStyle w:val="4"/>
              <w:snapToGrid w:val="0"/>
              <w:spacing w:before="0" w:after="0" w:line="360" w:lineRule="auto"/>
              <w:ind w:firstLine="482" w:firstLineChars="200"/>
              <w:rPr>
                <w:bCs/>
                <w:sz w:val="24"/>
                <w:szCs w:val="24"/>
              </w:rPr>
            </w:pPr>
            <w:r>
              <w:rPr>
                <w:bCs/>
                <w:sz w:val="24"/>
                <w:szCs w:val="24"/>
              </w:rPr>
              <w:t>6.3环境风险评价工作等级划分</w:t>
            </w:r>
          </w:p>
          <w:p w14:paraId="0A33F34F">
            <w:pPr>
              <w:spacing w:line="360" w:lineRule="auto"/>
              <w:ind w:firstLine="480" w:firstLineChars="200"/>
              <w:rPr>
                <w:sz w:val="24"/>
              </w:rPr>
            </w:pPr>
            <w:r>
              <w:rPr>
                <w:sz w:val="24"/>
              </w:rPr>
              <w:t>本项目环境风险评价工作等级划分依据见下表。</w:t>
            </w:r>
          </w:p>
          <w:p w14:paraId="71C3BF0F">
            <w:pPr>
              <w:jc w:val="center"/>
              <w:rPr>
                <w:b/>
                <w:bCs/>
                <w:kern w:val="0"/>
                <w:sz w:val="24"/>
              </w:rPr>
            </w:pPr>
            <w:r>
              <w:rPr>
                <w:b/>
                <w:bCs/>
                <w:kern w:val="0"/>
                <w:sz w:val="24"/>
              </w:rPr>
              <w:t>表37  评价工作级别划分一览表</w:t>
            </w:r>
          </w:p>
          <w:tbl>
            <w:tblPr>
              <w:tblStyle w:val="2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1784"/>
              <w:gridCol w:w="1873"/>
              <w:gridCol w:w="1586"/>
              <w:gridCol w:w="1600"/>
              <w:gridCol w:w="1603"/>
            </w:tblGrid>
            <w:tr w14:paraId="0DB13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79" w:hRule="atLeast"/>
              </w:trPr>
              <w:tc>
                <w:tcPr>
                  <w:tcW w:w="1056" w:type="pct"/>
                  <w:tcBorders>
                    <w:top w:val="single" w:color="auto" w:sz="4" w:space="0"/>
                    <w:left w:val="single" w:color="auto" w:sz="4" w:space="0"/>
                    <w:bottom w:val="single" w:color="auto" w:sz="4" w:space="0"/>
                    <w:right w:val="single" w:color="auto" w:sz="4" w:space="0"/>
                  </w:tcBorders>
                  <w:vAlign w:val="center"/>
                </w:tcPr>
                <w:p w14:paraId="371F4667">
                  <w:pPr>
                    <w:pStyle w:val="63"/>
                    <w:adjustRightInd w:val="0"/>
                    <w:snapToGrid w:val="0"/>
                    <w:rPr>
                      <w:szCs w:val="21"/>
                    </w:rPr>
                  </w:pPr>
                  <w:r>
                    <w:rPr>
                      <w:szCs w:val="21"/>
                    </w:rPr>
                    <w:t>环境风险潜势</w:t>
                  </w:r>
                </w:p>
              </w:tc>
              <w:tc>
                <w:tcPr>
                  <w:tcW w:w="1109" w:type="pct"/>
                  <w:tcBorders>
                    <w:top w:val="single" w:color="auto" w:sz="4" w:space="0"/>
                    <w:left w:val="single" w:color="auto" w:sz="4" w:space="0"/>
                    <w:bottom w:val="single" w:color="auto" w:sz="4" w:space="0"/>
                    <w:right w:val="single" w:color="auto" w:sz="4" w:space="0"/>
                  </w:tcBorders>
                  <w:vAlign w:val="center"/>
                </w:tcPr>
                <w:p w14:paraId="751987A8">
                  <w:pPr>
                    <w:pStyle w:val="63"/>
                    <w:adjustRightInd w:val="0"/>
                    <w:snapToGrid w:val="0"/>
                    <w:rPr>
                      <w:szCs w:val="21"/>
                    </w:rPr>
                  </w:pPr>
                  <w:r>
                    <w:rPr>
                      <w:szCs w:val="21"/>
                    </w:rPr>
                    <w:t>IV、IV</w:t>
                  </w:r>
                  <w:r>
                    <w:rPr>
                      <w:szCs w:val="21"/>
                      <w:vertAlign w:val="superscript"/>
                    </w:rPr>
                    <w:t>+</w:t>
                  </w:r>
                </w:p>
              </w:tc>
              <w:tc>
                <w:tcPr>
                  <w:tcW w:w="939" w:type="pct"/>
                  <w:tcBorders>
                    <w:top w:val="single" w:color="auto" w:sz="4" w:space="0"/>
                    <w:left w:val="single" w:color="auto" w:sz="4" w:space="0"/>
                    <w:bottom w:val="single" w:color="auto" w:sz="4" w:space="0"/>
                    <w:right w:val="single" w:color="auto" w:sz="4" w:space="0"/>
                  </w:tcBorders>
                  <w:vAlign w:val="center"/>
                </w:tcPr>
                <w:p w14:paraId="29060C06">
                  <w:pPr>
                    <w:pStyle w:val="63"/>
                    <w:adjustRightInd w:val="0"/>
                    <w:snapToGrid w:val="0"/>
                    <w:rPr>
                      <w:szCs w:val="21"/>
                    </w:rPr>
                  </w:pPr>
                  <w:r>
                    <w:rPr>
                      <w:szCs w:val="21"/>
                    </w:rPr>
                    <w:t>III</w:t>
                  </w:r>
                </w:p>
              </w:tc>
              <w:tc>
                <w:tcPr>
                  <w:tcW w:w="947" w:type="pct"/>
                  <w:tcBorders>
                    <w:top w:val="single" w:color="auto" w:sz="4" w:space="0"/>
                    <w:left w:val="single" w:color="auto" w:sz="4" w:space="0"/>
                    <w:bottom w:val="single" w:color="auto" w:sz="4" w:space="0"/>
                    <w:right w:val="single" w:color="auto" w:sz="4" w:space="0"/>
                  </w:tcBorders>
                  <w:vAlign w:val="center"/>
                </w:tcPr>
                <w:p w14:paraId="787CDA11">
                  <w:pPr>
                    <w:pStyle w:val="63"/>
                    <w:adjustRightInd w:val="0"/>
                    <w:snapToGrid w:val="0"/>
                    <w:ind w:firstLine="560"/>
                    <w:rPr>
                      <w:szCs w:val="21"/>
                    </w:rPr>
                  </w:pPr>
                  <w:r>
                    <w:rPr>
                      <w:szCs w:val="21"/>
                    </w:rPr>
                    <w:fldChar w:fldCharType="begin"/>
                  </w:r>
                  <w:r>
                    <w:rPr>
                      <w:szCs w:val="21"/>
                    </w:rPr>
                    <w:instrText xml:space="preserve"> = 2 \* ROMAN \* MERGEFORMAT </w:instrText>
                  </w:r>
                  <w:r>
                    <w:rPr>
                      <w:szCs w:val="21"/>
                    </w:rPr>
                    <w:fldChar w:fldCharType="separate"/>
                  </w:r>
                  <w:r>
                    <w:rPr>
                      <w:szCs w:val="21"/>
                    </w:rPr>
                    <w:t>II</w:t>
                  </w:r>
                  <w:r>
                    <w:rPr>
                      <w:szCs w:val="21"/>
                    </w:rPr>
                    <w:fldChar w:fldCharType="end"/>
                  </w:r>
                </w:p>
              </w:tc>
              <w:tc>
                <w:tcPr>
                  <w:tcW w:w="946" w:type="pct"/>
                  <w:tcBorders>
                    <w:top w:val="single" w:color="auto" w:sz="4" w:space="0"/>
                    <w:left w:val="single" w:color="auto" w:sz="4" w:space="0"/>
                    <w:bottom w:val="single" w:color="auto" w:sz="4" w:space="0"/>
                    <w:right w:val="single" w:color="auto" w:sz="4" w:space="0"/>
                  </w:tcBorders>
                  <w:vAlign w:val="center"/>
                </w:tcPr>
                <w:p w14:paraId="17C63FD7">
                  <w:pPr>
                    <w:pStyle w:val="63"/>
                    <w:adjustRightInd w:val="0"/>
                    <w:snapToGrid w:val="0"/>
                    <w:ind w:firstLine="560"/>
                    <w:rPr>
                      <w:szCs w:val="21"/>
                    </w:rPr>
                  </w:pPr>
                  <w:r>
                    <w:rPr>
                      <w:szCs w:val="21"/>
                    </w:rPr>
                    <w:fldChar w:fldCharType="begin"/>
                  </w:r>
                  <w:r>
                    <w:rPr>
                      <w:szCs w:val="21"/>
                    </w:rPr>
                    <w:instrText xml:space="preserve"> = 1 \* ROMAN \* MERGEFORMAT </w:instrText>
                  </w:r>
                  <w:r>
                    <w:rPr>
                      <w:szCs w:val="21"/>
                    </w:rPr>
                    <w:fldChar w:fldCharType="separate"/>
                  </w:r>
                  <w:r>
                    <w:rPr>
                      <w:szCs w:val="21"/>
                    </w:rPr>
                    <w:t>I</w:t>
                  </w:r>
                  <w:r>
                    <w:rPr>
                      <w:szCs w:val="21"/>
                    </w:rPr>
                    <w:fldChar w:fldCharType="end"/>
                  </w:r>
                </w:p>
              </w:tc>
            </w:tr>
            <w:tr w14:paraId="1B417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2" w:hRule="atLeast"/>
              </w:trPr>
              <w:tc>
                <w:tcPr>
                  <w:tcW w:w="1056" w:type="pct"/>
                  <w:tcBorders>
                    <w:top w:val="single" w:color="auto" w:sz="4" w:space="0"/>
                    <w:left w:val="single" w:color="auto" w:sz="4" w:space="0"/>
                    <w:bottom w:val="single" w:color="auto" w:sz="4" w:space="0"/>
                    <w:right w:val="single" w:color="auto" w:sz="4" w:space="0"/>
                  </w:tcBorders>
                  <w:vAlign w:val="center"/>
                </w:tcPr>
                <w:p w14:paraId="37E582D8">
                  <w:pPr>
                    <w:pStyle w:val="63"/>
                    <w:adjustRightInd w:val="0"/>
                    <w:snapToGrid w:val="0"/>
                    <w:rPr>
                      <w:szCs w:val="21"/>
                    </w:rPr>
                  </w:pPr>
                  <w:r>
                    <w:rPr>
                      <w:szCs w:val="21"/>
                    </w:rPr>
                    <w:t>评价工作等级</w:t>
                  </w:r>
                </w:p>
              </w:tc>
              <w:tc>
                <w:tcPr>
                  <w:tcW w:w="1109" w:type="pct"/>
                  <w:tcBorders>
                    <w:top w:val="single" w:color="auto" w:sz="4" w:space="0"/>
                    <w:left w:val="single" w:color="auto" w:sz="4" w:space="0"/>
                    <w:bottom w:val="single" w:color="auto" w:sz="4" w:space="0"/>
                    <w:right w:val="single" w:color="auto" w:sz="4" w:space="0"/>
                  </w:tcBorders>
                  <w:vAlign w:val="center"/>
                </w:tcPr>
                <w:p w14:paraId="4EE0A5E0">
                  <w:pPr>
                    <w:pStyle w:val="63"/>
                    <w:adjustRightInd w:val="0"/>
                    <w:snapToGrid w:val="0"/>
                    <w:rPr>
                      <w:szCs w:val="21"/>
                    </w:rPr>
                  </w:pPr>
                  <w:r>
                    <w:rPr>
                      <w:szCs w:val="21"/>
                    </w:rPr>
                    <w:t>一</w:t>
                  </w:r>
                </w:p>
              </w:tc>
              <w:tc>
                <w:tcPr>
                  <w:tcW w:w="939" w:type="pct"/>
                  <w:tcBorders>
                    <w:top w:val="single" w:color="auto" w:sz="4" w:space="0"/>
                    <w:left w:val="single" w:color="auto" w:sz="4" w:space="0"/>
                    <w:bottom w:val="single" w:color="auto" w:sz="4" w:space="0"/>
                    <w:right w:val="single" w:color="auto" w:sz="4" w:space="0"/>
                  </w:tcBorders>
                  <w:vAlign w:val="center"/>
                </w:tcPr>
                <w:p w14:paraId="35678A93">
                  <w:pPr>
                    <w:pStyle w:val="63"/>
                    <w:adjustRightInd w:val="0"/>
                    <w:snapToGrid w:val="0"/>
                    <w:rPr>
                      <w:szCs w:val="21"/>
                    </w:rPr>
                  </w:pPr>
                  <w:r>
                    <w:rPr>
                      <w:szCs w:val="21"/>
                    </w:rPr>
                    <w:t>二</w:t>
                  </w:r>
                </w:p>
              </w:tc>
              <w:tc>
                <w:tcPr>
                  <w:tcW w:w="947" w:type="pct"/>
                  <w:tcBorders>
                    <w:top w:val="single" w:color="auto" w:sz="4" w:space="0"/>
                    <w:left w:val="single" w:color="auto" w:sz="4" w:space="0"/>
                    <w:bottom w:val="single" w:color="auto" w:sz="4" w:space="0"/>
                    <w:right w:val="single" w:color="auto" w:sz="4" w:space="0"/>
                  </w:tcBorders>
                  <w:vAlign w:val="center"/>
                </w:tcPr>
                <w:p w14:paraId="27606AA5">
                  <w:pPr>
                    <w:pStyle w:val="63"/>
                    <w:adjustRightInd w:val="0"/>
                    <w:snapToGrid w:val="0"/>
                    <w:rPr>
                      <w:szCs w:val="21"/>
                    </w:rPr>
                  </w:pPr>
                  <w:r>
                    <w:rPr>
                      <w:szCs w:val="21"/>
                    </w:rPr>
                    <w:t>三</w:t>
                  </w:r>
                </w:p>
              </w:tc>
              <w:tc>
                <w:tcPr>
                  <w:tcW w:w="946" w:type="pct"/>
                  <w:tcBorders>
                    <w:top w:val="single" w:color="auto" w:sz="4" w:space="0"/>
                    <w:left w:val="single" w:color="auto" w:sz="4" w:space="0"/>
                    <w:bottom w:val="single" w:color="auto" w:sz="4" w:space="0"/>
                    <w:right w:val="single" w:color="auto" w:sz="4" w:space="0"/>
                  </w:tcBorders>
                  <w:vAlign w:val="center"/>
                </w:tcPr>
                <w:p w14:paraId="752C11A0">
                  <w:pPr>
                    <w:pStyle w:val="63"/>
                    <w:adjustRightInd w:val="0"/>
                    <w:snapToGrid w:val="0"/>
                    <w:rPr>
                      <w:szCs w:val="21"/>
                    </w:rPr>
                  </w:pPr>
                  <w:r>
                    <w:rPr>
                      <w:szCs w:val="21"/>
                    </w:rPr>
                    <w:t>简单分析a</w:t>
                  </w:r>
                </w:p>
              </w:tc>
            </w:tr>
            <w:tr w14:paraId="06F4A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3" w:hRule="atLeast"/>
              </w:trPr>
              <w:tc>
                <w:tcPr>
                  <w:tcW w:w="5000" w:type="pct"/>
                  <w:gridSpan w:val="5"/>
                  <w:tcBorders>
                    <w:top w:val="single" w:color="auto" w:sz="4" w:space="0"/>
                    <w:left w:val="single" w:color="auto" w:sz="4" w:space="0"/>
                    <w:bottom w:val="single" w:color="auto" w:sz="4" w:space="0"/>
                    <w:right w:val="single" w:color="auto" w:sz="4" w:space="0"/>
                  </w:tcBorders>
                  <w:vAlign w:val="center"/>
                </w:tcPr>
                <w:p w14:paraId="603DACFA">
                  <w:pPr>
                    <w:pStyle w:val="63"/>
                    <w:jc w:val="both"/>
                    <w:rPr>
                      <w:szCs w:val="21"/>
                    </w:rPr>
                  </w:pPr>
                  <w:r>
                    <w:rPr>
                      <w:szCs w:val="21"/>
                    </w:rPr>
                    <w:t>a是相对于详细评价工作内容而言，在描述危险物质、环境影响途径、环境危害后果、风险防范措施等方面给出定性的说明。见附录A。</w:t>
                  </w:r>
                </w:p>
              </w:tc>
            </w:tr>
          </w:tbl>
          <w:p w14:paraId="76D708FA">
            <w:pPr>
              <w:spacing w:line="360" w:lineRule="auto"/>
              <w:ind w:firstLine="480" w:firstLineChars="200"/>
              <w:rPr>
                <w:sz w:val="24"/>
              </w:rPr>
            </w:pPr>
            <w:r>
              <w:rPr>
                <w:sz w:val="24"/>
              </w:rPr>
              <w:t>本项目环境风险潜势为Ⅰ，由上表可知，本项目环境风险评价工作等级为简要分析，本次评价仅在描述危险物质、环境影响途径、环境危害后果、风险防范措施等方面给出定性的说明。</w:t>
            </w:r>
          </w:p>
          <w:p w14:paraId="54E7C3E3">
            <w:pPr>
              <w:pStyle w:val="4"/>
              <w:snapToGrid w:val="0"/>
              <w:spacing w:before="0" w:after="0" w:line="360" w:lineRule="auto"/>
              <w:ind w:firstLine="482" w:firstLineChars="200"/>
              <w:rPr>
                <w:bCs/>
                <w:sz w:val="24"/>
                <w:szCs w:val="24"/>
              </w:rPr>
            </w:pPr>
            <w:r>
              <w:rPr>
                <w:rFonts w:hint="eastAsia"/>
                <w:bCs/>
                <w:sz w:val="24"/>
                <w:szCs w:val="24"/>
              </w:rPr>
              <w:t>6.</w:t>
            </w:r>
            <w:r>
              <w:rPr>
                <w:bCs/>
                <w:sz w:val="24"/>
                <w:szCs w:val="24"/>
              </w:rPr>
              <w:t>4</w:t>
            </w:r>
            <w:r>
              <w:rPr>
                <w:rFonts w:hint="eastAsia"/>
                <w:bCs/>
                <w:sz w:val="24"/>
                <w:szCs w:val="24"/>
              </w:rPr>
              <w:t>环境风险分析</w:t>
            </w:r>
          </w:p>
          <w:p w14:paraId="764A17DE">
            <w:pPr>
              <w:spacing w:line="420" w:lineRule="exact"/>
              <w:ind w:firstLine="480" w:firstLineChars="200"/>
              <w:jc w:val="left"/>
              <w:rPr>
                <w:kern w:val="0"/>
                <w:sz w:val="24"/>
              </w:rPr>
            </w:pPr>
            <w:r>
              <w:rPr>
                <w:rFonts w:hint="eastAsia"/>
                <w:kern w:val="0"/>
                <w:sz w:val="24"/>
              </w:rPr>
              <w:t>原料、产品及</w:t>
            </w:r>
            <w:r>
              <w:rPr>
                <w:kern w:val="0"/>
                <w:sz w:val="24"/>
              </w:rPr>
              <w:t>危废</w:t>
            </w:r>
            <w:r>
              <w:rPr>
                <w:rFonts w:hint="eastAsia"/>
                <w:kern w:val="0"/>
                <w:sz w:val="24"/>
              </w:rPr>
              <w:t>均为易燃物质，由于人员操作不当或电线线路短路及其它因素会引起火灾事故，并引发伴生/次生反应，对环境空气、地下水等造成污染；</w:t>
            </w:r>
            <w:r>
              <w:rPr>
                <w:kern w:val="0"/>
                <w:sz w:val="24"/>
              </w:rPr>
              <w:t>项目生产过程中</w:t>
            </w:r>
            <w:r>
              <w:rPr>
                <w:rFonts w:hint="eastAsia"/>
                <w:kern w:val="0"/>
                <w:sz w:val="24"/>
              </w:rPr>
              <w:t>主要</w:t>
            </w:r>
            <w:r>
              <w:rPr>
                <w:kern w:val="0"/>
                <w:sz w:val="24"/>
              </w:rPr>
              <w:t>产生废水，本项目废水</w:t>
            </w:r>
            <w:r>
              <w:rPr>
                <w:rFonts w:hint="eastAsia"/>
                <w:kern w:val="0"/>
                <w:sz w:val="24"/>
              </w:rPr>
              <w:t>处理后循环使用，定期外排</w:t>
            </w:r>
            <w:r>
              <w:rPr>
                <w:kern w:val="0"/>
                <w:sz w:val="24"/>
              </w:rPr>
              <w:t>，废水治理设施在建设时</w:t>
            </w:r>
            <w:r>
              <w:rPr>
                <w:rFonts w:hint="eastAsia"/>
                <w:kern w:val="0"/>
                <w:sz w:val="24"/>
              </w:rPr>
              <w:t>需</w:t>
            </w:r>
            <w:r>
              <w:rPr>
                <w:kern w:val="0"/>
                <w:sz w:val="24"/>
              </w:rPr>
              <w:t>进行防渗</w:t>
            </w:r>
            <w:r>
              <w:rPr>
                <w:rFonts w:hint="eastAsia"/>
                <w:kern w:val="0"/>
                <w:sz w:val="24"/>
              </w:rPr>
              <w:t>漏</w:t>
            </w:r>
            <w:r>
              <w:rPr>
                <w:kern w:val="0"/>
                <w:sz w:val="24"/>
              </w:rPr>
              <w:t>处理，</w:t>
            </w:r>
            <w:r>
              <w:rPr>
                <w:rFonts w:hint="eastAsia"/>
                <w:kern w:val="0"/>
                <w:sz w:val="24"/>
              </w:rPr>
              <w:t>且</w:t>
            </w:r>
            <w:r>
              <w:rPr>
                <w:kern w:val="0"/>
                <w:sz w:val="24"/>
              </w:rPr>
              <w:t>废水水质较为简单，</w:t>
            </w:r>
            <w:r>
              <w:rPr>
                <w:rFonts w:hint="eastAsia"/>
                <w:kern w:val="0"/>
                <w:sz w:val="24"/>
              </w:rPr>
              <w:t>对</w:t>
            </w:r>
            <w:r>
              <w:rPr>
                <w:kern w:val="0"/>
                <w:sz w:val="24"/>
              </w:rPr>
              <w:t>地下水、土壤</w:t>
            </w:r>
            <w:r>
              <w:rPr>
                <w:sz w:val="24"/>
              </w:rPr>
              <w:t>不会造成污染</w:t>
            </w:r>
            <w:r>
              <w:rPr>
                <w:rFonts w:hint="eastAsia"/>
                <w:kern w:val="0"/>
                <w:sz w:val="24"/>
              </w:rPr>
              <w:t>。</w:t>
            </w:r>
          </w:p>
          <w:p w14:paraId="68B633B5">
            <w:pPr>
              <w:pStyle w:val="4"/>
              <w:snapToGrid w:val="0"/>
              <w:spacing w:before="0" w:after="0" w:line="360" w:lineRule="auto"/>
              <w:ind w:firstLine="482" w:firstLineChars="200"/>
              <w:rPr>
                <w:bCs/>
                <w:sz w:val="24"/>
                <w:szCs w:val="24"/>
              </w:rPr>
            </w:pPr>
            <w:r>
              <w:rPr>
                <w:rFonts w:hint="eastAsia"/>
                <w:bCs/>
                <w:sz w:val="24"/>
                <w:szCs w:val="24"/>
              </w:rPr>
              <w:t>6.</w:t>
            </w:r>
            <w:r>
              <w:rPr>
                <w:bCs/>
                <w:sz w:val="24"/>
                <w:szCs w:val="24"/>
              </w:rPr>
              <w:t>5风险防范措施</w:t>
            </w:r>
          </w:p>
          <w:p w14:paraId="79094749">
            <w:pPr>
              <w:spacing w:line="420" w:lineRule="exact"/>
              <w:ind w:firstLine="480" w:firstLineChars="200"/>
              <w:rPr>
                <w:bCs/>
                <w:sz w:val="24"/>
              </w:rPr>
            </w:pPr>
            <w:r>
              <w:rPr>
                <w:bCs/>
                <w:sz w:val="24"/>
              </w:rPr>
              <w:t xml:space="preserve">（1）总图布置及建筑风险防范措施 </w:t>
            </w:r>
          </w:p>
          <w:p w14:paraId="4C0038BD">
            <w:pPr>
              <w:spacing w:line="420" w:lineRule="exact"/>
              <w:ind w:firstLine="480" w:firstLineChars="200"/>
              <w:rPr>
                <w:bCs/>
                <w:sz w:val="24"/>
              </w:rPr>
            </w:pPr>
            <w:r>
              <w:rPr>
                <w:bCs/>
                <w:sz w:val="24"/>
              </w:rPr>
              <w:t>本项目总平面布置应根据厂内各生产系统及安全、卫生要求，按照功能合理分区，各功能分区之间及功能分区内部要按照有关规范保持足够的安全距离。</w:t>
            </w:r>
          </w:p>
          <w:p w14:paraId="5350AA2B">
            <w:pPr>
              <w:spacing w:line="420" w:lineRule="exact"/>
              <w:ind w:firstLine="480" w:firstLineChars="200"/>
              <w:rPr>
                <w:bCs/>
                <w:sz w:val="24"/>
              </w:rPr>
            </w:pPr>
            <w:r>
              <w:rPr>
                <w:bCs/>
                <w:sz w:val="24"/>
              </w:rPr>
              <w:t>本项目厂区内设置消防通道，通道上不能堆放产品，以保证消防、急救车辆畅行无阻。</w:t>
            </w:r>
          </w:p>
          <w:p w14:paraId="389E925C">
            <w:pPr>
              <w:pStyle w:val="139"/>
              <w:spacing w:line="420" w:lineRule="exact"/>
              <w:ind w:firstLine="480"/>
              <w:rPr>
                <w:color w:val="auto"/>
              </w:rPr>
            </w:pPr>
            <w:r>
              <w:rPr>
                <w:color w:val="auto"/>
              </w:rPr>
              <w:t>（2）物料存储、使用过程的风险防范措施</w:t>
            </w:r>
          </w:p>
          <w:p w14:paraId="2F7C1808">
            <w:pPr>
              <w:pStyle w:val="139"/>
              <w:spacing w:line="420" w:lineRule="exact"/>
              <w:ind w:firstLine="480"/>
              <w:rPr>
                <w:color w:val="auto"/>
              </w:rPr>
            </w:pPr>
            <w:r>
              <w:rPr>
                <w:rFonts w:hAnsi="宋体"/>
                <w:color w:val="auto"/>
              </w:rPr>
              <w:t>①</w:t>
            </w:r>
            <w:r>
              <w:rPr>
                <w:color w:val="auto"/>
              </w:rPr>
              <w:t>原料贮放设置明显标志。</w:t>
            </w:r>
          </w:p>
          <w:p w14:paraId="5B1A14FB">
            <w:pPr>
              <w:pStyle w:val="139"/>
              <w:spacing w:line="420" w:lineRule="exact"/>
              <w:ind w:firstLine="480"/>
              <w:rPr>
                <w:color w:val="auto"/>
              </w:rPr>
            </w:pPr>
            <w:r>
              <w:rPr>
                <w:rFonts w:hAnsi="宋体"/>
                <w:color w:val="auto"/>
              </w:rPr>
              <w:t>②</w:t>
            </w:r>
            <w:r>
              <w:rPr>
                <w:color w:val="auto"/>
              </w:rPr>
              <w:t>原料按计划采购、分期分批入库，严格控制贮存量。</w:t>
            </w:r>
          </w:p>
          <w:p w14:paraId="3AF738E2">
            <w:pPr>
              <w:pStyle w:val="139"/>
              <w:spacing w:line="420" w:lineRule="exact"/>
              <w:ind w:firstLine="480"/>
              <w:rPr>
                <w:color w:val="auto"/>
              </w:rPr>
            </w:pPr>
            <w:r>
              <w:rPr>
                <w:rFonts w:hAnsi="宋体"/>
                <w:color w:val="auto"/>
              </w:rPr>
              <w:t>③</w:t>
            </w:r>
            <w:r>
              <w:rPr>
                <w:rFonts w:hint="eastAsia"/>
                <w:color w:val="auto"/>
              </w:rPr>
              <w:t>产品按订单</w:t>
            </w:r>
            <w:r>
              <w:rPr>
                <w:color w:val="auto"/>
              </w:rPr>
              <w:t>生产，勿在厂区内贮存大</w:t>
            </w:r>
            <w:r>
              <w:rPr>
                <w:rFonts w:hint="eastAsia"/>
                <w:color w:val="auto"/>
              </w:rPr>
              <w:t>量</w:t>
            </w:r>
            <w:r>
              <w:rPr>
                <w:color w:val="auto"/>
              </w:rPr>
              <w:t>产品。</w:t>
            </w:r>
          </w:p>
          <w:p w14:paraId="0D80ACFC">
            <w:pPr>
              <w:pStyle w:val="139"/>
              <w:spacing w:line="420" w:lineRule="exact"/>
              <w:ind w:firstLine="480"/>
              <w:rPr>
                <w:color w:val="auto"/>
              </w:rPr>
            </w:pPr>
            <w:r>
              <w:rPr>
                <w:color w:val="auto"/>
              </w:rPr>
              <w:t>（3）火灾风险防范措施</w:t>
            </w:r>
          </w:p>
          <w:p w14:paraId="7C34E1EF">
            <w:pPr>
              <w:pStyle w:val="139"/>
              <w:spacing w:line="420" w:lineRule="exact"/>
              <w:ind w:firstLine="480"/>
              <w:rPr>
                <w:color w:val="auto"/>
              </w:rPr>
            </w:pPr>
            <w:r>
              <w:rPr>
                <w:rFonts w:hAnsi="宋体"/>
                <w:color w:val="auto"/>
              </w:rPr>
              <w:t>①</w:t>
            </w:r>
            <w:r>
              <w:rPr>
                <w:color w:val="auto"/>
              </w:rPr>
              <w:t>危废暂存必须是封闭设施，必须有防雨、防晒、防渗、防尘、防扬散和防火措施，并由足够的疏散通道，单位应保持疏散通道、安全出口畅通</w:t>
            </w:r>
            <w:r>
              <w:rPr>
                <w:rFonts w:hint="eastAsia"/>
                <w:color w:val="auto"/>
              </w:rPr>
              <w:t>。</w:t>
            </w:r>
          </w:p>
          <w:p w14:paraId="496FAB5A">
            <w:pPr>
              <w:pStyle w:val="139"/>
              <w:spacing w:line="420" w:lineRule="exact"/>
              <w:ind w:firstLine="480"/>
              <w:rPr>
                <w:color w:val="auto"/>
              </w:rPr>
            </w:pPr>
            <w:r>
              <w:rPr>
                <w:rFonts w:hint="eastAsia" w:ascii="宋体" w:hAnsi="宋体" w:cs="宋体"/>
                <w:color w:val="auto"/>
              </w:rPr>
              <w:t>②</w:t>
            </w:r>
            <w:r>
              <w:rPr>
                <w:rFonts w:hint="eastAsia"/>
              </w:rPr>
              <w:t>车间内</w:t>
            </w:r>
            <w:r>
              <w:rPr>
                <w:bCs/>
              </w:rPr>
              <w:t>各功能分区之间及功能分区内部要按照有关规范保持足够的安全距离</w:t>
            </w:r>
            <w:r>
              <w:rPr>
                <w:rFonts w:hint="eastAsia"/>
                <w:bCs/>
              </w:rPr>
              <w:t>车间</w:t>
            </w:r>
            <w:r>
              <w:rPr>
                <w:bCs/>
              </w:rPr>
              <w:t>内设置消防通道</w:t>
            </w:r>
            <w:r>
              <w:rPr>
                <w:color w:val="auto"/>
              </w:rPr>
              <w:t>，符合《建筑设计防火规范》的相关规定。</w:t>
            </w:r>
          </w:p>
          <w:p w14:paraId="22DDC993">
            <w:pPr>
              <w:pStyle w:val="139"/>
              <w:spacing w:line="420" w:lineRule="exact"/>
              <w:ind w:firstLine="480"/>
              <w:rPr>
                <w:color w:val="auto"/>
              </w:rPr>
            </w:pPr>
            <w:r>
              <w:rPr>
                <w:rFonts w:hint="eastAsia" w:ascii="宋体" w:hAnsi="宋体" w:cs="宋体"/>
                <w:color w:val="auto"/>
              </w:rPr>
              <w:t>③</w:t>
            </w:r>
            <w:r>
              <w:rPr>
                <w:color w:val="auto"/>
              </w:rPr>
              <w:t>生产区、成品区、原材料区，设置为禁火区，远离明火、禁烟；厂房设置防火通道，禁止在通道内堆放物品。</w:t>
            </w:r>
          </w:p>
          <w:p w14:paraId="7F1A67F9">
            <w:pPr>
              <w:pStyle w:val="139"/>
              <w:spacing w:line="420" w:lineRule="exact"/>
              <w:ind w:firstLine="480"/>
              <w:rPr>
                <w:color w:val="auto"/>
              </w:rPr>
            </w:pPr>
            <w:r>
              <w:rPr>
                <w:rFonts w:hint="eastAsia" w:ascii="宋体" w:hAnsi="宋体" w:cs="宋体"/>
                <w:color w:val="auto"/>
              </w:rPr>
              <w:t>④</w:t>
            </w:r>
            <w:r>
              <w:rPr>
                <w:color w:val="auto"/>
              </w:rPr>
              <w:t>落实责任制，生产</w:t>
            </w:r>
            <w:r>
              <w:rPr>
                <w:rFonts w:hint="eastAsia"/>
                <w:color w:val="auto"/>
              </w:rPr>
              <w:t>区</w:t>
            </w:r>
            <w:r>
              <w:rPr>
                <w:color w:val="auto"/>
              </w:rPr>
              <w:t>、原材料区、成品区应分设负责任看管，确保消防隐患时刻监控，不可利用废物定期清理；实行安全检查制度，各类安全设施、消防器材进行各种日常的、定期的、专业的防火安全检查，并将发现的问题及时整改。</w:t>
            </w:r>
          </w:p>
          <w:p w14:paraId="09FEF0B7">
            <w:pPr>
              <w:pStyle w:val="139"/>
              <w:spacing w:line="420" w:lineRule="exact"/>
              <w:ind w:firstLine="480"/>
              <w:rPr>
                <w:color w:val="auto"/>
              </w:rPr>
            </w:pPr>
            <w:r>
              <w:rPr>
                <w:rFonts w:hint="eastAsia" w:ascii="宋体" w:hAnsi="宋体" w:cs="宋体"/>
                <w:color w:val="auto"/>
              </w:rPr>
              <w:t>⑤车间</w:t>
            </w:r>
            <w:r>
              <w:rPr>
                <w:rFonts w:ascii="宋体" w:hAnsi="宋体" w:cs="宋体"/>
                <w:color w:val="auto"/>
              </w:rPr>
              <w:t>内</w:t>
            </w:r>
            <w:r>
              <w:rPr>
                <w:rFonts w:hint="eastAsia" w:ascii="宋体" w:hAnsi="宋体" w:cs="宋体"/>
                <w:color w:val="auto"/>
              </w:rPr>
              <w:t>设置消防设施（灭火器</w:t>
            </w:r>
            <w:r>
              <w:rPr>
                <w:rFonts w:ascii="宋体" w:hAnsi="宋体" w:cs="宋体"/>
                <w:color w:val="auto"/>
              </w:rPr>
              <w:t>）</w:t>
            </w:r>
            <w:r>
              <w:rPr>
                <w:rFonts w:hint="eastAsia" w:ascii="宋体" w:hAnsi="宋体" w:cs="宋体"/>
                <w:color w:val="auto"/>
              </w:rPr>
              <w:t>，</w:t>
            </w:r>
            <w:r>
              <w:rPr>
                <w:color w:val="auto"/>
              </w:rPr>
              <w:t xml:space="preserve">如突发火灾，应立即采取急救措施，并及时向当地环保局等有关部门报告。万一发生火灾事故，迅速按灭火作战预案紧急处理，并拨打119电话通知公安消防部门并报告部门主管；并隔离、疏散、转移遇险人员到安全区域，按消防专业的要求警戒区，并在通往事故现场的主要干道上实行交通管制，除消防及应急处理人员外，其他人员禁止进入警戒区，并迅速撤离无关人员；小火灾时用干粉或二氧化碳灭火器，大火灾时用水幕、雾状水或常规泡沫灭火。 </w:t>
            </w:r>
          </w:p>
          <w:p w14:paraId="66103070">
            <w:pPr>
              <w:pStyle w:val="139"/>
              <w:spacing w:line="420" w:lineRule="exact"/>
              <w:ind w:firstLine="480"/>
              <w:rPr>
                <w:color w:val="auto"/>
              </w:rPr>
            </w:pPr>
            <w:r>
              <w:rPr>
                <w:rFonts w:hint="eastAsia" w:ascii="宋体" w:hAnsi="宋体" w:cs="宋体"/>
                <w:color w:val="auto"/>
              </w:rPr>
              <w:t>⑥</w:t>
            </w:r>
            <w:r>
              <w:rPr>
                <w:color w:val="auto"/>
              </w:rPr>
              <w:t>加强消防安全教育培训。每年以创办消防知识宣传栏、开展知识竞赛等多种形式，提高全体员工的消防安全；定期组织员工学习消防法规和各项规章制度，做到依法治火；各部门应针对岗位特点进行消防安全教育培训；对消防设施维护保养和使用人员应进行实地演示和培训；对新员工进行岗前消防培训，经考试合格后方可上岗；消控中心等特殊岗位要进行专业培训，经考试合格，持证上岗。</w:t>
            </w:r>
          </w:p>
          <w:p w14:paraId="3EAE2B77">
            <w:pPr>
              <w:spacing w:line="420" w:lineRule="exact"/>
              <w:ind w:firstLine="480" w:firstLineChars="200"/>
              <w:rPr>
                <w:bCs/>
                <w:sz w:val="24"/>
              </w:rPr>
            </w:pPr>
            <w:r>
              <w:rPr>
                <w:rFonts w:hAnsi="宋体"/>
                <w:bCs/>
                <w:sz w:val="24"/>
              </w:rPr>
              <w:t>（</w:t>
            </w:r>
            <w:r>
              <w:rPr>
                <w:bCs/>
                <w:sz w:val="24"/>
              </w:rPr>
              <w:t>4</w:t>
            </w:r>
            <w:r>
              <w:rPr>
                <w:rFonts w:hAnsi="宋体"/>
                <w:bCs/>
                <w:sz w:val="24"/>
              </w:rPr>
              <w:t>）其他事故的风险防范措施</w:t>
            </w:r>
          </w:p>
          <w:p w14:paraId="0A31B279">
            <w:pPr>
              <w:pStyle w:val="139"/>
              <w:spacing w:line="420" w:lineRule="exact"/>
              <w:ind w:firstLine="480"/>
              <w:rPr>
                <w:color w:val="auto"/>
              </w:rPr>
            </w:pPr>
            <w:r>
              <w:rPr>
                <w:rFonts w:hAnsi="宋体"/>
                <w:color w:val="auto"/>
              </w:rPr>
              <w:t>①</w:t>
            </w:r>
            <w:r>
              <w:rPr>
                <w:color w:val="auto"/>
              </w:rPr>
              <w:t xml:space="preserve">应按规定要求设置灭火系统，设在便于操作的地方，以确保在火情出现的第一时间内能迅速投用，防止火情蔓延和扩大，及时消除火险。 </w:t>
            </w:r>
          </w:p>
          <w:p w14:paraId="54E35534">
            <w:pPr>
              <w:pStyle w:val="139"/>
              <w:spacing w:line="420" w:lineRule="exact"/>
              <w:ind w:firstLine="480"/>
              <w:rPr>
                <w:color w:val="auto"/>
              </w:rPr>
            </w:pPr>
            <w:r>
              <w:rPr>
                <w:rFonts w:hint="eastAsia" w:ascii="宋体" w:hAnsi="宋体" w:cs="宋体"/>
                <w:color w:val="auto"/>
              </w:rPr>
              <w:t>②</w:t>
            </w:r>
            <w:r>
              <w:rPr>
                <w:color w:val="auto"/>
              </w:rPr>
              <w:t>加强员工的思想、道德教育，提高员工的责任心和主观能动性：完善并严格遵守相关的操作规程，加强岗位培训，落实岗位责任制</w:t>
            </w:r>
            <w:r>
              <w:rPr>
                <w:rFonts w:hint="eastAsia"/>
                <w:color w:val="auto"/>
              </w:rPr>
              <w:t>，</w:t>
            </w:r>
            <w:r>
              <w:rPr>
                <w:color w:val="auto"/>
              </w:rPr>
              <w:t>加强设备管理。</w:t>
            </w:r>
          </w:p>
          <w:p w14:paraId="6C49912B">
            <w:pPr>
              <w:pStyle w:val="139"/>
              <w:spacing w:line="420" w:lineRule="exact"/>
              <w:ind w:firstLine="480"/>
              <w:rPr>
                <w:color w:val="auto"/>
              </w:rPr>
            </w:pPr>
            <w:r>
              <w:rPr>
                <w:rFonts w:hint="eastAsia" w:ascii="宋体" w:hAnsi="宋体" w:cs="宋体"/>
                <w:color w:val="auto"/>
              </w:rPr>
              <w:t>③</w:t>
            </w:r>
            <w:r>
              <w:rPr>
                <w:color w:val="auto"/>
              </w:rPr>
              <w:t>建立事故预防、监测、检验、报警系统；采取技术、工艺、设备、管理等综合预防措施，生产场所应设置相应的通风设施，确保工作人员不受有害气体的危害。</w:t>
            </w:r>
          </w:p>
          <w:p w14:paraId="177E0884">
            <w:pPr>
              <w:snapToGrid w:val="0"/>
              <w:spacing w:before="120" w:beforeLines="50" w:line="360" w:lineRule="auto"/>
              <w:ind w:firstLine="480" w:firstLineChars="200"/>
              <w:rPr>
                <w:sz w:val="24"/>
              </w:rPr>
            </w:pPr>
            <w:r>
              <w:rPr>
                <w:kern w:val="0"/>
                <w:sz w:val="24"/>
              </w:rPr>
              <w:t>综上</w:t>
            </w:r>
            <w:r>
              <w:rPr>
                <w:rFonts w:hint="eastAsia"/>
                <w:kern w:val="0"/>
                <w:sz w:val="24"/>
              </w:rPr>
              <w:t>分析</w:t>
            </w:r>
            <w:r>
              <w:rPr>
                <w:kern w:val="0"/>
                <w:sz w:val="24"/>
              </w:rPr>
              <w:t>，本项目运行期间的环境风险</w:t>
            </w:r>
            <w:r>
              <w:rPr>
                <w:rFonts w:hint="eastAsia"/>
                <w:kern w:val="0"/>
                <w:sz w:val="24"/>
              </w:rPr>
              <w:t>较</w:t>
            </w:r>
            <w:r>
              <w:rPr>
                <w:kern w:val="0"/>
                <w:sz w:val="24"/>
              </w:rPr>
              <w:t>小，在落实各项环境风险防范措施</w:t>
            </w:r>
            <w:r>
              <w:rPr>
                <w:rFonts w:hint="eastAsia"/>
                <w:kern w:val="0"/>
                <w:sz w:val="24"/>
              </w:rPr>
              <w:t>后</w:t>
            </w:r>
            <w:r>
              <w:rPr>
                <w:kern w:val="0"/>
                <w:sz w:val="24"/>
              </w:rPr>
              <w:t>，加强安全生产管理，明确岗位责任制，提高环境风险意识，加强环境管理，可有效降低项目运营期的环境风险，项目运营期的环境风险处在可接受的水平。</w:t>
            </w:r>
          </w:p>
          <w:p w14:paraId="0AD65427">
            <w:pPr>
              <w:spacing w:line="360" w:lineRule="auto"/>
              <w:ind w:firstLine="482" w:firstLineChars="200"/>
              <w:rPr>
                <w:b/>
                <w:sz w:val="24"/>
              </w:rPr>
            </w:pPr>
            <w:r>
              <w:rPr>
                <w:b/>
                <w:sz w:val="24"/>
              </w:rPr>
              <w:t>7</w:t>
            </w:r>
            <w:r>
              <w:rPr>
                <w:rFonts w:hint="eastAsia"/>
                <w:b/>
                <w:sz w:val="24"/>
              </w:rPr>
              <w:t>、选址可行性分析</w:t>
            </w:r>
          </w:p>
          <w:p w14:paraId="3D44F25A">
            <w:pPr>
              <w:spacing w:line="360" w:lineRule="auto"/>
              <w:ind w:firstLine="472" w:firstLineChars="196"/>
              <w:rPr>
                <w:b/>
                <w:sz w:val="24"/>
              </w:rPr>
            </w:pPr>
            <w:r>
              <w:rPr>
                <w:b/>
                <w:sz w:val="24"/>
              </w:rPr>
              <w:t xml:space="preserve">7.1 </w:t>
            </w:r>
            <w:r>
              <w:rPr>
                <w:rFonts w:hint="eastAsia"/>
                <w:b/>
                <w:sz w:val="24"/>
              </w:rPr>
              <w:t>规划相符性分析</w:t>
            </w:r>
          </w:p>
          <w:p w14:paraId="5E7C9F53">
            <w:pPr>
              <w:spacing w:line="360" w:lineRule="auto"/>
              <w:ind w:firstLine="464" w:firstLineChars="200"/>
              <w:rPr>
                <w:sz w:val="24"/>
              </w:rPr>
            </w:pPr>
            <w:r>
              <w:rPr>
                <w:rFonts w:hint="eastAsia"/>
                <w:spacing w:val="-4"/>
                <w:sz w:val="24"/>
              </w:rPr>
              <w:t>项目厂址位于商丘市民权县北关镇周翟庄村北民荷路东侧18号，租用</w:t>
            </w:r>
            <w:r>
              <w:rPr>
                <w:rFonts w:hint="eastAsia"/>
                <w:bCs/>
                <w:spacing w:val="-4"/>
                <w:sz w:val="24"/>
              </w:rPr>
              <w:t>民权县北关镇</w:t>
            </w:r>
            <w:r>
              <w:rPr>
                <w:rFonts w:hint="eastAsia"/>
                <w:sz w:val="24"/>
              </w:rPr>
              <w:t>周翟庄村北民荷路东侧18号</w:t>
            </w:r>
            <w:r>
              <w:rPr>
                <w:rFonts w:hint="eastAsia"/>
                <w:bCs/>
                <w:spacing w:val="-4"/>
                <w:sz w:val="24"/>
              </w:rPr>
              <w:t>的现有场地</w:t>
            </w:r>
            <w:r>
              <w:rPr>
                <w:rFonts w:hint="eastAsia"/>
                <w:sz w:val="24"/>
              </w:rPr>
              <w:t>建设生产</w:t>
            </w:r>
            <w:r>
              <w:rPr>
                <w:rFonts w:hint="eastAsia"/>
                <w:spacing w:val="-4"/>
                <w:sz w:val="24"/>
              </w:rPr>
              <w:t>，占地面积为</w:t>
            </w:r>
            <w:r>
              <w:rPr>
                <w:spacing w:val="-4"/>
                <w:sz w:val="24"/>
              </w:rPr>
              <w:t>45</w:t>
            </w:r>
            <w:r>
              <w:rPr>
                <w:rFonts w:hint="eastAsia"/>
                <w:spacing w:val="-4"/>
                <w:sz w:val="24"/>
              </w:rPr>
              <w:t>00m</w:t>
            </w:r>
            <w:r>
              <w:rPr>
                <w:rFonts w:hint="eastAsia"/>
                <w:spacing w:val="-4"/>
                <w:sz w:val="24"/>
                <w:vertAlign w:val="superscript"/>
              </w:rPr>
              <w:t>2</w:t>
            </w:r>
            <w:r>
              <w:rPr>
                <w:rFonts w:hint="eastAsia"/>
                <w:spacing w:val="-4"/>
                <w:sz w:val="24"/>
              </w:rPr>
              <w:t>。</w:t>
            </w:r>
            <w:r>
              <w:rPr>
                <w:rFonts w:hint="eastAsia"/>
                <w:sz w:val="24"/>
              </w:rPr>
              <w:t>根据民权县自然资源局北关自然资源所出具的证明（见附件五）可知，该宗土地属于建设用地，符合民权县北关镇土地利用总体规划；根据民权县北关镇乡村规划建设中心出具的入驻证明（见附件四），项目符合北关镇总体规划，同意项目入驻</w:t>
            </w:r>
            <w:r>
              <w:rPr>
                <w:rFonts w:hint="eastAsia"/>
                <w:bCs/>
                <w:sz w:val="24"/>
              </w:rPr>
              <w:t>。</w:t>
            </w:r>
          </w:p>
          <w:p w14:paraId="5CF4D05A">
            <w:pPr>
              <w:spacing w:line="360" w:lineRule="auto"/>
              <w:ind w:firstLine="472" w:firstLineChars="196"/>
              <w:rPr>
                <w:b/>
                <w:sz w:val="24"/>
              </w:rPr>
            </w:pPr>
            <w:r>
              <w:rPr>
                <w:rFonts w:hint="eastAsia"/>
                <w:b/>
                <w:sz w:val="24"/>
              </w:rPr>
              <w:t>8</w:t>
            </w:r>
            <w:r>
              <w:rPr>
                <w:b/>
                <w:sz w:val="24"/>
              </w:rPr>
              <w:t xml:space="preserve">.2 </w:t>
            </w:r>
            <w:r>
              <w:rPr>
                <w:rFonts w:hint="eastAsia"/>
                <w:b/>
                <w:sz w:val="24"/>
              </w:rPr>
              <w:t>与周边环境相容性分析</w:t>
            </w:r>
          </w:p>
          <w:p w14:paraId="6CB8B7B9">
            <w:pPr>
              <w:spacing w:line="360" w:lineRule="auto"/>
              <w:ind w:firstLine="480" w:firstLineChars="200"/>
              <w:rPr>
                <w:sz w:val="24"/>
              </w:rPr>
            </w:pPr>
            <w:r>
              <w:rPr>
                <w:rFonts w:hint="eastAsia"/>
                <w:sz w:val="24"/>
              </w:rPr>
              <w:t>本项目在运营过程中废气经各项废气处理措施处理后达标排放，对周围环境影响较小；项目生产废水</w:t>
            </w:r>
            <w:r>
              <w:rPr>
                <w:sz w:val="24"/>
              </w:rPr>
              <w:t>经三级沉淀处理后循环使用，每三天与</w:t>
            </w:r>
            <w:r>
              <w:rPr>
                <w:rFonts w:hint="eastAsia"/>
                <w:sz w:val="24"/>
              </w:rPr>
              <w:t>生活废水</w:t>
            </w:r>
            <w:r>
              <w:rPr>
                <w:rFonts w:hint="eastAsia"/>
                <w:bCs/>
                <w:sz w:val="24"/>
              </w:rPr>
              <w:t>一起经</w:t>
            </w:r>
            <w:r>
              <w:rPr>
                <w:bCs/>
                <w:sz w:val="24"/>
              </w:rPr>
              <w:t>罐车运至民权县</w:t>
            </w:r>
            <w:r>
              <w:rPr>
                <w:rFonts w:hint="eastAsia"/>
                <w:sz w:val="24"/>
              </w:rPr>
              <w:t>北关镇污水处理厂处理</w:t>
            </w:r>
            <w:r>
              <w:rPr>
                <w:sz w:val="24"/>
              </w:rPr>
              <w:t>后</w:t>
            </w:r>
            <w:r>
              <w:rPr>
                <w:rFonts w:hint="eastAsia"/>
                <w:sz w:val="24"/>
              </w:rPr>
              <w:t>排放；产生的固废分类合理收集、处置；项目运营过程中的高噪声设备经采取基础减震等措施，厂界噪声值</w:t>
            </w:r>
            <w:r>
              <w:rPr>
                <w:rFonts w:hint="eastAsia"/>
                <w:bCs/>
                <w:sz w:val="24"/>
              </w:rPr>
              <w:t>能够达标排放</w:t>
            </w:r>
            <w:r>
              <w:rPr>
                <w:rFonts w:hint="eastAsia"/>
                <w:sz w:val="24"/>
              </w:rPr>
              <w:t>。本项目实施后，工程营运期间产生的各项污染物采取了相应的防治措施，均能实现达标排放或综合利用，对周围环境影响较小。</w:t>
            </w:r>
          </w:p>
          <w:p w14:paraId="5C468A8C">
            <w:pPr>
              <w:spacing w:line="360" w:lineRule="auto"/>
              <w:ind w:firstLine="480" w:firstLineChars="200"/>
              <w:rPr>
                <w:sz w:val="24"/>
              </w:rPr>
            </w:pPr>
            <w:r>
              <w:rPr>
                <w:rFonts w:hint="eastAsia"/>
                <w:sz w:val="24"/>
              </w:rPr>
              <w:t>根据现场踏勘，项目位于民权县</w:t>
            </w:r>
            <w:r>
              <w:rPr>
                <w:sz w:val="24"/>
              </w:rPr>
              <w:t>中意驾校</w:t>
            </w:r>
            <w:r>
              <w:rPr>
                <w:rFonts w:hint="eastAsia"/>
                <w:sz w:val="24"/>
              </w:rPr>
              <w:t>校内，南侧闲置</w:t>
            </w:r>
            <w:r>
              <w:rPr>
                <w:sz w:val="24"/>
              </w:rPr>
              <w:t>厂房</w:t>
            </w:r>
            <w:r>
              <w:rPr>
                <w:rFonts w:hint="eastAsia"/>
                <w:sz w:val="24"/>
              </w:rPr>
              <w:t>，东侧为民权县科宇</w:t>
            </w:r>
            <w:r>
              <w:rPr>
                <w:sz w:val="24"/>
              </w:rPr>
              <w:t>纤维制品厂</w:t>
            </w:r>
            <w:r>
              <w:rPr>
                <w:rFonts w:hint="eastAsia"/>
                <w:sz w:val="24"/>
              </w:rPr>
              <w:t>，北侧为空地，本项目</w:t>
            </w:r>
            <w:r>
              <w:rPr>
                <w:sz w:val="24"/>
              </w:rPr>
              <w:t>建设与周边</w:t>
            </w:r>
            <w:r>
              <w:rPr>
                <w:rFonts w:hint="eastAsia"/>
                <w:sz w:val="24"/>
              </w:rPr>
              <w:t>企业</w:t>
            </w:r>
            <w:r>
              <w:rPr>
                <w:sz w:val="24"/>
              </w:rPr>
              <w:t>相容</w:t>
            </w:r>
            <w:r>
              <w:rPr>
                <w:rFonts w:hint="eastAsia"/>
                <w:sz w:val="24"/>
              </w:rPr>
              <w:t>。距离项目最近敏感点为西侧10m的民权慧佳幼儿园及东侧2</w:t>
            </w:r>
            <w:r>
              <w:rPr>
                <w:sz w:val="24"/>
              </w:rPr>
              <w:t>2</w:t>
            </w:r>
            <w:r>
              <w:rPr>
                <w:rFonts w:hint="eastAsia"/>
                <w:sz w:val="24"/>
              </w:rPr>
              <w:t>0m的吴新</w:t>
            </w:r>
            <w:r>
              <w:rPr>
                <w:sz w:val="24"/>
              </w:rPr>
              <w:t>庄</w:t>
            </w:r>
            <w:r>
              <w:rPr>
                <w:rFonts w:hint="eastAsia"/>
                <w:sz w:val="24"/>
              </w:rPr>
              <w:t>，本项目通过</w:t>
            </w:r>
            <w:r>
              <w:rPr>
                <w:sz w:val="24"/>
              </w:rPr>
              <w:t>合理设置厂区平面布置，</w:t>
            </w:r>
            <w:r>
              <w:rPr>
                <w:rFonts w:hint="eastAsia"/>
                <w:sz w:val="24"/>
              </w:rPr>
              <w:t>污染物采取</w:t>
            </w:r>
            <w:r>
              <w:rPr>
                <w:sz w:val="24"/>
              </w:rPr>
              <w:t>合理的处置措施，</w:t>
            </w:r>
            <w:r>
              <w:rPr>
                <w:rFonts w:hint="eastAsia"/>
                <w:sz w:val="24"/>
              </w:rPr>
              <w:t>经处理后均可以达标排放或合理处置，因此</w:t>
            </w:r>
            <w:r>
              <w:rPr>
                <w:rFonts w:hint="eastAsia"/>
                <w:bCs/>
                <w:sz w:val="24"/>
              </w:rPr>
              <w:t>在各项环保措施完善的情况下，</w:t>
            </w:r>
            <w:r>
              <w:rPr>
                <w:rFonts w:hint="eastAsia"/>
                <w:sz w:val="24"/>
              </w:rPr>
              <w:t>本项目废气排放对区域环境影响在可接受范围内。</w:t>
            </w:r>
          </w:p>
          <w:p w14:paraId="6F988073">
            <w:pPr>
              <w:spacing w:line="360" w:lineRule="auto"/>
              <w:ind w:firstLine="480" w:firstLineChars="200"/>
              <w:rPr>
                <w:rFonts w:hint="eastAsia"/>
                <w:sz w:val="24"/>
              </w:rPr>
            </w:pPr>
            <w:r>
              <w:rPr>
                <w:rFonts w:hint="eastAsia"/>
                <w:sz w:val="24"/>
              </w:rPr>
              <w:t>综上所述，从环保角度分析本项目选址可行。</w:t>
            </w:r>
          </w:p>
          <w:p w14:paraId="6E4A8F08">
            <w:pPr>
              <w:spacing w:line="360" w:lineRule="auto"/>
              <w:ind w:firstLine="480" w:firstLineChars="200"/>
              <w:rPr>
                <w:rFonts w:hint="eastAsia"/>
                <w:sz w:val="24"/>
              </w:rPr>
            </w:pPr>
          </w:p>
          <w:p w14:paraId="1134EBB0">
            <w:pPr>
              <w:adjustRightInd w:val="0"/>
              <w:snapToGrid w:val="0"/>
              <w:spacing w:line="360" w:lineRule="auto"/>
              <w:ind w:firstLine="482" w:firstLineChars="200"/>
              <w:rPr>
                <w:b/>
                <w:bCs/>
                <w:sz w:val="24"/>
              </w:rPr>
            </w:pPr>
            <w:r>
              <w:rPr>
                <w:rFonts w:hint="eastAsia"/>
                <w:b/>
                <w:bCs/>
                <w:sz w:val="24"/>
              </w:rPr>
              <w:t>8.环保投资</w:t>
            </w:r>
          </w:p>
          <w:p w14:paraId="60FF7A93">
            <w:pPr>
              <w:pStyle w:val="11"/>
              <w:snapToGrid w:val="0"/>
              <w:spacing w:line="276" w:lineRule="auto"/>
              <w:ind w:firstLine="480"/>
              <w:rPr>
                <w:sz w:val="24"/>
              </w:rPr>
            </w:pPr>
            <w:r>
              <w:rPr>
                <w:rFonts w:hint="eastAsia"/>
                <w:sz w:val="24"/>
              </w:rPr>
              <w:t>项目总投资</w:t>
            </w:r>
            <w:r>
              <w:rPr>
                <w:sz w:val="24"/>
              </w:rPr>
              <w:t>5000万元</w:t>
            </w:r>
            <w:r>
              <w:rPr>
                <w:rFonts w:hint="eastAsia"/>
                <w:sz w:val="24"/>
              </w:rPr>
              <w:t>，其中环保投资</w:t>
            </w:r>
            <w:r>
              <w:rPr>
                <w:sz w:val="24"/>
              </w:rPr>
              <w:t>46</w:t>
            </w:r>
            <w:r>
              <w:rPr>
                <w:rFonts w:hint="eastAsia"/>
                <w:sz w:val="24"/>
              </w:rPr>
              <w:t>万元，占总投资</w:t>
            </w:r>
            <w:r>
              <w:rPr>
                <w:sz w:val="24"/>
              </w:rPr>
              <w:t>0.92%</w:t>
            </w:r>
            <w:r>
              <w:rPr>
                <w:rFonts w:hint="eastAsia"/>
                <w:sz w:val="24"/>
              </w:rPr>
              <w:t>，环保投资情况见表</w:t>
            </w:r>
            <w:r>
              <w:rPr>
                <w:sz w:val="24"/>
              </w:rPr>
              <w:t>38</w:t>
            </w:r>
            <w:r>
              <w:rPr>
                <w:rFonts w:hint="eastAsia"/>
                <w:sz w:val="24"/>
              </w:rPr>
              <w:t>。</w:t>
            </w:r>
          </w:p>
          <w:p w14:paraId="448D10AF">
            <w:pPr>
              <w:snapToGrid w:val="0"/>
              <w:spacing w:line="276" w:lineRule="auto"/>
              <w:jc w:val="center"/>
              <w:rPr>
                <w:rFonts w:hAnsi="宋体"/>
                <w:b/>
                <w:bCs/>
                <w:sz w:val="24"/>
                <w:szCs w:val="32"/>
              </w:rPr>
            </w:pPr>
            <w:r>
              <w:rPr>
                <w:rFonts w:hint="eastAsia" w:hAnsi="宋体"/>
                <w:b/>
                <w:bCs/>
                <w:sz w:val="24"/>
                <w:szCs w:val="32"/>
              </w:rPr>
              <w:t>表</w:t>
            </w:r>
            <w:r>
              <w:rPr>
                <w:rFonts w:hAnsi="宋体"/>
                <w:b/>
                <w:bCs/>
                <w:sz w:val="24"/>
                <w:szCs w:val="32"/>
              </w:rPr>
              <w:t>38</w:t>
            </w:r>
            <w:r>
              <w:rPr>
                <w:rFonts w:hint="eastAsia" w:hAnsi="宋体"/>
                <w:b/>
                <w:bCs/>
                <w:sz w:val="24"/>
                <w:szCs w:val="32"/>
              </w:rPr>
              <w:t xml:space="preserve">   本项目环保措施及投资一览表</w:t>
            </w:r>
          </w:p>
          <w:tbl>
            <w:tblPr>
              <w:tblStyle w:val="29"/>
              <w:tblW w:w="84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94"/>
              <w:gridCol w:w="928"/>
              <w:gridCol w:w="727"/>
              <w:gridCol w:w="1049"/>
              <w:gridCol w:w="4182"/>
              <w:gridCol w:w="869"/>
            </w:tblGrid>
            <w:tr w14:paraId="77FB0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11" w:type="pct"/>
                  <w:vAlign w:val="center"/>
                </w:tcPr>
                <w:p w14:paraId="0E97B210">
                  <w:pPr>
                    <w:jc w:val="center"/>
                  </w:pPr>
                  <w:r>
                    <w:t>污染</w:t>
                  </w:r>
                </w:p>
                <w:p w14:paraId="5C4B7A20">
                  <w:pPr>
                    <w:jc w:val="center"/>
                  </w:pPr>
                  <w:r>
                    <w:t>因素</w:t>
                  </w:r>
                </w:p>
              </w:tc>
              <w:tc>
                <w:tcPr>
                  <w:tcW w:w="979" w:type="pct"/>
                  <w:gridSpan w:val="2"/>
                  <w:vAlign w:val="center"/>
                </w:tcPr>
                <w:p w14:paraId="692C7BB8">
                  <w:pPr>
                    <w:jc w:val="center"/>
                  </w:pPr>
                  <w:r>
                    <w:t>排放源</w:t>
                  </w:r>
                </w:p>
              </w:tc>
              <w:tc>
                <w:tcPr>
                  <w:tcW w:w="621" w:type="pct"/>
                  <w:vAlign w:val="center"/>
                </w:tcPr>
                <w:p w14:paraId="162D70C4">
                  <w:pPr>
                    <w:jc w:val="center"/>
                  </w:pPr>
                  <w:r>
                    <w:t>污染物</w:t>
                  </w:r>
                </w:p>
              </w:tc>
              <w:tc>
                <w:tcPr>
                  <w:tcW w:w="2475" w:type="pct"/>
                  <w:vAlign w:val="center"/>
                </w:tcPr>
                <w:p w14:paraId="4EA558A5">
                  <w:pPr>
                    <w:jc w:val="center"/>
                  </w:pPr>
                  <w:r>
                    <w:t>污染防治措施</w:t>
                  </w:r>
                </w:p>
              </w:tc>
              <w:tc>
                <w:tcPr>
                  <w:tcW w:w="514" w:type="pct"/>
                  <w:vAlign w:val="center"/>
                </w:tcPr>
                <w:p w14:paraId="78F9B9FF">
                  <w:pPr>
                    <w:jc w:val="center"/>
                  </w:pPr>
                  <w:r>
                    <w:t>治理投资（万元）</w:t>
                  </w:r>
                </w:p>
              </w:tc>
            </w:tr>
            <w:tr w14:paraId="158E2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11" w:type="pct"/>
                  <w:vAlign w:val="center"/>
                </w:tcPr>
                <w:p w14:paraId="44774D90">
                  <w:pPr>
                    <w:jc w:val="center"/>
                  </w:pPr>
                  <w:r>
                    <w:t>废气</w:t>
                  </w:r>
                </w:p>
              </w:tc>
              <w:tc>
                <w:tcPr>
                  <w:tcW w:w="979" w:type="pct"/>
                  <w:gridSpan w:val="2"/>
                  <w:vAlign w:val="center"/>
                </w:tcPr>
                <w:p w14:paraId="38A3BF4D">
                  <w:pPr>
                    <w:jc w:val="center"/>
                  </w:pPr>
                  <w:r>
                    <w:rPr>
                      <w:rFonts w:hint="eastAsia"/>
                    </w:rPr>
                    <w:t>烘干、</w:t>
                  </w:r>
                  <w:r>
                    <w:t>拉丝废气排气筒</w:t>
                  </w:r>
                </w:p>
              </w:tc>
              <w:tc>
                <w:tcPr>
                  <w:tcW w:w="621" w:type="pct"/>
                  <w:vAlign w:val="center"/>
                </w:tcPr>
                <w:p w14:paraId="795BC6CF">
                  <w:pPr>
                    <w:snapToGrid w:val="0"/>
                    <w:jc w:val="center"/>
                    <w:rPr>
                      <w:spacing w:val="-10"/>
                    </w:rPr>
                  </w:pPr>
                  <w:r>
                    <w:rPr>
                      <w:rFonts w:hint="eastAsia"/>
                      <w:spacing w:val="-10"/>
                    </w:rPr>
                    <w:t>非甲烷总烃</w:t>
                  </w:r>
                </w:p>
              </w:tc>
              <w:tc>
                <w:tcPr>
                  <w:tcW w:w="2475" w:type="pct"/>
                  <w:vAlign w:val="center"/>
                </w:tcPr>
                <w:p w14:paraId="48F160FF">
                  <w:pPr>
                    <w:jc w:val="center"/>
                  </w:pPr>
                  <w:r>
                    <w:rPr>
                      <w:rFonts w:hint="eastAsia"/>
                      <w:spacing w:val="-8"/>
                      <w:kern w:val="0"/>
                      <w:szCs w:val="21"/>
                    </w:rPr>
                    <w:t>烘干废气</w:t>
                  </w:r>
                  <w:r>
                    <w:rPr>
                      <w:spacing w:val="-8"/>
                      <w:kern w:val="0"/>
                      <w:szCs w:val="21"/>
                    </w:rPr>
                    <w:t>经管道集气，拉丝废气经集气罩集气，废气进入</w:t>
                  </w:r>
                  <w:r>
                    <w:rPr>
                      <w:rFonts w:asciiTheme="minorEastAsia" w:hAnsiTheme="minorEastAsia" w:eastAsiaTheme="minorEastAsia"/>
                      <w:spacing w:val="-8"/>
                      <w:kern w:val="0"/>
                      <w:szCs w:val="21"/>
                    </w:rPr>
                    <w:t>“</w:t>
                  </w:r>
                  <w:r>
                    <w:rPr>
                      <w:rFonts w:hint="eastAsia" w:asciiTheme="minorEastAsia" w:hAnsiTheme="minorEastAsia" w:eastAsiaTheme="minorEastAsia"/>
                      <w:spacing w:val="-8"/>
                      <w:kern w:val="0"/>
                      <w:szCs w:val="21"/>
                    </w:rPr>
                    <w:t>除雾器</w:t>
                  </w:r>
                  <w:r>
                    <w:rPr>
                      <w:rFonts w:asciiTheme="minorEastAsia" w:hAnsiTheme="minorEastAsia" w:eastAsiaTheme="minorEastAsia"/>
                      <w:spacing w:val="-8"/>
                      <w:kern w:val="0"/>
                      <w:szCs w:val="21"/>
                    </w:rPr>
                    <w:t>+</w:t>
                  </w:r>
                  <w:r>
                    <w:rPr>
                      <w:rFonts w:hint="eastAsia" w:asciiTheme="minorEastAsia" w:hAnsiTheme="minorEastAsia" w:eastAsiaTheme="minorEastAsia"/>
                      <w:spacing w:val="-8"/>
                      <w:kern w:val="0"/>
                      <w:szCs w:val="21"/>
                    </w:rPr>
                    <w:t>二级活性炭吸附装置</w:t>
                  </w:r>
                  <w:r>
                    <w:rPr>
                      <w:rFonts w:eastAsiaTheme="minorEastAsia"/>
                      <w:spacing w:val="-8"/>
                      <w:kern w:val="0"/>
                      <w:szCs w:val="21"/>
                    </w:rPr>
                    <w:t>”</w:t>
                  </w:r>
                  <w:r>
                    <w:rPr>
                      <w:rFonts w:hAnsiTheme="minorEastAsia" w:eastAsiaTheme="minorEastAsia"/>
                      <w:spacing w:val="-8"/>
                      <w:kern w:val="0"/>
                      <w:szCs w:val="21"/>
                    </w:rPr>
                    <w:t>处</w:t>
                  </w:r>
                  <w:r>
                    <w:rPr>
                      <w:spacing w:val="-8"/>
                      <w:kern w:val="0"/>
                      <w:szCs w:val="21"/>
                    </w:rPr>
                    <w:t>理</w:t>
                  </w:r>
                </w:p>
              </w:tc>
              <w:tc>
                <w:tcPr>
                  <w:tcW w:w="514" w:type="pct"/>
                  <w:vAlign w:val="center"/>
                </w:tcPr>
                <w:p w14:paraId="765A2C08">
                  <w:pPr>
                    <w:jc w:val="center"/>
                  </w:pPr>
                  <w:r>
                    <w:t>15</w:t>
                  </w:r>
                </w:p>
              </w:tc>
            </w:tr>
            <w:tr w14:paraId="0BE29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11" w:type="pct"/>
                  <w:vMerge w:val="restart"/>
                  <w:vAlign w:val="center"/>
                </w:tcPr>
                <w:p w14:paraId="5BEC9F6D">
                  <w:pPr>
                    <w:jc w:val="center"/>
                  </w:pPr>
                  <w:r>
                    <w:t>废水</w:t>
                  </w:r>
                </w:p>
              </w:tc>
              <w:tc>
                <w:tcPr>
                  <w:tcW w:w="1600" w:type="pct"/>
                  <w:gridSpan w:val="3"/>
                  <w:vAlign w:val="center"/>
                </w:tcPr>
                <w:p w14:paraId="6A11FE2F">
                  <w:pPr>
                    <w:autoSpaceDE w:val="0"/>
                    <w:autoSpaceDN w:val="0"/>
                    <w:jc w:val="center"/>
                  </w:pPr>
                  <w:r>
                    <w:t>生活污水</w:t>
                  </w:r>
                </w:p>
              </w:tc>
              <w:tc>
                <w:tcPr>
                  <w:tcW w:w="2475" w:type="pct"/>
                  <w:vAlign w:val="center"/>
                </w:tcPr>
                <w:p w14:paraId="2B0BB992">
                  <w:pPr>
                    <w:autoSpaceDE w:val="0"/>
                    <w:autoSpaceDN w:val="0"/>
                    <w:jc w:val="center"/>
                  </w:pPr>
                  <w:r>
                    <w:t>化粪池暂存，</w:t>
                  </w:r>
                  <w:r>
                    <w:rPr>
                      <w:rFonts w:hint="eastAsia"/>
                    </w:rPr>
                    <w:t>定期与生活</w:t>
                  </w:r>
                  <w:r>
                    <w:t>污水一起</w:t>
                  </w:r>
                  <w:r>
                    <w:rPr>
                      <w:rFonts w:hint="eastAsia"/>
                    </w:rPr>
                    <w:t>经</w:t>
                  </w:r>
                  <w:r>
                    <w:t>罐车运至北关镇污水处理厂处理后达标排放</w:t>
                  </w:r>
                </w:p>
              </w:tc>
              <w:tc>
                <w:tcPr>
                  <w:tcW w:w="514" w:type="pct"/>
                  <w:vAlign w:val="center"/>
                </w:tcPr>
                <w:p w14:paraId="693DF535">
                  <w:pPr>
                    <w:jc w:val="center"/>
                  </w:pPr>
                  <w:r>
                    <w:t>2</w:t>
                  </w:r>
                </w:p>
              </w:tc>
            </w:tr>
            <w:tr w14:paraId="0BB6E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11" w:type="pct"/>
                  <w:vMerge w:val="continue"/>
                  <w:vAlign w:val="center"/>
                </w:tcPr>
                <w:p w14:paraId="6905C40D">
                  <w:pPr>
                    <w:jc w:val="center"/>
                  </w:pPr>
                </w:p>
              </w:tc>
              <w:tc>
                <w:tcPr>
                  <w:tcW w:w="1600" w:type="pct"/>
                  <w:gridSpan w:val="3"/>
                  <w:vAlign w:val="center"/>
                </w:tcPr>
                <w:p w14:paraId="5CB8D606">
                  <w:pPr>
                    <w:autoSpaceDE w:val="0"/>
                    <w:autoSpaceDN w:val="0"/>
                    <w:jc w:val="center"/>
                  </w:pPr>
                  <w:r>
                    <w:rPr>
                      <w:rFonts w:hint="eastAsia"/>
                    </w:rPr>
                    <w:t>生产</w:t>
                  </w:r>
                  <w:r>
                    <w:t>废水</w:t>
                  </w:r>
                </w:p>
              </w:tc>
              <w:tc>
                <w:tcPr>
                  <w:tcW w:w="2475" w:type="pct"/>
                  <w:vAlign w:val="center"/>
                </w:tcPr>
                <w:p w14:paraId="58429C4C">
                  <w:pPr>
                    <w:autoSpaceDE w:val="0"/>
                    <w:autoSpaceDN w:val="0"/>
                    <w:jc w:val="center"/>
                  </w:pPr>
                  <w:r>
                    <w:rPr>
                      <w:rFonts w:hint="eastAsia"/>
                    </w:rPr>
                    <w:t>经三级</w:t>
                  </w:r>
                  <w:r>
                    <w:t>沉淀装置处理后循环使用，</w:t>
                  </w:r>
                  <w:r>
                    <w:rPr>
                      <w:rFonts w:hint="eastAsia"/>
                    </w:rPr>
                    <w:t>每</w:t>
                  </w:r>
                  <w:r>
                    <w:t>三天</w:t>
                  </w:r>
                  <w:r>
                    <w:rPr>
                      <w:rFonts w:hint="eastAsia"/>
                    </w:rPr>
                    <w:t>经</w:t>
                  </w:r>
                  <w:r>
                    <w:t>罐车运至北关镇污水处理厂处理后达标排放</w:t>
                  </w:r>
                </w:p>
              </w:tc>
              <w:tc>
                <w:tcPr>
                  <w:tcW w:w="514" w:type="pct"/>
                  <w:vAlign w:val="center"/>
                </w:tcPr>
                <w:p w14:paraId="5FDC12B7">
                  <w:pPr>
                    <w:jc w:val="center"/>
                  </w:pPr>
                  <w:r>
                    <w:t>10</w:t>
                  </w:r>
                </w:p>
              </w:tc>
            </w:tr>
            <w:tr w14:paraId="2A1CB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11" w:type="pct"/>
                  <w:vAlign w:val="center"/>
                </w:tcPr>
                <w:p w14:paraId="788463B4">
                  <w:pPr>
                    <w:jc w:val="center"/>
                  </w:pPr>
                  <w:r>
                    <w:t>噪声</w:t>
                  </w:r>
                </w:p>
              </w:tc>
              <w:tc>
                <w:tcPr>
                  <w:tcW w:w="549" w:type="pct"/>
                  <w:vAlign w:val="center"/>
                </w:tcPr>
                <w:p w14:paraId="50376BCC">
                  <w:pPr>
                    <w:jc w:val="center"/>
                  </w:pPr>
                  <w:r>
                    <w:rPr>
                      <w:kern w:val="0"/>
                    </w:rPr>
                    <w:t>生产设备</w:t>
                  </w:r>
                </w:p>
              </w:tc>
              <w:tc>
                <w:tcPr>
                  <w:tcW w:w="1051" w:type="pct"/>
                  <w:gridSpan w:val="2"/>
                  <w:vAlign w:val="center"/>
                </w:tcPr>
                <w:p w14:paraId="68CC82C8">
                  <w:pPr>
                    <w:jc w:val="center"/>
                  </w:pPr>
                  <w:r>
                    <w:t>设备运行噪声</w:t>
                  </w:r>
                </w:p>
              </w:tc>
              <w:tc>
                <w:tcPr>
                  <w:tcW w:w="2475" w:type="pct"/>
                  <w:vAlign w:val="center"/>
                </w:tcPr>
                <w:p w14:paraId="4AB6CB7B">
                  <w:pPr>
                    <w:jc w:val="center"/>
                  </w:pPr>
                  <w:r>
                    <w:t>选用低噪设备、基础减振、厂房隔声</w:t>
                  </w:r>
                  <w:r>
                    <w:rPr>
                      <w:rFonts w:hint="eastAsia"/>
                    </w:rPr>
                    <w:t>、</w:t>
                  </w:r>
                  <w:r>
                    <w:t>消声</w:t>
                  </w:r>
                </w:p>
              </w:tc>
              <w:tc>
                <w:tcPr>
                  <w:tcW w:w="514" w:type="pct"/>
                  <w:vAlign w:val="center"/>
                </w:tcPr>
                <w:p w14:paraId="70B57EB3">
                  <w:pPr>
                    <w:jc w:val="center"/>
                  </w:pPr>
                  <w:r>
                    <w:t>5</w:t>
                  </w:r>
                </w:p>
              </w:tc>
            </w:tr>
            <w:tr w14:paraId="3E8AE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11" w:type="pct"/>
                  <w:vMerge w:val="restart"/>
                  <w:vAlign w:val="center"/>
                </w:tcPr>
                <w:p w14:paraId="519305F0">
                  <w:pPr>
                    <w:jc w:val="center"/>
                  </w:pPr>
                  <w:r>
                    <w:t>一般固废</w:t>
                  </w:r>
                </w:p>
              </w:tc>
              <w:tc>
                <w:tcPr>
                  <w:tcW w:w="1600" w:type="pct"/>
                  <w:gridSpan w:val="3"/>
                  <w:vAlign w:val="center"/>
                </w:tcPr>
                <w:p w14:paraId="34C6667C">
                  <w:pPr>
                    <w:snapToGrid w:val="0"/>
                    <w:jc w:val="center"/>
                    <w:rPr>
                      <w:bCs/>
                      <w:szCs w:val="21"/>
                    </w:rPr>
                  </w:pPr>
                  <w:r>
                    <w:rPr>
                      <w:rFonts w:hint="eastAsia" w:hAnsi="宋体"/>
                      <w:bCs/>
                      <w:szCs w:val="21"/>
                    </w:rPr>
                    <w:t>沉淀池沉渣</w:t>
                  </w:r>
                </w:p>
              </w:tc>
              <w:tc>
                <w:tcPr>
                  <w:tcW w:w="2475" w:type="pct"/>
                  <w:vAlign w:val="center"/>
                </w:tcPr>
                <w:p w14:paraId="5CB45B9E">
                  <w:pPr>
                    <w:adjustRightInd w:val="0"/>
                    <w:snapToGrid w:val="0"/>
                    <w:jc w:val="center"/>
                  </w:pPr>
                  <w:r>
                    <w:rPr>
                      <w:rFonts w:hint="eastAsia"/>
                      <w:bCs/>
                      <w:szCs w:val="21"/>
                    </w:rPr>
                    <w:t>压滤后暂存于一般固废间(</w:t>
                  </w:r>
                  <w:r>
                    <w:t>10m</w:t>
                  </w:r>
                  <w:r>
                    <w:rPr>
                      <w:rFonts w:hint="eastAsia"/>
                      <w:vertAlign w:val="superscript"/>
                    </w:rPr>
                    <w:t>2</w:t>
                  </w:r>
                  <w:r>
                    <w:rPr>
                      <w:rFonts w:hint="eastAsia"/>
                    </w:rPr>
                    <w:t>)</w:t>
                  </w:r>
                  <w:r>
                    <w:rPr>
                      <w:bCs/>
                      <w:szCs w:val="21"/>
                    </w:rPr>
                    <w:t>，</w:t>
                  </w:r>
                  <w:r>
                    <w:rPr>
                      <w:rFonts w:hint="eastAsia"/>
                      <w:bCs/>
                      <w:szCs w:val="21"/>
                    </w:rPr>
                    <w:t>定期外售综合利用</w:t>
                  </w:r>
                </w:p>
              </w:tc>
              <w:tc>
                <w:tcPr>
                  <w:tcW w:w="514" w:type="pct"/>
                  <w:vMerge w:val="restart"/>
                  <w:vAlign w:val="center"/>
                </w:tcPr>
                <w:p w14:paraId="0BB6CBFF">
                  <w:pPr>
                    <w:jc w:val="center"/>
                  </w:pPr>
                  <w:r>
                    <w:t>2</w:t>
                  </w:r>
                </w:p>
              </w:tc>
            </w:tr>
            <w:tr w14:paraId="0CE98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11" w:type="pct"/>
                  <w:vMerge w:val="continue"/>
                  <w:vAlign w:val="center"/>
                </w:tcPr>
                <w:p w14:paraId="793FB8A7">
                  <w:pPr>
                    <w:jc w:val="center"/>
                  </w:pPr>
                </w:p>
              </w:tc>
              <w:tc>
                <w:tcPr>
                  <w:tcW w:w="1600" w:type="pct"/>
                  <w:gridSpan w:val="3"/>
                  <w:vAlign w:val="center"/>
                </w:tcPr>
                <w:p w14:paraId="2D38138E">
                  <w:pPr>
                    <w:snapToGrid w:val="0"/>
                    <w:jc w:val="center"/>
                    <w:rPr>
                      <w:bCs/>
                      <w:szCs w:val="21"/>
                    </w:rPr>
                  </w:pPr>
                  <w:r>
                    <w:rPr>
                      <w:rFonts w:hint="eastAsia"/>
                      <w:bCs/>
                      <w:szCs w:val="21"/>
                    </w:rPr>
                    <w:t>废包装袋</w:t>
                  </w:r>
                  <w:r>
                    <w:rPr>
                      <w:bCs/>
                      <w:szCs w:val="21"/>
                    </w:rPr>
                    <w:t>、</w:t>
                  </w:r>
                  <w:r>
                    <w:rPr>
                      <w:kern w:val="0"/>
                      <w:szCs w:val="21"/>
                    </w:rPr>
                    <w:t>PE薄膜废卷筒</w:t>
                  </w:r>
                  <w:r>
                    <w:rPr>
                      <w:rFonts w:hint="eastAsia"/>
                      <w:kern w:val="0"/>
                      <w:szCs w:val="21"/>
                    </w:rPr>
                    <w:t>、</w:t>
                  </w:r>
                  <w:r>
                    <w:rPr>
                      <w:kern w:val="0"/>
                      <w:szCs w:val="21"/>
                    </w:rPr>
                    <w:t>废塑料薄膜</w:t>
                  </w:r>
                </w:p>
              </w:tc>
              <w:tc>
                <w:tcPr>
                  <w:tcW w:w="2475" w:type="pct"/>
                  <w:vAlign w:val="center"/>
                </w:tcPr>
                <w:p w14:paraId="41814C7F">
                  <w:pPr>
                    <w:adjustRightInd w:val="0"/>
                    <w:snapToGrid w:val="0"/>
                    <w:jc w:val="center"/>
                    <w:rPr>
                      <w:bCs/>
                      <w:szCs w:val="21"/>
                    </w:rPr>
                  </w:pPr>
                  <w:r>
                    <w:rPr>
                      <w:rFonts w:hint="eastAsia"/>
                      <w:bCs/>
                      <w:szCs w:val="21"/>
                    </w:rPr>
                    <w:t>收集后暂存于一般固废间，定期外售综合利用</w:t>
                  </w:r>
                </w:p>
              </w:tc>
              <w:tc>
                <w:tcPr>
                  <w:tcW w:w="514" w:type="pct"/>
                  <w:vMerge w:val="continue"/>
                  <w:vAlign w:val="center"/>
                </w:tcPr>
                <w:p w14:paraId="4FD3024F">
                  <w:pPr>
                    <w:jc w:val="center"/>
                  </w:pPr>
                </w:p>
              </w:tc>
            </w:tr>
            <w:tr w14:paraId="1A05A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11" w:type="pct"/>
                  <w:vMerge w:val="continue"/>
                  <w:vAlign w:val="center"/>
                </w:tcPr>
                <w:p w14:paraId="37CA59E5">
                  <w:pPr>
                    <w:jc w:val="center"/>
                  </w:pPr>
                </w:p>
              </w:tc>
              <w:tc>
                <w:tcPr>
                  <w:tcW w:w="1600" w:type="pct"/>
                  <w:gridSpan w:val="3"/>
                  <w:vAlign w:val="center"/>
                </w:tcPr>
                <w:p w14:paraId="5963E43D">
                  <w:pPr>
                    <w:jc w:val="center"/>
                  </w:pPr>
                  <w:r>
                    <w:rPr>
                      <w:rFonts w:hint="eastAsia"/>
                    </w:rPr>
                    <w:t>生活垃圾</w:t>
                  </w:r>
                </w:p>
              </w:tc>
              <w:tc>
                <w:tcPr>
                  <w:tcW w:w="2475" w:type="pct"/>
                  <w:vAlign w:val="center"/>
                </w:tcPr>
                <w:p w14:paraId="7E4990D8">
                  <w:pPr>
                    <w:adjustRightInd w:val="0"/>
                    <w:snapToGrid w:val="0"/>
                    <w:jc w:val="center"/>
                  </w:pPr>
                  <w:r>
                    <w:rPr>
                      <w:bCs/>
                      <w:szCs w:val="21"/>
                    </w:rPr>
                    <w:t>收集后交由环卫部门集中处置</w:t>
                  </w:r>
                </w:p>
              </w:tc>
              <w:tc>
                <w:tcPr>
                  <w:tcW w:w="514" w:type="pct"/>
                  <w:vMerge w:val="continue"/>
                  <w:vAlign w:val="center"/>
                </w:tcPr>
                <w:p w14:paraId="6A4D5C32">
                  <w:pPr>
                    <w:jc w:val="center"/>
                  </w:pPr>
                </w:p>
              </w:tc>
            </w:tr>
            <w:tr w14:paraId="18428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7" w:hRule="atLeast"/>
                <w:jc w:val="center"/>
              </w:trPr>
              <w:tc>
                <w:tcPr>
                  <w:tcW w:w="411" w:type="pct"/>
                  <w:vAlign w:val="center"/>
                </w:tcPr>
                <w:p w14:paraId="3A99C3C8">
                  <w:pPr>
                    <w:jc w:val="center"/>
                  </w:pPr>
                  <w:r>
                    <w:t>危险废物</w:t>
                  </w:r>
                </w:p>
              </w:tc>
              <w:tc>
                <w:tcPr>
                  <w:tcW w:w="1600" w:type="pct"/>
                  <w:gridSpan w:val="3"/>
                  <w:vAlign w:val="center"/>
                </w:tcPr>
                <w:p w14:paraId="01469EC7">
                  <w:pPr>
                    <w:jc w:val="center"/>
                  </w:pPr>
                  <w:r>
                    <w:t>废活性炭</w:t>
                  </w:r>
                  <w:r>
                    <w:rPr>
                      <w:rFonts w:hint="eastAsia"/>
                    </w:rPr>
                    <w:t>、废润滑油、废润滑油桶</w:t>
                  </w:r>
                </w:p>
              </w:tc>
              <w:tc>
                <w:tcPr>
                  <w:tcW w:w="2475" w:type="pct"/>
                  <w:vAlign w:val="center"/>
                </w:tcPr>
                <w:p w14:paraId="4382EFF0">
                  <w:pPr>
                    <w:jc w:val="center"/>
                  </w:pPr>
                  <w:r>
                    <w:t>10m</w:t>
                  </w:r>
                  <w:r>
                    <w:rPr>
                      <w:rFonts w:hint="eastAsia"/>
                      <w:vertAlign w:val="superscript"/>
                    </w:rPr>
                    <w:t>2</w:t>
                  </w:r>
                  <w:r>
                    <w:t>危废间暂存后定期交由有资质单位处置</w:t>
                  </w:r>
                </w:p>
              </w:tc>
              <w:tc>
                <w:tcPr>
                  <w:tcW w:w="514" w:type="pct"/>
                  <w:vAlign w:val="center"/>
                </w:tcPr>
                <w:p w14:paraId="7E0542BA">
                  <w:pPr>
                    <w:jc w:val="center"/>
                  </w:pPr>
                  <w:r>
                    <w:t>4</w:t>
                  </w:r>
                </w:p>
              </w:tc>
            </w:tr>
            <w:tr w14:paraId="0D5BE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7" w:hRule="atLeast"/>
                <w:jc w:val="center"/>
              </w:trPr>
              <w:tc>
                <w:tcPr>
                  <w:tcW w:w="411" w:type="pct"/>
                  <w:vAlign w:val="center"/>
                </w:tcPr>
                <w:p w14:paraId="55E96D6D">
                  <w:pPr>
                    <w:jc w:val="center"/>
                  </w:pPr>
                  <w:r>
                    <w:t>地下水防渗</w:t>
                  </w:r>
                </w:p>
              </w:tc>
              <w:tc>
                <w:tcPr>
                  <w:tcW w:w="1600" w:type="pct"/>
                  <w:gridSpan w:val="3"/>
                  <w:vAlign w:val="center"/>
                </w:tcPr>
                <w:p w14:paraId="5820E3EF">
                  <w:pPr>
                    <w:jc w:val="center"/>
                  </w:pPr>
                  <w:r>
                    <w:t>分区防渗</w:t>
                  </w:r>
                </w:p>
              </w:tc>
              <w:tc>
                <w:tcPr>
                  <w:tcW w:w="2475" w:type="pct"/>
                  <w:vAlign w:val="center"/>
                </w:tcPr>
                <w:p w14:paraId="3C330A10">
                  <w:pPr>
                    <w:jc w:val="center"/>
                  </w:pPr>
                  <w:r>
                    <w:rPr>
                      <w:rFonts w:hint="eastAsia"/>
                    </w:rPr>
                    <w:t>挤出机</w:t>
                  </w:r>
                  <w:r>
                    <w:t>设备区、危废暂存间重点防渗</w:t>
                  </w:r>
                  <w:r>
                    <w:rPr>
                      <w:rFonts w:hint="eastAsia"/>
                    </w:rPr>
                    <w:t>，清洗区</w:t>
                  </w:r>
                  <w:r>
                    <w:t>、污水处理区、磨尖区</w:t>
                  </w:r>
                  <w:r>
                    <w:rPr>
                      <w:rFonts w:hint="eastAsia"/>
                    </w:rPr>
                    <w:t>、一般固废间一般</w:t>
                  </w:r>
                  <w:r>
                    <w:t>防渗；</w:t>
                  </w:r>
                  <w:r>
                    <w:rPr>
                      <w:rFonts w:hint="eastAsia"/>
                    </w:rPr>
                    <w:t>其他区域</w:t>
                  </w:r>
                  <w:r>
                    <w:t>简单防渗</w:t>
                  </w:r>
                </w:p>
              </w:tc>
              <w:tc>
                <w:tcPr>
                  <w:tcW w:w="514" w:type="pct"/>
                  <w:vAlign w:val="center"/>
                </w:tcPr>
                <w:p w14:paraId="48612D21">
                  <w:pPr>
                    <w:jc w:val="center"/>
                  </w:pPr>
                  <w:r>
                    <w:t>8</w:t>
                  </w:r>
                </w:p>
              </w:tc>
            </w:tr>
            <w:tr w14:paraId="43CA4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486" w:type="pct"/>
                  <w:gridSpan w:val="5"/>
                  <w:vAlign w:val="center"/>
                </w:tcPr>
                <w:p w14:paraId="58DC02E5">
                  <w:pPr>
                    <w:jc w:val="center"/>
                  </w:pPr>
                  <w:r>
                    <w:t>合计</w:t>
                  </w:r>
                </w:p>
              </w:tc>
              <w:tc>
                <w:tcPr>
                  <w:tcW w:w="514" w:type="pct"/>
                  <w:vAlign w:val="center"/>
                </w:tcPr>
                <w:p w14:paraId="5C95F6F4">
                  <w:pPr>
                    <w:jc w:val="center"/>
                  </w:pPr>
                  <w:r>
                    <w:t>46</w:t>
                  </w:r>
                </w:p>
              </w:tc>
            </w:tr>
          </w:tbl>
          <w:p w14:paraId="657C30D1">
            <w:pPr>
              <w:spacing w:line="360" w:lineRule="auto"/>
              <w:ind w:firstLine="480" w:firstLineChars="200"/>
              <w:rPr>
                <w:sz w:val="24"/>
              </w:rPr>
            </w:pPr>
          </w:p>
        </w:tc>
      </w:tr>
    </w:tbl>
    <w:p w14:paraId="3ABCB5FE">
      <w:pPr>
        <w:widowControl/>
        <w:jc w:val="left"/>
        <w:rPr>
          <w:rFonts w:ascii="黑体" w:hAnsi="黑体" w:eastAsia="黑体"/>
          <w:snapToGrid w:val="0"/>
          <w:kern w:val="0"/>
          <w:sz w:val="30"/>
          <w:szCs w:val="30"/>
        </w:rPr>
      </w:pPr>
      <w:r>
        <w:rPr>
          <w:rFonts w:ascii="黑体" w:hAnsi="黑体" w:eastAsia="黑体"/>
          <w:snapToGrid w:val="0"/>
          <w:sz w:val="30"/>
          <w:szCs w:val="30"/>
        </w:rPr>
        <w:br w:type="page"/>
      </w:r>
    </w:p>
    <w:p w14:paraId="2F2049E8">
      <w:pPr>
        <w:pStyle w:val="25"/>
        <w:jc w:val="center"/>
        <w:outlineLvl w:val="0"/>
        <w:rPr>
          <w:rFonts w:ascii="黑体" w:hAnsi="黑体" w:eastAsia="黑体"/>
          <w:snapToGrid w:val="0"/>
          <w:sz w:val="30"/>
          <w:szCs w:val="30"/>
        </w:rPr>
      </w:pPr>
      <w:r>
        <w:rPr>
          <w:rFonts w:hint="eastAsia" w:ascii="黑体" w:hAnsi="黑体" w:eastAsia="黑体"/>
          <w:snapToGrid w:val="0"/>
          <w:sz w:val="30"/>
          <w:szCs w:val="30"/>
        </w:rPr>
        <w:t>五、</w:t>
      </w:r>
      <w:bookmarkStart w:id="7" w:name="_Hlk54167917"/>
      <w:r>
        <w:rPr>
          <w:rFonts w:hint="eastAsia" w:ascii="黑体" w:hAnsi="黑体" w:eastAsia="黑体"/>
          <w:snapToGrid w:val="0"/>
          <w:sz w:val="30"/>
          <w:szCs w:val="30"/>
        </w:rPr>
        <w:t>环境保护措施监督检查清单</w:t>
      </w:r>
      <w:bookmarkEnd w:id="7"/>
    </w:p>
    <w:tbl>
      <w:tblPr>
        <w:tblStyle w:val="29"/>
        <w:tblW w:w="938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839"/>
        <w:gridCol w:w="1701"/>
        <w:gridCol w:w="1276"/>
        <w:gridCol w:w="3260"/>
        <w:gridCol w:w="2312"/>
      </w:tblGrid>
      <w:tr w14:paraId="37A3C7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425" w:hRule="atLeast"/>
          <w:jc w:val="center"/>
        </w:trPr>
        <w:tc>
          <w:tcPr>
            <w:tcW w:w="839" w:type="dxa"/>
            <w:tcBorders>
              <w:tl2br w:val="single" w:color="auto" w:sz="4" w:space="0"/>
            </w:tcBorders>
          </w:tcPr>
          <w:p w14:paraId="5DACE1D0">
            <w:pPr>
              <w:adjustRightInd w:val="0"/>
              <w:snapToGrid w:val="0"/>
              <w:spacing w:line="276" w:lineRule="auto"/>
              <w:jc w:val="right"/>
              <w:rPr>
                <w:sz w:val="24"/>
              </w:rPr>
            </w:pPr>
            <w:r>
              <w:rPr>
                <w:sz w:val="24"/>
              </w:rPr>
              <w:t>内容</w:t>
            </w:r>
          </w:p>
          <w:p w14:paraId="45420E6A">
            <w:pPr>
              <w:adjustRightInd w:val="0"/>
              <w:snapToGrid w:val="0"/>
              <w:spacing w:line="276" w:lineRule="auto"/>
              <w:rPr>
                <w:sz w:val="24"/>
              </w:rPr>
            </w:pPr>
            <w:r>
              <w:rPr>
                <w:sz w:val="24"/>
              </w:rPr>
              <w:t>要素</w:t>
            </w:r>
          </w:p>
        </w:tc>
        <w:tc>
          <w:tcPr>
            <w:tcW w:w="1701" w:type="dxa"/>
            <w:vAlign w:val="center"/>
          </w:tcPr>
          <w:p w14:paraId="7E3C16A9">
            <w:pPr>
              <w:adjustRightInd w:val="0"/>
              <w:snapToGrid w:val="0"/>
              <w:spacing w:line="276" w:lineRule="auto"/>
              <w:jc w:val="center"/>
              <w:rPr>
                <w:sz w:val="24"/>
              </w:rPr>
            </w:pPr>
            <w:r>
              <w:rPr>
                <w:sz w:val="24"/>
              </w:rPr>
              <w:t>排放口(编号、名称)/污染源</w:t>
            </w:r>
          </w:p>
        </w:tc>
        <w:tc>
          <w:tcPr>
            <w:tcW w:w="1276" w:type="dxa"/>
            <w:vAlign w:val="center"/>
          </w:tcPr>
          <w:p w14:paraId="545FB96C">
            <w:pPr>
              <w:adjustRightInd w:val="0"/>
              <w:snapToGrid w:val="0"/>
              <w:spacing w:line="276" w:lineRule="auto"/>
              <w:jc w:val="center"/>
              <w:rPr>
                <w:sz w:val="24"/>
              </w:rPr>
            </w:pPr>
            <w:r>
              <w:rPr>
                <w:sz w:val="24"/>
              </w:rPr>
              <w:t>污染物项目</w:t>
            </w:r>
          </w:p>
        </w:tc>
        <w:tc>
          <w:tcPr>
            <w:tcW w:w="3260" w:type="dxa"/>
            <w:vAlign w:val="center"/>
          </w:tcPr>
          <w:p w14:paraId="67623ECE">
            <w:pPr>
              <w:adjustRightInd w:val="0"/>
              <w:snapToGrid w:val="0"/>
              <w:spacing w:line="276" w:lineRule="auto"/>
              <w:jc w:val="center"/>
              <w:rPr>
                <w:sz w:val="24"/>
              </w:rPr>
            </w:pPr>
            <w:r>
              <w:rPr>
                <w:sz w:val="24"/>
              </w:rPr>
              <w:t>环境保护措施</w:t>
            </w:r>
          </w:p>
        </w:tc>
        <w:tc>
          <w:tcPr>
            <w:tcW w:w="2312" w:type="dxa"/>
            <w:vAlign w:val="center"/>
          </w:tcPr>
          <w:p w14:paraId="49B54A29">
            <w:pPr>
              <w:adjustRightInd w:val="0"/>
              <w:snapToGrid w:val="0"/>
              <w:spacing w:line="276" w:lineRule="auto"/>
              <w:jc w:val="center"/>
              <w:rPr>
                <w:sz w:val="24"/>
              </w:rPr>
            </w:pPr>
            <w:r>
              <w:rPr>
                <w:sz w:val="24"/>
              </w:rPr>
              <w:t>执行标准</w:t>
            </w:r>
          </w:p>
        </w:tc>
      </w:tr>
      <w:tr w14:paraId="0C79CA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916" w:hRule="atLeast"/>
          <w:jc w:val="center"/>
        </w:trPr>
        <w:tc>
          <w:tcPr>
            <w:tcW w:w="839" w:type="dxa"/>
            <w:vAlign w:val="center"/>
          </w:tcPr>
          <w:p w14:paraId="0278BB5C">
            <w:pPr>
              <w:adjustRightInd w:val="0"/>
              <w:snapToGrid w:val="0"/>
              <w:spacing w:line="276" w:lineRule="auto"/>
              <w:jc w:val="center"/>
              <w:rPr>
                <w:sz w:val="24"/>
              </w:rPr>
            </w:pPr>
            <w:r>
              <w:rPr>
                <w:sz w:val="24"/>
              </w:rPr>
              <w:t>大气</w:t>
            </w:r>
          </w:p>
          <w:p w14:paraId="1CF3FD83">
            <w:pPr>
              <w:adjustRightInd w:val="0"/>
              <w:snapToGrid w:val="0"/>
              <w:spacing w:line="276" w:lineRule="auto"/>
              <w:jc w:val="center"/>
              <w:rPr>
                <w:sz w:val="24"/>
              </w:rPr>
            </w:pPr>
            <w:r>
              <w:rPr>
                <w:sz w:val="24"/>
              </w:rPr>
              <w:t>环境</w:t>
            </w:r>
          </w:p>
        </w:tc>
        <w:tc>
          <w:tcPr>
            <w:tcW w:w="1701" w:type="dxa"/>
            <w:vAlign w:val="center"/>
          </w:tcPr>
          <w:p w14:paraId="5656BC2B">
            <w:pPr>
              <w:adjustRightInd w:val="0"/>
              <w:snapToGrid w:val="0"/>
              <w:spacing w:line="276" w:lineRule="auto"/>
              <w:jc w:val="center"/>
              <w:rPr>
                <w:bCs/>
                <w:sz w:val="24"/>
              </w:rPr>
            </w:pPr>
            <w:r>
              <w:rPr>
                <w:rFonts w:hint="eastAsia"/>
                <w:sz w:val="24"/>
              </w:rPr>
              <w:t>烘干、</w:t>
            </w:r>
            <w:r>
              <w:rPr>
                <w:sz w:val="24"/>
              </w:rPr>
              <w:t>拉丝废气排气筒DA0</w:t>
            </w:r>
            <w:r>
              <w:rPr>
                <w:rFonts w:hint="eastAsia"/>
                <w:sz w:val="24"/>
              </w:rPr>
              <w:t>01</w:t>
            </w:r>
          </w:p>
        </w:tc>
        <w:tc>
          <w:tcPr>
            <w:tcW w:w="1276" w:type="dxa"/>
            <w:vAlign w:val="center"/>
          </w:tcPr>
          <w:p w14:paraId="1F0747EB">
            <w:pPr>
              <w:adjustRightInd w:val="0"/>
              <w:snapToGrid w:val="0"/>
              <w:spacing w:line="276" w:lineRule="auto"/>
              <w:jc w:val="center"/>
              <w:rPr>
                <w:sz w:val="24"/>
              </w:rPr>
            </w:pPr>
            <w:r>
              <w:rPr>
                <w:sz w:val="24"/>
              </w:rPr>
              <w:t>非甲烷总烃</w:t>
            </w:r>
          </w:p>
        </w:tc>
        <w:tc>
          <w:tcPr>
            <w:tcW w:w="3260" w:type="dxa"/>
            <w:vAlign w:val="center"/>
          </w:tcPr>
          <w:p w14:paraId="7359CA60">
            <w:pPr>
              <w:spacing w:line="276" w:lineRule="auto"/>
              <w:jc w:val="center"/>
              <w:rPr>
                <w:sz w:val="24"/>
              </w:rPr>
            </w:pPr>
            <w:r>
              <w:rPr>
                <w:rFonts w:hint="eastAsia"/>
                <w:spacing w:val="-8"/>
                <w:kern w:val="0"/>
                <w:sz w:val="24"/>
              </w:rPr>
              <w:t>烘干废气</w:t>
            </w:r>
            <w:r>
              <w:rPr>
                <w:spacing w:val="-8"/>
                <w:kern w:val="0"/>
                <w:sz w:val="24"/>
              </w:rPr>
              <w:t>经管道集气，拉丝废气经集气罩集气，废气进入</w:t>
            </w:r>
            <w:r>
              <w:rPr>
                <w:rFonts w:asciiTheme="minorEastAsia" w:hAnsiTheme="minorEastAsia" w:eastAsiaTheme="minorEastAsia"/>
                <w:spacing w:val="-8"/>
                <w:kern w:val="0"/>
                <w:sz w:val="24"/>
              </w:rPr>
              <w:t>“</w:t>
            </w:r>
            <w:r>
              <w:rPr>
                <w:rFonts w:hint="eastAsia" w:asciiTheme="minorEastAsia" w:hAnsiTheme="minorEastAsia" w:eastAsiaTheme="minorEastAsia"/>
                <w:spacing w:val="-8"/>
                <w:kern w:val="0"/>
                <w:sz w:val="24"/>
              </w:rPr>
              <w:t>除雾器</w:t>
            </w:r>
            <w:r>
              <w:rPr>
                <w:rFonts w:asciiTheme="minorEastAsia" w:hAnsiTheme="minorEastAsia" w:eastAsiaTheme="minorEastAsia"/>
                <w:spacing w:val="-8"/>
                <w:kern w:val="0"/>
                <w:sz w:val="24"/>
              </w:rPr>
              <w:t>+</w:t>
            </w:r>
            <w:r>
              <w:rPr>
                <w:rFonts w:hint="eastAsia" w:asciiTheme="minorEastAsia" w:hAnsiTheme="minorEastAsia" w:eastAsiaTheme="minorEastAsia"/>
                <w:spacing w:val="-8"/>
                <w:kern w:val="0"/>
                <w:sz w:val="24"/>
              </w:rPr>
              <w:t>二级活性炭吸附装置</w:t>
            </w:r>
            <w:r>
              <w:rPr>
                <w:rFonts w:eastAsiaTheme="minorEastAsia"/>
                <w:spacing w:val="-8"/>
                <w:kern w:val="0"/>
                <w:sz w:val="24"/>
              </w:rPr>
              <w:t>”</w:t>
            </w:r>
            <w:r>
              <w:rPr>
                <w:rFonts w:hAnsiTheme="minorEastAsia" w:eastAsiaTheme="minorEastAsia"/>
                <w:spacing w:val="-8"/>
                <w:kern w:val="0"/>
                <w:sz w:val="24"/>
              </w:rPr>
              <w:t>处</w:t>
            </w:r>
            <w:r>
              <w:rPr>
                <w:spacing w:val="-8"/>
                <w:kern w:val="0"/>
                <w:sz w:val="24"/>
              </w:rPr>
              <w:t>理</w:t>
            </w:r>
            <w:r>
              <w:rPr>
                <w:rFonts w:hint="eastAsia"/>
                <w:spacing w:val="-8"/>
                <w:kern w:val="0"/>
                <w:sz w:val="24"/>
              </w:rPr>
              <w:t>后</w:t>
            </w:r>
            <w:r>
              <w:rPr>
                <w:spacing w:val="-8"/>
                <w:kern w:val="0"/>
                <w:sz w:val="24"/>
              </w:rPr>
              <w:t>经</w:t>
            </w:r>
            <w:r>
              <w:rPr>
                <w:rFonts w:hint="eastAsia"/>
                <w:spacing w:val="-8"/>
                <w:kern w:val="0"/>
                <w:sz w:val="24"/>
              </w:rPr>
              <w:t>15</w:t>
            </w:r>
            <w:r>
              <w:rPr>
                <w:spacing w:val="-8"/>
                <w:kern w:val="0"/>
                <w:sz w:val="24"/>
              </w:rPr>
              <w:t>m高排气筒排放</w:t>
            </w:r>
          </w:p>
        </w:tc>
        <w:tc>
          <w:tcPr>
            <w:tcW w:w="2312" w:type="dxa"/>
            <w:vAlign w:val="center"/>
          </w:tcPr>
          <w:p w14:paraId="71431669">
            <w:pPr>
              <w:spacing w:line="276" w:lineRule="auto"/>
              <w:jc w:val="center"/>
              <w:textAlignment w:val="baseline"/>
              <w:rPr>
                <w:bCs/>
                <w:kern w:val="0"/>
                <w:sz w:val="24"/>
              </w:rPr>
            </w:pPr>
            <w:r>
              <w:rPr>
                <w:rFonts w:hint="eastAsia"/>
                <w:sz w:val="24"/>
              </w:rPr>
              <w:t>《合成树脂工业污染物排放标准》GB31572-2015（含2024年</w:t>
            </w:r>
            <w:r>
              <w:rPr>
                <w:sz w:val="24"/>
              </w:rPr>
              <w:t>修改单）</w:t>
            </w:r>
            <w:r>
              <w:rPr>
                <w:rFonts w:hint="eastAsia"/>
                <w:sz w:val="24"/>
              </w:rPr>
              <w:t>、</w:t>
            </w:r>
            <w:r>
              <w:rPr>
                <w:sz w:val="24"/>
              </w:rPr>
              <w:t>《挥发性有机物无组织排放控制标准》</w:t>
            </w:r>
            <w:r>
              <w:rPr>
                <w:rFonts w:hint="eastAsia"/>
                <w:sz w:val="24"/>
              </w:rPr>
              <w:t>（</w:t>
            </w:r>
            <w:r>
              <w:rPr>
                <w:kern w:val="0"/>
                <w:sz w:val="24"/>
              </w:rPr>
              <w:t>GB37822-2019</w:t>
            </w:r>
            <w:r>
              <w:rPr>
                <w:sz w:val="24"/>
              </w:rPr>
              <w:t>）</w:t>
            </w:r>
            <w:r>
              <w:rPr>
                <w:rFonts w:hint="eastAsia"/>
                <w:sz w:val="24"/>
              </w:rPr>
              <w:t>、《河南省重污染天气重点行业应急减排措施制定技术指南》（202</w:t>
            </w:r>
            <w:r>
              <w:rPr>
                <w:sz w:val="24"/>
              </w:rPr>
              <w:t>4</w:t>
            </w:r>
            <w:r>
              <w:rPr>
                <w:rFonts w:hint="eastAsia"/>
                <w:sz w:val="24"/>
              </w:rPr>
              <w:t>年修订版）》</w:t>
            </w:r>
          </w:p>
        </w:tc>
      </w:tr>
      <w:tr w14:paraId="6DE631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37" w:hRule="atLeast"/>
          <w:jc w:val="center"/>
        </w:trPr>
        <w:tc>
          <w:tcPr>
            <w:tcW w:w="839" w:type="dxa"/>
            <w:vMerge w:val="restart"/>
            <w:vAlign w:val="center"/>
          </w:tcPr>
          <w:p w14:paraId="24A904D9">
            <w:pPr>
              <w:adjustRightInd w:val="0"/>
              <w:snapToGrid w:val="0"/>
              <w:spacing w:line="276" w:lineRule="auto"/>
              <w:jc w:val="center"/>
              <w:rPr>
                <w:sz w:val="24"/>
              </w:rPr>
            </w:pPr>
            <w:r>
              <w:rPr>
                <w:sz w:val="24"/>
              </w:rPr>
              <w:t>地表水</w:t>
            </w:r>
          </w:p>
          <w:p w14:paraId="0E9EBF83">
            <w:pPr>
              <w:adjustRightInd w:val="0"/>
              <w:snapToGrid w:val="0"/>
              <w:spacing w:line="276" w:lineRule="auto"/>
              <w:jc w:val="center"/>
              <w:rPr>
                <w:sz w:val="24"/>
              </w:rPr>
            </w:pPr>
            <w:r>
              <w:rPr>
                <w:sz w:val="24"/>
              </w:rPr>
              <w:t>环境</w:t>
            </w:r>
          </w:p>
        </w:tc>
        <w:tc>
          <w:tcPr>
            <w:tcW w:w="1701" w:type="dxa"/>
            <w:vAlign w:val="center"/>
          </w:tcPr>
          <w:p w14:paraId="7F64B809">
            <w:pPr>
              <w:spacing w:line="276" w:lineRule="auto"/>
              <w:jc w:val="center"/>
              <w:rPr>
                <w:bCs/>
                <w:sz w:val="24"/>
              </w:rPr>
            </w:pPr>
            <w:r>
              <w:rPr>
                <w:rFonts w:hint="eastAsia"/>
                <w:sz w:val="24"/>
              </w:rPr>
              <w:t>生活废水</w:t>
            </w:r>
          </w:p>
        </w:tc>
        <w:tc>
          <w:tcPr>
            <w:tcW w:w="1276" w:type="dxa"/>
            <w:vAlign w:val="center"/>
          </w:tcPr>
          <w:p w14:paraId="37A4DD23">
            <w:pPr>
              <w:spacing w:line="276" w:lineRule="auto"/>
              <w:jc w:val="center"/>
              <w:rPr>
                <w:bCs/>
                <w:sz w:val="24"/>
              </w:rPr>
            </w:pPr>
            <w:r>
              <w:rPr>
                <w:sz w:val="24"/>
              </w:rPr>
              <w:t>COD</w:t>
            </w:r>
            <w:r>
              <w:rPr>
                <w:rFonts w:hint="eastAsia"/>
                <w:sz w:val="24"/>
              </w:rPr>
              <w:t>、</w:t>
            </w:r>
            <w:r>
              <w:rPr>
                <w:sz w:val="24"/>
              </w:rPr>
              <w:t>SS</w:t>
            </w:r>
            <w:r>
              <w:rPr>
                <w:rFonts w:hint="eastAsia"/>
                <w:sz w:val="24"/>
              </w:rPr>
              <w:t>、氨氮、BOD</w:t>
            </w:r>
            <w:r>
              <w:rPr>
                <w:rFonts w:hint="eastAsia"/>
                <w:sz w:val="24"/>
                <w:vertAlign w:val="subscript"/>
              </w:rPr>
              <w:t>5</w:t>
            </w:r>
          </w:p>
        </w:tc>
        <w:tc>
          <w:tcPr>
            <w:tcW w:w="3260" w:type="dxa"/>
            <w:vAlign w:val="center"/>
          </w:tcPr>
          <w:p w14:paraId="1AB50E2C">
            <w:pPr>
              <w:autoSpaceDE w:val="0"/>
              <w:autoSpaceDN w:val="0"/>
              <w:spacing w:line="276" w:lineRule="auto"/>
              <w:jc w:val="center"/>
              <w:rPr>
                <w:rFonts w:ascii="宋体" w:cs="宋体"/>
                <w:bCs/>
                <w:kern w:val="0"/>
                <w:sz w:val="24"/>
              </w:rPr>
            </w:pPr>
            <w:r>
              <w:rPr>
                <w:sz w:val="24"/>
              </w:rPr>
              <w:t>化粪池暂存，</w:t>
            </w:r>
            <w:r>
              <w:rPr>
                <w:rFonts w:hint="eastAsia"/>
                <w:sz w:val="24"/>
              </w:rPr>
              <w:t>定期与生活</w:t>
            </w:r>
            <w:r>
              <w:rPr>
                <w:sz w:val="24"/>
              </w:rPr>
              <w:t>污水一起</w:t>
            </w:r>
            <w:r>
              <w:rPr>
                <w:rFonts w:hint="eastAsia"/>
                <w:sz w:val="24"/>
              </w:rPr>
              <w:t>经</w:t>
            </w:r>
            <w:r>
              <w:rPr>
                <w:sz w:val="24"/>
              </w:rPr>
              <w:t>罐车运至北关镇污水处理厂处理后达标排放</w:t>
            </w:r>
          </w:p>
        </w:tc>
        <w:tc>
          <w:tcPr>
            <w:tcW w:w="2312" w:type="dxa"/>
            <w:vMerge w:val="restart"/>
            <w:vAlign w:val="center"/>
          </w:tcPr>
          <w:p w14:paraId="7ED55863">
            <w:pPr>
              <w:adjustRightInd w:val="0"/>
              <w:snapToGrid w:val="0"/>
              <w:spacing w:line="276" w:lineRule="auto"/>
              <w:jc w:val="center"/>
              <w:rPr>
                <w:sz w:val="24"/>
              </w:rPr>
            </w:pPr>
            <w:r>
              <w:rPr>
                <w:rFonts w:hint="eastAsia"/>
                <w:sz w:val="24"/>
              </w:rPr>
              <w:t>民权县北关镇污水处理厂收水水质、</w:t>
            </w:r>
            <w:r>
              <w:rPr>
                <w:sz w:val="24"/>
              </w:rPr>
              <w:t>《污水综合排放标准》</w:t>
            </w:r>
            <w:r>
              <w:rPr>
                <w:rFonts w:hint="eastAsia"/>
                <w:sz w:val="24"/>
              </w:rPr>
              <w:t>（</w:t>
            </w:r>
            <w:r>
              <w:rPr>
                <w:sz w:val="24"/>
              </w:rPr>
              <w:t>GB8978-1996）</w:t>
            </w:r>
          </w:p>
        </w:tc>
      </w:tr>
      <w:tr w14:paraId="7D1611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37" w:hRule="atLeast"/>
          <w:jc w:val="center"/>
        </w:trPr>
        <w:tc>
          <w:tcPr>
            <w:tcW w:w="839" w:type="dxa"/>
            <w:vMerge w:val="continue"/>
            <w:vAlign w:val="center"/>
          </w:tcPr>
          <w:p w14:paraId="19B333DB">
            <w:pPr>
              <w:adjustRightInd w:val="0"/>
              <w:snapToGrid w:val="0"/>
              <w:spacing w:line="276" w:lineRule="auto"/>
              <w:jc w:val="center"/>
              <w:rPr>
                <w:sz w:val="24"/>
              </w:rPr>
            </w:pPr>
          </w:p>
        </w:tc>
        <w:tc>
          <w:tcPr>
            <w:tcW w:w="1701" w:type="dxa"/>
            <w:vAlign w:val="center"/>
          </w:tcPr>
          <w:p w14:paraId="514FEB0F">
            <w:pPr>
              <w:spacing w:line="276" w:lineRule="auto"/>
              <w:jc w:val="center"/>
              <w:rPr>
                <w:sz w:val="24"/>
              </w:rPr>
            </w:pPr>
            <w:r>
              <w:rPr>
                <w:rFonts w:hint="eastAsia"/>
                <w:sz w:val="24"/>
              </w:rPr>
              <w:t>生产</w:t>
            </w:r>
            <w:r>
              <w:rPr>
                <w:sz w:val="24"/>
              </w:rPr>
              <w:t>废水</w:t>
            </w:r>
          </w:p>
        </w:tc>
        <w:tc>
          <w:tcPr>
            <w:tcW w:w="1276" w:type="dxa"/>
            <w:vAlign w:val="center"/>
          </w:tcPr>
          <w:p w14:paraId="539B7F44">
            <w:pPr>
              <w:spacing w:line="276" w:lineRule="auto"/>
              <w:jc w:val="center"/>
              <w:rPr>
                <w:sz w:val="24"/>
              </w:rPr>
            </w:pPr>
            <w:r>
              <w:rPr>
                <w:sz w:val="24"/>
              </w:rPr>
              <w:t>SS</w:t>
            </w:r>
          </w:p>
        </w:tc>
        <w:tc>
          <w:tcPr>
            <w:tcW w:w="3260" w:type="dxa"/>
            <w:vAlign w:val="center"/>
          </w:tcPr>
          <w:p w14:paraId="73955CB1">
            <w:pPr>
              <w:autoSpaceDE w:val="0"/>
              <w:autoSpaceDN w:val="0"/>
              <w:spacing w:line="276" w:lineRule="auto"/>
              <w:jc w:val="center"/>
              <w:rPr>
                <w:rFonts w:cs="宋体"/>
                <w:bCs/>
                <w:kern w:val="0"/>
                <w:sz w:val="24"/>
              </w:rPr>
            </w:pPr>
            <w:r>
              <w:rPr>
                <w:rFonts w:hint="eastAsia"/>
                <w:sz w:val="24"/>
              </w:rPr>
              <w:t>经三级</w:t>
            </w:r>
            <w:r>
              <w:rPr>
                <w:sz w:val="24"/>
              </w:rPr>
              <w:t>沉淀装置处理后循环使用，</w:t>
            </w:r>
            <w:r>
              <w:rPr>
                <w:rFonts w:hint="eastAsia"/>
                <w:sz w:val="24"/>
              </w:rPr>
              <w:t>每</w:t>
            </w:r>
            <w:r>
              <w:rPr>
                <w:sz w:val="24"/>
              </w:rPr>
              <w:t>三天</w:t>
            </w:r>
            <w:r>
              <w:rPr>
                <w:rFonts w:hint="eastAsia"/>
                <w:sz w:val="24"/>
              </w:rPr>
              <w:t>经</w:t>
            </w:r>
            <w:r>
              <w:rPr>
                <w:sz w:val="24"/>
              </w:rPr>
              <w:t>罐车运至北关镇污水处理厂处理后达标排放</w:t>
            </w:r>
          </w:p>
        </w:tc>
        <w:tc>
          <w:tcPr>
            <w:tcW w:w="2312" w:type="dxa"/>
            <w:vMerge w:val="continue"/>
            <w:vAlign w:val="center"/>
          </w:tcPr>
          <w:p w14:paraId="4860502A">
            <w:pPr>
              <w:adjustRightInd w:val="0"/>
              <w:snapToGrid w:val="0"/>
              <w:spacing w:line="276" w:lineRule="auto"/>
              <w:jc w:val="center"/>
              <w:rPr>
                <w:sz w:val="24"/>
              </w:rPr>
            </w:pPr>
          </w:p>
        </w:tc>
      </w:tr>
      <w:tr w14:paraId="338DEC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839" w:type="dxa"/>
            <w:vAlign w:val="center"/>
          </w:tcPr>
          <w:p w14:paraId="0AA1E219">
            <w:pPr>
              <w:adjustRightInd w:val="0"/>
              <w:snapToGrid w:val="0"/>
              <w:spacing w:line="276" w:lineRule="auto"/>
              <w:jc w:val="center"/>
              <w:rPr>
                <w:sz w:val="24"/>
              </w:rPr>
            </w:pPr>
            <w:r>
              <w:rPr>
                <w:sz w:val="24"/>
              </w:rPr>
              <w:t>声环境</w:t>
            </w:r>
          </w:p>
        </w:tc>
        <w:tc>
          <w:tcPr>
            <w:tcW w:w="1701" w:type="dxa"/>
            <w:vAlign w:val="center"/>
          </w:tcPr>
          <w:p w14:paraId="36035FC5">
            <w:pPr>
              <w:adjustRightInd w:val="0"/>
              <w:snapToGrid w:val="0"/>
              <w:spacing w:line="276" w:lineRule="auto"/>
              <w:jc w:val="center"/>
              <w:rPr>
                <w:sz w:val="24"/>
              </w:rPr>
            </w:pPr>
            <w:r>
              <w:rPr>
                <w:rFonts w:hint="eastAsia"/>
                <w:sz w:val="24"/>
              </w:rPr>
              <w:t>生产设备等</w:t>
            </w:r>
          </w:p>
        </w:tc>
        <w:tc>
          <w:tcPr>
            <w:tcW w:w="1276" w:type="dxa"/>
            <w:vAlign w:val="center"/>
          </w:tcPr>
          <w:p w14:paraId="758932C1">
            <w:pPr>
              <w:adjustRightInd w:val="0"/>
              <w:snapToGrid w:val="0"/>
              <w:spacing w:line="276" w:lineRule="auto"/>
              <w:jc w:val="center"/>
              <w:rPr>
                <w:sz w:val="24"/>
              </w:rPr>
            </w:pPr>
            <w:r>
              <w:rPr>
                <w:rFonts w:hint="eastAsia"/>
                <w:sz w:val="24"/>
              </w:rPr>
              <w:t>噪声</w:t>
            </w:r>
          </w:p>
        </w:tc>
        <w:tc>
          <w:tcPr>
            <w:tcW w:w="3260" w:type="dxa"/>
            <w:vAlign w:val="center"/>
          </w:tcPr>
          <w:p w14:paraId="24CAC60B">
            <w:pPr>
              <w:pStyle w:val="77"/>
              <w:spacing w:line="276" w:lineRule="auto"/>
              <w:jc w:val="center"/>
              <w:rPr>
                <w:sz w:val="24"/>
                <w:szCs w:val="24"/>
              </w:rPr>
            </w:pPr>
            <w:r>
              <w:rPr>
                <w:rFonts w:hint="eastAsia"/>
                <w:sz w:val="24"/>
                <w:szCs w:val="24"/>
              </w:rPr>
              <w:t>基础减振、厂房隔声以及消声器</w:t>
            </w:r>
          </w:p>
        </w:tc>
        <w:tc>
          <w:tcPr>
            <w:tcW w:w="2312" w:type="dxa"/>
            <w:vAlign w:val="center"/>
          </w:tcPr>
          <w:p w14:paraId="08162A8E">
            <w:pPr>
              <w:adjustRightInd w:val="0"/>
              <w:snapToGrid w:val="0"/>
              <w:spacing w:line="276" w:lineRule="auto"/>
              <w:jc w:val="center"/>
              <w:rPr>
                <w:sz w:val="24"/>
              </w:rPr>
            </w:pPr>
            <w:r>
              <w:rPr>
                <w:sz w:val="24"/>
              </w:rPr>
              <w:t>《工业企业厂界环境噪声排放标准》（GB12348- 2008）2</w:t>
            </w:r>
            <w:r>
              <w:rPr>
                <w:rFonts w:hint="eastAsia"/>
                <w:sz w:val="24"/>
              </w:rPr>
              <w:t>类</w:t>
            </w:r>
          </w:p>
        </w:tc>
      </w:tr>
      <w:tr w14:paraId="119E65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02" w:hRule="atLeast"/>
          <w:jc w:val="center"/>
        </w:trPr>
        <w:tc>
          <w:tcPr>
            <w:tcW w:w="839" w:type="dxa"/>
            <w:vAlign w:val="center"/>
          </w:tcPr>
          <w:p w14:paraId="48983C1F">
            <w:pPr>
              <w:adjustRightInd w:val="0"/>
              <w:snapToGrid w:val="0"/>
              <w:spacing w:line="276" w:lineRule="auto"/>
              <w:jc w:val="center"/>
              <w:rPr>
                <w:sz w:val="24"/>
              </w:rPr>
            </w:pPr>
            <w:r>
              <w:rPr>
                <w:sz w:val="24"/>
              </w:rPr>
              <w:t>电磁</w:t>
            </w:r>
          </w:p>
          <w:p w14:paraId="6CF2BCAF">
            <w:pPr>
              <w:adjustRightInd w:val="0"/>
              <w:snapToGrid w:val="0"/>
              <w:spacing w:line="276" w:lineRule="auto"/>
              <w:jc w:val="center"/>
              <w:rPr>
                <w:sz w:val="24"/>
              </w:rPr>
            </w:pPr>
            <w:r>
              <w:rPr>
                <w:sz w:val="24"/>
              </w:rPr>
              <w:t>辐射</w:t>
            </w:r>
          </w:p>
        </w:tc>
        <w:tc>
          <w:tcPr>
            <w:tcW w:w="1701" w:type="dxa"/>
            <w:vAlign w:val="center"/>
          </w:tcPr>
          <w:p w14:paraId="73310D4D">
            <w:pPr>
              <w:adjustRightInd w:val="0"/>
              <w:snapToGrid w:val="0"/>
              <w:spacing w:line="276" w:lineRule="auto"/>
              <w:jc w:val="center"/>
              <w:rPr>
                <w:sz w:val="24"/>
              </w:rPr>
            </w:pPr>
            <w:r>
              <w:rPr>
                <w:rFonts w:hint="eastAsia"/>
                <w:sz w:val="24"/>
              </w:rPr>
              <w:t>/</w:t>
            </w:r>
          </w:p>
        </w:tc>
        <w:tc>
          <w:tcPr>
            <w:tcW w:w="1276" w:type="dxa"/>
            <w:vAlign w:val="center"/>
          </w:tcPr>
          <w:p w14:paraId="334D26CF">
            <w:pPr>
              <w:adjustRightInd w:val="0"/>
              <w:snapToGrid w:val="0"/>
              <w:spacing w:line="276" w:lineRule="auto"/>
              <w:jc w:val="center"/>
              <w:rPr>
                <w:sz w:val="24"/>
              </w:rPr>
            </w:pPr>
            <w:r>
              <w:rPr>
                <w:rFonts w:hint="eastAsia"/>
                <w:sz w:val="24"/>
              </w:rPr>
              <w:t>/</w:t>
            </w:r>
          </w:p>
        </w:tc>
        <w:tc>
          <w:tcPr>
            <w:tcW w:w="3260" w:type="dxa"/>
            <w:vAlign w:val="center"/>
          </w:tcPr>
          <w:p w14:paraId="42163599">
            <w:pPr>
              <w:adjustRightInd w:val="0"/>
              <w:snapToGrid w:val="0"/>
              <w:spacing w:line="276" w:lineRule="auto"/>
              <w:jc w:val="center"/>
              <w:rPr>
                <w:sz w:val="24"/>
              </w:rPr>
            </w:pPr>
            <w:r>
              <w:rPr>
                <w:rFonts w:hint="eastAsia"/>
                <w:sz w:val="24"/>
              </w:rPr>
              <w:t>/</w:t>
            </w:r>
          </w:p>
        </w:tc>
        <w:tc>
          <w:tcPr>
            <w:tcW w:w="2312" w:type="dxa"/>
            <w:vAlign w:val="center"/>
          </w:tcPr>
          <w:p w14:paraId="723FEDF6">
            <w:pPr>
              <w:adjustRightInd w:val="0"/>
              <w:snapToGrid w:val="0"/>
              <w:spacing w:line="276" w:lineRule="auto"/>
              <w:jc w:val="center"/>
              <w:rPr>
                <w:sz w:val="24"/>
              </w:rPr>
            </w:pPr>
            <w:r>
              <w:rPr>
                <w:rFonts w:hint="eastAsia"/>
                <w:sz w:val="24"/>
              </w:rPr>
              <w:t>/</w:t>
            </w:r>
          </w:p>
        </w:tc>
      </w:tr>
      <w:tr w14:paraId="592F25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581" w:hRule="atLeast"/>
          <w:jc w:val="center"/>
        </w:trPr>
        <w:tc>
          <w:tcPr>
            <w:tcW w:w="839" w:type="dxa"/>
            <w:vAlign w:val="center"/>
          </w:tcPr>
          <w:p w14:paraId="22492329">
            <w:pPr>
              <w:adjustRightInd w:val="0"/>
              <w:snapToGrid w:val="0"/>
              <w:spacing w:line="276" w:lineRule="auto"/>
              <w:jc w:val="center"/>
              <w:rPr>
                <w:sz w:val="24"/>
              </w:rPr>
            </w:pPr>
            <w:r>
              <w:rPr>
                <w:sz w:val="24"/>
              </w:rPr>
              <w:t>固体</w:t>
            </w:r>
          </w:p>
          <w:p w14:paraId="65A20913">
            <w:pPr>
              <w:adjustRightInd w:val="0"/>
              <w:snapToGrid w:val="0"/>
              <w:spacing w:line="276" w:lineRule="auto"/>
              <w:jc w:val="center"/>
              <w:rPr>
                <w:sz w:val="24"/>
              </w:rPr>
            </w:pPr>
            <w:r>
              <w:rPr>
                <w:sz w:val="24"/>
              </w:rPr>
              <w:t>废物</w:t>
            </w:r>
          </w:p>
        </w:tc>
        <w:tc>
          <w:tcPr>
            <w:tcW w:w="8549" w:type="dxa"/>
            <w:gridSpan w:val="4"/>
            <w:vAlign w:val="center"/>
          </w:tcPr>
          <w:p w14:paraId="491F49D3">
            <w:pPr>
              <w:spacing w:line="276" w:lineRule="auto"/>
              <w:ind w:firstLine="480" w:firstLineChars="200"/>
              <w:rPr>
                <w:bCs/>
                <w:sz w:val="24"/>
              </w:rPr>
            </w:pPr>
            <w:r>
              <w:rPr>
                <w:rFonts w:hint="eastAsia"/>
                <w:bCs/>
                <w:sz w:val="24"/>
              </w:rPr>
              <w:t>废包装袋</w:t>
            </w:r>
            <w:r>
              <w:rPr>
                <w:bCs/>
                <w:sz w:val="24"/>
              </w:rPr>
              <w:t>、</w:t>
            </w:r>
            <w:r>
              <w:rPr>
                <w:kern w:val="0"/>
                <w:sz w:val="24"/>
              </w:rPr>
              <w:t>PE薄膜废卷筒</w:t>
            </w:r>
            <w:r>
              <w:rPr>
                <w:rFonts w:hint="eastAsia"/>
                <w:kern w:val="0"/>
                <w:sz w:val="24"/>
              </w:rPr>
              <w:t>、</w:t>
            </w:r>
            <w:r>
              <w:rPr>
                <w:kern w:val="0"/>
                <w:sz w:val="24"/>
              </w:rPr>
              <w:t>废塑料薄膜</w:t>
            </w:r>
            <w:r>
              <w:rPr>
                <w:rFonts w:hint="eastAsia"/>
                <w:kern w:val="0"/>
                <w:sz w:val="24"/>
              </w:rPr>
              <w:t>、</w:t>
            </w:r>
            <w:r>
              <w:rPr>
                <w:rFonts w:hint="eastAsia" w:hAnsi="宋体"/>
                <w:bCs/>
                <w:sz w:val="24"/>
              </w:rPr>
              <w:t>沉淀池沉渣</w:t>
            </w:r>
            <w:r>
              <w:rPr>
                <w:rFonts w:hint="eastAsia"/>
                <w:bCs/>
                <w:sz w:val="24"/>
              </w:rPr>
              <w:t>经收集后定期外售综合</w:t>
            </w:r>
            <w:r>
              <w:rPr>
                <w:bCs/>
                <w:sz w:val="24"/>
              </w:rPr>
              <w:t>利用</w:t>
            </w:r>
            <w:r>
              <w:rPr>
                <w:rFonts w:hint="eastAsia"/>
                <w:bCs/>
                <w:sz w:val="24"/>
              </w:rPr>
              <w:t>；</w:t>
            </w:r>
            <w:r>
              <w:rPr>
                <w:sz w:val="24"/>
              </w:rPr>
              <w:t>废活性炭</w:t>
            </w:r>
            <w:r>
              <w:rPr>
                <w:rFonts w:hint="eastAsia"/>
                <w:sz w:val="24"/>
              </w:rPr>
              <w:t>、废润滑油、废润滑油桶</w:t>
            </w:r>
            <w:r>
              <w:rPr>
                <w:rFonts w:hint="eastAsia"/>
                <w:bCs/>
                <w:sz w:val="24"/>
              </w:rPr>
              <w:t>分类收集</w:t>
            </w:r>
            <w:r>
              <w:rPr>
                <w:bCs/>
                <w:sz w:val="24"/>
              </w:rPr>
              <w:t>、</w:t>
            </w:r>
            <w:r>
              <w:rPr>
                <w:rFonts w:hint="eastAsia"/>
                <w:bCs/>
                <w:sz w:val="24"/>
              </w:rPr>
              <w:t>暂存于危废暂存间后定期委托有资质单位处理；生活垃圾在厂内垃圾箱暂存后定期交由环卫部门统一处理。</w:t>
            </w:r>
          </w:p>
        </w:tc>
      </w:tr>
      <w:tr w14:paraId="49A02E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60" w:hRule="atLeast"/>
          <w:jc w:val="center"/>
        </w:trPr>
        <w:tc>
          <w:tcPr>
            <w:tcW w:w="839" w:type="dxa"/>
            <w:vAlign w:val="center"/>
          </w:tcPr>
          <w:p w14:paraId="04BB39CB">
            <w:pPr>
              <w:adjustRightInd w:val="0"/>
              <w:snapToGrid w:val="0"/>
              <w:spacing w:line="276" w:lineRule="auto"/>
              <w:jc w:val="center"/>
              <w:rPr>
                <w:sz w:val="24"/>
              </w:rPr>
            </w:pPr>
            <w:r>
              <w:rPr>
                <w:rFonts w:hint="eastAsia"/>
                <w:sz w:val="24"/>
              </w:rPr>
              <w:t>土壤及地下水污染防治措施</w:t>
            </w:r>
          </w:p>
        </w:tc>
        <w:tc>
          <w:tcPr>
            <w:tcW w:w="8549" w:type="dxa"/>
            <w:gridSpan w:val="4"/>
            <w:vAlign w:val="center"/>
          </w:tcPr>
          <w:p w14:paraId="3B427B8B">
            <w:pPr>
              <w:autoSpaceDE w:val="0"/>
              <w:autoSpaceDN w:val="0"/>
              <w:adjustRightInd w:val="0"/>
              <w:spacing w:line="276" w:lineRule="auto"/>
              <w:ind w:firstLine="480" w:firstLineChars="200"/>
              <w:jc w:val="left"/>
              <w:rPr>
                <w:kern w:val="0"/>
                <w:sz w:val="24"/>
              </w:rPr>
            </w:pPr>
            <w:r>
              <w:rPr>
                <w:rFonts w:hint="eastAsia"/>
                <w:sz w:val="24"/>
              </w:rPr>
              <w:t>挤出机</w:t>
            </w:r>
            <w:r>
              <w:rPr>
                <w:sz w:val="24"/>
              </w:rPr>
              <w:t>设备区、危废暂存间重点防渗</w:t>
            </w:r>
            <w:r>
              <w:rPr>
                <w:rFonts w:hint="eastAsia"/>
                <w:sz w:val="24"/>
              </w:rPr>
              <w:t>，清洗区</w:t>
            </w:r>
            <w:r>
              <w:rPr>
                <w:sz w:val="24"/>
              </w:rPr>
              <w:t>、污水处理区、磨尖区</w:t>
            </w:r>
            <w:r>
              <w:rPr>
                <w:rFonts w:hint="eastAsia"/>
                <w:sz w:val="24"/>
              </w:rPr>
              <w:t>、一般固废间一般</w:t>
            </w:r>
            <w:r>
              <w:rPr>
                <w:sz w:val="24"/>
              </w:rPr>
              <w:t>防渗；</w:t>
            </w:r>
            <w:r>
              <w:rPr>
                <w:rFonts w:hint="eastAsia"/>
                <w:sz w:val="24"/>
              </w:rPr>
              <w:t>其他区域</w:t>
            </w:r>
            <w:r>
              <w:rPr>
                <w:sz w:val="24"/>
              </w:rPr>
              <w:t>简单防渗</w:t>
            </w:r>
          </w:p>
        </w:tc>
      </w:tr>
      <w:tr w14:paraId="1C7D21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3" w:hRule="atLeast"/>
          <w:jc w:val="center"/>
        </w:trPr>
        <w:tc>
          <w:tcPr>
            <w:tcW w:w="839" w:type="dxa"/>
            <w:vAlign w:val="center"/>
          </w:tcPr>
          <w:p w14:paraId="3BE5745F">
            <w:pPr>
              <w:adjustRightInd w:val="0"/>
              <w:snapToGrid w:val="0"/>
              <w:spacing w:line="276" w:lineRule="auto"/>
              <w:jc w:val="center"/>
              <w:rPr>
                <w:sz w:val="24"/>
              </w:rPr>
            </w:pPr>
            <w:r>
              <w:rPr>
                <w:sz w:val="24"/>
              </w:rPr>
              <w:t>生态保护措施</w:t>
            </w:r>
          </w:p>
        </w:tc>
        <w:tc>
          <w:tcPr>
            <w:tcW w:w="8549" w:type="dxa"/>
            <w:gridSpan w:val="4"/>
            <w:vAlign w:val="center"/>
          </w:tcPr>
          <w:p w14:paraId="3281AE6A">
            <w:pPr>
              <w:adjustRightInd w:val="0"/>
              <w:snapToGrid w:val="0"/>
              <w:spacing w:line="276" w:lineRule="auto"/>
              <w:jc w:val="center"/>
              <w:rPr>
                <w:kern w:val="0"/>
                <w:sz w:val="24"/>
              </w:rPr>
            </w:pPr>
            <w:r>
              <w:rPr>
                <w:rFonts w:hint="eastAsia"/>
                <w:sz w:val="24"/>
              </w:rPr>
              <w:t>/</w:t>
            </w:r>
          </w:p>
        </w:tc>
      </w:tr>
      <w:tr w14:paraId="3CEFEB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83" w:hRule="atLeast"/>
          <w:jc w:val="center"/>
        </w:trPr>
        <w:tc>
          <w:tcPr>
            <w:tcW w:w="839" w:type="dxa"/>
            <w:vAlign w:val="center"/>
          </w:tcPr>
          <w:p w14:paraId="094CA239">
            <w:pPr>
              <w:adjustRightInd w:val="0"/>
              <w:snapToGrid w:val="0"/>
              <w:spacing w:line="276" w:lineRule="auto"/>
              <w:jc w:val="center"/>
              <w:rPr>
                <w:spacing w:val="-8"/>
                <w:sz w:val="24"/>
              </w:rPr>
            </w:pPr>
            <w:r>
              <w:rPr>
                <w:spacing w:val="-8"/>
                <w:sz w:val="24"/>
              </w:rPr>
              <w:t>环境风险防范措施</w:t>
            </w:r>
          </w:p>
        </w:tc>
        <w:tc>
          <w:tcPr>
            <w:tcW w:w="8549" w:type="dxa"/>
            <w:gridSpan w:val="4"/>
            <w:vAlign w:val="center"/>
          </w:tcPr>
          <w:p w14:paraId="6315FBBA">
            <w:pPr>
              <w:pStyle w:val="63"/>
              <w:adjustRightInd w:val="0"/>
              <w:snapToGrid w:val="0"/>
              <w:spacing w:line="276" w:lineRule="auto"/>
              <w:jc w:val="both"/>
              <w:rPr>
                <w:sz w:val="24"/>
              </w:rPr>
            </w:pPr>
            <w:r>
              <w:rPr>
                <w:rFonts w:hint="eastAsia" w:hAnsi="宋体" w:cs="宋体"/>
                <w:sz w:val="24"/>
              </w:rPr>
              <w:t>①</w:t>
            </w:r>
            <w:r>
              <w:rPr>
                <w:rFonts w:hint="eastAsia"/>
                <w:sz w:val="24"/>
              </w:rPr>
              <w:t>选用符合技术标准的设备、设施，定期进行巡检和维护保养；</w:t>
            </w:r>
          </w:p>
          <w:p w14:paraId="66066EC4">
            <w:pPr>
              <w:adjustRightInd w:val="0"/>
              <w:snapToGrid w:val="0"/>
              <w:spacing w:line="276" w:lineRule="auto"/>
              <w:rPr>
                <w:sz w:val="24"/>
              </w:rPr>
            </w:pPr>
            <w:r>
              <w:rPr>
                <w:rFonts w:hint="eastAsia" w:ascii="宋体" w:hAnsi="宋体" w:cs="宋体"/>
                <w:sz w:val="24"/>
              </w:rPr>
              <w:t>②</w:t>
            </w:r>
            <w:r>
              <w:rPr>
                <w:rFonts w:hint="eastAsia"/>
                <w:sz w:val="24"/>
              </w:rPr>
              <w:t>加强工作人员安全培训，相关工作人员持证上岗；</w:t>
            </w:r>
          </w:p>
          <w:p w14:paraId="6AC8B492">
            <w:pPr>
              <w:pStyle w:val="63"/>
              <w:adjustRightInd w:val="0"/>
              <w:snapToGrid w:val="0"/>
              <w:spacing w:line="276" w:lineRule="auto"/>
              <w:jc w:val="both"/>
              <w:rPr>
                <w:sz w:val="24"/>
              </w:rPr>
            </w:pPr>
            <w:r>
              <w:rPr>
                <w:rFonts w:hint="eastAsia"/>
                <w:sz w:val="24"/>
              </w:rPr>
              <w:t>③车间内</w:t>
            </w:r>
            <w:r>
              <w:rPr>
                <w:sz w:val="24"/>
              </w:rPr>
              <w:t>各功能分区之间及功能分区内部要按照有关规范保持足够的安全距离</w:t>
            </w:r>
            <w:r>
              <w:rPr>
                <w:rFonts w:hint="eastAsia"/>
                <w:sz w:val="24"/>
              </w:rPr>
              <w:t>车间</w:t>
            </w:r>
            <w:r>
              <w:rPr>
                <w:sz w:val="24"/>
              </w:rPr>
              <w:t>内设置消防通道</w:t>
            </w:r>
            <w:r>
              <w:rPr>
                <w:rFonts w:hint="eastAsia"/>
                <w:sz w:val="24"/>
              </w:rPr>
              <w:t>；</w:t>
            </w:r>
            <w:r>
              <w:rPr>
                <w:sz w:val="24"/>
              </w:rPr>
              <w:t>生产区、成品区、原材料区，设置为禁火区，远离明火、禁烟；厂房设置防火通道，禁止在通道内堆放物品</w:t>
            </w:r>
            <w:r>
              <w:rPr>
                <w:rFonts w:hint="eastAsia"/>
                <w:sz w:val="24"/>
              </w:rPr>
              <w:t>；</w:t>
            </w:r>
          </w:p>
          <w:p w14:paraId="4BE3293F">
            <w:pPr>
              <w:adjustRightInd w:val="0"/>
              <w:snapToGrid w:val="0"/>
              <w:spacing w:line="276" w:lineRule="auto"/>
              <w:rPr>
                <w:sz w:val="24"/>
              </w:rPr>
            </w:pPr>
            <w:r>
              <w:rPr>
                <w:rFonts w:hint="eastAsia"/>
                <w:sz w:val="24"/>
              </w:rPr>
              <w:t>④厂内各区域设置消防设施；</w:t>
            </w:r>
          </w:p>
          <w:p w14:paraId="078CFA76">
            <w:pPr>
              <w:adjustRightInd w:val="0"/>
              <w:snapToGrid w:val="0"/>
              <w:spacing w:line="276" w:lineRule="auto"/>
              <w:rPr>
                <w:sz w:val="24"/>
              </w:rPr>
            </w:pPr>
            <w:r>
              <w:rPr>
                <w:rFonts w:hint="eastAsia"/>
                <w:sz w:val="24"/>
              </w:rPr>
              <w:t>⑤</w:t>
            </w:r>
            <w:r>
              <w:rPr>
                <w:sz w:val="24"/>
              </w:rPr>
              <w:t>加强消防安全教育培训。</w:t>
            </w:r>
          </w:p>
          <w:p w14:paraId="22E90A79">
            <w:pPr>
              <w:adjustRightInd w:val="0"/>
              <w:snapToGrid w:val="0"/>
              <w:spacing w:line="276" w:lineRule="auto"/>
              <w:rPr>
                <w:sz w:val="24"/>
              </w:rPr>
            </w:pPr>
            <w:r>
              <w:rPr>
                <w:rFonts w:hint="eastAsia" w:ascii="宋体" w:hAnsi="宋体" w:cs="宋体"/>
                <w:sz w:val="24"/>
              </w:rPr>
              <w:t>⑥</w:t>
            </w:r>
            <w:r>
              <w:rPr>
                <w:rFonts w:hint="eastAsia"/>
                <w:sz w:val="24"/>
              </w:rPr>
              <w:t>编制突发环境事件应急预案。</w:t>
            </w:r>
          </w:p>
        </w:tc>
      </w:tr>
      <w:tr w14:paraId="3E7CA8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59" w:hRule="atLeast"/>
          <w:jc w:val="center"/>
        </w:trPr>
        <w:tc>
          <w:tcPr>
            <w:tcW w:w="839" w:type="dxa"/>
            <w:vAlign w:val="center"/>
          </w:tcPr>
          <w:p w14:paraId="133A1923">
            <w:pPr>
              <w:adjustRightInd w:val="0"/>
              <w:snapToGrid w:val="0"/>
              <w:spacing w:line="276" w:lineRule="auto"/>
              <w:jc w:val="center"/>
              <w:rPr>
                <w:spacing w:val="-8"/>
                <w:sz w:val="24"/>
              </w:rPr>
            </w:pPr>
            <w:r>
              <w:rPr>
                <w:spacing w:val="-8"/>
                <w:sz w:val="24"/>
              </w:rPr>
              <w:t>其他环境管理要求</w:t>
            </w:r>
          </w:p>
        </w:tc>
        <w:tc>
          <w:tcPr>
            <w:tcW w:w="8549" w:type="dxa"/>
            <w:gridSpan w:val="4"/>
            <w:vAlign w:val="center"/>
          </w:tcPr>
          <w:p w14:paraId="27E56CF4">
            <w:pPr>
              <w:autoSpaceDE w:val="0"/>
              <w:autoSpaceDN w:val="0"/>
              <w:adjustRightInd w:val="0"/>
              <w:spacing w:line="276" w:lineRule="auto"/>
              <w:ind w:firstLine="448" w:firstLineChars="200"/>
              <w:jc w:val="left"/>
              <w:rPr>
                <w:spacing w:val="-8"/>
                <w:sz w:val="24"/>
              </w:rPr>
            </w:pPr>
            <w:r>
              <w:rPr>
                <w:rFonts w:hint="eastAsia"/>
                <w:spacing w:val="-8"/>
                <w:sz w:val="24"/>
              </w:rPr>
              <w:t>评价要求项目排污</w:t>
            </w:r>
            <w:r>
              <w:rPr>
                <w:spacing w:val="-8"/>
                <w:sz w:val="24"/>
              </w:rPr>
              <w:t>前，企业应根据《固定污染源排污许可分类管理名录》及时</w:t>
            </w:r>
            <w:r>
              <w:rPr>
                <w:rFonts w:hint="eastAsia"/>
                <w:spacing w:val="-8"/>
                <w:sz w:val="24"/>
              </w:rPr>
              <w:t>办理</w:t>
            </w:r>
            <w:r>
              <w:rPr>
                <w:spacing w:val="-8"/>
                <w:sz w:val="24"/>
              </w:rPr>
              <w:t>排污许可手续</w:t>
            </w:r>
            <w:r>
              <w:rPr>
                <w:rFonts w:hint="eastAsia"/>
                <w:spacing w:val="-8"/>
                <w:sz w:val="24"/>
              </w:rPr>
              <w:t>。</w:t>
            </w:r>
          </w:p>
        </w:tc>
      </w:tr>
    </w:tbl>
    <w:p w14:paraId="0A0889D0">
      <w:pPr>
        <w:pStyle w:val="25"/>
        <w:jc w:val="center"/>
        <w:outlineLvl w:val="0"/>
        <w:rPr>
          <w:rFonts w:ascii="黑体" w:hAnsi="黑体" w:eastAsia="黑体"/>
          <w:snapToGrid w:val="0"/>
          <w:sz w:val="30"/>
          <w:szCs w:val="30"/>
        </w:rPr>
      </w:pPr>
      <w:r>
        <w:rPr>
          <w:snapToGrid w:val="0"/>
        </w:rPr>
        <w:br w:type="page"/>
      </w:r>
      <w:r>
        <w:rPr>
          <w:rFonts w:hint="eastAsia" w:ascii="黑体" w:hAnsi="黑体" w:eastAsia="黑体"/>
          <w:snapToGrid w:val="0"/>
          <w:sz w:val="30"/>
          <w:szCs w:val="30"/>
        </w:rPr>
        <w:t>六、结论</w:t>
      </w:r>
    </w:p>
    <w:tbl>
      <w:tblPr>
        <w:tblStyle w:val="2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6CCB97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11991" w:hRule="atLeast"/>
          <w:jc w:val="center"/>
        </w:trPr>
        <w:tc>
          <w:tcPr>
            <w:tcW w:w="8865" w:type="dxa"/>
            <w:vAlign w:val="center"/>
          </w:tcPr>
          <w:p w14:paraId="4186D130">
            <w:pPr>
              <w:spacing w:line="360" w:lineRule="auto"/>
              <w:ind w:firstLine="480" w:firstLineChars="200"/>
              <w:rPr>
                <w:sz w:val="24"/>
              </w:rPr>
            </w:pPr>
            <w:r>
              <w:rPr>
                <w:rFonts w:hint="eastAsia"/>
                <w:sz w:val="24"/>
              </w:rPr>
              <w:t>综上所述，</w:t>
            </w:r>
            <w:r>
              <w:rPr>
                <w:rFonts w:hint="eastAsia"/>
                <w:bCs/>
                <w:sz w:val="24"/>
              </w:rPr>
              <w:t>河南毛旺尼龙纤维科技有限公司年产5000吨牙刷丝建设项目</w:t>
            </w:r>
            <w:r>
              <w:rPr>
                <w:rFonts w:hint="eastAsia"/>
                <w:sz w:val="24"/>
              </w:rPr>
              <w:t>符合国家产业政策，项目选址合理可行；项目在认真落实各项环保治理措施后，工程所排各项污染物对周围环境影响较小，可以实现其经济效益、社会效益和环境效益的协调发展。因此，本项目在认真落实本评价所提出的各项污染防治措施的基础上，从环保角度分析，本项目在该厂址建设可行。</w:t>
            </w:r>
          </w:p>
        </w:tc>
      </w:tr>
    </w:tbl>
    <w:p w14:paraId="6E050DAF">
      <w:pPr>
        <w:rPr>
          <w:rFonts w:ascii="宋体"/>
        </w:rPr>
        <w:sectPr>
          <w:pgSz w:w="11906" w:h="16838"/>
          <w:pgMar w:top="1701" w:right="1531" w:bottom="1701" w:left="1531" w:header="851" w:footer="851" w:gutter="0"/>
          <w:cols w:space="720" w:num="1"/>
          <w:docGrid w:linePitch="312" w:charSpace="0"/>
        </w:sectPr>
      </w:pPr>
    </w:p>
    <w:p w14:paraId="4248B53B">
      <w:pPr>
        <w:pStyle w:val="25"/>
        <w:adjustRightInd w:val="0"/>
        <w:snapToGrid w:val="0"/>
        <w:spacing w:before="0" w:beforeAutospacing="0" w:after="0" w:afterAutospacing="0"/>
        <w:outlineLvl w:val="0"/>
        <w:rPr>
          <w:rFonts w:ascii="黑体" w:hAnsi="黑体" w:eastAsia="黑体"/>
          <w:snapToGrid w:val="0"/>
          <w:sz w:val="32"/>
          <w:szCs w:val="32"/>
        </w:rPr>
      </w:pPr>
      <w:r>
        <w:rPr>
          <w:rFonts w:hint="eastAsia" w:ascii="黑体" w:hAnsi="黑体" w:eastAsia="黑体"/>
          <w:snapToGrid w:val="0"/>
          <w:sz w:val="32"/>
          <w:szCs w:val="32"/>
        </w:rPr>
        <w:t>附表</w:t>
      </w:r>
    </w:p>
    <w:p w14:paraId="1FD45459">
      <w:pPr>
        <w:pStyle w:val="25"/>
        <w:adjustRightInd w:val="0"/>
        <w:snapToGrid w:val="0"/>
        <w:spacing w:before="120" w:beforeLines="50" w:beforeAutospacing="0" w:after="120" w:afterLines="50" w:afterAutospacing="0"/>
        <w:jc w:val="center"/>
        <w:outlineLvl w:val="0"/>
        <w:rPr>
          <w:rFonts w:ascii="方正小标宋_GBK" w:hAnsi="黑体" w:eastAsia="方正小标宋_GBK"/>
          <w:snapToGrid w:val="0"/>
          <w:sz w:val="30"/>
          <w:szCs w:val="30"/>
        </w:rPr>
      </w:pPr>
      <w:r>
        <w:rPr>
          <w:rFonts w:hint="eastAsia" w:ascii="方正小标宋_GBK" w:hAnsi="黑体" w:eastAsia="方正小标宋_GBK"/>
          <w:snapToGrid w:val="0"/>
          <w:sz w:val="30"/>
          <w:szCs w:val="30"/>
        </w:rPr>
        <w:t>建设项目污染物排放量汇总表</w:t>
      </w:r>
    </w:p>
    <w:tbl>
      <w:tblPr>
        <w:tblStyle w:val="29"/>
        <w:tblW w:w="13778"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21"/>
        <w:gridCol w:w="1984"/>
        <w:gridCol w:w="1701"/>
        <w:gridCol w:w="1276"/>
        <w:gridCol w:w="1559"/>
        <w:gridCol w:w="1701"/>
        <w:gridCol w:w="1559"/>
        <w:gridCol w:w="1418"/>
        <w:gridCol w:w="1559"/>
      </w:tblGrid>
      <w:tr w14:paraId="63F5E2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21" w:type="dxa"/>
            <w:tcBorders>
              <w:tl2br w:val="single" w:color="auto" w:sz="4" w:space="0"/>
            </w:tcBorders>
            <w:tcMar>
              <w:left w:w="28" w:type="dxa"/>
              <w:right w:w="28" w:type="dxa"/>
            </w:tcMar>
            <w:vAlign w:val="center"/>
          </w:tcPr>
          <w:p w14:paraId="305748C9">
            <w:pPr>
              <w:pStyle w:val="56"/>
              <w:spacing w:beforeLines="0" w:afterLines="0" w:line="240" w:lineRule="auto"/>
              <w:jc w:val="right"/>
              <w:rPr>
                <w:rFonts w:ascii="Times New Roman" w:eastAsia="黑体"/>
                <w:snapToGrid w:val="0"/>
                <w:color w:val="000000"/>
                <w:spacing w:val="-6"/>
                <w:kern w:val="21"/>
                <w:szCs w:val="21"/>
              </w:rPr>
            </w:pPr>
            <w:r>
              <w:rPr>
                <w:rFonts w:ascii="Times New Roman" w:eastAsia="黑体"/>
                <w:snapToGrid w:val="0"/>
                <w:color w:val="000000"/>
                <w:spacing w:val="-6"/>
                <w:kern w:val="21"/>
                <w:szCs w:val="21"/>
              </w:rPr>
              <w:t>项目</w:t>
            </w:r>
          </w:p>
          <w:p w14:paraId="10CD9656">
            <w:pPr>
              <w:pStyle w:val="56"/>
              <w:spacing w:beforeLines="0" w:afterLines="0" w:line="240" w:lineRule="auto"/>
              <w:jc w:val="left"/>
              <w:rPr>
                <w:rFonts w:ascii="Times New Roman" w:eastAsia="黑体"/>
                <w:snapToGrid w:val="0"/>
                <w:color w:val="000000"/>
                <w:spacing w:val="-6"/>
                <w:kern w:val="21"/>
                <w:szCs w:val="21"/>
              </w:rPr>
            </w:pPr>
            <w:r>
              <w:rPr>
                <w:rFonts w:ascii="Times New Roman" w:eastAsia="黑体"/>
                <w:snapToGrid w:val="0"/>
                <w:color w:val="000000"/>
                <w:spacing w:val="-6"/>
                <w:kern w:val="21"/>
                <w:szCs w:val="21"/>
              </w:rPr>
              <w:t>分类</w:t>
            </w:r>
          </w:p>
        </w:tc>
        <w:tc>
          <w:tcPr>
            <w:tcW w:w="1984" w:type="dxa"/>
            <w:tcMar>
              <w:left w:w="28" w:type="dxa"/>
              <w:right w:w="28" w:type="dxa"/>
            </w:tcMar>
            <w:vAlign w:val="center"/>
          </w:tcPr>
          <w:p w14:paraId="515F74AF">
            <w:pPr>
              <w:pStyle w:val="56"/>
              <w:spacing w:beforeLines="0" w:afterLines="0" w:line="240" w:lineRule="auto"/>
              <w:rPr>
                <w:rFonts w:ascii="Times New Roman" w:eastAsia="黑体"/>
                <w:snapToGrid w:val="0"/>
                <w:color w:val="000000"/>
                <w:spacing w:val="-6"/>
                <w:kern w:val="21"/>
                <w:szCs w:val="21"/>
              </w:rPr>
            </w:pPr>
            <w:r>
              <w:rPr>
                <w:rFonts w:ascii="Times New Roman" w:eastAsia="黑体"/>
                <w:snapToGrid w:val="0"/>
                <w:color w:val="000000"/>
                <w:spacing w:val="-6"/>
                <w:kern w:val="21"/>
                <w:szCs w:val="21"/>
              </w:rPr>
              <w:t>污染物名称</w:t>
            </w:r>
          </w:p>
        </w:tc>
        <w:tc>
          <w:tcPr>
            <w:tcW w:w="1701" w:type="dxa"/>
            <w:tcMar>
              <w:left w:w="28" w:type="dxa"/>
              <w:right w:w="28" w:type="dxa"/>
            </w:tcMar>
            <w:vAlign w:val="center"/>
          </w:tcPr>
          <w:p w14:paraId="3E4B6113">
            <w:pPr>
              <w:pStyle w:val="56"/>
              <w:spacing w:beforeLines="0" w:afterLines="0" w:line="240" w:lineRule="auto"/>
              <w:rPr>
                <w:rFonts w:asciiTheme="majorEastAsia" w:hAnsiTheme="majorEastAsia" w:eastAsiaTheme="majorEastAsia"/>
                <w:snapToGrid w:val="0"/>
                <w:color w:val="000000"/>
                <w:spacing w:val="-6"/>
                <w:kern w:val="21"/>
                <w:szCs w:val="21"/>
              </w:rPr>
            </w:pPr>
            <w:r>
              <w:rPr>
                <w:rFonts w:asciiTheme="majorEastAsia" w:hAnsiTheme="majorEastAsia" w:eastAsiaTheme="majorEastAsia"/>
                <w:snapToGrid w:val="0"/>
                <w:color w:val="000000"/>
                <w:spacing w:val="-6"/>
                <w:kern w:val="21"/>
                <w:szCs w:val="21"/>
              </w:rPr>
              <w:t>现有工程排放量（固体废物产生量）</w:t>
            </w:r>
            <w:r>
              <w:rPr>
                <w:rFonts w:asciiTheme="majorEastAsia" w:hAnsiTheme="majorEastAsia" w:eastAsiaTheme="majorEastAsia"/>
                <w:snapToGrid w:val="0"/>
                <w:color w:val="000000"/>
                <w:spacing w:val="-6"/>
                <w:kern w:val="21"/>
                <w:szCs w:val="21"/>
              </w:rPr>
              <w:fldChar w:fldCharType="begin"/>
            </w:r>
            <w:r>
              <w:rPr>
                <w:rFonts w:asciiTheme="majorEastAsia" w:hAnsiTheme="majorEastAsia" w:eastAsiaTheme="majorEastAsia"/>
                <w:snapToGrid w:val="0"/>
                <w:color w:val="000000"/>
                <w:spacing w:val="-6"/>
                <w:kern w:val="21"/>
                <w:szCs w:val="21"/>
              </w:rPr>
              <w:instrText xml:space="preserve"> = 1 \* GB3 \* MERGEFORMAT </w:instrText>
            </w:r>
            <w:r>
              <w:rPr>
                <w:rFonts w:asciiTheme="majorEastAsia" w:hAnsiTheme="majorEastAsia" w:eastAsiaTheme="majorEastAsia"/>
                <w:snapToGrid w:val="0"/>
                <w:color w:val="000000"/>
                <w:spacing w:val="-6"/>
                <w:kern w:val="21"/>
                <w:szCs w:val="21"/>
              </w:rPr>
              <w:fldChar w:fldCharType="separate"/>
            </w:r>
            <w:r>
              <w:rPr>
                <w:rFonts w:asciiTheme="majorEastAsia" w:hAnsiTheme="majorEastAsia" w:eastAsiaTheme="majorEastAsia"/>
                <w:kern w:val="2"/>
                <w:szCs w:val="21"/>
              </w:rPr>
              <w:t>①</w:t>
            </w:r>
            <w:r>
              <w:rPr>
                <w:rFonts w:asciiTheme="majorEastAsia" w:hAnsiTheme="majorEastAsia" w:eastAsiaTheme="majorEastAsia"/>
                <w:snapToGrid w:val="0"/>
                <w:color w:val="000000"/>
                <w:spacing w:val="-6"/>
                <w:kern w:val="21"/>
                <w:szCs w:val="21"/>
              </w:rPr>
              <w:fldChar w:fldCharType="end"/>
            </w:r>
          </w:p>
        </w:tc>
        <w:tc>
          <w:tcPr>
            <w:tcW w:w="1276" w:type="dxa"/>
            <w:tcMar>
              <w:left w:w="28" w:type="dxa"/>
              <w:right w:w="28" w:type="dxa"/>
            </w:tcMar>
            <w:vAlign w:val="center"/>
          </w:tcPr>
          <w:p w14:paraId="1893A69B">
            <w:pPr>
              <w:pStyle w:val="56"/>
              <w:spacing w:beforeLines="0" w:afterLines="0" w:line="240" w:lineRule="auto"/>
              <w:rPr>
                <w:rFonts w:asciiTheme="majorEastAsia" w:hAnsiTheme="majorEastAsia" w:eastAsiaTheme="majorEastAsia"/>
                <w:snapToGrid w:val="0"/>
                <w:color w:val="000000"/>
                <w:spacing w:val="-6"/>
                <w:kern w:val="21"/>
                <w:szCs w:val="21"/>
              </w:rPr>
            </w:pPr>
            <w:r>
              <w:rPr>
                <w:rFonts w:asciiTheme="majorEastAsia" w:hAnsiTheme="majorEastAsia" w:eastAsiaTheme="majorEastAsia"/>
                <w:snapToGrid w:val="0"/>
                <w:color w:val="000000"/>
                <w:spacing w:val="-6"/>
                <w:kern w:val="21"/>
                <w:szCs w:val="21"/>
              </w:rPr>
              <w:t>现有工程许可排放量</w:t>
            </w:r>
            <w:r>
              <w:rPr>
                <w:rFonts w:asciiTheme="majorEastAsia" w:hAnsiTheme="majorEastAsia" w:eastAsiaTheme="majorEastAsia"/>
                <w:snapToGrid w:val="0"/>
                <w:color w:val="000000"/>
                <w:spacing w:val="-6"/>
                <w:kern w:val="21"/>
                <w:szCs w:val="21"/>
              </w:rPr>
              <w:fldChar w:fldCharType="begin"/>
            </w:r>
            <w:r>
              <w:rPr>
                <w:rFonts w:asciiTheme="majorEastAsia" w:hAnsiTheme="majorEastAsia" w:eastAsiaTheme="majorEastAsia"/>
                <w:snapToGrid w:val="0"/>
                <w:color w:val="000000"/>
                <w:spacing w:val="-6"/>
                <w:kern w:val="21"/>
                <w:szCs w:val="21"/>
              </w:rPr>
              <w:instrText xml:space="preserve"> = 2 \* GB3 \* MERGEFORMAT </w:instrText>
            </w:r>
            <w:r>
              <w:rPr>
                <w:rFonts w:asciiTheme="majorEastAsia" w:hAnsiTheme="majorEastAsia" w:eastAsiaTheme="majorEastAsia"/>
                <w:snapToGrid w:val="0"/>
                <w:color w:val="000000"/>
                <w:spacing w:val="-6"/>
                <w:kern w:val="21"/>
                <w:szCs w:val="21"/>
              </w:rPr>
              <w:fldChar w:fldCharType="separate"/>
            </w:r>
            <w:r>
              <w:rPr>
                <w:rFonts w:asciiTheme="majorEastAsia" w:hAnsiTheme="majorEastAsia" w:eastAsiaTheme="majorEastAsia"/>
                <w:snapToGrid w:val="0"/>
                <w:color w:val="000000"/>
                <w:spacing w:val="-6"/>
                <w:kern w:val="21"/>
                <w:szCs w:val="21"/>
              </w:rPr>
              <w:t>②</w:t>
            </w:r>
            <w:r>
              <w:rPr>
                <w:rFonts w:asciiTheme="majorEastAsia" w:hAnsiTheme="majorEastAsia" w:eastAsiaTheme="majorEastAsia"/>
                <w:snapToGrid w:val="0"/>
                <w:color w:val="000000"/>
                <w:spacing w:val="-6"/>
                <w:kern w:val="21"/>
                <w:szCs w:val="21"/>
              </w:rPr>
              <w:fldChar w:fldCharType="end"/>
            </w:r>
          </w:p>
        </w:tc>
        <w:tc>
          <w:tcPr>
            <w:tcW w:w="1559" w:type="dxa"/>
            <w:tcMar>
              <w:left w:w="28" w:type="dxa"/>
              <w:right w:w="28" w:type="dxa"/>
            </w:tcMar>
            <w:vAlign w:val="center"/>
          </w:tcPr>
          <w:p w14:paraId="271919A0">
            <w:pPr>
              <w:pStyle w:val="56"/>
              <w:spacing w:beforeLines="0" w:afterLines="0" w:line="240" w:lineRule="auto"/>
              <w:rPr>
                <w:rFonts w:asciiTheme="majorEastAsia" w:hAnsiTheme="majorEastAsia" w:eastAsiaTheme="majorEastAsia"/>
                <w:snapToGrid w:val="0"/>
                <w:color w:val="000000"/>
                <w:spacing w:val="-6"/>
                <w:kern w:val="21"/>
                <w:szCs w:val="21"/>
              </w:rPr>
            </w:pPr>
            <w:r>
              <w:rPr>
                <w:rFonts w:asciiTheme="majorEastAsia" w:hAnsiTheme="majorEastAsia" w:eastAsiaTheme="majorEastAsia"/>
                <w:snapToGrid w:val="0"/>
                <w:color w:val="000000"/>
                <w:spacing w:val="-6"/>
                <w:kern w:val="21"/>
                <w:szCs w:val="21"/>
              </w:rPr>
              <w:t>在建工程排放量（固体废物产生量）</w:t>
            </w:r>
            <w:r>
              <w:rPr>
                <w:rFonts w:asciiTheme="majorEastAsia" w:hAnsiTheme="majorEastAsia" w:eastAsiaTheme="majorEastAsia"/>
                <w:snapToGrid w:val="0"/>
                <w:color w:val="000000"/>
                <w:spacing w:val="-6"/>
                <w:kern w:val="21"/>
                <w:szCs w:val="21"/>
              </w:rPr>
              <w:fldChar w:fldCharType="begin"/>
            </w:r>
            <w:r>
              <w:rPr>
                <w:rFonts w:asciiTheme="majorEastAsia" w:hAnsiTheme="majorEastAsia" w:eastAsiaTheme="majorEastAsia"/>
                <w:snapToGrid w:val="0"/>
                <w:color w:val="000000"/>
                <w:spacing w:val="-6"/>
                <w:kern w:val="21"/>
                <w:szCs w:val="21"/>
              </w:rPr>
              <w:instrText xml:space="preserve"> = 3 \* GB3 \* MERGEFORMAT </w:instrText>
            </w:r>
            <w:r>
              <w:rPr>
                <w:rFonts w:asciiTheme="majorEastAsia" w:hAnsiTheme="majorEastAsia" w:eastAsiaTheme="majorEastAsia"/>
                <w:snapToGrid w:val="0"/>
                <w:color w:val="000000"/>
                <w:spacing w:val="-6"/>
                <w:kern w:val="21"/>
                <w:szCs w:val="21"/>
              </w:rPr>
              <w:fldChar w:fldCharType="separate"/>
            </w:r>
            <w:r>
              <w:rPr>
                <w:rFonts w:asciiTheme="majorEastAsia" w:hAnsiTheme="majorEastAsia" w:eastAsiaTheme="majorEastAsia"/>
                <w:kern w:val="2"/>
                <w:szCs w:val="21"/>
              </w:rPr>
              <w:t>③</w:t>
            </w:r>
            <w:r>
              <w:rPr>
                <w:rFonts w:asciiTheme="majorEastAsia" w:hAnsiTheme="majorEastAsia" w:eastAsiaTheme="majorEastAsia"/>
                <w:snapToGrid w:val="0"/>
                <w:color w:val="000000"/>
                <w:spacing w:val="-6"/>
                <w:kern w:val="21"/>
                <w:szCs w:val="21"/>
              </w:rPr>
              <w:fldChar w:fldCharType="end"/>
            </w:r>
          </w:p>
        </w:tc>
        <w:tc>
          <w:tcPr>
            <w:tcW w:w="1701" w:type="dxa"/>
            <w:tcMar>
              <w:left w:w="28" w:type="dxa"/>
              <w:right w:w="28" w:type="dxa"/>
            </w:tcMar>
            <w:vAlign w:val="center"/>
          </w:tcPr>
          <w:p w14:paraId="7BF1CD6F">
            <w:pPr>
              <w:pStyle w:val="56"/>
              <w:spacing w:beforeLines="0" w:afterLines="0" w:line="240" w:lineRule="auto"/>
              <w:rPr>
                <w:rFonts w:asciiTheme="majorEastAsia" w:hAnsiTheme="majorEastAsia" w:eastAsiaTheme="majorEastAsia"/>
                <w:snapToGrid w:val="0"/>
                <w:color w:val="000000"/>
                <w:spacing w:val="-6"/>
                <w:kern w:val="21"/>
                <w:szCs w:val="21"/>
              </w:rPr>
            </w:pPr>
            <w:r>
              <w:rPr>
                <w:rFonts w:asciiTheme="majorEastAsia" w:hAnsiTheme="majorEastAsia" w:eastAsiaTheme="majorEastAsia"/>
                <w:snapToGrid w:val="0"/>
                <w:color w:val="000000"/>
                <w:spacing w:val="-6"/>
                <w:kern w:val="21"/>
                <w:szCs w:val="21"/>
              </w:rPr>
              <w:t>本项目排放量（固体废物产生量）</w:t>
            </w:r>
            <w:r>
              <w:rPr>
                <w:rFonts w:asciiTheme="majorEastAsia" w:hAnsiTheme="majorEastAsia" w:eastAsiaTheme="majorEastAsia"/>
                <w:snapToGrid w:val="0"/>
                <w:color w:val="000000"/>
                <w:spacing w:val="-6"/>
                <w:kern w:val="21"/>
                <w:szCs w:val="21"/>
              </w:rPr>
              <w:fldChar w:fldCharType="begin"/>
            </w:r>
            <w:r>
              <w:rPr>
                <w:rFonts w:asciiTheme="majorEastAsia" w:hAnsiTheme="majorEastAsia" w:eastAsiaTheme="majorEastAsia"/>
                <w:snapToGrid w:val="0"/>
                <w:color w:val="000000"/>
                <w:spacing w:val="-6"/>
                <w:kern w:val="21"/>
                <w:szCs w:val="21"/>
              </w:rPr>
              <w:instrText xml:space="preserve"> = 4 \* GB3 \* MERGEFORMAT </w:instrText>
            </w:r>
            <w:r>
              <w:rPr>
                <w:rFonts w:asciiTheme="majorEastAsia" w:hAnsiTheme="majorEastAsia" w:eastAsiaTheme="majorEastAsia"/>
                <w:snapToGrid w:val="0"/>
                <w:color w:val="000000"/>
                <w:spacing w:val="-6"/>
                <w:kern w:val="21"/>
                <w:szCs w:val="21"/>
              </w:rPr>
              <w:fldChar w:fldCharType="separate"/>
            </w:r>
            <w:r>
              <w:rPr>
                <w:rFonts w:asciiTheme="majorEastAsia" w:hAnsiTheme="majorEastAsia" w:eastAsiaTheme="majorEastAsia"/>
                <w:kern w:val="2"/>
                <w:szCs w:val="21"/>
              </w:rPr>
              <w:t>④</w:t>
            </w:r>
            <w:r>
              <w:rPr>
                <w:rFonts w:asciiTheme="majorEastAsia" w:hAnsiTheme="majorEastAsia" w:eastAsiaTheme="majorEastAsia"/>
                <w:snapToGrid w:val="0"/>
                <w:color w:val="000000"/>
                <w:spacing w:val="-6"/>
                <w:kern w:val="21"/>
                <w:szCs w:val="21"/>
              </w:rPr>
              <w:fldChar w:fldCharType="end"/>
            </w:r>
          </w:p>
        </w:tc>
        <w:tc>
          <w:tcPr>
            <w:tcW w:w="1559" w:type="dxa"/>
            <w:tcMar>
              <w:left w:w="28" w:type="dxa"/>
              <w:right w:w="28" w:type="dxa"/>
            </w:tcMar>
            <w:vAlign w:val="center"/>
          </w:tcPr>
          <w:p w14:paraId="00F6FC18">
            <w:pPr>
              <w:pStyle w:val="56"/>
              <w:spacing w:beforeLines="0" w:afterLines="0" w:line="240" w:lineRule="auto"/>
              <w:rPr>
                <w:rFonts w:asciiTheme="majorEastAsia" w:hAnsiTheme="majorEastAsia" w:eastAsiaTheme="majorEastAsia"/>
                <w:snapToGrid w:val="0"/>
                <w:color w:val="000000"/>
                <w:spacing w:val="-16"/>
                <w:kern w:val="21"/>
                <w:szCs w:val="21"/>
              </w:rPr>
            </w:pPr>
            <w:r>
              <w:rPr>
                <w:rFonts w:asciiTheme="majorEastAsia" w:hAnsiTheme="majorEastAsia" w:eastAsiaTheme="majorEastAsia"/>
                <w:snapToGrid w:val="0"/>
                <w:color w:val="000000"/>
                <w:spacing w:val="-16"/>
                <w:kern w:val="21"/>
                <w:szCs w:val="21"/>
              </w:rPr>
              <w:t>以新带老削减量（新建项目不填）</w:t>
            </w:r>
            <w:r>
              <w:rPr>
                <w:rFonts w:asciiTheme="majorEastAsia" w:hAnsiTheme="majorEastAsia" w:eastAsiaTheme="majorEastAsia"/>
                <w:snapToGrid w:val="0"/>
                <w:color w:val="000000"/>
                <w:spacing w:val="-16"/>
                <w:kern w:val="21"/>
                <w:szCs w:val="21"/>
              </w:rPr>
              <w:fldChar w:fldCharType="begin"/>
            </w:r>
            <w:r>
              <w:rPr>
                <w:rFonts w:asciiTheme="majorEastAsia" w:hAnsiTheme="majorEastAsia" w:eastAsiaTheme="majorEastAsia"/>
                <w:snapToGrid w:val="0"/>
                <w:color w:val="000000"/>
                <w:spacing w:val="-16"/>
                <w:kern w:val="21"/>
                <w:szCs w:val="21"/>
              </w:rPr>
              <w:instrText xml:space="preserve"> = 5 \* GB3 \* MERGEFORMAT </w:instrText>
            </w:r>
            <w:r>
              <w:rPr>
                <w:rFonts w:asciiTheme="majorEastAsia" w:hAnsiTheme="majorEastAsia" w:eastAsiaTheme="majorEastAsia"/>
                <w:snapToGrid w:val="0"/>
                <w:color w:val="000000"/>
                <w:spacing w:val="-16"/>
                <w:kern w:val="21"/>
                <w:szCs w:val="21"/>
              </w:rPr>
              <w:fldChar w:fldCharType="separate"/>
            </w:r>
            <w:r>
              <w:rPr>
                <w:rFonts w:asciiTheme="majorEastAsia" w:hAnsiTheme="majorEastAsia" w:eastAsiaTheme="majorEastAsia"/>
                <w:kern w:val="2"/>
                <w:szCs w:val="21"/>
              </w:rPr>
              <w:t>⑤</w:t>
            </w:r>
            <w:r>
              <w:rPr>
                <w:rFonts w:asciiTheme="majorEastAsia" w:hAnsiTheme="majorEastAsia" w:eastAsiaTheme="majorEastAsia"/>
                <w:snapToGrid w:val="0"/>
                <w:color w:val="000000"/>
                <w:spacing w:val="-16"/>
                <w:kern w:val="21"/>
                <w:szCs w:val="21"/>
              </w:rPr>
              <w:fldChar w:fldCharType="end"/>
            </w:r>
          </w:p>
        </w:tc>
        <w:tc>
          <w:tcPr>
            <w:tcW w:w="1418" w:type="dxa"/>
            <w:tcMar>
              <w:left w:w="28" w:type="dxa"/>
              <w:right w:w="28" w:type="dxa"/>
            </w:tcMar>
            <w:vAlign w:val="center"/>
          </w:tcPr>
          <w:p w14:paraId="45D3AA38">
            <w:pPr>
              <w:pStyle w:val="56"/>
              <w:spacing w:beforeLines="0" w:afterLines="0" w:line="240" w:lineRule="auto"/>
              <w:rPr>
                <w:rFonts w:asciiTheme="majorEastAsia" w:hAnsiTheme="majorEastAsia" w:eastAsiaTheme="majorEastAsia"/>
                <w:snapToGrid w:val="0"/>
                <w:color w:val="000000"/>
                <w:spacing w:val="-16"/>
                <w:kern w:val="21"/>
                <w:szCs w:val="21"/>
              </w:rPr>
            </w:pPr>
            <w:r>
              <w:rPr>
                <w:rFonts w:asciiTheme="majorEastAsia" w:hAnsiTheme="majorEastAsia" w:eastAsiaTheme="majorEastAsia"/>
                <w:snapToGrid w:val="0"/>
                <w:color w:val="000000"/>
                <w:spacing w:val="-16"/>
                <w:kern w:val="21"/>
                <w:szCs w:val="21"/>
              </w:rPr>
              <w:t>本项目建成后全厂排放量（固体废物产生量）</w:t>
            </w:r>
            <w:r>
              <w:rPr>
                <w:rFonts w:asciiTheme="majorEastAsia" w:hAnsiTheme="majorEastAsia" w:eastAsiaTheme="majorEastAsia"/>
                <w:snapToGrid w:val="0"/>
                <w:color w:val="000000"/>
                <w:spacing w:val="-16"/>
                <w:kern w:val="21"/>
                <w:szCs w:val="21"/>
              </w:rPr>
              <w:fldChar w:fldCharType="begin"/>
            </w:r>
            <w:r>
              <w:rPr>
                <w:rFonts w:asciiTheme="majorEastAsia" w:hAnsiTheme="majorEastAsia" w:eastAsiaTheme="majorEastAsia"/>
                <w:snapToGrid w:val="0"/>
                <w:color w:val="000000"/>
                <w:spacing w:val="-16"/>
                <w:kern w:val="21"/>
                <w:szCs w:val="21"/>
              </w:rPr>
              <w:instrText xml:space="preserve"> = 6 \* GB3 \* MERGEFORMAT </w:instrText>
            </w:r>
            <w:r>
              <w:rPr>
                <w:rFonts w:asciiTheme="majorEastAsia" w:hAnsiTheme="majorEastAsia" w:eastAsiaTheme="majorEastAsia"/>
                <w:snapToGrid w:val="0"/>
                <w:color w:val="000000"/>
                <w:spacing w:val="-16"/>
                <w:kern w:val="21"/>
                <w:szCs w:val="21"/>
              </w:rPr>
              <w:fldChar w:fldCharType="separate"/>
            </w:r>
            <w:r>
              <w:rPr>
                <w:rFonts w:asciiTheme="majorEastAsia" w:hAnsiTheme="majorEastAsia" w:eastAsiaTheme="majorEastAsia"/>
                <w:kern w:val="2"/>
                <w:szCs w:val="21"/>
              </w:rPr>
              <w:t>⑥</w:t>
            </w:r>
            <w:r>
              <w:rPr>
                <w:rFonts w:asciiTheme="majorEastAsia" w:hAnsiTheme="majorEastAsia" w:eastAsiaTheme="majorEastAsia"/>
                <w:snapToGrid w:val="0"/>
                <w:color w:val="000000"/>
                <w:spacing w:val="-16"/>
                <w:kern w:val="21"/>
                <w:szCs w:val="21"/>
              </w:rPr>
              <w:fldChar w:fldCharType="end"/>
            </w:r>
          </w:p>
        </w:tc>
        <w:tc>
          <w:tcPr>
            <w:tcW w:w="1559" w:type="dxa"/>
            <w:tcMar>
              <w:left w:w="28" w:type="dxa"/>
              <w:right w:w="28" w:type="dxa"/>
            </w:tcMar>
            <w:vAlign w:val="center"/>
          </w:tcPr>
          <w:p w14:paraId="7EFF635C">
            <w:pPr>
              <w:pStyle w:val="56"/>
              <w:spacing w:beforeLines="0" w:afterLines="0" w:line="240" w:lineRule="auto"/>
              <w:rPr>
                <w:rFonts w:asciiTheme="majorEastAsia" w:hAnsiTheme="majorEastAsia" w:eastAsiaTheme="majorEastAsia"/>
                <w:snapToGrid w:val="0"/>
                <w:color w:val="000000"/>
                <w:spacing w:val="-6"/>
                <w:kern w:val="21"/>
                <w:szCs w:val="21"/>
              </w:rPr>
            </w:pPr>
            <w:r>
              <w:rPr>
                <w:rFonts w:asciiTheme="majorEastAsia" w:hAnsiTheme="majorEastAsia" w:eastAsiaTheme="majorEastAsia"/>
                <w:snapToGrid w:val="0"/>
                <w:color w:val="000000"/>
                <w:spacing w:val="-6"/>
                <w:kern w:val="21"/>
                <w:szCs w:val="21"/>
              </w:rPr>
              <w:t>变化量</w:t>
            </w:r>
          </w:p>
          <w:p w14:paraId="4D0E4993">
            <w:pPr>
              <w:pStyle w:val="56"/>
              <w:spacing w:beforeLines="0" w:afterLines="0" w:line="240" w:lineRule="auto"/>
              <w:rPr>
                <w:rFonts w:asciiTheme="majorEastAsia" w:hAnsiTheme="majorEastAsia" w:eastAsiaTheme="majorEastAsia"/>
                <w:snapToGrid w:val="0"/>
                <w:color w:val="000000"/>
                <w:spacing w:val="-6"/>
                <w:kern w:val="21"/>
                <w:szCs w:val="21"/>
              </w:rPr>
            </w:pPr>
            <w:r>
              <w:rPr>
                <w:rFonts w:asciiTheme="majorEastAsia" w:hAnsiTheme="majorEastAsia" w:eastAsiaTheme="majorEastAsia"/>
                <w:snapToGrid w:val="0"/>
                <w:color w:val="000000"/>
                <w:spacing w:val="-6"/>
                <w:kern w:val="21"/>
                <w:szCs w:val="21"/>
              </w:rPr>
              <w:fldChar w:fldCharType="begin"/>
            </w:r>
            <w:r>
              <w:rPr>
                <w:rFonts w:asciiTheme="majorEastAsia" w:hAnsiTheme="majorEastAsia" w:eastAsiaTheme="majorEastAsia"/>
                <w:snapToGrid w:val="0"/>
                <w:color w:val="000000"/>
                <w:spacing w:val="-6"/>
                <w:kern w:val="21"/>
                <w:szCs w:val="21"/>
              </w:rPr>
              <w:instrText xml:space="preserve"> = 7 \* GB3 \* MERGEFORMAT </w:instrText>
            </w:r>
            <w:r>
              <w:rPr>
                <w:rFonts w:asciiTheme="majorEastAsia" w:hAnsiTheme="majorEastAsia" w:eastAsiaTheme="majorEastAsia"/>
                <w:snapToGrid w:val="0"/>
                <w:color w:val="000000"/>
                <w:spacing w:val="-6"/>
                <w:kern w:val="21"/>
                <w:szCs w:val="21"/>
              </w:rPr>
              <w:fldChar w:fldCharType="separate"/>
            </w:r>
            <w:r>
              <w:rPr>
                <w:rFonts w:asciiTheme="majorEastAsia" w:hAnsiTheme="majorEastAsia" w:eastAsiaTheme="majorEastAsia"/>
                <w:kern w:val="2"/>
                <w:szCs w:val="21"/>
              </w:rPr>
              <w:t>⑦</w:t>
            </w:r>
            <w:r>
              <w:rPr>
                <w:rFonts w:asciiTheme="majorEastAsia" w:hAnsiTheme="majorEastAsia" w:eastAsiaTheme="majorEastAsia"/>
                <w:snapToGrid w:val="0"/>
                <w:color w:val="000000"/>
                <w:spacing w:val="-6"/>
                <w:kern w:val="21"/>
                <w:szCs w:val="21"/>
              </w:rPr>
              <w:fldChar w:fldCharType="end"/>
            </w:r>
          </w:p>
        </w:tc>
      </w:tr>
      <w:tr w14:paraId="07CB64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21" w:type="dxa"/>
            <w:vMerge w:val="restart"/>
            <w:vAlign w:val="center"/>
          </w:tcPr>
          <w:p w14:paraId="235DCA3C">
            <w:pPr>
              <w:pStyle w:val="56"/>
              <w:spacing w:beforeLines="0" w:afterLines="0" w:line="240" w:lineRule="auto"/>
              <w:rPr>
                <w:rFonts w:ascii="Times New Roman"/>
                <w:snapToGrid w:val="0"/>
                <w:color w:val="000000"/>
                <w:kern w:val="21"/>
                <w:szCs w:val="21"/>
              </w:rPr>
            </w:pPr>
            <w:r>
              <w:rPr>
                <w:rFonts w:ascii="Times New Roman"/>
                <w:snapToGrid w:val="0"/>
                <w:color w:val="000000"/>
                <w:kern w:val="21"/>
                <w:szCs w:val="21"/>
              </w:rPr>
              <w:t>废气</w:t>
            </w:r>
          </w:p>
        </w:tc>
        <w:tc>
          <w:tcPr>
            <w:tcW w:w="1984" w:type="dxa"/>
            <w:vAlign w:val="center"/>
          </w:tcPr>
          <w:p w14:paraId="705B8A60">
            <w:pPr>
              <w:autoSpaceDE w:val="0"/>
              <w:autoSpaceDN w:val="0"/>
              <w:adjustRightInd w:val="0"/>
              <w:snapToGrid w:val="0"/>
              <w:jc w:val="center"/>
              <w:rPr>
                <w:bCs/>
                <w:color w:val="000000"/>
                <w:szCs w:val="21"/>
                <w:lang w:val="zh-CN"/>
              </w:rPr>
            </w:pPr>
            <w:r>
              <w:rPr>
                <w:rFonts w:hint="eastAsia"/>
                <w:bCs/>
                <w:color w:val="000000"/>
                <w:szCs w:val="21"/>
              </w:rPr>
              <w:t>颗粒物</w:t>
            </w:r>
          </w:p>
        </w:tc>
        <w:tc>
          <w:tcPr>
            <w:tcW w:w="1701" w:type="dxa"/>
            <w:vAlign w:val="center"/>
          </w:tcPr>
          <w:p w14:paraId="423CF810">
            <w:pPr>
              <w:pStyle w:val="56"/>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276" w:type="dxa"/>
            <w:vAlign w:val="center"/>
          </w:tcPr>
          <w:p w14:paraId="1236A9E5">
            <w:pPr>
              <w:pStyle w:val="56"/>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559" w:type="dxa"/>
            <w:vAlign w:val="center"/>
          </w:tcPr>
          <w:p w14:paraId="3D78DA38">
            <w:pPr>
              <w:pStyle w:val="56"/>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701" w:type="dxa"/>
            <w:vAlign w:val="center"/>
          </w:tcPr>
          <w:p w14:paraId="7CBD1B8E">
            <w:pPr>
              <w:adjustRightInd w:val="0"/>
              <w:snapToGrid w:val="0"/>
              <w:jc w:val="center"/>
              <w:rPr>
                <w:szCs w:val="21"/>
              </w:rPr>
            </w:pPr>
            <w:r>
              <w:rPr>
                <w:snapToGrid w:val="0"/>
                <w:color w:val="000000"/>
                <w:kern w:val="21"/>
                <w:szCs w:val="21"/>
              </w:rPr>
              <w:t>/</w:t>
            </w:r>
          </w:p>
        </w:tc>
        <w:tc>
          <w:tcPr>
            <w:tcW w:w="1559" w:type="dxa"/>
            <w:vAlign w:val="center"/>
          </w:tcPr>
          <w:p w14:paraId="50110177">
            <w:pPr>
              <w:pStyle w:val="56"/>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418" w:type="dxa"/>
            <w:vAlign w:val="center"/>
          </w:tcPr>
          <w:p w14:paraId="4F98009F">
            <w:pPr>
              <w:adjustRightInd w:val="0"/>
              <w:snapToGrid w:val="0"/>
              <w:jc w:val="center"/>
              <w:rPr>
                <w:szCs w:val="21"/>
              </w:rPr>
            </w:pPr>
            <w:r>
              <w:rPr>
                <w:snapToGrid w:val="0"/>
                <w:color w:val="000000"/>
                <w:kern w:val="21"/>
                <w:szCs w:val="21"/>
              </w:rPr>
              <w:t>/</w:t>
            </w:r>
          </w:p>
        </w:tc>
        <w:tc>
          <w:tcPr>
            <w:tcW w:w="1559" w:type="dxa"/>
            <w:vAlign w:val="center"/>
          </w:tcPr>
          <w:p w14:paraId="79067190">
            <w:pPr>
              <w:adjustRightInd w:val="0"/>
              <w:snapToGrid w:val="0"/>
              <w:jc w:val="center"/>
              <w:rPr>
                <w:szCs w:val="21"/>
              </w:rPr>
            </w:pPr>
            <w:r>
              <w:rPr>
                <w:snapToGrid w:val="0"/>
                <w:color w:val="000000"/>
                <w:kern w:val="21"/>
                <w:szCs w:val="21"/>
              </w:rPr>
              <w:t>/</w:t>
            </w:r>
          </w:p>
        </w:tc>
      </w:tr>
      <w:tr w14:paraId="5C7902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21" w:type="dxa"/>
            <w:vMerge w:val="continue"/>
            <w:vAlign w:val="center"/>
          </w:tcPr>
          <w:p w14:paraId="4FB07DA0">
            <w:pPr>
              <w:pStyle w:val="56"/>
              <w:spacing w:beforeLines="0" w:afterLines="0" w:line="240" w:lineRule="auto"/>
              <w:rPr>
                <w:rFonts w:ascii="Times New Roman"/>
                <w:snapToGrid w:val="0"/>
                <w:color w:val="000000"/>
                <w:kern w:val="21"/>
                <w:szCs w:val="21"/>
              </w:rPr>
            </w:pPr>
          </w:p>
        </w:tc>
        <w:tc>
          <w:tcPr>
            <w:tcW w:w="1984" w:type="dxa"/>
            <w:vAlign w:val="center"/>
          </w:tcPr>
          <w:p w14:paraId="6E7264E8">
            <w:pPr>
              <w:adjustRightInd w:val="0"/>
              <w:snapToGrid w:val="0"/>
              <w:jc w:val="center"/>
              <w:textAlignment w:val="baseline"/>
              <w:rPr>
                <w:szCs w:val="21"/>
              </w:rPr>
            </w:pPr>
            <w:r>
              <w:rPr>
                <w:spacing w:val="-6"/>
                <w:kern w:val="0"/>
                <w:szCs w:val="21"/>
              </w:rPr>
              <w:t>SO</w:t>
            </w:r>
            <w:r>
              <w:rPr>
                <w:spacing w:val="-6"/>
                <w:kern w:val="0"/>
                <w:szCs w:val="21"/>
                <w:vertAlign w:val="subscript"/>
              </w:rPr>
              <w:t>2</w:t>
            </w:r>
          </w:p>
        </w:tc>
        <w:tc>
          <w:tcPr>
            <w:tcW w:w="1701" w:type="dxa"/>
            <w:vAlign w:val="center"/>
          </w:tcPr>
          <w:p w14:paraId="35A008B4">
            <w:pPr>
              <w:pStyle w:val="56"/>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276" w:type="dxa"/>
            <w:vAlign w:val="center"/>
          </w:tcPr>
          <w:p w14:paraId="6FCE5811">
            <w:pPr>
              <w:pStyle w:val="56"/>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559" w:type="dxa"/>
            <w:vAlign w:val="center"/>
          </w:tcPr>
          <w:p w14:paraId="0DF2F905">
            <w:pPr>
              <w:pStyle w:val="56"/>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701" w:type="dxa"/>
            <w:vAlign w:val="center"/>
          </w:tcPr>
          <w:p w14:paraId="60FD3132">
            <w:pPr>
              <w:adjustRightInd w:val="0"/>
              <w:snapToGrid w:val="0"/>
              <w:jc w:val="center"/>
              <w:rPr>
                <w:color w:val="000000"/>
                <w:szCs w:val="21"/>
              </w:rPr>
            </w:pPr>
            <w:r>
              <w:rPr>
                <w:snapToGrid w:val="0"/>
                <w:color w:val="000000"/>
                <w:kern w:val="21"/>
                <w:szCs w:val="21"/>
              </w:rPr>
              <w:t>/</w:t>
            </w:r>
          </w:p>
        </w:tc>
        <w:tc>
          <w:tcPr>
            <w:tcW w:w="1559" w:type="dxa"/>
            <w:vAlign w:val="center"/>
          </w:tcPr>
          <w:p w14:paraId="208BF6B1">
            <w:pPr>
              <w:pStyle w:val="56"/>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418" w:type="dxa"/>
            <w:vAlign w:val="center"/>
          </w:tcPr>
          <w:p w14:paraId="3B27B034">
            <w:pPr>
              <w:adjustRightInd w:val="0"/>
              <w:snapToGrid w:val="0"/>
              <w:jc w:val="center"/>
              <w:rPr>
                <w:color w:val="000000"/>
                <w:szCs w:val="21"/>
              </w:rPr>
            </w:pPr>
            <w:r>
              <w:rPr>
                <w:snapToGrid w:val="0"/>
                <w:color w:val="000000"/>
                <w:kern w:val="21"/>
                <w:szCs w:val="21"/>
              </w:rPr>
              <w:t>/</w:t>
            </w:r>
          </w:p>
        </w:tc>
        <w:tc>
          <w:tcPr>
            <w:tcW w:w="1559" w:type="dxa"/>
            <w:vAlign w:val="center"/>
          </w:tcPr>
          <w:p w14:paraId="78FD86DA">
            <w:pPr>
              <w:adjustRightInd w:val="0"/>
              <w:snapToGrid w:val="0"/>
              <w:jc w:val="center"/>
              <w:rPr>
                <w:color w:val="000000"/>
                <w:szCs w:val="21"/>
              </w:rPr>
            </w:pPr>
            <w:r>
              <w:rPr>
                <w:snapToGrid w:val="0"/>
                <w:color w:val="000000"/>
                <w:kern w:val="21"/>
                <w:szCs w:val="21"/>
              </w:rPr>
              <w:t>/</w:t>
            </w:r>
          </w:p>
        </w:tc>
      </w:tr>
      <w:tr w14:paraId="094CBF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21" w:type="dxa"/>
            <w:vMerge w:val="continue"/>
            <w:vAlign w:val="center"/>
          </w:tcPr>
          <w:p w14:paraId="1D505B54">
            <w:pPr>
              <w:pStyle w:val="56"/>
              <w:spacing w:beforeLines="0" w:afterLines="0" w:line="240" w:lineRule="auto"/>
              <w:rPr>
                <w:rFonts w:ascii="Times New Roman"/>
                <w:snapToGrid w:val="0"/>
                <w:color w:val="000000"/>
                <w:kern w:val="21"/>
                <w:szCs w:val="21"/>
              </w:rPr>
            </w:pPr>
          </w:p>
        </w:tc>
        <w:tc>
          <w:tcPr>
            <w:tcW w:w="1984" w:type="dxa"/>
            <w:vAlign w:val="center"/>
          </w:tcPr>
          <w:p w14:paraId="386A8F47">
            <w:pPr>
              <w:adjustRightInd w:val="0"/>
              <w:snapToGrid w:val="0"/>
              <w:jc w:val="center"/>
              <w:textAlignment w:val="baseline"/>
              <w:rPr>
                <w:szCs w:val="21"/>
              </w:rPr>
            </w:pPr>
            <w:r>
              <w:rPr>
                <w:bCs/>
                <w:spacing w:val="-6"/>
                <w:szCs w:val="21"/>
              </w:rPr>
              <w:t>NO</w:t>
            </w:r>
            <w:r>
              <w:rPr>
                <w:bCs/>
                <w:spacing w:val="-6"/>
                <w:szCs w:val="21"/>
                <w:vertAlign w:val="subscript"/>
              </w:rPr>
              <w:t>X</w:t>
            </w:r>
          </w:p>
        </w:tc>
        <w:tc>
          <w:tcPr>
            <w:tcW w:w="1701" w:type="dxa"/>
            <w:vAlign w:val="center"/>
          </w:tcPr>
          <w:p w14:paraId="66B7B1DF">
            <w:pPr>
              <w:pStyle w:val="56"/>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276" w:type="dxa"/>
            <w:vAlign w:val="center"/>
          </w:tcPr>
          <w:p w14:paraId="23DAA111">
            <w:pPr>
              <w:pStyle w:val="56"/>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559" w:type="dxa"/>
            <w:vAlign w:val="center"/>
          </w:tcPr>
          <w:p w14:paraId="44D5EDE6">
            <w:pPr>
              <w:pStyle w:val="56"/>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701" w:type="dxa"/>
            <w:vAlign w:val="center"/>
          </w:tcPr>
          <w:p w14:paraId="40CA41E3">
            <w:pPr>
              <w:adjustRightInd w:val="0"/>
              <w:snapToGrid w:val="0"/>
              <w:jc w:val="center"/>
              <w:rPr>
                <w:color w:val="000000"/>
                <w:szCs w:val="21"/>
              </w:rPr>
            </w:pPr>
            <w:r>
              <w:rPr>
                <w:snapToGrid w:val="0"/>
                <w:color w:val="000000"/>
                <w:kern w:val="21"/>
                <w:szCs w:val="21"/>
              </w:rPr>
              <w:t>/</w:t>
            </w:r>
          </w:p>
        </w:tc>
        <w:tc>
          <w:tcPr>
            <w:tcW w:w="1559" w:type="dxa"/>
            <w:vAlign w:val="center"/>
          </w:tcPr>
          <w:p w14:paraId="532AA49E">
            <w:pPr>
              <w:pStyle w:val="56"/>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418" w:type="dxa"/>
            <w:vAlign w:val="center"/>
          </w:tcPr>
          <w:p w14:paraId="00863D83">
            <w:pPr>
              <w:adjustRightInd w:val="0"/>
              <w:snapToGrid w:val="0"/>
              <w:jc w:val="center"/>
              <w:rPr>
                <w:color w:val="000000"/>
                <w:szCs w:val="21"/>
              </w:rPr>
            </w:pPr>
            <w:r>
              <w:rPr>
                <w:snapToGrid w:val="0"/>
                <w:color w:val="000000"/>
                <w:kern w:val="21"/>
                <w:szCs w:val="21"/>
              </w:rPr>
              <w:t>/</w:t>
            </w:r>
          </w:p>
        </w:tc>
        <w:tc>
          <w:tcPr>
            <w:tcW w:w="1559" w:type="dxa"/>
            <w:vAlign w:val="center"/>
          </w:tcPr>
          <w:p w14:paraId="5E28A2B2">
            <w:pPr>
              <w:adjustRightInd w:val="0"/>
              <w:snapToGrid w:val="0"/>
              <w:jc w:val="center"/>
              <w:rPr>
                <w:color w:val="000000"/>
                <w:szCs w:val="21"/>
              </w:rPr>
            </w:pPr>
            <w:r>
              <w:rPr>
                <w:snapToGrid w:val="0"/>
                <w:color w:val="000000"/>
                <w:kern w:val="21"/>
                <w:szCs w:val="21"/>
              </w:rPr>
              <w:t>/</w:t>
            </w:r>
          </w:p>
        </w:tc>
      </w:tr>
      <w:tr w14:paraId="4011FC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21" w:type="dxa"/>
            <w:vMerge w:val="continue"/>
            <w:vAlign w:val="center"/>
          </w:tcPr>
          <w:p w14:paraId="33DC7F17">
            <w:pPr>
              <w:pStyle w:val="56"/>
              <w:spacing w:beforeLines="0" w:afterLines="0" w:line="240" w:lineRule="auto"/>
              <w:rPr>
                <w:rFonts w:ascii="Times New Roman"/>
                <w:snapToGrid w:val="0"/>
                <w:color w:val="000000"/>
                <w:kern w:val="21"/>
                <w:szCs w:val="21"/>
              </w:rPr>
            </w:pPr>
          </w:p>
        </w:tc>
        <w:tc>
          <w:tcPr>
            <w:tcW w:w="1984" w:type="dxa"/>
            <w:vAlign w:val="center"/>
          </w:tcPr>
          <w:p w14:paraId="3F4AA65E">
            <w:pPr>
              <w:adjustRightInd w:val="0"/>
              <w:snapToGrid w:val="0"/>
              <w:jc w:val="center"/>
              <w:textAlignment w:val="baseline"/>
              <w:rPr>
                <w:szCs w:val="21"/>
              </w:rPr>
            </w:pPr>
            <w:r>
              <w:rPr>
                <w:rFonts w:hint="eastAsia"/>
                <w:szCs w:val="21"/>
              </w:rPr>
              <w:t>VOCs</w:t>
            </w:r>
          </w:p>
        </w:tc>
        <w:tc>
          <w:tcPr>
            <w:tcW w:w="1701" w:type="dxa"/>
            <w:vAlign w:val="center"/>
          </w:tcPr>
          <w:p w14:paraId="509AC110">
            <w:pPr>
              <w:pStyle w:val="56"/>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276" w:type="dxa"/>
            <w:vAlign w:val="center"/>
          </w:tcPr>
          <w:p w14:paraId="0016DA74">
            <w:pPr>
              <w:pStyle w:val="56"/>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559" w:type="dxa"/>
            <w:vAlign w:val="center"/>
          </w:tcPr>
          <w:p w14:paraId="5109DA82">
            <w:pPr>
              <w:pStyle w:val="56"/>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701" w:type="dxa"/>
            <w:vAlign w:val="center"/>
          </w:tcPr>
          <w:p w14:paraId="0F5E47EC">
            <w:pPr>
              <w:jc w:val="center"/>
              <w:rPr>
                <w:bCs/>
                <w:color w:val="000000"/>
                <w:szCs w:val="21"/>
              </w:rPr>
            </w:pPr>
            <w:r>
              <w:rPr>
                <w:rFonts w:hint="eastAsia"/>
                <w:bCs/>
                <w:color w:val="000000"/>
                <w:szCs w:val="21"/>
              </w:rPr>
              <w:t>0.</w:t>
            </w:r>
            <w:r>
              <w:rPr>
                <w:bCs/>
                <w:color w:val="000000"/>
                <w:szCs w:val="21"/>
              </w:rPr>
              <w:t>2367t/a</w:t>
            </w:r>
          </w:p>
        </w:tc>
        <w:tc>
          <w:tcPr>
            <w:tcW w:w="1559" w:type="dxa"/>
            <w:vAlign w:val="center"/>
          </w:tcPr>
          <w:p w14:paraId="176A18C3">
            <w:pPr>
              <w:pStyle w:val="56"/>
              <w:spacing w:beforeLines="0" w:afterLines="0" w:line="240" w:lineRule="auto"/>
              <w:rPr>
                <w:rFonts w:ascii="Times New Roman"/>
                <w:snapToGrid w:val="0"/>
                <w:color w:val="000000"/>
                <w:kern w:val="21"/>
                <w:szCs w:val="21"/>
              </w:rPr>
            </w:pPr>
            <w:r>
              <w:rPr>
                <w:rFonts w:hint="eastAsia" w:ascii="Times New Roman"/>
                <w:snapToGrid w:val="0"/>
                <w:color w:val="000000"/>
                <w:kern w:val="21"/>
                <w:szCs w:val="21"/>
              </w:rPr>
              <w:t>/</w:t>
            </w:r>
          </w:p>
        </w:tc>
        <w:tc>
          <w:tcPr>
            <w:tcW w:w="1418" w:type="dxa"/>
            <w:vAlign w:val="center"/>
          </w:tcPr>
          <w:p w14:paraId="49FE1F32">
            <w:pPr>
              <w:jc w:val="center"/>
              <w:rPr>
                <w:bCs/>
                <w:color w:val="000000"/>
                <w:szCs w:val="21"/>
              </w:rPr>
            </w:pPr>
            <w:r>
              <w:rPr>
                <w:rFonts w:hint="eastAsia"/>
                <w:bCs/>
                <w:color w:val="000000"/>
                <w:szCs w:val="21"/>
              </w:rPr>
              <w:t>0.</w:t>
            </w:r>
            <w:r>
              <w:rPr>
                <w:bCs/>
                <w:color w:val="000000"/>
                <w:szCs w:val="21"/>
              </w:rPr>
              <w:t>2367t/a</w:t>
            </w:r>
          </w:p>
        </w:tc>
        <w:tc>
          <w:tcPr>
            <w:tcW w:w="1559" w:type="dxa"/>
            <w:vAlign w:val="center"/>
          </w:tcPr>
          <w:p w14:paraId="11F3FB2D">
            <w:pPr>
              <w:jc w:val="center"/>
              <w:rPr>
                <w:bCs/>
                <w:color w:val="000000"/>
                <w:szCs w:val="21"/>
              </w:rPr>
            </w:pPr>
            <w:r>
              <w:rPr>
                <w:rFonts w:hint="eastAsia"/>
                <w:bCs/>
                <w:color w:val="000000"/>
                <w:szCs w:val="21"/>
              </w:rPr>
              <w:t>+0.</w:t>
            </w:r>
            <w:r>
              <w:rPr>
                <w:bCs/>
                <w:color w:val="000000"/>
                <w:szCs w:val="21"/>
              </w:rPr>
              <w:t>2367t/a</w:t>
            </w:r>
          </w:p>
        </w:tc>
      </w:tr>
      <w:tr w14:paraId="03FC98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21" w:type="dxa"/>
            <w:vMerge w:val="restart"/>
            <w:vAlign w:val="center"/>
          </w:tcPr>
          <w:p w14:paraId="419131BC">
            <w:pPr>
              <w:pStyle w:val="56"/>
              <w:spacing w:beforeLines="0" w:afterLines="0" w:line="240" w:lineRule="auto"/>
              <w:rPr>
                <w:rFonts w:ascii="Times New Roman"/>
                <w:snapToGrid w:val="0"/>
                <w:color w:val="000000"/>
                <w:kern w:val="21"/>
                <w:szCs w:val="21"/>
              </w:rPr>
            </w:pPr>
            <w:r>
              <w:rPr>
                <w:rFonts w:ascii="Times New Roman"/>
                <w:snapToGrid w:val="0"/>
                <w:color w:val="000000"/>
                <w:kern w:val="21"/>
                <w:szCs w:val="21"/>
              </w:rPr>
              <w:t>废水</w:t>
            </w:r>
          </w:p>
        </w:tc>
        <w:tc>
          <w:tcPr>
            <w:tcW w:w="1984" w:type="dxa"/>
            <w:vAlign w:val="center"/>
          </w:tcPr>
          <w:p w14:paraId="18C8A2EF">
            <w:pPr>
              <w:pStyle w:val="56"/>
              <w:spacing w:beforeLines="0" w:afterLines="0" w:line="240" w:lineRule="auto"/>
              <w:rPr>
                <w:rFonts w:ascii="Times New Roman"/>
                <w:snapToGrid w:val="0"/>
                <w:color w:val="000000"/>
                <w:kern w:val="21"/>
                <w:szCs w:val="21"/>
              </w:rPr>
            </w:pPr>
            <w:r>
              <w:rPr>
                <w:rFonts w:ascii="Times New Roman"/>
                <w:snapToGrid w:val="0"/>
                <w:color w:val="000000"/>
                <w:kern w:val="21"/>
                <w:szCs w:val="21"/>
              </w:rPr>
              <w:t>COD</w:t>
            </w:r>
          </w:p>
        </w:tc>
        <w:tc>
          <w:tcPr>
            <w:tcW w:w="1701" w:type="dxa"/>
            <w:vAlign w:val="center"/>
          </w:tcPr>
          <w:p w14:paraId="6AF937C6">
            <w:pPr>
              <w:pStyle w:val="56"/>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276" w:type="dxa"/>
            <w:vAlign w:val="center"/>
          </w:tcPr>
          <w:p w14:paraId="6166B105">
            <w:pPr>
              <w:pStyle w:val="56"/>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559" w:type="dxa"/>
            <w:vAlign w:val="center"/>
          </w:tcPr>
          <w:p w14:paraId="7B1E198E">
            <w:pPr>
              <w:pStyle w:val="56"/>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701" w:type="dxa"/>
            <w:vAlign w:val="center"/>
          </w:tcPr>
          <w:p w14:paraId="5F56C210">
            <w:pPr>
              <w:pStyle w:val="56"/>
              <w:spacing w:beforeLines="0" w:afterLines="0" w:line="240" w:lineRule="auto"/>
              <w:rPr>
                <w:rFonts w:ascii="Times New Roman"/>
                <w:snapToGrid w:val="0"/>
                <w:color w:val="000000"/>
                <w:kern w:val="21"/>
                <w:szCs w:val="21"/>
              </w:rPr>
            </w:pPr>
            <w:r>
              <w:rPr>
                <w:rFonts w:ascii="Times New Roman"/>
                <w:snapToGrid w:val="0"/>
                <w:color w:val="000000"/>
                <w:kern w:val="21"/>
                <w:szCs w:val="21"/>
              </w:rPr>
              <w:t>0.</w:t>
            </w:r>
            <w:r>
              <w:rPr>
                <w:rFonts w:hint="eastAsia" w:ascii="Times New Roman"/>
                <w:snapToGrid w:val="0"/>
                <w:color w:val="000000"/>
                <w:kern w:val="21"/>
                <w:szCs w:val="21"/>
              </w:rPr>
              <w:t>0957</w:t>
            </w:r>
            <w:r>
              <w:rPr>
                <w:rFonts w:ascii="Times New Roman"/>
                <w:snapToGrid w:val="0"/>
                <w:color w:val="000000"/>
                <w:kern w:val="21"/>
                <w:szCs w:val="21"/>
              </w:rPr>
              <w:t>t/a</w:t>
            </w:r>
          </w:p>
        </w:tc>
        <w:tc>
          <w:tcPr>
            <w:tcW w:w="1559" w:type="dxa"/>
            <w:vAlign w:val="center"/>
          </w:tcPr>
          <w:p w14:paraId="3EB5004B">
            <w:pPr>
              <w:pStyle w:val="56"/>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418" w:type="dxa"/>
            <w:vAlign w:val="center"/>
          </w:tcPr>
          <w:p w14:paraId="4769C3BC">
            <w:pPr>
              <w:pStyle w:val="56"/>
              <w:spacing w:beforeLines="0" w:afterLines="0" w:line="240" w:lineRule="auto"/>
              <w:rPr>
                <w:rFonts w:ascii="Times New Roman"/>
                <w:snapToGrid w:val="0"/>
                <w:color w:val="000000"/>
                <w:kern w:val="21"/>
                <w:szCs w:val="21"/>
              </w:rPr>
            </w:pPr>
            <w:r>
              <w:rPr>
                <w:rFonts w:ascii="Times New Roman"/>
                <w:snapToGrid w:val="0"/>
                <w:color w:val="000000"/>
                <w:kern w:val="21"/>
                <w:szCs w:val="21"/>
              </w:rPr>
              <w:t>0.</w:t>
            </w:r>
            <w:r>
              <w:rPr>
                <w:rFonts w:hint="eastAsia" w:ascii="Times New Roman"/>
                <w:snapToGrid w:val="0"/>
                <w:color w:val="000000"/>
                <w:kern w:val="21"/>
                <w:szCs w:val="21"/>
              </w:rPr>
              <w:t>0957</w:t>
            </w:r>
            <w:r>
              <w:rPr>
                <w:rFonts w:ascii="Times New Roman"/>
                <w:snapToGrid w:val="0"/>
                <w:color w:val="000000"/>
                <w:kern w:val="21"/>
                <w:szCs w:val="21"/>
              </w:rPr>
              <w:t>t/a</w:t>
            </w:r>
          </w:p>
        </w:tc>
        <w:tc>
          <w:tcPr>
            <w:tcW w:w="1559" w:type="dxa"/>
            <w:vAlign w:val="center"/>
          </w:tcPr>
          <w:p w14:paraId="586C19B4">
            <w:pPr>
              <w:pStyle w:val="56"/>
              <w:spacing w:beforeLines="0" w:afterLines="0" w:line="240" w:lineRule="auto"/>
              <w:rPr>
                <w:rFonts w:ascii="Times New Roman"/>
                <w:snapToGrid w:val="0"/>
                <w:color w:val="000000"/>
                <w:kern w:val="21"/>
                <w:szCs w:val="21"/>
              </w:rPr>
            </w:pPr>
            <w:r>
              <w:rPr>
                <w:rFonts w:hint="eastAsia" w:ascii="Times New Roman"/>
                <w:snapToGrid w:val="0"/>
                <w:color w:val="000000"/>
                <w:kern w:val="21"/>
                <w:szCs w:val="21"/>
              </w:rPr>
              <w:t>+</w:t>
            </w:r>
            <w:r>
              <w:rPr>
                <w:rFonts w:ascii="Times New Roman"/>
                <w:snapToGrid w:val="0"/>
                <w:color w:val="000000"/>
                <w:kern w:val="21"/>
                <w:szCs w:val="21"/>
              </w:rPr>
              <w:t>0.</w:t>
            </w:r>
            <w:r>
              <w:rPr>
                <w:rFonts w:hint="eastAsia" w:ascii="Times New Roman"/>
                <w:snapToGrid w:val="0"/>
                <w:color w:val="000000"/>
                <w:kern w:val="21"/>
                <w:szCs w:val="21"/>
              </w:rPr>
              <w:t>0957</w:t>
            </w:r>
            <w:r>
              <w:rPr>
                <w:rFonts w:ascii="Times New Roman"/>
                <w:snapToGrid w:val="0"/>
                <w:color w:val="000000"/>
                <w:kern w:val="21"/>
                <w:szCs w:val="21"/>
              </w:rPr>
              <w:t>t/a</w:t>
            </w:r>
          </w:p>
        </w:tc>
      </w:tr>
      <w:tr w14:paraId="606C2E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21" w:type="dxa"/>
            <w:vMerge w:val="continue"/>
            <w:vAlign w:val="center"/>
          </w:tcPr>
          <w:p w14:paraId="3F6E4C29">
            <w:pPr>
              <w:pStyle w:val="56"/>
              <w:spacing w:beforeLines="0" w:afterLines="0" w:line="240" w:lineRule="auto"/>
              <w:rPr>
                <w:rFonts w:ascii="Times New Roman"/>
                <w:snapToGrid w:val="0"/>
                <w:color w:val="000000"/>
                <w:kern w:val="21"/>
                <w:szCs w:val="21"/>
              </w:rPr>
            </w:pPr>
          </w:p>
        </w:tc>
        <w:tc>
          <w:tcPr>
            <w:tcW w:w="1984" w:type="dxa"/>
            <w:vAlign w:val="center"/>
          </w:tcPr>
          <w:p w14:paraId="3C90D90E">
            <w:pPr>
              <w:pStyle w:val="56"/>
              <w:spacing w:beforeLines="0" w:afterLines="0" w:line="240" w:lineRule="auto"/>
              <w:rPr>
                <w:rFonts w:ascii="Times New Roman"/>
                <w:snapToGrid w:val="0"/>
                <w:color w:val="000000"/>
                <w:kern w:val="21"/>
                <w:szCs w:val="21"/>
                <w:vertAlign w:val="subscript"/>
              </w:rPr>
            </w:pPr>
            <w:r>
              <w:rPr>
                <w:rFonts w:hint="eastAsia" w:ascii="Times New Roman"/>
                <w:snapToGrid w:val="0"/>
                <w:color w:val="000000"/>
                <w:kern w:val="21"/>
                <w:szCs w:val="21"/>
              </w:rPr>
              <w:t>氨氮</w:t>
            </w:r>
          </w:p>
        </w:tc>
        <w:tc>
          <w:tcPr>
            <w:tcW w:w="1701" w:type="dxa"/>
            <w:vAlign w:val="center"/>
          </w:tcPr>
          <w:p w14:paraId="4421A51B">
            <w:pPr>
              <w:pStyle w:val="56"/>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276" w:type="dxa"/>
            <w:vAlign w:val="center"/>
          </w:tcPr>
          <w:p w14:paraId="2910CC69">
            <w:pPr>
              <w:pStyle w:val="56"/>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559" w:type="dxa"/>
            <w:vAlign w:val="center"/>
          </w:tcPr>
          <w:p w14:paraId="0B8BB2EA">
            <w:pPr>
              <w:pStyle w:val="56"/>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701" w:type="dxa"/>
            <w:vAlign w:val="center"/>
          </w:tcPr>
          <w:p w14:paraId="2107BD16">
            <w:pPr>
              <w:pStyle w:val="56"/>
              <w:spacing w:beforeLines="0" w:afterLines="0" w:line="240" w:lineRule="auto"/>
              <w:rPr>
                <w:rFonts w:ascii="Times New Roman"/>
                <w:snapToGrid w:val="0"/>
                <w:color w:val="000000"/>
                <w:kern w:val="21"/>
                <w:szCs w:val="21"/>
              </w:rPr>
            </w:pPr>
            <w:r>
              <w:rPr>
                <w:rFonts w:ascii="Times New Roman"/>
                <w:snapToGrid w:val="0"/>
                <w:color w:val="000000"/>
                <w:kern w:val="21"/>
                <w:szCs w:val="21"/>
              </w:rPr>
              <w:t>0.0</w:t>
            </w:r>
            <w:r>
              <w:rPr>
                <w:rFonts w:hint="eastAsia" w:ascii="Times New Roman"/>
                <w:snapToGrid w:val="0"/>
                <w:color w:val="000000"/>
                <w:kern w:val="21"/>
                <w:szCs w:val="21"/>
              </w:rPr>
              <w:t>096</w:t>
            </w:r>
            <w:r>
              <w:rPr>
                <w:rFonts w:ascii="Times New Roman"/>
                <w:snapToGrid w:val="0"/>
                <w:color w:val="000000"/>
                <w:kern w:val="21"/>
                <w:szCs w:val="21"/>
              </w:rPr>
              <w:t>t</w:t>
            </w:r>
            <w:r>
              <w:rPr>
                <w:rFonts w:hint="eastAsia" w:ascii="Times New Roman"/>
                <w:snapToGrid w:val="0"/>
                <w:color w:val="000000"/>
                <w:kern w:val="21"/>
                <w:szCs w:val="21"/>
              </w:rPr>
              <w:t>/a</w:t>
            </w:r>
          </w:p>
        </w:tc>
        <w:tc>
          <w:tcPr>
            <w:tcW w:w="1559" w:type="dxa"/>
            <w:vAlign w:val="center"/>
          </w:tcPr>
          <w:p w14:paraId="4FF35036">
            <w:pPr>
              <w:pStyle w:val="56"/>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418" w:type="dxa"/>
            <w:vAlign w:val="center"/>
          </w:tcPr>
          <w:p w14:paraId="21EBB186">
            <w:pPr>
              <w:pStyle w:val="56"/>
              <w:spacing w:beforeLines="0" w:afterLines="0" w:line="240" w:lineRule="auto"/>
              <w:rPr>
                <w:rFonts w:ascii="Times New Roman"/>
                <w:snapToGrid w:val="0"/>
                <w:color w:val="000000"/>
                <w:kern w:val="21"/>
                <w:szCs w:val="21"/>
              </w:rPr>
            </w:pPr>
            <w:r>
              <w:rPr>
                <w:rFonts w:ascii="Times New Roman"/>
                <w:snapToGrid w:val="0"/>
                <w:color w:val="000000"/>
                <w:kern w:val="21"/>
                <w:szCs w:val="21"/>
              </w:rPr>
              <w:t>0.0</w:t>
            </w:r>
            <w:r>
              <w:rPr>
                <w:rFonts w:hint="eastAsia" w:ascii="Times New Roman"/>
                <w:snapToGrid w:val="0"/>
                <w:color w:val="000000"/>
                <w:kern w:val="21"/>
                <w:szCs w:val="21"/>
              </w:rPr>
              <w:t>096</w:t>
            </w:r>
            <w:r>
              <w:rPr>
                <w:rFonts w:ascii="Times New Roman"/>
                <w:snapToGrid w:val="0"/>
                <w:color w:val="000000"/>
                <w:kern w:val="21"/>
                <w:szCs w:val="21"/>
              </w:rPr>
              <w:t>t</w:t>
            </w:r>
            <w:r>
              <w:rPr>
                <w:rFonts w:hint="eastAsia" w:ascii="Times New Roman"/>
                <w:snapToGrid w:val="0"/>
                <w:color w:val="000000"/>
                <w:kern w:val="21"/>
                <w:szCs w:val="21"/>
              </w:rPr>
              <w:t>/a</w:t>
            </w:r>
          </w:p>
        </w:tc>
        <w:tc>
          <w:tcPr>
            <w:tcW w:w="1559" w:type="dxa"/>
            <w:vAlign w:val="center"/>
          </w:tcPr>
          <w:p w14:paraId="528F5D61">
            <w:pPr>
              <w:pStyle w:val="56"/>
              <w:spacing w:beforeLines="0" w:afterLines="0" w:line="240" w:lineRule="auto"/>
              <w:rPr>
                <w:rFonts w:ascii="Times New Roman"/>
                <w:snapToGrid w:val="0"/>
                <w:color w:val="000000"/>
                <w:kern w:val="21"/>
                <w:szCs w:val="21"/>
              </w:rPr>
            </w:pPr>
            <w:r>
              <w:rPr>
                <w:rFonts w:hint="eastAsia" w:ascii="Times New Roman"/>
                <w:snapToGrid w:val="0"/>
                <w:color w:val="000000"/>
                <w:kern w:val="21"/>
                <w:szCs w:val="21"/>
              </w:rPr>
              <w:t>+</w:t>
            </w:r>
            <w:r>
              <w:rPr>
                <w:rFonts w:ascii="Times New Roman"/>
                <w:snapToGrid w:val="0"/>
                <w:color w:val="000000"/>
                <w:kern w:val="21"/>
                <w:szCs w:val="21"/>
              </w:rPr>
              <w:t>0.0</w:t>
            </w:r>
            <w:r>
              <w:rPr>
                <w:rFonts w:hint="eastAsia" w:ascii="Times New Roman"/>
                <w:snapToGrid w:val="0"/>
                <w:color w:val="000000"/>
                <w:kern w:val="21"/>
                <w:szCs w:val="21"/>
              </w:rPr>
              <w:t>096</w:t>
            </w:r>
            <w:r>
              <w:rPr>
                <w:rFonts w:ascii="Times New Roman"/>
                <w:snapToGrid w:val="0"/>
                <w:color w:val="000000"/>
                <w:kern w:val="21"/>
                <w:szCs w:val="21"/>
              </w:rPr>
              <w:t>t</w:t>
            </w:r>
            <w:r>
              <w:rPr>
                <w:rFonts w:hint="eastAsia" w:ascii="Times New Roman"/>
                <w:snapToGrid w:val="0"/>
                <w:color w:val="000000"/>
                <w:kern w:val="21"/>
                <w:szCs w:val="21"/>
              </w:rPr>
              <w:t>/a</w:t>
            </w:r>
          </w:p>
        </w:tc>
      </w:tr>
      <w:tr w14:paraId="7FFC34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21" w:type="dxa"/>
            <w:vMerge w:val="restart"/>
            <w:vAlign w:val="center"/>
          </w:tcPr>
          <w:p w14:paraId="0A084286">
            <w:pPr>
              <w:pStyle w:val="56"/>
              <w:spacing w:before="24" w:after="24"/>
              <w:rPr>
                <w:rFonts w:ascii="Times New Roman"/>
                <w:snapToGrid w:val="0"/>
                <w:color w:val="000000"/>
                <w:kern w:val="21"/>
                <w:szCs w:val="21"/>
              </w:rPr>
            </w:pPr>
            <w:r>
              <w:rPr>
                <w:rFonts w:ascii="Times New Roman"/>
                <w:snapToGrid w:val="0"/>
                <w:color w:val="000000"/>
                <w:kern w:val="21"/>
                <w:szCs w:val="21"/>
              </w:rPr>
              <w:t>一般工业固体废物</w:t>
            </w:r>
          </w:p>
        </w:tc>
        <w:tc>
          <w:tcPr>
            <w:tcW w:w="1984" w:type="dxa"/>
            <w:vAlign w:val="center"/>
          </w:tcPr>
          <w:p w14:paraId="06118961">
            <w:pPr>
              <w:pStyle w:val="73"/>
              <w:spacing w:line="240" w:lineRule="auto"/>
              <w:rPr>
                <w:rFonts w:ascii="Times New Roman" w:hAnsi="Times New Roman"/>
                <w:bCs/>
                <w:color w:val="auto"/>
                <w:sz w:val="21"/>
                <w:szCs w:val="21"/>
              </w:rPr>
            </w:pPr>
            <w:r>
              <w:rPr>
                <w:bCs/>
                <w:spacing w:val="6"/>
                <w:sz w:val="21"/>
                <w:szCs w:val="21"/>
              </w:rPr>
              <w:t>废包装袋</w:t>
            </w:r>
          </w:p>
        </w:tc>
        <w:tc>
          <w:tcPr>
            <w:tcW w:w="1701" w:type="dxa"/>
            <w:vAlign w:val="center"/>
          </w:tcPr>
          <w:p w14:paraId="22AD1474">
            <w:pPr>
              <w:pStyle w:val="56"/>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276" w:type="dxa"/>
            <w:vAlign w:val="center"/>
          </w:tcPr>
          <w:p w14:paraId="6F9881A8">
            <w:pPr>
              <w:pStyle w:val="56"/>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559" w:type="dxa"/>
            <w:vAlign w:val="center"/>
          </w:tcPr>
          <w:p w14:paraId="3A38A8B1">
            <w:pPr>
              <w:pStyle w:val="56"/>
              <w:spacing w:beforeLines="0" w:afterLines="0" w:line="240" w:lineRule="auto"/>
              <w:rPr>
                <w:rFonts w:ascii="Times New Roman"/>
                <w:snapToGrid w:val="0"/>
                <w:color w:val="000000"/>
                <w:kern w:val="21"/>
                <w:szCs w:val="21"/>
              </w:rPr>
            </w:pPr>
            <w:r>
              <w:rPr>
                <w:rFonts w:hint="eastAsia" w:ascii="Times New Roman"/>
                <w:snapToGrid w:val="0"/>
                <w:color w:val="000000"/>
                <w:kern w:val="21"/>
                <w:szCs w:val="21"/>
              </w:rPr>
              <w:t>/</w:t>
            </w:r>
          </w:p>
        </w:tc>
        <w:tc>
          <w:tcPr>
            <w:tcW w:w="1701" w:type="dxa"/>
            <w:vAlign w:val="center"/>
          </w:tcPr>
          <w:p w14:paraId="40C702F9">
            <w:pPr>
              <w:pStyle w:val="73"/>
              <w:spacing w:line="240" w:lineRule="auto"/>
              <w:rPr>
                <w:rFonts w:ascii="Times New Roman" w:hAnsi="Times New Roman"/>
                <w:bCs/>
                <w:color w:val="auto"/>
                <w:sz w:val="21"/>
                <w:szCs w:val="21"/>
              </w:rPr>
            </w:pPr>
            <w:r>
              <w:rPr>
                <w:rFonts w:ascii="Times New Roman" w:hAnsi="Times New Roman"/>
                <w:bCs/>
                <w:spacing w:val="6"/>
                <w:sz w:val="21"/>
                <w:szCs w:val="21"/>
              </w:rPr>
              <w:t>0.2505</w:t>
            </w:r>
            <w:r>
              <w:rPr>
                <w:rFonts w:ascii="Times New Roman" w:hAnsi="Times New Roman"/>
                <w:snapToGrid w:val="0"/>
                <w:kern w:val="21"/>
                <w:sz w:val="21"/>
                <w:szCs w:val="21"/>
              </w:rPr>
              <w:t>t/a</w:t>
            </w:r>
          </w:p>
        </w:tc>
        <w:tc>
          <w:tcPr>
            <w:tcW w:w="1559" w:type="dxa"/>
            <w:vAlign w:val="center"/>
          </w:tcPr>
          <w:p w14:paraId="77602007">
            <w:pPr>
              <w:pStyle w:val="56"/>
              <w:spacing w:beforeLines="0" w:afterLines="0" w:line="240" w:lineRule="auto"/>
              <w:rPr>
                <w:rFonts w:ascii="Times New Roman"/>
                <w:snapToGrid w:val="0"/>
                <w:color w:val="000000"/>
                <w:kern w:val="21"/>
                <w:szCs w:val="21"/>
              </w:rPr>
            </w:pPr>
            <w:r>
              <w:rPr>
                <w:rFonts w:hint="eastAsia" w:ascii="Times New Roman"/>
                <w:snapToGrid w:val="0"/>
                <w:color w:val="000000"/>
                <w:kern w:val="21"/>
                <w:szCs w:val="21"/>
              </w:rPr>
              <w:t>/</w:t>
            </w:r>
          </w:p>
        </w:tc>
        <w:tc>
          <w:tcPr>
            <w:tcW w:w="1418" w:type="dxa"/>
            <w:vAlign w:val="center"/>
          </w:tcPr>
          <w:p w14:paraId="0A207F1D">
            <w:pPr>
              <w:pStyle w:val="73"/>
              <w:spacing w:line="240" w:lineRule="auto"/>
              <w:rPr>
                <w:rFonts w:ascii="Times New Roman" w:hAnsi="Times New Roman"/>
                <w:bCs/>
                <w:color w:val="auto"/>
                <w:sz w:val="21"/>
                <w:szCs w:val="21"/>
              </w:rPr>
            </w:pPr>
            <w:r>
              <w:rPr>
                <w:rFonts w:ascii="Times New Roman" w:hAnsi="Times New Roman"/>
                <w:bCs/>
                <w:spacing w:val="6"/>
                <w:sz w:val="21"/>
                <w:szCs w:val="21"/>
              </w:rPr>
              <w:t>0.2505</w:t>
            </w:r>
            <w:r>
              <w:rPr>
                <w:rFonts w:ascii="Times New Roman" w:hAnsi="Times New Roman"/>
                <w:snapToGrid w:val="0"/>
                <w:kern w:val="21"/>
                <w:sz w:val="21"/>
                <w:szCs w:val="21"/>
              </w:rPr>
              <w:t>t/a</w:t>
            </w:r>
          </w:p>
        </w:tc>
        <w:tc>
          <w:tcPr>
            <w:tcW w:w="1559" w:type="dxa"/>
            <w:vAlign w:val="center"/>
          </w:tcPr>
          <w:p w14:paraId="35943557">
            <w:pPr>
              <w:pStyle w:val="73"/>
              <w:spacing w:line="240" w:lineRule="auto"/>
              <w:rPr>
                <w:rFonts w:ascii="Times New Roman" w:hAnsi="Times New Roman"/>
                <w:bCs/>
                <w:color w:val="auto"/>
                <w:sz w:val="21"/>
                <w:szCs w:val="21"/>
              </w:rPr>
            </w:pPr>
            <w:r>
              <w:rPr>
                <w:rFonts w:ascii="Times New Roman" w:hAnsi="Times New Roman"/>
                <w:bCs/>
                <w:spacing w:val="6"/>
                <w:sz w:val="21"/>
                <w:szCs w:val="21"/>
              </w:rPr>
              <w:t>+0.2505</w:t>
            </w:r>
            <w:r>
              <w:rPr>
                <w:rFonts w:ascii="Times New Roman" w:hAnsi="Times New Roman"/>
                <w:snapToGrid w:val="0"/>
                <w:kern w:val="21"/>
                <w:sz w:val="21"/>
                <w:szCs w:val="21"/>
              </w:rPr>
              <w:t>t/a</w:t>
            </w:r>
          </w:p>
        </w:tc>
      </w:tr>
      <w:tr w14:paraId="0660CC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21" w:type="dxa"/>
            <w:vMerge w:val="continue"/>
            <w:vAlign w:val="center"/>
          </w:tcPr>
          <w:p w14:paraId="2251E98B">
            <w:pPr>
              <w:pStyle w:val="56"/>
              <w:spacing w:beforeLines="0" w:afterLines="0" w:line="240" w:lineRule="auto"/>
              <w:rPr>
                <w:rFonts w:ascii="Times New Roman"/>
                <w:snapToGrid w:val="0"/>
                <w:color w:val="000000"/>
                <w:kern w:val="21"/>
                <w:szCs w:val="21"/>
              </w:rPr>
            </w:pPr>
          </w:p>
        </w:tc>
        <w:tc>
          <w:tcPr>
            <w:tcW w:w="1984" w:type="dxa"/>
            <w:vAlign w:val="center"/>
          </w:tcPr>
          <w:p w14:paraId="6E0C90E1">
            <w:pPr>
              <w:pStyle w:val="73"/>
              <w:spacing w:line="240" w:lineRule="auto"/>
              <w:rPr>
                <w:rFonts w:ascii="Times New Roman" w:hAnsi="Times New Roman"/>
                <w:bCs/>
                <w:color w:val="auto"/>
                <w:sz w:val="21"/>
                <w:szCs w:val="21"/>
              </w:rPr>
            </w:pPr>
            <w:r>
              <w:rPr>
                <w:kern w:val="0"/>
                <w:sz w:val="21"/>
                <w:szCs w:val="21"/>
              </w:rPr>
              <w:t>PE薄膜废卷筒</w:t>
            </w:r>
          </w:p>
        </w:tc>
        <w:tc>
          <w:tcPr>
            <w:tcW w:w="1701" w:type="dxa"/>
            <w:vAlign w:val="center"/>
          </w:tcPr>
          <w:p w14:paraId="6415912F">
            <w:pPr>
              <w:pStyle w:val="56"/>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276" w:type="dxa"/>
            <w:vAlign w:val="center"/>
          </w:tcPr>
          <w:p w14:paraId="6D372A6A">
            <w:pPr>
              <w:pStyle w:val="56"/>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559" w:type="dxa"/>
            <w:vAlign w:val="center"/>
          </w:tcPr>
          <w:p w14:paraId="29725DBE">
            <w:pPr>
              <w:pStyle w:val="56"/>
              <w:spacing w:beforeLines="0" w:afterLines="0" w:line="240" w:lineRule="auto"/>
              <w:rPr>
                <w:rFonts w:ascii="Times New Roman"/>
                <w:snapToGrid w:val="0"/>
                <w:color w:val="000000"/>
                <w:kern w:val="21"/>
                <w:szCs w:val="21"/>
              </w:rPr>
            </w:pPr>
            <w:r>
              <w:rPr>
                <w:rFonts w:hint="eastAsia" w:ascii="Times New Roman"/>
                <w:snapToGrid w:val="0"/>
                <w:color w:val="000000"/>
                <w:kern w:val="21"/>
                <w:szCs w:val="21"/>
              </w:rPr>
              <w:t>/</w:t>
            </w:r>
          </w:p>
        </w:tc>
        <w:tc>
          <w:tcPr>
            <w:tcW w:w="1701" w:type="dxa"/>
            <w:vAlign w:val="center"/>
          </w:tcPr>
          <w:p w14:paraId="7ADDBC87">
            <w:pPr>
              <w:snapToGrid w:val="0"/>
              <w:jc w:val="center"/>
              <w:rPr>
                <w:bCs/>
                <w:szCs w:val="21"/>
              </w:rPr>
            </w:pPr>
            <w:r>
              <w:rPr>
                <w:bCs/>
                <w:spacing w:val="6"/>
                <w:szCs w:val="21"/>
              </w:rPr>
              <w:t>0.001</w:t>
            </w:r>
            <w:r>
              <w:rPr>
                <w:snapToGrid w:val="0"/>
                <w:color w:val="000000"/>
                <w:kern w:val="21"/>
                <w:szCs w:val="21"/>
              </w:rPr>
              <w:t>t</w:t>
            </w:r>
            <w:r>
              <w:rPr>
                <w:rFonts w:hint="eastAsia"/>
                <w:snapToGrid w:val="0"/>
                <w:color w:val="000000"/>
                <w:kern w:val="21"/>
                <w:szCs w:val="21"/>
              </w:rPr>
              <w:t>/a</w:t>
            </w:r>
          </w:p>
        </w:tc>
        <w:tc>
          <w:tcPr>
            <w:tcW w:w="1559" w:type="dxa"/>
            <w:vAlign w:val="center"/>
          </w:tcPr>
          <w:p w14:paraId="340E209F">
            <w:pPr>
              <w:pStyle w:val="56"/>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418" w:type="dxa"/>
            <w:vAlign w:val="center"/>
          </w:tcPr>
          <w:p w14:paraId="11B9FDCE">
            <w:pPr>
              <w:snapToGrid w:val="0"/>
              <w:jc w:val="center"/>
              <w:rPr>
                <w:bCs/>
                <w:szCs w:val="21"/>
              </w:rPr>
            </w:pPr>
            <w:r>
              <w:rPr>
                <w:bCs/>
                <w:spacing w:val="6"/>
                <w:szCs w:val="21"/>
              </w:rPr>
              <w:t>0.001</w:t>
            </w:r>
            <w:r>
              <w:rPr>
                <w:snapToGrid w:val="0"/>
                <w:color w:val="000000"/>
                <w:kern w:val="21"/>
                <w:szCs w:val="21"/>
              </w:rPr>
              <w:t>t</w:t>
            </w:r>
            <w:r>
              <w:rPr>
                <w:rFonts w:hint="eastAsia"/>
                <w:snapToGrid w:val="0"/>
                <w:color w:val="000000"/>
                <w:kern w:val="21"/>
                <w:szCs w:val="21"/>
              </w:rPr>
              <w:t>/a</w:t>
            </w:r>
          </w:p>
        </w:tc>
        <w:tc>
          <w:tcPr>
            <w:tcW w:w="1559" w:type="dxa"/>
            <w:vAlign w:val="center"/>
          </w:tcPr>
          <w:p w14:paraId="34EC14CB">
            <w:pPr>
              <w:snapToGrid w:val="0"/>
              <w:jc w:val="center"/>
              <w:rPr>
                <w:bCs/>
                <w:szCs w:val="21"/>
              </w:rPr>
            </w:pPr>
            <w:r>
              <w:rPr>
                <w:bCs/>
                <w:spacing w:val="6"/>
                <w:szCs w:val="21"/>
              </w:rPr>
              <w:t>+0.001</w:t>
            </w:r>
            <w:r>
              <w:rPr>
                <w:snapToGrid w:val="0"/>
                <w:color w:val="000000"/>
                <w:kern w:val="21"/>
                <w:szCs w:val="21"/>
              </w:rPr>
              <w:t>t</w:t>
            </w:r>
            <w:r>
              <w:rPr>
                <w:rFonts w:hint="eastAsia"/>
                <w:snapToGrid w:val="0"/>
                <w:color w:val="000000"/>
                <w:kern w:val="21"/>
                <w:szCs w:val="21"/>
              </w:rPr>
              <w:t>/a</w:t>
            </w:r>
          </w:p>
        </w:tc>
      </w:tr>
      <w:tr w14:paraId="2CD912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21" w:type="dxa"/>
            <w:vMerge w:val="continue"/>
            <w:vAlign w:val="center"/>
          </w:tcPr>
          <w:p w14:paraId="789C1E5F">
            <w:pPr>
              <w:pStyle w:val="56"/>
              <w:spacing w:beforeLines="0" w:afterLines="0" w:line="240" w:lineRule="auto"/>
              <w:rPr>
                <w:rFonts w:ascii="Times New Roman"/>
                <w:snapToGrid w:val="0"/>
                <w:color w:val="000000"/>
                <w:kern w:val="21"/>
                <w:szCs w:val="21"/>
              </w:rPr>
            </w:pPr>
          </w:p>
        </w:tc>
        <w:tc>
          <w:tcPr>
            <w:tcW w:w="1984" w:type="dxa"/>
            <w:vAlign w:val="center"/>
          </w:tcPr>
          <w:p w14:paraId="1488FEF9">
            <w:pPr>
              <w:pStyle w:val="73"/>
              <w:spacing w:line="240" w:lineRule="auto"/>
              <w:rPr>
                <w:rFonts w:ascii="Times New Roman" w:hAnsi="Times New Roman"/>
                <w:bCs/>
                <w:color w:val="auto"/>
                <w:sz w:val="21"/>
                <w:szCs w:val="21"/>
              </w:rPr>
            </w:pPr>
            <w:r>
              <w:rPr>
                <w:kern w:val="0"/>
                <w:sz w:val="21"/>
                <w:szCs w:val="21"/>
              </w:rPr>
              <w:t>废塑料薄膜</w:t>
            </w:r>
          </w:p>
        </w:tc>
        <w:tc>
          <w:tcPr>
            <w:tcW w:w="1701" w:type="dxa"/>
            <w:vAlign w:val="center"/>
          </w:tcPr>
          <w:p w14:paraId="524D7851">
            <w:pPr>
              <w:pStyle w:val="56"/>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276" w:type="dxa"/>
            <w:vAlign w:val="center"/>
          </w:tcPr>
          <w:p w14:paraId="5B4B843D">
            <w:pPr>
              <w:pStyle w:val="56"/>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559" w:type="dxa"/>
            <w:vAlign w:val="center"/>
          </w:tcPr>
          <w:p w14:paraId="124937BF">
            <w:pPr>
              <w:pStyle w:val="56"/>
              <w:spacing w:beforeLines="0" w:afterLines="0" w:line="240" w:lineRule="auto"/>
              <w:rPr>
                <w:rFonts w:ascii="Times New Roman"/>
                <w:snapToGrid w:val="0"/>
                <w:color w:val="000000"/>
                <w:kern w:val="21"/>
                <w:szCs w:val="21"/>
              </w:rPr>
            </w:pPr>
            <w:r>
              <w:rPr>
                <w:rFonts w:hint="eastAsia" w:ascii="Times New Roman"/>
                <w:snapToGrid w:val="0"/>
                <w:color w:val="000000"/>
                <w:kern w:val="21"/>
                <w:szCs w:val="21"/>
              </w:rPr>
              <w:t>/</w:t>
            </w:r>
          </w:p>
        </w:tc>
        <w:tc>
          <w:tcPr>
            <w:tcW w:w="1701" w:type="dxa"/>
            <w:vAlign w:val="center"/>
          </w:tcPr>
          <w:p w14:paraId="36C165E4">
            <w:pPr>
              <w:snapToGrid w:val="0"/>
              <w:jc w:val="center"/>
              <w:rPr>
                <w:bCs/>
                <w:szCs w:val="21"/>
              </w:rPr>
            </w:pPr>
            <w:r>
              <w:rPr>
                <w:bCs/>
                <w:spacing w:val="6"/>
                <w:szCs w:val="21"/>
              </w:rPr>
              <w:t>0.4</w:t>
            </w:r>
            <w:r>
              <w:rPr>
                <w:snapToGrid w:val="0"/>
                <w:color w:val="000000"/>
                <w:kern w:val="21"/>
                <w:szCs w:val="21"/>
              </w:rPr>
              <w:t>t</w:t>
            </w:r>
            <w:r>
              <w:rPr>
                <w:rFonts w:hint="eastAsia"/>
                <w:snapToGrid w:val="0"/>
                <w:color w:val="000000"/>
                <w:kern w:val="21"/>
                <w:szCs w:val="21"/>
              </w:rPr>
              <w:t>/a</w:t>
            </w:r>
          </w:p>
        </w:tc>
        <w:tc>
          <w:tcPr>
            <w:tcW w:w="1559" w:type="dxa"/>
            <w:vAlign w:val="center"/>
          </w:tcPr>
          <w:p w14:paraId="235A67B6">
            <w:pPr>
              <w:pStyle w:val="56"/>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418" w:type="dxa"/>
            <w:vAlign w:val="center"/>
          </w:tcPr>
          <w:p w14:paraId="7AB45D8C">
            <w:pPr>
              <w:snapToGrid w:val="0"/>
              <w:jc w:val="center"/>
              <w:rPr>
                <w:bCs/>
                <w:szCs w:val="21"/>
              </w:rPr>
            </w:pPr>
            <w:r>
              <w:rPr>
                <w:bCs/>
                <w:spacing w:val="6"/>
                <w:szCs w:val="21"/>
              </w:rPr>
              <w:t>0.4</w:t>
            </w:r>
            <w:r>
              <w:rPr>
                <w:snapToGrid w:val="0"/>
                <w:color w:val="000000"/>
                <w:kern w:val="21"/>
                <w:szCs w:val="21"/>
              </w:rPr>
              <w:t>t</w:t>
            </w:r>
            <w:r>
              <w:rPr>
                <w:rFonts w:hint="eastAsia"/>
                <w:snapToGrid w:val="0"/>
                <w:color w:val="000000"/>
                <w:kern w:val="21"/>
                <w:szCs w:val="21"/>
              </w:rPr>
              <w:t>/a</w:t>
            </w:r>
          </w:p>
        </w:tc>
        <w:tc>
          <w:tcPr>
            <w:tcW w:w="1559" w:type="dxa"/>
            <w:vAlign w:val="center"/>
          </w:tcPr>
          <w:p w14:paraId="297A7B8C">
            <w:pPr>
              <w:snapToGrid w:val="0"/>
              <w:jc w:val="center"/>
              <w:rPr>
                <w:szCs w:val="21"/>
              </w:rPr>
            </w:pPr>
            <w:r>
              <w:rPr>
                <w:bCs/>
                <w:spacing w:val="6"/>
                <w:szCs w:val="21"/>
              </w:rPr>
              <w:t>+0.4</w:t>
            </w:r>
            <w:r>
              <w:rPr>
                <w:snapToGrid w:val="0"/>
                <w:color w:val="000000"/>
                <w:kern w:val="21"/>
                <w:szCs w:val="21"/>
              </w:rPr>
              <w:t>t</w:t>
            </w:r>
            <w:r>
              <w:rPr>
                <w:rFonts w:hint="eastAsia"/>
                <w:snapToGrid w:val="0"/>
                <w:color w:val="000000"/>
                <w:kern w:val="21"/>
                <w:szCs w:val="21"/>
              </w:rPr>
              <w:t>/a</w:t>
            </w:r>
          </w:p>
        </w:tc>
      </w:tr>
      <w:tr w14:paraId="7BE640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21" w:type="dxa"/>
            <w:vMerge w:val="continue"/>
            <w:vAlign w:val="center"/>
          </w:tcPr>
          <w:p w14:paraId="42909F04">
            <w:pPr>
              <w:pStyle w:val="56"/>
              <w:spacing w:beforeLines="0" w:afterLines="0" w:line="240" w:lineRule="auto"/>
              <w:rPr>
                <w:rFonts w:ascii="Times New Roman"/>
                <w:snapToGrid w:val="0"/>
                <w:color w:val="000000"/>
                <w:kern w:val="21"/>
                <w:szCs w:val="21"/>
              </w:rPr>
            </w:pPr>
          </w:p>
        </w:tc>
        <w:tc>
          <w:tcPr>
            <w:tcW w:w="1984" w:type="dxa"/>
            <w:vAlign w:val="center"/>
          </w:tcPr>
          <w:p w14:paraId="3141274B">
            <w:pPr>
              <w:pStyle w:val="73"/>
              <w:spacing w:line="240" w:lineRule="auto"/>
              <w:rPr>
                <w:rFonts w:ascii="Times New Roman" w:hAnsi="Times New Roman"/>
                <w:color w:val="auto"/>
                <w:sz w:val="21"/>
                <w:szCs w:val="21"/>
              </w:rPr>
            </w:pPr>
            <w:r>
              <w:rPr>
                <w:rFonts w:hint="eastAsia"/>
                <w:bCs/>
                <w:spacing w:val="6"/>
                <w:sz w:val="21"/>
                <w:szCs w:val="21"/>
              </w:rPr>
              <w:t>沉淀池</w:t>
            </w:r>
            <w:r>
              <w:rPr>
                <w:bCs/>
                <w:spacing w:val="6"/>
                <w:sz w:val="21"/>
                <w:szCs w:val="21"/>
              </w:rPr>
              <w:t>沉渣</w:t>
            </w:r>
          </w:p>
        </w:tc>
        <w:tc>
          <w:tcPr>
            <w:tcW w:w="1701" w:type="dxa"/>
            <w:vAlign w:val="center"/>
          </w:tcPr>
          <w:p w14:paraId="6D47F2C9">
            <w:pPr>
              <w:pStyle w:val="56"/>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276" w:type="dxa"/>
            <w:vAlign w:val="center"/>
          </w:tcPr>
          <w:p w14:paraId="65359A3D">
            <w:pPr>
              <w:pStyle w:val="56"/>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559" w:type="dxa"/>
            <w:vAlign w:val="center"/>
          </w:tcPr>
          <w:p w14:paraId="0206D976">
            <w:pPr>
              <w:pStyle w:val="56"/>
              <w:spacing w:beforeLines="0" w:afterLines="0" w:line="240" w:lineRule="auto"/>
              <w:rPr>
                <w:rFonts w:ascii="Times New Roman"/>
                <w:snapToGrid w:val="0"/>
                <w:color w:val="000000"/>
                <w:kern w:val="21"/>
                <w:szCs w:val="21"/>
              </w:rPr>
            </w:pPr>
            <w:r>
              <w:rPr>
                <w:rFonts w:hint="eastAsia" w:ascii="Times New Roman"/>
                <w:snapToGrid w:val="0"/>
                <w:color w:val="000000"/>
                <w:kern w:val="21"/>
                <w:szCs w:val="21"/>
              </w:rPr>
              <w:t>/</w:t>
            </w:r>
          </w:p>
        </w:tc>
        <w:tc>
          <w:tcPr>
            <w:tcW w:w="1701" w:type="dxa"/>
            <w:vAlign w:val="center"/>
          </w:tcPr>
          <w:p w14:paraId="64EAAF5C">
            <w:pPr>
              <w:snapToGrid w:val="0"/>
              <w:jc w:val="center"/>
              <w:rPr>
                <w:bCs/>
                <w:szCs w:val="21"/>
              </w:rPr>
            </w:pPr>
            <w:r>
              <w:rPr>
                <w:bCs/>
                <w:spacing w:val="6"/>
                <w:szCs w:val="21"/>
              </w:rPr>
              <w:t>42.585</w:t>
            </w:r>
            <w:r>
              <w:rPr>
                <w:snapToGrid w:val="0"/>
                <w:color w:val="000000"/>
                <w:kern w:val="21"/>
                <w:szCs w:val="21"/>
              </w:rPr>
              <w:t>t</w:t>
            </w:r>
            <w:r>
              <w:rPr>
                <w:rFonts w:hint="eastAsia"/>
                <w:snapToGrid w:val="0"/>
                <w:color w:val="000000"/>
                <w:kern w:val="21"/>
                <w:szCs w:val="21"/>
              </w:rPr>
              <w:t>/a</w:t>
            </w:r>
          </w:p>
        </w:tc>
        <w:tc>
          <w:tcPr>
            <w:tcW w:w="1559" w:type="dxa"/>
            <w:vAlign w:val="center"/>
          </w:tcPr>
          <w:p w14:paraId="28DA799D">
            <w:pPr>
              <w:pStyle w:val="56"/>
              <w:spacing w:beforeLines="0" w:afterLines="0" w:line="240" w:lineRule="auto"/>
              <w:rPr>
                <w:rFonts w:ascii="Times New Roman"/>
                <w:snapToGrid w:val="0"/>
                <w:color w:val="000000"/>
                <w:kern w:val="21"/>
                <w:szCs w:val="21"/>
              </w:rPr>
            </w:pPr>
            <w:r>
              <w:rPr>
                <w:rFonts w:hint="eastAsia" w:ascii="Times New Roman"/>
                <w:snapToGrid w:val="0"/>
                <w:color w:val="000000"/>
                <w:kern w:val="21"/>
                <w:szCs w:val="21"/>
              </w:rPr>
              <w:t>/</w:t>
            </w:r>
          </w:p>
        </w:tc>
        <w:tc>
          <w:tcPr>
            <w:tcW w:w="1418" w:type="dxa"/>
            <w:vAlign w:val="center"/>
          </w:tcPr>
          <w:p w14:paraId="5E859ACF">
            <w:pPr>
              <w:snapToGrid w:val="0"/>
              <w:jc w:val="center"/>
              <w:rPr>
                <w:bCs/>
                <w:szCs w:val="21"/>
              </w:rPr>
            </w:pPr>
            <w:r>
              <w:rPr>
                <w:bCs/>
                <w:spacing w:val="6"/>
                <w:szCs w:val="21"/>
              </w:rPr>
              <w:t>42.585</w:t>
            </w:r>
            <w:r>
              <w:rPr>
                <w:snapToGrid w:val="0"/>
                <w:color w:val="000000"/>
                <w:kern w:val="21"/>
                <w:szCs w:val="21"/>
              </w:rPr>
              <w:t>t</w:t>
            </w:r>
            <w:r>
              <w:rPr>
                <w:rFonts w:hint="eastAsia"/>
                <w:snapToGrid w:val="0"/>
                <w:color w:val="000000"/>
                <w:kern w:val="21"/>
                <w:szCs w:val="21"/>
              </w:rPr>
              <w:t>/a</w:t>
            </w:r>
          </w:p>
        </w:tc>
        <w:tc>
          <w:tcPr>
            <w:tcW w:w="1559" w:type="dxa"/>
            <w:vAlign w:val="center"/>
          </w:tcPr>
          <w:p w14:paraId="2AE5A15B">
            <w:pPr>
              <w:snapToGrid w:val="0"/>
              <w:jc w:val="center"/>
              <w:rPr>
                <w:bCs/>
                <w:szCs w:val="21"/>
              </w:rPr>
            </w:pPr>
            <w:r>
              <w:rPr>
                <w:bCs/>
                <w:spacing w:val="6"/>
                <w:szCs w:val="21"/>
              </w:rPr>
              <w:t>+42.585</w:t>
            </w:r>
            <w:r>
              <w:rPr>
                <w:snapToGrid w:val="0"/>
                <w:color w:val="000000"/>
                <w:kern w:val="21"/>
                <w:szCs w:val="21"/>
              </w:rPr>
              <w:t>t</w:t>
            </w:r>
            <w:r>
              <w:rPr>
                <w:rFonts w:hint="eastAsia"/>
                <w:snapToGrid w:val="0"/>
                <w:color w:val="000000"/>
                <w:kern w:val="21"/>
                <w:szCs w:val="21"/>
              </w:rPr>
              <w:t>/a</w:t>
            </w:r>
          </w:p>
        </w:tc>
      </w:tr>
      <w:tr w14:paraId="6C5CCA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21" w:type="dxa"/>
            <w:vMerge w:val="restart"/>
            <w:vAlign w:val="center"/>
          </w:tcPr>
          <w:p w14:paraId="46A10C21">
            <w:pPr>
              <w:pStyle w:val="56"/>
              <w:spacing w:beforeLines="0" w:afterLines="0" w:line="240" w:lineRule="auto"/>
              <w:rPr>
                <w:rFonts w:ascii="Times New Roman"/>
                <w:snapToGrid w:val="0"/>
                <w:color w:val="000000"/>
                <w:kern w:val="21"/>
                <w:szCs w:val="21"/>
              </w:rPr>
            </w:pPr>
            <w:r>
              <w:rPr>
                <w:rFonts w:ascii="Times New Roman"/>
                <w:snapToGrid w:val="0"/>
                <w:color w:val="000000"/>
                <w:kern w:val="21"/>
                <w:szCs w:val="21"/>
              </w:rPr>
              <w:t>危险</w:t>
            </w:r>
          </w:p>
          <w:p w14:paraId="1FCE4F2D">
            <w:pPr>
              <w:pStyle w:val="56"/>
              <w:spacing w:beforeLines="0" w:afterLines="0" w:line="240" w:lineRule="auto"/>
              <w:rPr>
                <w:rFonts w:ascii="Times New Roman"/>
                <w:snapToGrid w:val="0"/>
                <w:color w:val="000000"/>
                <w:kern w:val="21"/>
                <w:szCs w:val="21"/>
              </w:rPr>
            </w:pPr>
            <w:r>
              <w:rPr>
                <w:rFonts w:ascii="Times New Roman"/>
                <w:snapToGrid w:val="0"/>
                <w:color w:val="000000"/>
                <w:kern w:val="21"/>
                <w:szCs w:val="21"/>
              </w:rPr>
              <w:t>废物</w:t>
            </w:r>
          </w:p>
        </w:tc>
        <w:tc>
          <w:tcPr>
            <w:tcW w:w="1984" w:type="dxa"/>
            <w:vAlign w:val="center"/>
          </w:tcPr>
          <w:p w14:paraId="4913960C">
            <w:pPr>
              <w:snapToGrid w:val="0"/>
              <w:jc w:val="center"/>
              <w:rPr>
                <w:bCs/>
                <w:szCs w:val="21"/>
              </w:rPr>
            </w:pPr>
            <w:r>
              <w:rPr>
                <w:rFonts w:hint="eastAsia"/>
                <w:bCs/>
                <w:szCs w:val="21"/>
              </w:rPr>
              <w:t>废活性炭</w:t>
            </w:r>
          </w:p>
        </w:tc>
        <w:tc>
          <w:tcPr>
            <w:tcW w:w="1701" w:type="dxa"/>
            <w:vAlign w:val="center"/>
          </w:tcPr>
          <w:p w14:paraId="28919133">
            <w:pPr>
              <w:pStyle w:val="56"/>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276" w:type="dxa"/>
            <w:vAlign w:val="center"/>
          </w:tcPr>
          <w:p w14:paraId="5163B24B">
            <w:pPr>
              <w:pStyle w:val="56"/>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559" w:type="dxa"/>
            <w:vAlign w:val="center"/>
          </w:tcPr>
          <w:p w14:paraId="48255C39">
            <w:pPr>
              <w:pStyle w:val="56"/>
              <w:spacing w:beforeLines="0" w:afterLines="0" w:line="240" w:lineRule="auto"/>
              <w:rPr>
                <w:rFonts w:ascii="Times New Roman"/>
                <w:snapToGrid w:val="0"/>
                <w:color w:val="000000"/>
                <w:kern w:val="21"/>
                <w:szCs w:val="21"/>
              </w:rPr>
            </w:pPr>
            <w:r>
              <w:rPr>
                <w:rFonts w:hint="eastAsia" w:ascii="Times New Roman"/>
                <w:snapToGrid w:val="0"/>
                <w:color w:val="000000"/>
                <w:kern w:val="21"/>
                <w:szCs w:val="21"/>
              </w:rPr>
              <w:t>/</w:t>
            </w:r>
          </w:p>
        </w:tc>
        <w:tc>
          <w:tcPr>
            <w:tcW w:w="1701" w:type="dxa"/>
            <w:vAlign w:val="center"/>
          </w:tcPr>
          <w:p w14:paraId="021F8106">
            <w:pPr>
              <w:snapToGrid w:val="0"/>
              <w:jc w:val="center"/>
              <w:rPr>
                <w:bCs/>
                <w:szCs w:val="21"/>
              </w:rPr>
            </w:pPr>
            <w:r>
              <w:rPr>
                <w:bCs/>
                <w:spacing w:val="6"/>
                <w:szCs w:val="21"/>
              </w:rPr>
              <w:t>7.3415</w:t>
            </w:r>
            <w:r>
              <w:rPr>
                <w:snapToGrid w:val="0"/>
                <w:color w:val="000000"/>
                <w:kern w:val="21"/>
                <w:szCs w:val="21"/>
              </w:rPr>
              <w:t>t</w:t>
            </w:r>
            <w:r>
              <w:rPr>
                <w:rFonts w:hint="eastAsia"/>
                <w:snapToGrid w:val="0"/>
                <w:color w:val="000000"/>
                <w:kern w:val="21"/>
                <w:szCs w:val="21"/>
              </w:rPr>
              <w:t>/a</w:t>
            </w:r>
          </w:p>
        </w:tc>
        <w:tc>
          <w:tcPr>
            <w:tcW w:w="1559" w:type="dxa"/>
            <w:vAlign w:val="center"/>
          </w:tcPr>
          <w:p w14:paraId="5B5F9B8D">
            <w:pPr>
              <w:pStyle w:val="56"/>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418" w:type="dxa"/>
            <w:vAlign w:val="center"/>
          </w:tcPr>
          <w:p w14:paraId="2AB35A32">
            <w:pPr>
              <w:snapToGrid w:val="0"/>
              <w:jc w:val="center"/>
              <w:rPr>
                <w:bCs/>
                <w:szCs w:val="21"/>
              </w:rPr>
            </w:pPr>
            <w:r>
              <w:rPr>
                <w:bCs/>
                <w:spacing w:val="6"/>
                <w:szCs w:val="21"/>
              </w:rPr>
              <w:t>7.3415</w:t>
            </w:r>
            <w:r>
              <w:rPr>
                <w:snapToGrid w:val="0"/>
                <w:color w:val="000000"/>
                <w:kern w:val="21"/>
                <w:szCs w:val="21"/>
              </w:rPr>
              <w:t>t</w:t>
            </w:r>
            <w:r>
              <w:rPr>
                <w:rFonts w:hint="eastAsia"/>
                <w:snapToGrid w:val="0"/>
                <w:color w:val="000000"/>
                <w:kern w:val="21"/>
                <w:szCs w:val="21"/>
              </w:rPr>
              <w:t>/a</w:t>
            </w:r>
          </w:p>
        </w:tc>
        <w:tc>
          <w:tcPr>
            <w:tcW w:w="1559" w:type="dxa"/>
            <w:vAlign w:val="center"/>
          </w:tcPr>
          <w:p w14:paraId="48081022">
            <w:pPr>
              <w:snapToGrid w:val="0"/>
              <w:jc w:val="center"/>
              <w:rPr>
                <w:bCs/>
                <w:szCs w:val="21"/>
              </w:rPr>
            </w:pPr>
            <w:r>
              <w:rPr>
                <w:bCs/>
                <w:spacing w:val="6"/>
                <w:szCs w:val="21"/>
              </w:rPr>
              <w:t>+7.3415</w:t>
            </w:r>
            <w:r>
              <w:rPr>
                <w:snapToGrid w:val="0"/>
                <w:color w:val="000000"/>
                <w:kern w:val="21"/>
                <w:szCs w:val="21"/>
              </w:rPr>
              <w:t>t</w:t>
            </w:r>
            <w:r>
              <w:rPr>
                <w:rFonts w:hint="eastAsia"/>
                <w:snapToGrid w:val="0"/>
                <w:color w:val="000000"/>
                <w:kern w:val="21"/>
                <w:szCs w:val="21"/>
              </w:rPr>
              <w:t>/a</w:t>
            </w:r>
          </w:p>
        </w:tc>
      </w:tr>
      <w:tr w14:paraId="4A3794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21" w:type="dxa"/>
            <w:vMerge w:val="continue"/>
            <w:vAlign w:val="center"/>
          </w:tcPr>
          <w:p w14:paraId="51FB682A">
            <w:pPr>
              <w:pStyle w:val="56"/>
              <w:spacing w:beforeLines="0" w:afterLines="0" w:line="240" w:lineRule="auto"/>
              <w:rPr>
                <w:rFonts w:ascii="Times New Roman"/>
                <w:snapToGrid w:val="0"/>
                <w:color w:val="000000"/>
                <w:kern w:val="21"/>
                <w:szCs w:val="21"/>
              </w:rPr>
            </w:pPr>
          </w:p>
        </w:tc>
        <w:tc>
          <w:tcPr>
            <w:tcW w:w="1984" w:type="dxa"/>
            <w:vAlign w:val="center"/>
          </w:tcPr>
          <w:p w14:paraId="41F663A6">
            <w:pPr>
              <w:snapToGrid w:val="0"/>
              <w:jc w:val="center"/>
              <w:rPr>
                <w:bCs/>
                <w:szCs w:val="21"/>
              </w:rPr>
            </w:pPr>
            <w:r>
              <w:rPr>
                <w:rFonts w:hint="eastAsia" w:ascii="宋体" w:cs="宋体"/>
                <w:kern w:val="0"/>
                <w:szCs w:val="21"/>
              </w:rPr>
              <w:t>废润滑油</w:t>
            </w:r>
          </w:p>
        </w:tc>
        <w:tc>
          <w:tcPr>
            <w:tcW w:w="1701" w:type="dxa"/>
            <w:vAlign w:val="center"/>
          </w:tcPr>
          <w:p w14:paraId="753048E1">
            <w:pPr>
              <w:pStyle w:val="56"/>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276" w:type="dxa"/>
            <w:vAlign w:val="center"/>
          </w:tcPr>
          <w:p w14:paraId="4788A575">
            <w:pPr>
              <w:pStyle w:val="56"/>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559" w:type="dxa"/>
            <w:vAlign w:val="center"/>
          </w:tcPr>
          <w:p w14:paraId="66D1E363">
            <w:pPr>
              <w:pStyle w:val="56"/>
              <w:spacing w:beforeLines="0" w:afterLines="0" w:line="240" w:lineRule="auto"/>
              <w:rPr>
                <w:rFonts w:ascii="Times New Roman"/>
                <w:snapToGrid w:val="0"/>
                <w:color w:val="000000"/>
                <w:kern w:val="21"/>
                <w:szCs w:val="21"/>
              </w:rPr>
            </w:pPr>
            <w:r>
              <w:rPr>
                <w:rFonts w:hint="eastAsia" w:ascii="Times New Roman"/>
                <w:snapToGrid w:val="0"/>
                <w:color w:val="000000"/>
                <w:kern w:val="21"/>
                <w:szCs w:val="21"/>
              </w:rPr>
              <w:t>/</w:t>
            </w:r>
          </w:p>
        </w:tc>
        <w:tc>
          <w:tcPr>
            <w:tcW w:w="1701" w:type="dxa"/>
            <w:vAlign w:val="center"/>
          </w:tcPr>
          <w:p w14:paraId="152FEBB0">
            <w:pPr>
              <w:snapToGrid w:val="0"/>
              <w:jc w:val="center"/>
              <w:rPr>
                <w:bCs/>
                <w:szCs w:val="21"/>
              </w:rPr>
            </w:pPr>
            <w:r>
              <w:rPr>
                <w:bCs/>
                <w:szCs w:val="21"/>
              </w:rPr>
              <w:t>0.08</w:t>
            </w:r>
            <w:r>
              <w:rPr>
                <w:snapToGrid w:val="0"/>
                <w:color w:val="000000"/>
                <w:kern w:val="21"/>
                <w:szCs w:val="21"/>
              </w:rPr>
              <w:t>t</w:t>
            </w:r>
            <w:r>
              <w:rPr>
                <w:rFonts w:hint="eastAsia"/>
                <w:snapToGrid w:val="0"/>
                <w:color w:val="000000"/>
                <w:kern w:val="21"/>
                <w:szCs w:val="21"/>
              </w:rPr>
              <w:t>/a</w:t>
            </w:r>
          </w:p>
        </w:tc>
        <w:tc>
          <w:tcPr>
            <w:tcW w:w="1559" w:type="dxa"/>
            <w:vAlign w:val="center"/>
          </w:tcPr>
          <w:p w14:paraId="2786DFF6">
            <w:pPr>
              <w:pStyle w:val="56"/>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418" w:type="dxa"/>
            <w:vAlign w:val="center"/>
          </w:tcPr>
          <w:p w14:paraId="67B64B77">
            <w:pPr>
              <w:snapToGrid w:val="0"/>
              <w:jc w:val="center"/>
              <w:rPr>
                <w:bCs/>
                <w:szCs w:val="21"/>
              </w:rPr>
            </w:pPr>
            <w:r>
              <w:rPr>
                <w:bCs/>
                <w:szCs w:val="21"/>
              </w:rPr>
              <w:t>0.08</w:t>
            </w:r>
            <w:r>
              <w:rPr>
                <w:snapToGrid w:val="0"/>
                <w:color w:val="000000"/>
                <w:kern w:val="21"/>
                <w:szCs w:val="21"/>
              </w:rPr>
              <w:t>t</w:t>
            </w:r>
            <w:r>
              <w:rPr>
                <w:rFonts w:hint="eastAsia"/>
                <w:snapToGrid w:val="0"/>
                <w:color w:val="000000"/>
                <w:kern w:val="21"/>
                <w:szCs w:val="21"/>
              </w:rPr>
              <w:t>/a</w:t>
            </w:r>
          </w:p>
        </w:tc>
        <w:tc>
          <w:tcPr>
            <w:tcW w:w="1559" w:type="dxa"/>
            <w:vAlign w:val="center"/>
          </w:tcPr>
          <w:p w14:paraId="22327A53">
            <w:pPr>
              <w:snapToGrid w:val="0"/>
              <w:jc w:val="center"/>
              <w:rPr>
                <w:bCs/>
                <w:szCs w:val="21"/>
              </w:rPr>
            </w:pPr>
            <w:r>
              <w:rPr>
                <w:bCs/>
                <w:szCs w:val="21"/>
              </w:rPr>
              <w:t>+0.08</w:t>
            </w:r>
            <w:r>
              <w:rPr>
                <w:snapToGrid w:val="0"/>
                <w:color w:val="000000"/>
                <w:kern w:val="21"/>
                <w:szCs w:val="21"/>
              </w:rPr>
              <w:t>t</w:t>
            </w:r>
            <w:r>
              <w:rPr>
                <w:rFonts w:hint="eastAsia"/>
                <w:snapToGrid w:val="0"/>
                <w:color w:val="000000"/>
                <w:kern w:val="21"/>
                <w:szCs w:val="21"/>
              </w:rPr>
              <w:t>/a</w:t>
            </w:r>
          </w:p>
        </w:tc>
      </w:tr>
      <w:tr w14:paraId="29995A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021" w:type="dxa"/>
            <w:vMerge w:val="continue"/>
            <w:vAlign w:val="center"/>
          </w:tcPr>
          <w:p w14:paraId="20EE134B">
            <w:pPr>
              <w:pStyle w:val="56"/>
              <w:spacing w:beforeLines="0" w:afterLines="0" w:line="240" w:lineRule="auto"/>
              <w:rPr>
                <w:rFonts w:ascii="Times New Roman"/>
                <w:snapToGrid w:val="0"/>
                <w:color w:val="000000"/>
                <w:kern w:val="21"/>
                <w:szCs w:val="21"/>
              </w:rPr>
            </w:pPr>
          </w:p>
        </w:tc>
        <w:tc>
          <w:tcPr>
            <w:tcW w:w="1984" w:type="dxa"/>
            <w:vAlign w:val="center"/>
          </w:tcPr>
          <w:p w14:paraId="019142B2">
            <w:pPr>
              <w:snapToGrid w:val="0"/>
              <w:jc w:val="center"/>
              <w:rPr>
                <w:bCs/>
                <w:szCs w:val="21"/>
              </w:rPr>
            </w:pPr>
            <w:r>
              <w:rPr>
                <w:rFonts w:hint="eastAsia"/>
                <w:bCs/>
                <w:szCs w:val="21"/>
              </w:rPr>
              <w:t>废</w:t>
            </w:r>
            <w:r>
              <w:rPr>
                <w:rFonts w:hint="eastAsia" w:ascii="宋体" w:cs="宋体"/>
                <w:kern w:val="0"/>
                <w:szCs w:val="21"/>
              </w:rPr>
              <w:t>润滑油桶</w:t>
            </w:r>
          </w:p>
        </w:tc>
        <w:tc>
          <w:tcPr>
            <w:tcW w:w="1701" w:type="dxa"/>
            <w:vAlign w:val="center"/>
          </w:tcPr>
          <w:p w14:paraId="32EE1207">
            <w:pPr>
              <w:pStyle w:val="56"/>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276" w:type="dxa"/>
            <w:vAlign w:val="center"/>
          </w:tcPr>
          <w:p w14:paraId="70225A68">
            <w:pPr>
              <w:pStyle w:val="56"/>
              <w:spacing w:beforeLines="0" w:afterLines="0" w:line="240" w:lineRule="auto"/>
              <w:rPr>
                <w:rFonts w:ascii="Times New Roman"/>
                <w:snapToGrid w:val="0"/>
                <w:color w:val="000000"/>
                <w:kern w:val="21"/>
                <w:szCs w:val="21"/>
              </w:rPr>
            </w:pPr>
            <w:r>
              <w:rPr>
                <w:rFonts w:ascii="Times New Roman"/>
                <w:snapToGrid w:val="0"/>
                <w:color w:val="000000"/>
                <w:kern w:val="21"/>
                <w:szCs w:val="21"/>
              </w:rPr>
              <w:t>/</w:t>
            </w:r>
          </w:p>
        </w:tc>
        <w:tc>
          <w:tcPr>
            <w:tcW w:w="1559" w:type="dxa"/>
            <w:vAlign w:val="center"/>
          </w:tcPr>
          <w:p w14:paraId="674BCC89">
            <w:pPr>
              <w:pStyle w:val="56"/>
              <w:spacing w:beforeLines="0" w:afterLines="0" w:line="240" w:lineRule="auto"/>
              <w:rPr>
                <w:rFonts w:ascii="Times New Roman"/>
                <w:snapToGrid w:val="0"/>
                <w:color w:val="000000"/>
                <w:kern w:val="21"/>
                <w:szCs w:val="21"/>
              </w:rPr>
            </w:pPr>
            <w:r>
              <w:rPr>
                <w:rFonts w:hint="eastAsia" w:ascii="Times New Roman"/>
                <w:snapToGrid w:val="0"/>
                <w:color w:val="000000"/>
                <w:kern w:val="21"/>
                <w:szCs w:val="21"/>
              </w:rPr>
              <w:t>/</w:t>
            </w:r>
          </w:p>
        </w:tc>
        <w:tc>
          <w:tcPr>
            <w:tcW w:w="1701" w:type="dxa"/>
            <w:vAlign w:val="center"/>
          </w:tcPr>
          <w:p w14:paraId="5BF6BBF1">
            <w:pPr>
              <w:snapToGrid w:val="0"/>
              <w:jc w:val="center"/>
              <w:rPr>
                <w:bCs/>
                <w:szCs w:val="21"/>
              </w:rPr>
            </w:pPr>
            <w:r>
              <w:rPr>
                <w:bCs/>
                <w:szCs w:val="21"/>
              </w:rPr>
              <w:t>0.01</w:t>
            </w:r>
            <w:r>
              <w:rPr>
                <w:snapToGrid w:val="0"/>
                <w:color w:val="000000"/>
                <w:kern w:val="21"/>
                <w:szCs w:val="21"/>
              </w:rPr>
              <w:t>t</w:t>
            </w:r>
            <w:r>
              <w:rPr>
                <w:rFonts w:hint="eastAsia"/>
                <w:snapToGrid w:val="0"/>
                <w:color w:val="000000"/>
                <w:kern w:val="21"/>
                <w:szCs w:val="21"/>
              </w:rPr>
              <w:t>/a</w:t>
            </w:r>
          </w:p>
        </w:tc>
        <w:tc>
          <w:tcPr>
            <w:tcW w:w="1559" w:type="dxa"/>
            <w:vAlign w:val="center"/>
          </w:tcPr>
          <w:p w14:paraId="13FB8343">
            <w:pPr>
              <w:pStyle w:val="56"/>
              <w:spacing w:beforeLines="0" w:afterLines="0" w:line="240" w:lineRule="auto"/>
              <w:rPr>
                <w:rFonts w:ascii="Times New Roman"/>
                <w:snapToGrid w:val="0"/>
                <w:color w:val="000000"/>
                <w:kern w:val="21"/>
                <w:szCs w:val="21"/>
              </w:rPr>
            </w:pPr>
            <w:r>
              <w:rPr>
                <w:rFonts w:hint="eastAsia" w:ascii="Times New Roman"/>
                <w:snapToGrid w:val="0"/>
                <w:color w:val="000000"/>
                <w:kern w:val="21"/>
                <w:szCs w:val="21"/>
              </w:rPr>
              <w:t>/</w:t>
            </w:r>
          </w:p>
        </w:tc>
        <w:tc>
          <w:tcPr>
            <w:tcW w:w="1418" w:type="dxa"/>
            <w:vAlign w:val="center"/>
          </w:tcPr>
          <w:p w14:paraId="6636110C">
            <w:pPr>
              <w:snapToGrid w:val="0"/>
              <w:jc w:val="center"/>
              <w:rPr>
                <w:bCs/>
                <w:szCs w:val="21"/>
              </w:rPr>
            </w:pPr>
            <w:r>
              <w:rPr>
                <w:bCs/>
                <w:szCs w:val="21"/>
              </w:rPr>
              <w:t>0.01</w:t>
            </w:r>
            <w:r>
              <w:rPr>
                <w:snapToGrid w:val="0"/>
                <w:color w:val="000000"/>
                <w:kern w:val="21"/>
                <w:szCs w:val="21"/>
              </w:rPr>
              <w:t>t</w:t>
            </w:r>
            <w:r>
              <w:rPr>
                <w:rFonts w:hint="eastAsia"/>
                <w:snapToGrid w:val="0"/>
                <w:color w:val="000000"/>
                <w:kern w:val="21"/>
                <w:szCs w:val="21"/>
              </w:rPr>
              <w:t>/a</w:t>
            </w:r>
          </w:p>
        </w:tc>
        <w:tc>
          <w:tcPr>
            <w:tcW w:w="1559" w:type="dxa"/>
            <w:vAlign w:val="center"/>
          </w:tcPr>
          <w:p w14:paraId="39569508">
            <w:pPr>
              <w:snapToGrid w:val="0"/>
              <w:jc w:val="center"/>
              <w:rPr>
                <w:bCs/>
                <w:szCs w:val="21"/>
              </w:rPr>
            </w:pPr>
            <w:r>
              <w:rPr>
                <w:bCs/>
                <w:szCs w:val="21"/>
              </w:rPr>
              <w:t>+0.01</w:t>
            </w:r>
            <w:r>
              <w:rPr>
                <w:snapToGrid w:val="0"/>
                <w:color w:val="000000"/>
                <w:kern w:val="21"/>
                <w:szCs w:val="21"/>
              </w:rPr>
              <w:t>t</w:t>
            </w:r>
            <w:r>
              <w:rPr>
                <w:rFonts w:hint="eastAsia"/>
                <w:snapToGrid w:val="0"/>
                <w:color w:val="000000"/>
                <w:kern w:val="21"/>
                <w:szCs w:val="21"/>
              </w:rPr>
              <w:t>/a</w:t>
            </w:r>
          </w:p>
        </w:tc>
      </w:tr>
    </w:tbl>
    <w:p w14:paraId="5E4B69A4">
      <w:pPr>
        <w:rPr>
          <w:rFonts w:ascii="宋体" w:hAnsi="宋体" w:eastAsia="黑体"/>
        </w:rPr>
      </w:pPr>
      <w:r>
        <w:rPr>
          <w:rFonts w:hAnsi="宋体"/>
          <w:snapToGrid w:val="0"/>
          <w:color w:val="000000"/>
          <w:kern w:val="21"/>
          <w:szCs w:val="21"/>
        </w:rPr>
        <w:t>注：</w:t>
      </w:r>
      <w:r>
        <w:rPr>
          <w:rFonts w:hAnsi="宋体"/>
          <w:snapToGrid w:val="0"/>
          <w:color w:val="000000"/>
          <w:spacing w:val="-16"/>
          <w:kern w:val="21"/>
          <w:szCs w:val="21"/>
        </w:rPr>
        <w:fldChar w:fldCharType="begin"/>
      </w:r>
      <w:r>
        <w:rPr>
          <w:rFonts w:hAnsi="宋体"/>
          <w:snapToGrid w:val="0"/>
          <w:color w:val="000000"/>
          <w:spacing w:val="-16"/>
          <w:kern w:val="21"/>
          <w:szCs w:val="21"/>
        </w:rPr>
        <w:instrText xml:space="preserve"> = 6 \* GB3 \* MERGEFORMAT </w:instrText>
      </w:r>
      <w:r>
        <w:rPr>
          <w:rFonts w:hAnsi="宋体"/>
          <w:snapToGrid w:val="0"/>
          <w:color w:val="000000"/>
          <w:spacing w:val="-16"/>
          <w:kern w:val="21"/>
          <w:szCs w:val="21"/>
        </w:rPr>
        <w:fldChar w:fldCharType="separate"/>
      </w:r>
      <w:r>
        <w:rPr>
          <w:rFonts w:hint="eastAsia" w:hAnsi="宋体"/>
          <w:szCs w:val="21"/>
        </w:rPr>
        <w:t>⑥</w:t>
      </w:r>
      <w:r>
        <w:rPr>
          <w:rFonts w:hAnsi="宋体"/>
          <w:snapToGrid w:val="0"/>
          <w:color w:val="000000"/>
          <w:spacing w:val="-16"/>
          <w:kern w:val="21"/>
          <w:szCs w:val="21"/>
        </w:rPr>
        <w:fldChar w:fldCharType="end"/>
      </w:r>
      <w:r>
        <w:rPr>
          <w:rFonts w:hAnsi="宋体"/>
          <w:snapToGrid w:val="0"/>
          <w:color w:val="000000"/>
          <w:spacing w:val="-16"/>
          <w:kern w:val="21"/>
          <w:szCs w:val="21"/>
        </w:rPr>
        <w:t>=</w:t>
      </w:r>
      <w:r>
        <w:rPr>
          <w:rFonts w:hAnsi="宋体"/>
          <w:snapToGrid w:val="0"/>
          <w:color w:val="000000"/>
          <w:spacing w:val="-6"/>
          <w:kern w:val="21"/>
          <w:szCs w:val="21"/>
        </w:rPr>
        <w:fldChar w:fldCharType="begin"/>
      </w:r>
      <w:r>
        <w:rPr>
          <w:rFonts w:hAnsi="宋体"/>
          <w:snapToGrid w:val="0"/>
          <w:color w:val="000000"/>
          <w:spacing w:val="-6"/>
          <w:kern w:val="21"/>
          <w:szCs w:val="21"/>
        </w:rPr>
        <w:instrText xml:space="preserve"> = 1 \* GB3 \* MERGEFORMAT </w:instrText>
      </w:r>
      <w:r>
        <w:rPr>
          <w:rFonts w:hAnsi="宋体"/>
          <w:snapToGrid w:val="0"/>
          <w:color w:val="000000"/>
          <w:spacing w:val="-6"/>
          <w:kern w:val="21"/>
          <w:szCs w:val="21"/>
        </w:rPr>
        <w:fldChar w:fldCharType="separate"/>
      </w:r>
      <w:r>
        <w:rPr>
          <w:rFonts w:hint="eastAsia" w:hAnsi="宋体"/>
          <w:szCs w:val="21"/>
        </w:rPr>
        <w:t>①</w:t>
      </w:r>
      <w:r>
        <w:rPr>
          <w:rFonts w:hAnsi="宋体"/>
          <w:snapToGrid w:val="0"/>
          <w:color w:val="000000"/>
          <w:spacing w:val="-6"/>
          <w:kern w:val="21"/>
          <w:szCs w:val="21"/>
        </w:rPr>
        <w:fldChar w:fldCharType="end"/>
      </w:r>
      <w:r>
        <w:rPr>
          <w:rFonts w:hAnsi="宋体"/>
          <w:snapToGrid w:val="0"/>
          <w:color w:val="000000"/>
          <w:spacing w:val="-6"/>
          <w:kern w:val="21"/>
          <w:szCs w:val="21"/>
        </w:rPr>
        <w:t>+</w:t>
      </w:r>
      <w:r>
        <w:rPr>
          <w:rFonts w:hAnsi="宋体"/>
          <w:snapToGrid w:val="0"/>
          <w:color w:val="000000"/>
          <w:spacing w:val="-6"/>
          <w:kern w:val="21"/>
          <w:szCs w:val="21"/>
        </w:rPr>
        <w:fldChar w:fldCharType="begin"/>
      </w:r>
      <w:r>
        <w:rPr>
          <w:rFonts w:hAnsi="宋体"/>
          <w:snapToGrid w:val="0"/>
          <w:color w:val="000000"/>
          <w:spacing w:val="-6"/>
          <w:kern w:val="21"/>
          <w:szCs w:val="21"/>
        </w:rPr>
        <w:instrText xml:space="preserve"> = 3 \* GB3 \* MERGEFORMAT </w:instrText>
      </w:r>
      <w:r>
        <w:rPr>
          <w:rFonts w:hAnsi="宋体"/>
          <w:snapToGrid w:val="0"/>
          <w:color w:val="000000"/>
          <w:spacing w:val="-6"/>
          <w:kern w:val="21"/>
          <w:szCs w:val="21"/>
        </w:rPr>
        <w:fldChar w:fldCharType="separate"/>
      </w:r>
      <w:r>
        <w:rPr>
          <w:rFonts w:hint="eastAsia" w:hAnsi="宋体"/>
          <w:szCs w:val="21"/>
        </w:rPr>
        <w:t>③</w:t>
      </w:r>
      <w:r>
        <w:rPr>
          <w:rFonts w:hAnsi="宋体"/>
          <w:snapToGrid w:val="0"/>
          <w:color w:val="000000"/>
          <w:spacing w:val="-6"/>
          <w:kern w:val="21"/>
          <w:szCs w:val="21"/>
        </w:rPr>
        <w:fldChar w:fldCharType="end"/>
      </w:r>
      <w:r>
        <w:rPr>
          <w:rFonts w:hAnsi="宋体"/>
          <w:snapToGrid w:val="0"/>
          <w:color w:val="000000"/>
          <w:spacing w:val="-6"/>
          <w:kern w:val="21"/>
          <w:szCs w:val="21"/>
        </w:rPr>
        <w:t>+</w:t>
      </w:r>
      <w:r>
        <w:rPr>
          <w:rFonts w:hAnsi="宋体"/>
          <w:snapToGrid w:val="0"/>
          <w:color w:val="000000"/>
          <w:spacing w:val="-6"/>
          <w:kern w:val="21"/>
          <w:szCs w:val="21"/>
        </w:rPr>
        <w:fldChar w:fldCharType="begin"/>
      </w:r>
      <w:r>
        <w:rPr>
          <w:rFonts w:hAnsi="宋体"/>
          <w:snapToGrid w:val="0"/>
          <w:color w:val="000000"/>
          <w:spacing w:val="-6"/>
          <w:kern w:val="21"/>
          <w:szCs w:val="21"/>
        </w:rPr>
        <w:instrText xml:space="preserve"> = 4 \* GB3 \* MERGEFORMAT </w:instrText>
      </w:r>
      <w:r>
        <w:rPr>
          <w:rFonts w:hAnsi="宋体"/>
          <w:snapToGrid w:val="0"/>
          <w:color w:val="000000"/>
          <w:spacing w:val="-6"/>
          <w:kern w:val="21"/>
          <w:szCs w:val="21"/>
        </w:rPr>
        <w:fldChar w:fldCharType="separate"/>
      </w:r>
      <w:r>
        <w:rPr>
          <w:rFonts w:hint="eastAsia" w:hAnsi="宋体"/>
          <w:szCs w:val="21"/>
        </w:rPr>
        <w:t>④</w:t>
      </w:r>
      <w:r>
        <w:rPr>
          <w:rFonts w:hAnsi="宋体"/>
          <w:snapToGrid w:val="0"/>
          <w:color w:val="000000"/>
          <w:spacing w:val="-6"/>
          <w:kern w:val="21"/>
          <w:szCs w:val="21"/>
        </w:rPr>
        <w:fldChar w:fldCharType="end"/>
      </w:r>
      <w:r>
        <w:rPr>
          <w:rFonts w:hAnsi="宋体"/>
          <w:snapToGrid w:val="0"/>
          <w:color w:val="000000"/>
          <w:spacing w:val="-6"/>
          <w:kern w:val="21"/>
          <w:szCs w:val="21"/>
        </w:rPr>
        <w:t>-</w:t>
      </w:r>
      <w:r>
        <w:rPr>
          <w:rFonts w:hAnsi="宋体"/>
          <w:snapToGrid w:val="0"/>
          <w:color w:val="000000"/>
          <w:spacing w:val="-16"/>
          <w:kern w:val="21"/>
          <w:szCs w:val="21"/>
        </w:rPr>
        <w:fldChar w:fldCharType="begin"/>
      </w:r>
      <w:r>
        <w:rPr>
          <w:rFonts w:hAnsi="宋体"/>
          <w:snapToGrid w:val="0"/>
          <w:color w:val="000000"/>
          <w:spacing w:val="-16"/>
          <w:kern w:val="21"/>
          <w:szCs w:val="21"/>
        </w:rPr>
        <w:instrText xml:space="preserve"> = 5 \* GB3 \* MERGEFORMAT </w:instrText>
      </w:r>
      <w:r>
        <w:rPr>
          <w:rFonts w:hAnsi="宋体"/>
          <w:snapToGrid w:val="0"/>
          <w:color w:val="000000"/>
          <w:spacing w:val="-16"/>
          <w:kern w:val="21"/>
          <w:szCs w:val="21"/>
        </w:rPr>
        <w:fldChar w:fldCharType="separate"/>
      </w:r>
      <w:r>
        <w:rPr>
          <w:rFonts w:hint="eastAsia" w:hAnsi="宋体"/>
          <w:szCs w:val="21"/>
        </w:rPr>
        <w:t>⑤</w:t>
      </w:r>
      <w:r>
        <w:rPr>
          <w:rFonts w:hAnsi="宋体"/>
          <w:snapToGrid w:val="0"/>
          <w:color w:val="000000"/>
          <w:spacing w:val="-16"/>
          <w:kern w:val="21"/>
          <w:szCs w:val="21"/>
        </w:rPr>
        <w:fldChar w:fldCharType="end"/>
      </w:r>
      <w:r>
        <w:rPr>
          <w:rFonts w:hAnsi="宋体"/>
          <w:snapToGrid w:val="0"/>
          <w:color w:val="000000"/>
          <w:spacing w:val="-16"/>
          <w:kern w:val="21"/>
          <w:szCs w:val="21"/>
        </w:rPr>
        <w:t>；</w:t>
      </w:r>
      <w:r>
        <w:rPr>
          <w:rFonts w:hAnsi="宋体"/>
          <w:snapToGrid w:val="0"/>
          <w:color w:val="000000"/>
          <w:spacing w:val="-6"/>
          <w:kern w:val="21"/>
          <w:szCs w:val="21"/>
        </w:rPr>
        <w:fldChar w:fldCharType="begin"/>
      </w:r>
      <w:r>
        <w:rPr>
          <w:rFonts w:hAnsi="宋体"/>
          <w:snapToGrid w:val="0"/>
          <w:color w:val="000000"/>
          <w:spacing w:val="-6"/>
          <w:kern w:val="21"/>
          <w:szCs w:val="21"/>
        </w:rPr>
        <w:instrText xml:space="preserve"> = 7 \* GB3 \* MERGEFORMAT </w:instrText>
      </w:r>
      <w:r>
        <w:rPr>
          <w:rFonts w:hAnsi="宋体"/>
          <w:snapToGrid w:val="0"/>
          <w:color w:val="000000"/>
          <w:spacing w:val="-6"/>
          <w:kern w:val="21"/>
          <w:szCs w:val="21"/>
        </w:rPr>
        <w:fldChar w:fldCharType="separate"/>
      </w:r>
      <w:r>
        <w:rPr>
          <w:rFonts w:hint="eastAsia" w:hAnsi="宋体"/>
          <w:szCs w:val="21"/>
        </w:rPr>
        <w:t>⑦</w:t>
      </w:r>
      <w:r>
        <w:rPr>
          <w:rFonts w:hAnsi="宋体"/>
          <w:snapToGrid w:val="0"/>
          <w:color w:val="000000"/>
          <w:spacing w:val="-6"/>
          <w:kern w:val="21"/>
          <w:szCs w:val="21"/>
        </w:rPr>
        <w:fldChar w:fldCharType="end"/>
      </w:r>
      <w:r>
        <w:rPr>
          <w:rFonts w:hAnsi="宋体"/>
          <w:snapToGrid w:val="0"/>
          <w:color w:val="000000"/>
          <w:spacing w:val="-6"/>
          <w:kern w:val="21"/>
          <w:szCs w:val="21"/>
        </w:rPr>
        <w:t>=</w:t>
      </w:r>
      <w:r>
        <w:rPr>
          <w:rFonts w:hAnsi="宋体"/>
          <w:snapToGrid w:val="0"/>
          <w:color w:val="000000"/>
          <w:spacing w:val="-16"/>
          <w:kern w:val="21"/>
          <w:szCs w:val="21"/>
        </w:rPr>
        <w:fldChar w:fldCharType="begin"/>
      </w:r>
      <w:r>
        <w:rPr>
          <w:rFonts w:hAnsi="宋体"/>
          <w:snapToGrid w:val="0"/>
          <w:color w:val="000000"/>
          <w:spacing w:val="-16"/>
          <w:kern w:val="21"/>
          <w:szCs w:val="21"/>
        </w:rPr>
        <w:instrText xml:space="preserve"> = 6 \* GB3 \* MERGEFORMAT </w:instrText>
      </w:r>
      <w:r>
        <w:rPr>
          <w:rFonts w:hAnsi="宋体"/>
          <w:snapToGrid w:val="0"/>
          <w:color w:val="000000"/>
          <w:spacing w:val="-16"/>
          <w:kern w:val="21"/>
          <w:szCs w:val="21"/>
        </w:rPr>
        <w:fldChar w:fldCharType="separate"/>
      </w:r>
      <w:r>
        <w:rPr>
          <w:rFonts w:hint="eastAsia" w:hAnsi="宋体"/>
          <w:szCs w:val="21"/>
        </w:rPr>
        <w:t>⑥</w:t>
      </w:r>
      <w:r>
        <w:rPr>
          <w:rFonts w:hAnsi="宋体"/>
          <w:snapToGrid w:val="0"/>
          <w:color w:val="000000"/>
          <w:spacing w:val="-16"/>
          <w:kern w:val="21"/>
          <w:szCs w:val="21"/>
        </w:rPr>
        <w:fldChar w:fldCharType="end"/>
      </w:r>
      <w:r>
        <w:rPr>
          <w:rFonts w:hAnsi="宋体"/>
          <w:snapToGrid w:val="0"/>
          <w:color w:val="000000"/>
          <w:spacing w:val="-16"/>
          <w:kern w:val="21"/>
          <w:szCs w:val="21"/>
        </w:rPr>
        <w:t>-</w:t>
      </w:r>
      <w:r>
        <w:rPr>
          <w:rFonts w:hAnsi="宋体"/>
          <w:snapToGrid w:val="0"/>
          <w:color w:val="000000"/>
          <w:spacing w:val="-6"/>
          <w:kern w:val="21"/>
          <w:szCs w:val="21"/>
        </w:rPr>
        <w:fldChar w:fldCharType="begin"/>
      </w:r>
      <w:r>
        <w:rPr>
          <w:rFonts w:hAnsi="宋体"/>
          <w:snapToGrid w:val="0"/>
          <w:color w:val="000000"/>
          <w:spacing w:val="-6"/>
          <w:kern w:val="21"/>
          <w:szCs w:val="21"/>
        </w:rPr>
        <w:instrText xml:space="preserve"> = 1 \* GB3 \* MERGEFORMAT </w:instrText>
      </w:r>
      <w:r>
        <w:rPr>
          <w:rFonts w:hAnsi="宋体"/>
          <w:snapToGrid w:val="0"/>
          <w:color w:val="000000"/>
          <w:spacing w:val="-6"/>
          <w:kern w:val="21"/>
          <w:szCs w:val="21"/>
        </w:rPr>
        <w:fldChar w:fldCharType="separate"/>
      </w:r>
      <w:r>
        <w:rPr>
          <w:rFonts w:hint="eastAsia" w:hAnsi="宋体"/>
          <w:szCs w:val="21"/>
        </w:rPr>
        <w:t>①</w:t>
      </w:r>
      <w:r>
        <w:rPr>
          <w:rFonts w:hAnsi="宋体"/>
          <w:snapToGrid w:val="0"/>
          <w:color w:val="000000"/>
          <w:spacing w:val="-6"/>
          <w:kern w:val="21"/>
          <w:szCs w:val="21"/>
        </w:rPr>
        <w:fldChar w:fldCharType="end"/>
      </w:r>
    </w:p>
    <w:sectPr>
      <w:footerReference r:id="rId4" w:type="default"/>
      <w:pgSz w:w="16838" w:h="11906" w:orient="landscape"/>
      <w:pgMar w:top="1531" w:right="1701" w:bottom="1531" w:left="1701" w:header="851" w:footer="850"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TimesNewRomanPSMT">
    <w:altName w:val="Times New Roman"/>
    <w:panose1 w:val="00000000000000000000"/>
    <w:charset w:val="86"/>
    <w:family w:val="auto"/>
    <w:pitch w:val="default"/>
    <w:sig w:usb0="00000000" w:usb1="00000000" w:usb2="00000000" w:usb3="00000000" w:csb0="00040000" w:csb1="00000000"/>
  </w:font>
  <w:font w:name="MS Mincho">
    <w:altName w:val="Yu Gothic UI"/>
    <w:panose1 w:val="02020609040205080304"/>
    <w:charset w:val="80"/>
    <w:family w:val="auto"/>
    <w:pitch w:val="default"/>
    <w:sig w:usb0="00000000" w:usb1="00000000" w:usb2="00000012" w:usb3="00000000" w:csb0="4002009F" w:csb1="DFD7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Wingdings">
    <w:panose1 w:val="05000000000000000000"/>
    <w:charset w:val="00"/>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B7E901">
    <w:pPr>
      <w:pStyle w:val="21"/>
      <w:framePr w:wrap="around" w:vAnchor="text" w:hAnchor="margin" w:xAlign="outside" w:y="1"/>
      <w:rPr>
        <w:rStyle w:val="33"/>
        <w:rFonts w:ascii="宋体" w:hAnsi="宋体"/>
        <w:sz w:val="28"/>
        <w:szCs w:val="28"/>
      </w:rPr>
    </w:pPr>
    <w:r>
      <w:rPr>
        <w:rStyle w:val="33"/>
        <w:rFonts w:hint="eastAsia" w:ascii="宋体" w:hAnsi="宋体"/>
        <w:sz w:val="28"/>
        <w:szCs w:val="28"/>
      </w:rPr>
      <w:t>—</w:t>
    </w:r>
    <w:r>
      <w:rPr>
        <w:rStyle w:val="33"/>
        <w:rFonts w:ascii="宋体" w:hAnsi="宋体"/>
        <w:sz w:val="26"/>
        <w:szCs w:val="26"/>
      </w:rPr>
      <w:fldChar w:fldCharType="begin"/>
    </w:r>
    <w:r>
      <w:rPr>
        <w:rStyle w:val="33"/>
        <w:rFonts w:ascii="宋体" w:hAnsi="宋体"/>
        <w:sz w:val="26"/>
        <w:szCs w:val="26"/>
      </w:rPr>
      <w:instrText xml:space="preserve">PAGE  </w:instrText>
    </w:r>
    <w:r>
      <w:rPr>
        <w:rStyle w:val="33"/>
        <w:rFonts w:ascii="宋体" w:hAnsi="宋体"/>
        <w:sz w:val="26"/>
        <w:szCs w:val="26"/>
      </w:rPr>
      <w:fldChar w:fldCharType="separate"/>
    </w:r>
    <w:r>
      <w:rPr>
        <w:rStyle w:val="33"/>
        <w:rFonts w:ascii="宋体" w:hAnsi="宋体"/>
        <w:sz w:val="26"/>
        <w:szCs w:val="26"/>
      </w:rPr>
      <w:t>43</w:t>
    </w:r>
    <w:r>
      <w:rPr>
        <w:rStyle w:val="33"/>
        <w:rFonts w:ascii="宋体" w:hAnsi="宋体"/>
        <w:sz w:val="26"/>
        <w:szCs w:val="26"/>
      </w:rPr>
      <w:fldChar w:fldCharType="end"/>
    </w:r>
    <w:r>
      <w:rPr>
        <w:rStyle w:val="33"/>
        <w:rFonts w:hint="eastAsia" w:ascii="宋体" w:hAnsi="宋体"/>
        <w:sz w:val="28"/>
        <w:szCs w:val="28"/>
      </w:rPr>
      <w:t>—</w:t>
    </w:r>
  </w:p>
  <w:p w14:paraId="483496D0">
    <w:pPr>
      <w:pStyle w:val="21"/>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763FCD">
    <w:pPr>
      <w:pStyle w:val="21"/>
      <w:framePr w:wrap="around" w:vAnchor="text" w:hAnchor="margin" w:xAlign="outside" w:y="1"/>
      <w:rPr>
        <w:rStyle w:val="33"/>
        <w:rFonts w:ascii="宋体" w:hAnsi="宋体"/>
        <w:sz w:val="28"/>
        <w:szCs w:val="28"/>
      </w:rPr>
    </w:pPr>
    <w:r>
      <w:rPr>
        <w:rStyle w:val="33"/>
        <w:rFonts w:hint="eastAsia" w:ascii="宋体" w:hAnsi="宋体"/>
        <w:sz w:val="28"/>
        <w:szCs w:val="28"/>
      </w:rPr>
      <w:t>—</w:t>
    </w:r>
    <w:r>
      <w:rPr>
        <w:rStyle w:val="33"/>
        <w:rFonts w:ascii="宋体" w:hAnsi="宋体"/>
        <w:sz w:val="26"/>
        <w:szCs w:val="26"/>
      </w:rPr>
      <w:fldChar w:fldCharType="begin"/>
    </w:r>
    <w:r>
      <w:rPr>
        <w:rStyle w:val="33"/>
        <w:rFonts w:ascii="宋体" w:hAnsi="宋体"/>
        <w:sz w:val="26"/>
        <w:szCs w:val="26"/>
      </w:rPr>
      <w:instrText xml:space="preserve">PAGE  </w:instrText>
    </w:r>
    <w:r>
      <w:rPr>
        <w:rStyle w:val="33"/>
        <w:rFonts w:ascii="宋体" w:hAnsi="宋体"/>
        <w:sz w:val="26"/>
        <w:szCs w:val="26"/>
      </w:rPr>
      <w:fldChar w:fldCharType="separate"/>
    </w:r>
    <w:r>
      <w:rPr>
        <w:rStyle w:val="33"/>
        <w:rFonts w:ascii="宋体" w:hAnsi="宋体"/>
        <w:sz w:val="26"/>
        <w:szCs w:val="26"/>
      </w:rPr>
      <w:t>56</w:t>
    </w:r>
    <w:r>
      <w:rPr>
        <w:rStyle w:val="33"/>
        <w:rFonts w:ascii="宋体" w:hAnsi="宋体"/>
        <w:sz w:val="26"/>
        <w:szCs w:val="26"/>
      </w:rPr>
      <w:fldChar w:fldCharType="end"/>
    </w:r>
    <w:r>
      <w:rPr>
        <w:rStyle w:val="33"/>
        <w:rFonts w:hint="eastAsia" w:ascii="宋体" w:hAnsi="宋体"/>
        <w:sz w:val="28"/>
        <w:szCs w:val="28"/>
      </w:rPr>
      <w:t>—</w:t>
    </w:r>
  </w:p>
  <w:p w14:paraId="47EDF324">
    <w:pPr>
      <w:pStyle w:val="21"/>
      <w:ind w:right="360" w:firstLine="360"/>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3F2BB5"/>
    <w:multiLevelType w:val="singleLevel"/>
    <w:tmpl w:val="E73F2BB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dit="trackedChanges" w:enforcement="0"/>
  <w:defaultTabStop w:val="420"/>
  <w:doNotHyphenateCaps/>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947"/>
    <w:rsid w:val="00000177"/>
    <w:rsid w:val="0000025A"/>
    <w:rsid w:val="000002FC"/>
    <w:rsid w:val="00000474"/>
    <w:rsid w:val="00000933"/>
    <w:rsid w:val="00000F99"/>
    <w:rsid w:val="00001332"/>
    <w:rsid w:val="00001405"/>
    <w:rsid w:val="0000151B"/>
    <w:rsid w:val="0000195C"/>
    <w:rsid w:val="00001E7F"/>
    <w:rsid w:val="00002340"/>
    <w:rsid w:val="0000235B"/>
    <w:rsid w:val="000028E1"/>
    <w:rsid w:val="000029DC"/>
    <w:rsid w:val="00002A69"/>
    <w:rsid w:val="0000303E"/>
    <w:rsid w:val="00003156"/>
    <w:rsid w:val="00003401"/>
    <w:rsid w:val="000036C7"/>
    <w:rsid w:val="00003815"/>
    <w:rsid w:val="00003A12"/>
    <w:rsid w:val="00003C24"/>
    <w:rsid w:val="00003CBE"/>
    <w:rsid w:val="00003FF3"/>
    <w:rsid w:val="00004082"/>
    <w:rsid w:val="000040BA"/>
    <w:rsid w:val="00004B79"/>
    <w:rsid w:val="00004BE0"/>
    <w:rsid w:val="000053B5"/>
    <w:rsid w:val="000054A2"/>
    <w:rsid w:val="00005645"/>
    <w:rsid w:val="0000566E"/>
    <w:rsid w:val="00005851"/>
    <w:rsid w:val="000060B3"/>
    <w:rsid w:val="0000611C"/>
    <w:rsid w:val="000064C8"/>
    <w:rsid w:val="0000672F"/>
    <w:rsid w:val="00006C72"/>
    <w:rsid w:val="000070EB"/>
    <w:rsid w:val="00007286"/>
    <w:rsid w:val="0000737D"/>
    <w:rsid w:val="00007A2C"/>
    <w:rsid w:val="00007EA8"/>
    <w:rsid w:val="0001057F"/>
    <w:rsid w:val="0001075F"/>
    <w:rsid w:val="000107ED"/>
    <w:rsid w:val="00011527"/>
    <w:rsid w:val="00011704"/>
    <w:rsid w:val="000118EA"/>
    <w:rsid w:val="00011954"/>
    <w:rsid w:val="00011A42"/>
    <w:rsid w:val="00011CD2"/>
    <w:rsid w:val="0001217D"/>
    <w:rsid w:val="000121DB"/>
    <w:rsid w:val="000122D9"/>
    <w:rsid w:val="0001241F"/>
    <w:rsid w:val="000124F2"/>
    <w:rsid w:val="00012713"/>
    <w:rsid w:val="00012727"/>
    <w:rsid w:val="00012AB8"/>
    <w:rsid w:val="00012B04"/>
    <w:rsid w:val="00012D2F"/>
    <w:rsid w:val="00012E8E"/>
    <w:rsid w:val="0001329B"/>
    <w:rsid w:val="00013441"/>
    <w:rsid w:val="00013452"/>
    <w:rsid w:val="00013539"/>
    <w:rsid w:val="00013628"/>
    <w:rsid w:val="000138BA"/>
    <w:rsid w:val="0001391D"/>
    <w:rsid w:val="00013D50"/>
    <w:rsid w:val="000140CE"/>
    <w:rsid w:val="000141DE"/>
    <w:rsid w:val="000141FD"/>
    <w:rsid w:val="0001438D"/>
    <w:rsid w:val="000144A9"/>
    <w:rsid w:val="000145ED"/>
    <w:rsid w:val="000148D3"/>
    <w:rsid w:val="000149A6"/>
    <w:rsid w:val="00014A0C"/>
    <w:rsid w:val="00014AC2"/>
    <w:rsid w:val="00014AF7"/>
    <w:rsid w:val="00014B38"/>
    <w:rsid w:val="00014E5B"/>
    <w:rsid w:val="000156E3"/>
    <w:rsid w:val="00015E0E"/>
    <w:rsid w:val="00015E3E"/>
    <w:rsid w:val="00015F20"/>
    <w:rsid w:val="000161FF"/>
    <w:rsid w:val="0001621E"/>
    <w:rsid w:val="000162F4"/>
    <w:rsid w:val="00016920"/>
    <w:rsid w:val="00016F00"/>
    <w:rsid w:val="00017130"/>
    <w:rsid w:val="0001714E"/>
    <w:rsid w:val="0001725C"/>
    <w:rsid w:val="0001728B"/>
    <w:rsid w:val="000175C0"/>
    <w:rsid w:val="0001796A"/>
    <w:rsid w:val="00020576"/>
    <w:rsid w:val="00020585"/>
    <w:rsid w:val="00020899"/>
    <w:rsid w:val="00020B57"/>
    <w:rsid w:val="0002148F"/>
    <w:rsid w:val="0002155D"/>
    <w:rsid w:val="00021818"/>
    <w:rsid w:val="0002188A"/>
    <w:rsid w:val="00021961"/>
    <w:rsid w:val="00021D64"/>
    <w:rsid w:val="00021F10"/>
    <w:rsid w:val="00022459"/>
    <w:rsid w:val="00022946"/>
    <w:rsid w:val="00022B58"/>
    <w:rsid w:val="00022C2E"/>
    <w:rsid w:val="00022D5B"/>
    <w:rsid w:val="00022DE7"/>
    <w:rsid w:val="00022E31"/>
    <w:rsid w:val="00023666"/>
    <w:rsid w:val="0002379A"/>
    <w:rsid w:val="000238F2"/>
    <w:rsid w:val="000238FD"/>
    <w:rsid w:val="00023C3C"/>
    <w:rsid w:val="00023FD6"/>
    <w:rsid w:val="000241EC"/>
    <w:rsid w:val="00024650"/>
    <w:rsid w:val="00024835"/>
    <w:rsid w:val="00024B29"/>
    <w:rsid w:val="00024C28"/>
    <w:rsid w:val="000255B8"/>
    <w:rsid w:val="00025A0E"/>
    <w:rsid w:val="00025A29"/>
    <w:rsid w:val="00025ACE"/>
    <w:rsid w:val="00025BA0"/>
    <w:rsid w:val="000263A0"/>
    <w:rsid w:val="000263C1"/>
    <w:rsid w:val="0002678C"/>
    <w:rsid w:val="00026801"/>
    <w:rsid w:val="00026862"/>
    <w:rsid w:val="00026B73"/>
    <w:rsid w:val="00026C9E"/>
    <w:rsid w:val="00026D08"/>
    <w:rsid w:val="00027516"/>
    <w:rsid w:val="0002771F"/>
    <w:rsid w:val="00027855"/>
    <w:rsid w:val="00027962"/>
    <w:rsid w:val="00027EEE"/>
    <w:rsid w:val="0003006F"/>
    <w:rsid w:val="00030155"/>
    <w:rsid w:val="000306A0"/>
    <w:rsid w:val="000306A6"/>
    <w:rsid w:val="000306D5"/>
    <w:rsid w:val="0003079A"/>
    <w:rsid w:val="000307DF"/>
    <w:rsid w:val="000310CE"/>
    <w:rsid w:val="0003110A"/>
    <w:rsid w:val="00031182"/>
    <w:rsid w:val="000311D9"/>
    <w:rsid w:val="000312FD"/>
    <w:rsid w:val="00031603"/>
    <w:rsid w:val="00031686"/>
    <w:rsid w:val="000317D1"/>
    <w:rsid w:val="00031A39"/>
    <w:rsid w:val="00031CA8"/>
    <w:rsid w:val="00031E05"/>
    <w:rsid w:val="00031FC4"/>
    <w:rsid w:val="00032274"/>
    <w:rsid w:val="000322B7"/>
    <w:rsid w:val="0003243B"/>
    <w:rsid w:val="000324D8"/>
    <w:rsid w:val="00032500"/>
    <w:rsid w:val="00032531"/>
    <w:rsid w:val="00032652"/>
    <w:rsid w:val="0003281D"/>
    <w:rsid w:val="00032855"/>
    <w:rsid w:val="000328D9"/>
    <w:rsid w:val="00032B2E"/>
    <w:rsid w:val="00032CBB"/>
    <w:rsid w:val="00032DCB"/>
    <w:rsid w:val="00032F9A"/>
    <w:rsid w:val="00033605"/>
    <w:rsid w:val="000337AB"/>
    <w:rsid w:val="00033DD5"/>
    <w:rsid w:val="000340D7"/>
    <w:rsid w:val="000343AF"/>
    <w:rsid w:val="000345F3"/>
    <w:rsid w:val="000346BA"/>
    <w:rsid w:val="00034A1C"/>
    <w:rsid w:val="00034A6C"/>
    <w:rsid w:val="00034A8F"/>
    <w:rsid w:val="00034BA9"/>
    <w:rsid w:val="00034D4D"/>
    <w:rsid w:val="00035437"/>
    <w:rsid w:val="000358CD"/>
    <w:rsid w:val="00035A48"/>
    <w:rsid w:val="00035D6D"/>
    <w:rsid w:val="00035D77"/>
    <w:rsid w:val="0003613E"/>
    <w:rsid w:val="000361D2"/>
    <w:rsid w:val="000368C6"/>
    <w:rsid w:val="00036AE7"/>
    <w:rsid w:val="00036C98"/>
    <w:rsid w:val="000371C8"/>
    <w:rsid w:val="0003722E"/>
    <w:rsid w:val="00037236"/>
    <w:rsid w:val="000373EB"/>
    <w:rsid w:val="000376F2"/>
    <w:rsid w:val="000377D2"/>
    <w:rsid w:val="00037AAF"/>
    <w:rsid w:val="00037B21"/>
    <w:rsid w:val="00037EF9"/>
    <w:rsid w:val="00040112"/>
    <w:rsid w:val="00040547"/>
    <w:rsid w:val="00040614"/>
    <w:rsid w:val="00040BCC"/>
    <w:rsid w:val="00040F42"/>
    <w:rsid w:val="00040F86"/>
    <w:rsid w:val="000415F7"/>
    <w:rsid w:val="0004184A"/>
    <w:rsid w:val="00041A12"/>
    <w:rsid w:val="00041CAE"/>
    <w:rsid w:val="0004257C"/>
    <w:rsid w:val="00042879"/>
    <w:rsid w:val="00042906"/>
    <w:rsid w:val="00042A6D"/>
    <w:rsid w:val="00042F03"/>
    <w:rsid w:val="00043142"/>
    <w:rsid w:val="0004323F"/>
    <w:rsid w:val="00043502"/>
    <w:rsid w:val="0004364B"/>
    <w:rsid w:val="00043A26"/>
    <w:rsid w:val="00043D38"/>
    <w:rsid w:val="000440A8"/>
    <w:rsid w:val="00044200"/>
    <w:rsid w:val="000442F4"/>
    <w:rsid w:val="0004437A"/>
    <w:rsid w:val="000446D2"/>
    <w:rsid w:val="00044714"/>
    <w:rsid w:val="00044AC0"/>
    <w:rsid w:val="00044C75"/>
    <w:rsid w:val="00044F83"/>
    <w:rsid w:val="00045404"/>
    <w:rsid w:val="000455EF"/>
    <w:rsid w:val="00045661"/>
    <w:rsid w:val="00045956"/>
    <w:rsid w:val="00045DF6"/>
    <w:rsid w:val="00045EF0"/>
    <w:rsid w:val="00046144"/>
    <w:rsid w:val="000464C2"/>
    <w:rsid w:val="00046883"/>
    <w:rsid w:val="00046AB1"/>
    <w:rsid w:val="00046CD7"/>
    <w:rsid w:val="00046D02"/>
    <w:rsid w:val="00046DB1"/>
    <w:rsid w:val="0004703A"/>
    <w:rsid w:val="000471A0"/>
    <w:rsid w:val="00047334"/>
    <w:rsid w:val="000477EE"/>
    <w:rsid w:val="000478C7"/>
    <w:rsid w:val="00047917"/>
    <w:rsid w:val="00047F23"/>
    <w:rsid w:val="00050362"/>
    <w:rsid w:val="0005062C"/>
    <w:rsid w:val="00050961"/>
    <w:rsid w:val="00050CBF"/>
    <w:rsid w:val="00050D67"/>
    <w:rsid w:val="00050DAF"/>
    <w:rsid w:val="000511E0"/>
    <w:rsid w:val="00051A97"/>
    <w:rsid w:val="00051B0B"/>
    <w:rsid w:val="00051C39"/>
    <w:rsid w:val="00051D43"/>
    <w:rsid w:val="00051DBC"/>
    <w:rsid w:val="00051E20"/>
    <w:rsid w:val="000529D2"/>
    <w:rsid w:val="00052F57"/>
    <w:rsid w:val="00052F5D"/>
    <w:rsid w:val="0005352D"/>
    <w:rsid w:val="0005359A"/>
    <w:rsid w:val="00053945"/>
    <w:rsid w:val="00053BBC"/>
    <w:rsid w:val="00053C15"/>
    <w:rsid w:val="00053C17"/>
    <w:rsid w:val="000541FB"/>
    <w:rsid w:val="0005433B"/>
    <w:rsid w:val="00054341"/>
    <w:rsid w:val="00054522"/>
    <w:rsid w:val="00054C02"/>
    <w:rsid w:val="0005502A"/>
    <w:rsid w:val="0005507E"/>
    <w:rsid w:val="0005512F"/>
    <w:rsid w:val="0005541D"/>
    <w:rsid w:val="00055420"/>
    <w:rsid w:val="000554BC"/>
    <w:rsid w:val="00055596"/>
    <w:rsid w:val="00055BB1"/>
    <w:rsid w:val="00055C33"/>
    <w:rsid w:val="00055FDB"/>
    <w:rsid w:val="000562CA"/>
    <w:rsid w:val="000568EC"/>
    <w:rsid w:val="00056A65"/>
    <w:rsid w:val="00056B1F"/>
    <w:rsid w:val="00056BBC"/>
    <w:rsid w:val="000570C5"/>
    <w:rsid w:val="00057343"/>
    <w:rsid w:val="00057941"/>
    <w:rsid w:val="00057BA7"/>
    <w:rsid w:val="000603BF"/>
    <w:rsid w:val="000609B1"/>
    <w:rsid w:val="00060B1F"/>
    <w:rsid w:val="00060D64"/>
    <w:rsid w:val="0006100B"/>
    <w:rsid w:val="000610BE"/>
    <w:rsid w:val="00061353"/>
    <w:rsid w:val="000618D3"/>
    <w:rsid w:val="0006194D"/>
    <w:rsid w:val="00061B1F"/>
    <w:rsid w:val="00061ED3"/>
    <w:rsid w:val="000625F5"/>
    <w:rsid w:val="00062B5A"/>
    <w:rsid w:val="00062CB6"/>
    <w:rsid w:val="00062E6D"/>
    <w:rsid w:val="00063125"/>
    <w:rsid w:val="0006364C"/>
    <w:rsid w:val="00063780"/>
    <w:rsid w:val="0006398F"/>
    <w:rsid w:val="00064236"/>
    <w:rsid w:val="000642C5"/>
    <w:rsid w:val="00064420"/>
    <w:rsid w:val="000645B6"/>
    <w:rsid w:val="00064805"/>
    <w:rsid w:val="000649B5"/>
    <w:rsid w:val="00064AB4"/>
    <w:rsid w:val="00064EB4"/>
    <w:rsid w:val="00064F37"/>
    <w:rsid w:val="0006503A"/>
    <w:rsid w:val="0006545A"/>
    <w:rsid w:val="0006584C"/>
    <w:rsid w:val="00065C54"/>
    <w:rsid w:val="00065D58"/>
    <w:rsid w:val="00065EA0"/>
    <w:rsid w:val="00065FF8"/>
    <w:rsid w:val="000661E8"/>
    <w:rsid w:val="00066251"/>
    <w:rsid w:val="00066327"/>
    <w:rsid w:val="000664E4"/>
    <w:rsid w:val="00066714"/>
    <w:rsid w:val="00066CC5"/>
    <w:rsid w:val="00066EFD"/>
    <w:rsid w:val="00066F77"/>
    <w:rsid w:val="000672FB"/>
    <w:rsid w:val="00067790"/>
    <w:rsid w:val="000678BC"/>
    <w:rsid w:val="0006793A"/>
    <w:rsid w:val="00067E48"/>
    <w:rsid w:val="00070107"/>
    <w:rsid w:val="0007061F"/>
    <w:rsid w:val="00070A30"/>
    <w:rsid w:val="00070AC1"/>
    <w:rsid w:val="0007106E"/>
    <w:rsid w:val="00071597"/>
    <w:rsid w:val="00071664"/>
    <w:rsid w:val="00071DEA"/>
    <w:rsid w:val="00071F4B"/>
    <w:rsid w:val="0007212B"/>
    <w:rsid w:val="0007257D"/>
    <w:rsid w:val="00072677"/>
    <w:rsid w:val="00072877"/>
    <w:rsid w:val="00072B69"/>
    <w:rsid w:val="00072B98"/>
    <w:rsid w:val="00072E52"/>
    <w:rsid w:val="00072FE8"/>
    <w:rsid w:val="00073316"/>
    <w:rsid w:val="000733C4"/>
    <w:rsid w:val="0007359F"/>
    <w:rsid w:val="0007368A"/>
    <w:rsid w:val="00073B2B"/>
    <w:rsid w:val="00073BC3"/>
    <w:rsid w:val="00073C5A"/>
    <w:rsid w:val="00073D34"/>
    <w:rsid w:val="00073D8E"/>
    <w:rsid w:val="00073EB2"/>
    <w:rsid w:val="00073F32"/>
    <w:rsid w:val="0007475B"/>
    <w:rsid w:val="00074783"/>
    <w:rsid w:val="000748B7"/>
    <w:rsid w:val="00074BB5"/>
    <w:rsid w:val="00074E50"/>
    <w:rsid w:val="00074F61"/>
    <w:rsid w:val="00075A15"/>
    <w:rsid w:val="00075A2B"/>
    <w:rsid w:val="00075ACB"/>
    <w:rsid w:val="000763AF"/>
    <w:rsid w:val="000767CE"/>
    <w:rsid w:val="00076A02"/>
    <w:rsid w:val="00076A66"/>
    <w:rsid w:val="00076FD1"/>
    <w:rsid w:val="00077025"/>
    <w:rsid w:val="0007707B"/>
    <w:rsid w:val="00077095"/>
    <w:rsid w:val="0007727B"/>
    <w:rsid w:val="00077908"/>
    <w:rsid w:val="00077B2B"/>
    <w:rsid w:val="00077E19"/>
    <w:rsid w:val="00077FE8"/>
    <w:rsid w:val="0008070B"/>
    <w:rsid w:val="000808F7"/>
    <w:rsid w:val="000810AC"/>
    <w:rsid w:val="00081349"/>
    <w:rsid w:val="000816F7"/>
    <w:rsid w:val="0008176A"/>
    <w:rsid w:val="0008179C"/>
    <w:rsid w:val="0008180E"/>
    <w:rsid w:val="000819A5"/>
    <w:rsid w:val="000819C6"/>
    <w:rsid w:val="00081A02"/>
    <w:rsid w:val="00081BDC"/>
    <w:rsid w:val="00082231"/>
    <w:rsid w:val="0008242C"/>
    <w:rsid w:val="000825E5"/>
    <w:rsid w:val="0008277C"/>
    <w:rsid w:val="00082A88"/>
    <w:rsid w:val="00082AAB"/>
    <w:rsid w:val="00083203"/>
    <w:rsid w:val="0008328E"/>
    <w:rsid w:val="0008347D"/>
    <w:rsid w:val="0008354B"/>
    <w:rsid w:val="0008366E"/>
    <w:rsid w:val="000838E0"/>
    <w:rsid w:val="00083B33"/>
    <w:rsid w:val="00083DDB"/>
    <w:rsid w:val="000846FD"/>
    <w:rsid w:val="000847B9"/>
    <w:rsid w:val="00084A79"/>
    <w:rsid w:val="00084B91"/>
    <w:rsid w:val="00084C81"/>
    <w:rsid w:val="0008506F"/>
    <w:rsid w:val="00085367"/>
    <w:rsid w:val="000854F8"/>
    <w:rsid w:val="000855B3"/>
    <w:rsid w:val="000857FE"/>
    <w:rsid w:val="00085A0D"/>
    <w:rsid w:val="00085D27"/>
    <w:rsid w:val="00085FDB"/>
    <w:rsid w:val="0008637D"/>
    <w:rsid w:val="00086782"/>
    <w:rsid w:val="00086819"/>
    <w:rsid w:val="00086CB2"/>
    <w:rsid w:val="0008743F"/>
    <w:rsid w:val="0008750C"/>
    <w:rsid w:val="00087670"/>
    <w:rsid w:val="000878F1"/>
    <w:rsid w:val="000901FC"/>
    <w:rsid w:val="00090227"/>
    <w:rsid w:val="00090343"/>
    <w:rsid w:val="000904D6"/>
    <w:rsid w:val="000906A9"/>
    <w:rsid w:val="00090771"/>
    <w:rsid w:val="00090A5C"/>
    <w:rsid w:val="00090CFD"/>
    <w:rsid w:val="00090E8D"/>
    <w:rsid w:val="00091246"/>
    <w:rsid w:val="0009159A"/>
    <w:rsid w:val="000916C1"/>
    <w:rsid w:val="000918F3"/>
    <w:rsid w:val="000919F6"/>
    <w:rsid w:val="00091BF3"/>
    <w:rsid w:val="00091C95"/>
    <w:rsid w:val="00091EE5"/>
    <w:rsid w:val="000923E0"/>
    <w:rsid w:val="00092532"/>
    <w:rsid w:val="00092606"/>
    <w:rsid w:val="00092715"/>
    <w:rsid w:val="000928B8"/>
    <w:rsid w:val="00092BA3"/>
    <w:rsid w:val="00092D38"/>
    <w:rsid w:val="00092E42"/>
    <w:rsid w:val="00092FE0"/>
    <w:rsid w:val="0009337E"/>
    <w:rsid w:val="000934E6"/>
    <w:rsid w:val="00093588"/>
    <w:rsid w:val="000935F7"/>
    <w:rsid w:val="00093749"/>
    <w:rsid w:val="00093777"/>
    <w:rsid w:val="0009377B"/>
    <w:rsid w:val="00093840"/>
    <w:rsid w:val="00093DC9"/>
    <w:rsid w:val="00093FAE"/>
    <w:rsid w:val="0009406A"/>
    <w:rsid w:val="000945AD"/>
    <w:rsid w:val="00094AB8"/>
    <w:rsid w:val="00094E9A"/>
    <w:rsid w:val="00094FCA"/>
    <w:rsid w:val="0009504B"/>
    <w:rsid w:val="0009541B"/>
    <w:rsid w:val="00095559"/>
    <w:rsid w:val="0009570A"/>
    <w:rsid w:val="00095724"/>
    <w:rsid w:val="00095AA1"/>
    <w:rsid w:val="0009601E"/>
    <w:rsid w:val="00096186"/>
    <w:rsid w:val="00096528"/>
    <w:rsid w:val="00096707"/>
    <w:rsid w:val="00096770"/>
    <w:rsid w:val="0009682A"/>
    <w:rsid w:val="00096B8F"/>
    <w:rsid w:val="00096EBA"/>
    <w:rsid w:val="00097460"/>
    <w:rsid w:val="0009771C"/>
    <w:rsid w:val="00097866"/>
    <w:rsid w:val="00097A62"/>
    <w:rsid w:val="00097E6F"/>
    <w:rsid w:val="000A03AB"/>
    <w:rsid w:val="000A052A"/>
    <w:rsid w:val="000A05B6"/>
    <w:rsid w:val="000A09E4"/>
    <w:rsid w:val="000A0B44"/>
    <w:rsid w:val="000A0F09"/>
    <w:rsid w:val="000A1432"/>
    <w:rsid w:val="000A1808"/>
    <w:rsid w:val="000A189F"/>
    <w:rsid w:val="000A1D64"/>
    <w:rsid w:val="000A1E51"/>
    <w:rsid w:val="000A1F5D"/>
    <w:rsid w:val="000A1F98"/>
    <w:rsid w:val="000A20C9"/>
    <w:rsid w:val="000A21E7"/>
    <w:rsid w:val="000A220D"/>
    <w:rsid w:val="000A228B"/>
    <w:rsid w:val="000A272A"/>
    <w:rsid w:val="000A2B9B"/>
    <w:rsid w:val="000A2BA1"/>
    <w:rsid w:val="000A2C49"/>
    <w:rsid w:val="000A2EBD"/>
    <w:rsid w:val="000A2FAE"/>
    <w:rsid w:val="000A326C"/>
    <w:rsid w:val="000A35CE"/>
    <w:rsid w:val="000A3807"/>
    <w:rsid w:val="000A394D"/>
    <w:rsid w:val="000A3D1C"/>
    <w:rsid w:val="000A3D1F"/>
    <w:rsid w:val="000A3D4B"/>
    <w:rsid w:val="000A3D5C"/>
    <w:rsid w:val="000A3E4C"/>
    <w:rsid w:val="000A40D8"/>
    <w:rsid w:val="000A4135"/>
    <w:rsid w:val="000A4194"/>
    <w:rsid w:val="000A4353"/>
    <w:rsid w:val="000A456C"/>
    <w:rsid w:val="000A45FE"/>
    <w:rsid w:val="000A46F9"/>
    <w:rsid w:val="000A478E"/>
    <w:rsid w:val="000A49C3"/>
    <w:rsid w:val="000A4C65"/>
    <w:rsid w:val="000A4E8C"/>
    <w:rsid w:val="000A4F23"/>
    <w:rsid w:val="000A5030"/>
    <w:rsid w:val="000A51DC"/>
    <w:rsid w:val="000A55BA"/>
    <w:rsid w:val="000A5693"/>
    <w:rsid w:val="000A59D8"/>
    <w:rsid w:val="000A5B3E"/>
    <w:rsid w:val="000A5D15"/>
    <w:rsid w:val="000A5FEC"/>
    <w:rsid w:val="000A6407"/>
    <w:rsid w:val="000A6A5D"/>
    <w:rsid w:val="000A6D07"/>
    <w:rsid w:val="000A7326"/>
    <w:rsid w:val="000A7D21"/>
    <w:rsid w:val="000A7F96"/>
    <w:rsid w:val="000A7FC2"/>
    <w:rsid w:val="000B008F"/>
    <w:rsid w:val="000B04FF"/>
    <w:rsid w:val="000B058F"/>
    <w:rsid w:val="000B06AA"/>
    <w:rsid w:val="000B06DC"/>
    <w:rsid w:val="000B0806"/>
    <w:rsid w:val="000B0AF7"/>
    <w:rsid w:val="000B0C9A"/>
    <w:rsid w:val="000B0F69"/>
    <w:rsid w:val="000B1182"/>
    <w:rsid w:val="000B11F0"/>
    <w:rsid w:val="000B1583"/>
    <w:rsid w:val="000B1776"/>
    <w:rsid w:val="000B1A6F"/>
    <w:rsid w:val="000B1B0F"/>
    <w:rsid w:val="000B1BD0"/>
    <w:rsid w:val="000B1DC1"/>
    <w:rsid w:val="000B1FD6"/>
    <w:rsid w:val="000B22C2"/>
    <w:rsid w:val="000B264D"/>
    <w:rsid w:val="000B28A6"/>
    <w:rsid w:val="000B2B55"/>
    <w:rsid w:val="000B2BFF"/>
    <w:rsid w:val="000B2D70"/>
    <w:rsid w:val="000B2F2F"/>
    <w:rsid w:val="000B340A"/>
    <w:rsid w:val="000B3584"/>
    <w:rsid w:val="000B3743"/>
    <w:rsid w:val="000B383B"/>
    <w:rsid w:val="000B38C1"/>
    <w:rsid w:val="000B3B73"/>
    <w:rsid w:val="000B4467"/>
    <w:rsid w:val="000B45C3"/>
    <w:rsid w:val="000B4A4A"/>
    <w:rsid w:val="000B4DB9"/>
    <w:rsid w:val="000B507F"/>
    <w:rsid w:val="000B5239"/>
    <w:rsid w:val="000B52C1"/>
    <w:rsid w:val="000B53BB"/>
    <w:rsid w:val="000B5912"/>
    <w:rsid w:val="000B6722"/>
    <w:rsid w:val="000B6CDF"/>
    <w:rsid w:val="000B6D28"/>
    <w:rsid w:val="000B6D55"/>
    <w:rsid w:val="000B7047"/>
    <w:rsid w:val="000B70DE"/>
    <w:rsid w:val="000B7102"/>
    <w:rsid w:val="000B7254"/>
    <w:rsid w:val="000B72AD"/>
    <w:rsid w:val="000B7694"/>
    <w:rsid w:val="000B7758"/>
    <w:rsid w:val="000B7B82"/>
    <w:rsid w:val="000B7C65"/>
    <w:rsid w:val="000B7D4E"/>
    <w:rsid w:val="000C09AC"/>
    <w:rsid w:val="000C0FC8"/>
    <w:rsid w:val="000C1988"/>
    <w:rsid w:val="000C19CD"/>
    <w:rsid w:val="000C1B26"/>
    <w:rsid w:val="000C1D9B"/>
    <w:rsid w:val="000C208B"/>
    <w:rsid w:val="000C224A"/>
    <w:rsid w:val="000C2308"/>
    <w:rsid w:val="000C23F6"/>
    <w:rsid w:val="000C28B1"/>
    <w:rsid w:val="000C2B34"/>
    <w:rsid w:val="000C2C01"/>
    <w:rsid w:val="000C2D2D"/>
    <w:rsid w:val="000C373A"/>
    <w:rsid w:val="000C3AE2"/>
    <w:rsid w:val="000C3B2A"/>
    <w:rsid w:val="000C4009"/>
    <w:rsid w:val="000C420B"/>
    <w:rsid w:val="000C4519"/>
    <w:rsid w:val="000C4854"/>
    <w:rsid w:val="000C4B8D"/>
    <w:rsid w:val="000C4BF7"/>
    <w:rsid w:val="000C515F"/>
    <w:rsid w:val="000C55AC"/>
    <w:rsid w:val="000C5D71"/>
    <w:rsid w:val="000C611A"/>
    <w:rsid w:val="000C61CA"/>
    <w:rsid w:val="000C657E"/>
    <w:rsid w:val="000C66F2"/>
    <w:rsid w:val="000C69EB"/>
    <w:rsid w:val="000C6C7F"/>
    <w:rsid w:val="000C700E"/>
    <w:rsid w:val="000C7198"/>
    <w:rsid w:val="000C71ED"/>
    <w:rsid w:val="000C7558"/>
    <w:rsid w:val="000C767F"/>
    <w:rsid w:val="000C76CE"/>
    <w:rsid w:val="000C7849"/>
    <w:rsid w:val="000C7C24"/>
    <w:rsid w:val="000D01F6"/>
    <w:rsid w:val="000D0269"/>
    <w:rsid w:val="000D0422"/>
    <w:rsid w:val="000D09C5"/>
    <w:rsid w:val="000D14D8"/>
    <w:rsid w:val="000D1AFF"/>
    <w:rsid w:val="000D2132"/>
    <w:rsid w:val="000D236A"/>
    <w:rsid w:val="000D239B"/>
    <w:rsid w:val="000D2499"/>
    <w:rsid w:val="000D2944"/>
    <w:rsid w:val="000D2CBA"/>
    <w:rsid w:val="000D32EB"/>
    <w:rsid w:val="000D3837"/>
    <w:rsid w:val="000D3BBF"/>
    <w:rsid w:val="000D3E72"/>
    <w:rsid w:val="000D3F70"/>
    <w:rsid w:val="000D3F8F"/>
    <w:rsid w:val="000D4138"/>
    <w:rsid w:val="000D4312"/>
    <w:rsid w:val="000D43B6"/>
    <w:rsid w:val="000D456F"/>
    <w:rsid w:val="000D4BAF"/>
    <w:rsid w:val="000D4CD6"/>
    <w:rsid w:val="000D4EE2"/>
    <w:rsid w:val="000D5642"/>
    <w:rsid w:val="000D576F"/>
    <w:rsid w:val="000D5A44"/>
    <w:rsid w:val="000D64F6"/>
    <w:rsid w:val="000D668F"/>
    <w:rsid w:val="000D71E5"/>
    <w:rsid w:val="000D7418"/>
    <w:rsid w:val="000D75CD"/>
    <w:rsid w:val="000D75FC"/>
    <w:rsid w:val="000D7929"/>
    <w:rsid w:val="000D7E8D"/>
    <w:rsid w:val="000D7F26"/>
    <w:rsid w:val="000D7FFA"/>
    <w:rsid w:val="000E012D"/>
    <w:rsid w:val="000E02BD"/>
    <w:rsid w:val="000E0D86"/>
    <w:rsid w:val="000E0DA5"/>
    <w:rsid w:val="000E0E9A"/>
    <w:rsid w:val="000E0F75"/>
    <w:rsid w:val="000E0FF3"/>
    <w:rsid w:val="000E15B2"/>
    <w:rsid w:val="000E1801"/>
    <w:rsid w:val="000E1C5D"/>
    <w:rsid w:val="000E1C72"/>
    <w:rsid w:val="000E1CBD"/>
    <w:rsid w:val="000E1E0F"/>
    <w:rsid w:val="000E2109"/>
    <w:rsid w:val="000E2155"/>
    <w:rsid w:val="000E2346"/>
    <w:rsid w:val="000E2861"/>
    <w:rsid w:val="000E2CF3"/>
    <w:rsid w:val="000E309F"/>
    <w:rsid w:val="000E3155"/>
    <w:rsid w:val="000E340E"/>
    <w:rsid w:val="000E37DF"/>
    <w:rsid w:val="000E37E4"/>
    <w:rsid w:val="000E3930"/>
    <w:rsid w:val="000E3ED2"/>
    <w:rsid w:val="000E3F77"/>
    <w:rsid w:val="000E42A5"/>
    <w:rsid w:val="000E435A"/>
    <w:rsid w:val="000E4759"/>
    <w:rsid w:val="000E4A2A"/>
    <w:rsid w:val="000E5143"/>
    <w:rsid w:val="000E532B"/>
    <w:rsid w:val="000E53EE"/>
    <w:rsid w:val="000E5446"/>
    <w:rsid w:val="000E5CA4"/>
    <w:rsid w:val="000E5E8A"/>
    <w:rsid w:val="000E5F6B"/>
    <w:rsid w:val="000E678E"/>
    <w:rsid w:val="000E684C"/>
    <w:rsid w:val="000E68B9"/>
    <w:rsid w:val="000E6A77"/>
    <w:rsid w:val="000E6C2D"/>
    <w:rsid w:val="000E7A7C"/>
    <w:rsid w:val="000E7DBD"/>
    <w:rsid w:val="000E7F41"/>
    <w:rsid w:val="000E7FD7"/>
    <w:rsid w:val="000F0531"/>
    <w:rsid w:val="000F056C"/>
    <w:rsid w:val="000F076B"/>
    <w:rsid w:val="000F0841"/>
    <w:rsid w:val="000F0888"/>
    <w:rsid w:val="000F08AE"/>
    <w:rsid w:val="000F090B"/>
    <w:rsid w:val="000F0AC8"/>
    <w:rsid w:val="000F0CA3"/>
    <w:rsid w:val="000F0E45"/>
    <w:rsid w:val="000F0EDA"/>
    <w:rsid w:val="000F14D8"/>
    <w:rsid w:val="000F182A"/>
    <w:rsid w:val="000F1A8E"/>
    <w:rsid w:val="000F1E5A"/>
    <w:rsid w:val="000F1F07"/>
    <w:rsid w:val="000F2629"/>
    <w:rsid w:val="000F280B"/>
    <w:rsid w:val="000F29D2"/>
    <w:rsid w:val="000F29FF"/>
    <w:rsid w:val="000F2B31"/>
    <w:rsid w:val="000F38AF"/>
    <w:rsid w:val="000F39D4"/>
    <w:rsid w:val="000F3D88"/>
    <w:rsid w:val="000F4246"/>
    <w:rsid w:val="000F42E8"/>
    <w:rsid w:val="000F4820"/>
    <w:rsid w:val="000F4979"/>
    <w:rsid w:val="000F4BBB"/>
    <w:rsid w:val="000F4D69"/>
    <w:rsid w:val="000F5045"/>
    <w:rsid w:val="000F519B"/>
    <w:rsid w:val="000F54F4"/>
    <w:rsid w:val="000F597D"/>
    <w:rsid w:val="000F5EE6"/>
    <w:rsid w:val="000F60B1"/>
    <w:rsid w:val="000F6166"/>
    <w:rsid w:val="000F648F"/>
    <w:rsid w:val="000F6513"/>
    <w:rsid w:val="000F68BB"/>
    <w:rsid w:val="000F6931"/>
    <w:rsid w:val="000F6956"/>
    <w:rsid w:val="000F6A6F"/>
    <w:rsid w:val="000F6B6C"/>
    <w:rsid w:val="000F6B72"/>
    <w:rsid w:val="000F6D3A"/>
    <w:rsid w:val="000F70C4"/>
    <w:rsid w:val="000F758A"/>
    <w:rsid w:val="000F76D0"/>
    <w:rsid w:val="000F7B05"/>
    <w:rsid w:val="000F7F7D"/>
    <w:rsid w:val="0010028E"/>
    <w:rsid w:val="00100459"/>
    <w:rsid w:val="00100740"/>
    <w:rsid w:val="001007EA"/>
    <w:rsid w:val="00100838"/>
    <w:rsid w:val="0010096A"/>
    <w:rsid w:val="00100981"/>
    <w:rsid w:val="00100D27"/>
    <w:rsid w:val="00101139"/>
    <w:rsid w:val="00101518"/>
    <w:rsid w:val="00101AF1"/>
    <w:rsid w:val="00101FA2"/>
    <w:rsid w:val="001022FF"/>
    <w:rsid w:val="00102338"/>
    <w:rsid w:val="0010234E"/>
    <w:rsid w:val="001023E2"/>
    <w:rsid w:val="001024FC"/>
    <w:rsid w:val="00102928"/>
    <w:rsid w:val="00103500"/>
    <w:rsid w:val="00103671"/>
    <w:rsid w:val="0010367A"/>
    <w:rsid w:val="00103710"/>
    <w:rsid w:val="001039CA"/>
    <w:rsid w:val="00103BD6"/>
    <w:rsid w:val="00103E3E"/>
    <w:rsid w:val="00103ECC"/>
    <w:rsid w:val="00103ED6"/>
    <w:rsid w:val="00103F69"/>
    <w:rsid w:val="00104064"/>
    <w:rsid w:val="001049D0"/>
    <w:rsid w:val="00104E0F"/>
    <w:rsid w:val="0010504F"/>
    <w:rsid w:val="00105173"/>
    <w:rsid w:val="00105270"/>
    <w:rsid w:val="001054BE"/>
    <w:rsid w:val="0010586E"/>
    <w:rsid w:val="00105965"/>
    <w:rsid w:val="00105A41"/>
    <w:rsid w:val="001061F9"/>
    <w:rsid w:val="0010634D"/>
    <w:rsid w:val="001069BD"/>
    <w:rsid w:val="001069E5"/>
    <w:rsid w:val="00106D01"/>
    <w:rsid w:val="0010708B"/>
    <w:rsid w:val="0010711F"/>
    <w:rsid w:val="00107240"/>
    <w:rsid w:val="00107319"/>
    <w:rsid w:val="00107889"/>
    <w:rsid w:val="001102D4"/>
    <w:rsid w:val="001105DC"/>
    <w:rsid w:val="001106C3"/>
    <w:rsid w:val="00110FCB"/>
    <w:rsid w:val="001113A1"/>
    <w:rsid w:val="001113C9"/>
    <w:rsid w:val="00111770"/>
    <w:rsid w:val="001119AD"/>
    <w:rsid w:val="00111A04"/>
    <w:rsid w:val="00111AB3"/>
    <w:rsid w:val="00111F14"/>
    <w:rsid w:val="00111F65"/>
    <w:rsid w:val="00112175"/>
    <w:rsid w:val="00112564"/>
    <w:rsid w:val="0011259F"/>
    <w:rsid w:val="001125B0"/>
    <w:rsid w:val="00112687"/>
    <w:rsid w:val="0011289A"/>
    <w:rsid w:val="0011293F"/>
    <w:rsid w:val="001129BF"/>
    <w:rsid w:val="00112E89"/>
    <w:rsid w:val="00112F55"/>
    <w:rsid w:val="00113032"/>
    <w:rsid w:val="00113731"/>
    <w:rsid w:val="001137C6"/>
    <w:rsid w:val="0011393F"/>
    <w:rsid w:val="00113ABB"/>
    <w:rsid w:val="00113CF0"/>
    <w:rsid w:val="00113D5E"/>
    <w:rsid w:val="00113E26"/>
    <w:rsid w:val="00114133"/>
    <w:rsid w:val="00114400"/>
    <w:rsid w:val="001144AD"/>
    <w:rsid w:val="00114673"/>
    <w:rsid w:val="001149B7"/>
    <w:rsid w:val="00114BC4"/>
    <w:rsid w:val="00114BD4"/>
    <w:rsid w:val="00114EB1"/>
    <w:rsid w:val="001155C5"/>
    <w:rsid w:val="00115821"/>
    <w:rsid w:val="00115950"/>
    <w:rsid w:val="00115A48"/>
    <w:rsid w:val="00115B27"/>
    <w:rsid w:val="00115B38"/>
    <w:rsid w:val="00115C78"/>
    <w:rsid w:val="00115D27"/>
    <w:rsid w:val="00116652"/>
    <w:rsid w:val="00116981"/>
    <w:rsid w:val="001169BA"/>
    <w:rsid w:val="00116A42"/>
    <w:rsid w:val="00116B21"/>
    <w:rsid w:val="00116B83"/>
    <w:rsid w:val="00116C7C"/>
    <w:rsid w:val="00117046"/>
    <w:rsid w:val="00117358"/>
    <w:rsid w:val="00117987"/>
    <w:rsid w:val="00117AEA"/>
    <w:rsid w:val="00117B47"/>
    <w:rsid w:val="0012007B"/>
    <w:rsid w:val="0012012C"/>
    <w:rsid w:val="00120294"/>
    <w:rsid w:val="0012046D"/>
    <w:rsid w:val="001204B4"/>
    <w:rsid w:val="001208A5"/>
    <w:rsid w:val="001209C5"/>
    <w:rsid w:val="00120CEF"/>
    <w:rsid w:val="00120D21"/>
    <w:rsid w:val="00120D26"/>
    <w:rsid w:val="00121376"/>
    <w:rsid w:val="001215B8"/>
    <w:rsid w:val="001216E4"/>
    <w:rsid w:val="0012189E"/>
    <w:rsid w:val="00121F60"/>
    <w:rsid w:val="00122B1F"/>
    <w:rsid w:val="00122B93"/>
    <w:rsid w:val="001234D0"/>
    <w:rsid w:val="00123CA9"/>
    <w:rsid w:val="0012408C"/>
    <w:rsid w:val="00124170"/>
    <w:rsid w:val="001241F5"/>
    <w:rsid w:val="001242EF"/>
    <w:rsid w:val="0012453F"/>
    <w:rsid w:val="001245EC"/>
    <w:rsid w:val="001249E5"/>
    <w:rsid w:val="00124AE2"/>
    <w:rsid w:val="00124FF5"/>
    <w:rsid w:val="00125791"/>
    <w:rsid w:val="001257D3"/>
    <w:rsid w:val="00125A9C"/>
    <w:rsid w:val="00125AB5"/>
    <w:rsid w:val="0012628E"/>
    <w:rsid w:val="001263D6"/>
    <w:rsid w:val="00126566"/>
    <w:rsid w:val="00126A39"/>
    <w:rsid w:val="00126D53"/>
    <w:rsid w:val="00126FB7"/>
    <w:rsid w:val="00127031"/>
    <w:rsid w:val="00127256"/>
    <w:rsid w:val="0012752F"/>
    <w:rsid w:val="001277F5"/>
    <w:rsid w:val="00127A00"/>
    <w:rsid w:val="00127AF1"/>
    <w:rsid w:val="00127B4B"/>
    <w:rsid w:val="00127BA6"/>
    <w:rsid w:val="00127EED"/>
    <w:rsid w:val="00130184"/>
    <w:rsid w:val="00130254"/>
    <w:rsid w:val="00131DF7"/>
    <w:rsid w:val="00131F42"/>
    <w:rsid w:val="00131FB5"/>
    <w:rsid w:val="0013205A"/>
    <w:rsid w:val="00132169"/>
    <w:rsid w:val="001321CB"/>
    <w:rsid w:val="00132C87"/>
    <w:rsid w:val="00133028"/>
    <w:rsid w:val="001330A1"/>
    <w:rsid w:val="001335D5"/>
    <w:rsid w:val="0013361C"/>
    <w:rsid w:val="0013364B"/>
    <w:rsid w:val="001336CE"/>
    <w:rsid w:val="00133C34"/>
    <w:rsid w:val="00133E0A"/>
    <w:rsid w:val="00133F10"/>
    <w:rsid w:val="00134396"/>
    <w:rsid w:val="001348E2"/>
    <w:rsid w:val="00134AD8"/>
    <w:rsid w:val="00134B70"/>
    <w:rsid w:val="00134C91"/>
    <w:rsid w:val="00134CDD"/>
    <w:rsid w:val="00134D6E"/>
    <w:rsid w:val="00134E4F"/>
    <w:rsid w:val="0013549A"/>
    <w:rsid w:val="001355BB"/>
    <w:rsid w:val="001357F1"/>
    <w:rsid w:val="00135A0A"/>
    <w:rsid w:val="00135A2B"/>
    <w:rsid w:val="00135F27"/>
    <w:rsid w:val="00136399"/>
    <w:rsid w:val="001368D9"/>
    <w:rsid w:val="001369A1"/>
    <w:rsid w:val="00136C2C"/>
    <w:rsid w:val="00136E32"/>
    <w:rsid w:val="00136F4F"/>
    <w:rsid w:val="00136FCC"/>
    <w:rsid w:val="00137071"/>
    <w:rsid w:val="001373CD"/>
    <w:rsid w:val="001373FF"/>
    <w:rsid w:val="00137886"/>
    <w:rsid w:val="00140146"/>
    <w:rsid w:val="00140184"/>
    <w:rsid w:val="0014065A"/>
    <w:rsid w:val="00140765"/>
    <w:rsid w:val="00140910"/>
    <w:rsid w:val="00140BCF"/>
    <w:rsid w:val="00140FA8"/>
    <w:rsid w:val="001413F0"/>
    <w:rsid w:val="00141616"/>
    <w:rsid w:val="00141730"/>
    <w:rsid w:val="00141A3C"/>
    <w:rsid w:val="0014221E"/>
    <w:rsid w:val="001422D0"/>
    <w:rsid w:val="001423B7"/>
    <w:rsid w:val="001426EA"/>
    <w:rsid w:val="0014278B"/>
    <w:rsid w:val="00142CA3"/>
    <w:rsid w:val="00142EC1"/>
    <w:rsid w:val="00142FEB"/>
    <w:rsid w:val="0014314C"/>
    <w:rsid w:val="001432BC"/>
    <w:rsid w:val="001436D7"/>
    <w:rsid w:val="0014381D"/>
    <w:rsid w:val="00143A2D"/>
    <w:rsid w:val="00143CBC"/>
    <w:rsid w:val="00143EA5"/>
    <w:rsid w:val="00144372"/>
    <w:rsid w:val="001445FA"/>
    <w:rsid w:val="001447E4"/>
    <w:rsid w:val="00144D06"/>
    <w:rsid w:val="00144F33"/>
    <w:rsid w:val="0014524E"/>
    <w:rsid w:val="00145A41"/>
    <w:rsid w:val="00145A9F"/>
    <w:rsid w:val="00145FCE"/>
    <w:rsid w:val="001464CB"/>
    <w:rsid w:val="00146946"/>
    <w:rsid w:val="00146E94"/>
    <w:rsid w:val="00146FC7"/>
    <w:rsid w:val="00147710"/>
    <w:rsid w:val="00147838"/>
    <w:rsid w:val="0015012C"/>
    <w:rsid w:val="00150242"/>
    <w:rsid w:val="001502B9"/>
    <w:rsid w:val="0015065A"/>
    <w:rsid w:val="001507EC"/>
    <w:rsid w:val="00150AF7"/>
    <w:rsid w:val="00150B6A"/>
    <w:rsid w:val="00150B8F"/>
    <w:rsid w:val="0015130E"/>
    <w:rsid w:val="001514CF"/>
    <w:rsid w:val="001514E3"/>
    <w:rsid w:val="00151675"/>
    <w:rsid w:val="00151816"/>
    <w:rsid w:val="00151B7D"/>
    <w:rsid w:val="00152197"/>
    <w:rsid w:val="001522E2"/>
    <w:rsid w:val="00152D0E"/>
    <w:rsid w:val="00152E0B"/>
    <w:rsid w:val="00152EAE"/>
    <w:rsid w:val="00153362"/>
    <w:rsid w:val="001533C2"/>
    <w:rsid w:val="00153826"/>
    <w:rsid w:val="00153A3C"/>
    <w:rsid w:val="00153C5B"/>
    <w:rsid w:val="00153C9C"/>
    <w:rsid w:val="00153D6D"/>
    <w:rsid w:val="00153F31"/>
    <w:rsid w:val="00154101"/>
    <w:rsid w:val="001542DF"/>
    <w:rsid w:val="00154A91"/>
    <w:rsid w:val="00154A9D"/>
    <w:rsid w:val="00154F5A"/>
    <w:rsid w:val="00155014"/>
    <w:rsid w:val="00155592"/>
    <w:rsid w:val="00155651"/>
    <w:rsid w:val="00155933"/>
    <w:rsid w:val="00155A49"/>
    <w:rsid w:val="00155D78"/>
    <w:rsid w:val="001561B0"/>
    <w:rsid w:val="00156279"/>
    <w:rsid w:val="0015632F"/>
    <w:rsid w:val="0015633F"/>
    <w:rsid w:val="0015665A"/>
    <w:rsid w:val="00156AB7"/>
    <w:rsid w:val="00156AE0"/>
    <w:rsid w:val="00156CA6"/>
    <w:rsid w:val="0015703C"/>
    <w:rsid w:val="00157435"/>
    <w:rsid w:val="001575AF"/>
    <w:rsid w:val="0015762D"/>
    <w:rsid w:val="00157684"/>
    <w:rsid w:val="0015771D"/>
    <w:rsid w:val="001578E8"/>
    <w:rsid w:val="00157A43"/>
    <w:rsid w:val="00157CBA"/>
    <w:rsid w:val="00157CBE"/>
    <w:rsid w:val="00157E55"/>
    <w:rsid w:val="0016039C"/>
    <w:rsid w:val="001604E6"/>
    <w:rsid w:val="00160B84"/>
    <w:rsid w:val="00160D5A"/>
    <w:rsid w:val="00160D5E"/>
    <w:rsid w:val="00160F73"/>
    <w:rsid w:val="00161A0A"/>
    <w:rsid w:val="00161DFF"/>
    <w:rsid w:val="00162018"/>
    <w:rsid w:val="001621A4"/>
    <w:rsid w:val="0016238A"/>
    <w:rsid w:val="00162C81"/>
    <w:rsid w:val="00163265"/>
    <w:rsid w:val="001638F8"/>
    <w:rsid w:val="001639EF"/>
    <w:rsid w:val="00163E08"/>
    <w:rsid w:val="00164198"/>
    <w:rsid w:val="00164232"/>
    <w:rsid w:val="00164356"/>
    <w:rsid w:val="00164436"/>
    <w:rsid w:val="001646AD"/>
    <w:rsid w:val="00164F68"/>
    <w:rsid w:val="001650E9"/>
    <w:rsid w:val="00165198"/>
    <w:rsid w:val="00165843"/>
    <w:rsid w:val="001658FA"/>
    <w:rsid w:val="00165B40"/>
    <w:rsid w:val="00165B8E"/>
    <w:rsid w:val="00166275"/>
    <w:rsid w:val="00166606"/>
    <w:rsid w:val="00166950"/>
    <w:rsid w:val="001669C2"/>
    <w:rsid w:val="00166C7C"/>
    <w:rsid w:val="00166E58"/>
    <w:rsid w:val="0016730C"/>
    <w:rsid w:val="00167481"/>
    <w:rsid w:val="00167509"/>
    <w:rsid w:val="001677EF"/>
    <w:rsid w:val="0016789B"/>
    <w:rsid w:val="001679B6"/>
    <w:rsid w:val="00167B01"/>
    <w:rsid w:val="00167B29"/>
    <w:rsid w:val="00167DBA"/>
    <w:rsid w:val="00167E46"/>
    <w:rsid w:val="00167F2E"/>
    <w:rsid w:val="00167F7B"/>
    <w:rsid w:val="00170168"/>
    <w:rsid w:val="001706B2"/>
    <w:rsid w:val="001707B8"/>
    <w:rsid w:val="001707F0"/>
    <w:rsid w:val="001709C1"/>
    <w:rsid w:val="00170A39"/>
    <w:rsid w:val="00170A41"/>
    <w:rsid w:val="001710E2"/>
    <w:rsid w:val="0017141E"/>
    <w:rsid w:val="001714F3"/>
    <w:rsid w:val="001715AC"/>
    <w:rsid w:val="0017175E"/>
    <w:rsid w:val="0017188F"/>
    <w:rsid w:val="00171936"/>
    <w:rsid w:val="00171A48"/>
    <w:rsid w:val="00171BE0"/>
    <w:rsid w:val="00171DCF"/>
    <w:rsid w:val="00172125"/>
    <w:rsid w:val="001724CB"/>
    <w:rsid w:val="001726EC"/>
    <w:rsid w:val="00172C5B"/>
    <w:rsid w:val="00172D68"/>
    <w:rsid w:val="00172E22"/>
    <w:rsid w:val="001736BC"/>
    <w:rsid w:val="001737E6"/>
    <w:rsid w:val="00173849"/>
    <w:rsid w:val="00173A1C"/>
    <w:rsid w:val="00173AF3"/>
    <w:rsid w:val="00173CA9"/>
    <w:rsid w:val="0017405E"/>
    <w:rsid w:val="001740B7"/>
    <w:rsid w:val="00174584"/>
    <w:rsid w:val="00174607"/>
    <w:rsid w:val="00174639"/>
    <w:rsid w:val="00174708"/>
    <w:rsid w:val="001748D4"/>
    <w:rsid w:val="00174929"/>
    <w:rsid w:val="00174B86"/>
    <w:rsid w:val="00174D31"/>
    <w:rsid w:val="0017504D"/>
    <w:rsid w:val="00175213"/>
    <w:rsid w:val="00175264"/>
    <w:rsid w:val="001752E9"/>
    <w:rsid w:val="0017534F"/>
    <w:rsid w:val="0017539A"/>
    <w:rsid w:val="00175509"/>
    <w:rsid w:val="00175531"/>
    <w:rsid w:val="00175669"/>
    <w:rsid w:val="00175924"/>
    <w:rsid w:val="001759B6"/>
    <w:rsid w:val="00175A6B"/>
    <w:rsid w:val="00175D03"/>
    <w:rsid w:val="0017606F"/>
    <w:rsid w:val="001761BF"/>
    <w:rsid w:val="0017671A"/>
    <w:rsid w:val="0017677A"/>
    <w:rsid w:val="00176A8D"/>
    <w:rsid w:val="00176BC2"/>
    <w:rsid w:val="00176D7F"/>
    <w:rsid w:val="001773DD"/>
    <w:rsid w:val="00177422"/>
    <w:rsid w:val="001779A7"/>
    <w:rsid w:val="00177FBD"/>
    <w:rsid w:val="00177FD5"/>
    <w:rsid w:val="001802CB"/>
    <w:rsid w:val="001805F5"/>
    <w:rsid w:val="0018080C"/>
    <w:rsid w:val="00180897"/>
    <w:rsid w:val="001808C0"/>
    <w:rsid w:val="00180AF7"/>
    <w:rsid w:val="00180F71"/>
    <w:rsid w:val="00180FDC"/>
    <w:rsid w:val="00181AF7"/>
    <w:rsid w:val="00181C94"/>
    <w:rsid w:val="00181CB4"/>
    <w:rsid w:val="00181DBA"/>
    <w:rsid w:val="00182114"/>
    <w:rsid w:val="001824BE"/>
    <w:rsid w:val="00183B8F"/>
    <w:rsid w:val="00183D47"/>
    <w:rsid w:val="00183F55"/>
    <w:rsid w:val="0018412F"/>
    <w:rsid w:val="0018438B"/>
    <w:rsid w:val="00184590"/>
    <w:rsid w:val="0018507B"/>
    <w:rsid w:val="00185689"/>
    <w:rsid w:val="001861C6"/>
    <w:rsid w:val="001865CC"/>
    <w:rsid w:val="00186A34"/>
    <w:rsid w:val="00186B24"/>
    <w:rsid w:val="00186EE4"/>
    <w:rsid w:val="0018703F"/>
    <w:rsid w:val="001870D1"/>
    <w:rsid w:val="0018781E"/>
    <w:rsid w:val="00187894"/>
    <w:rsid w:val="001878CE"/>
    <w:rsid w:val="00187909"/>
    <w:rsid w:val="00187976"/>
    <w:rsid w:val="00187C4D"/>
    <w:rsid w:val="00187DC3"/>
    <w:rsid w:val="00187F48"/>
    <w:rsid w:val="00187FD4"/>
    <w:rsid w:val="001901DF"/>
    <w:rsid w:val="001904B7"/>
    <w:rsid w:val="00190634"/>
    <w:rsid w:val="00190858"/>
    <w:rsid w:val="00190959"/>
    <w:rsid w:val="00190DCA"/>
    <w:rsid w:val="00190E43"/>
    <w:rsid w:val="00190EBC"/>
    <w:rsid w:val="00191081"/>
    <w:rsid w:val="001911CB"/>
    <w:rsid w:val="001912E6"/>
    <w:rsid w:val="00191562"/>
    <w:rsid w:val="001917E6"/>
    <w:rsid w:val="001918DB"/>
    <w:rsid w:val="0019203C"/>
    <w:rsid w:val="00192162"/>
    <w:rsid w:val="00192206"/>
    <w:rsid w:val="001922F9"/>
    <w:rsid w:val="00192309"/>
    <w:rsid w:val="0019262D"/>
    <w:rsid w:val="0019289E"/>
    <w:rsid w:val="00192E05"/>
    <w:rsid w:val="00192EEF"/>
    <w:rsid w:val="001932C0"/>
    <w:rsid w:val="001934EF"/>
    <w:rsid w:val="001939CC"/>
    <w:rsid w:val="00193D39"/>
    <w:rsid w:val="00193DE8"/>
    <w:rsid w:val="00194116"/>
    <w:rsid w:val="00194543"/>
    <w:rsid w:val="00194939"/>
    <w:rsid w:val="00194A8C"/>
    <w:rsid w:val="00194D3B"/>
    <w:rsid w:val="00194E1C"/>
    <w:rsid w:val="0019552C"/>
    <w:rsid w:val="001956DE"/>
    <w:rsid w:val="001958DD"/>
    <w:rsid w:val="00195D71"/>
    <w:rsid w:val="00195FF8"/>
    <w:rsid w:val="00196712"/>
    <w:rsid w:val="0019682B"/>
    <w:rsid w:val="00196A47"/>
    <w:rsid w:val="00196B60"/>
    <w:rsid w:val="00196FA0"/>
    <w:rsid w:val="0019714B"/>
    <w:rsid w:val="00197696"/>
    <w:rsid w:val="00197D07"/>
    <w:rsid w:val="00197F84"/>
    <w:rsid w:val="001A00B2"/>
    <w:rsid w:val="001A0471"/>
    <w:rsid w:val="001A0612"/>
    <w:rsid w:val="001A0BFD"/>
    <w:rsid w:val="001A0ED7"/>
    <w:rsid w:val="001A16A5"/>
    <w:rsid w:val="001A1969"/>
    <w:rsid w:val="001A1A22"/>
    <w:rsid w:val="001A1B35"/>
    <w:rsid w:val="001A209C"/>
    <w:rsid w:val="001A2355"/>
    <w:rsid w:val="001A27CA"/>
    <w:rsid w:val="001A27D6"/>
    <w:rsid w:val="001A28D9"/>
    <w:rsid w:val="001A29A3"/>
    <w:rsid w:val="001A2B41"/>
    <w:rsid w:val="001A2B5D"/>
    <w:rsid w:val="001A2F71"/>
    <w:rsid w:val="001A2F96"/>
    <w:rsid w:val="001A3073"/>
    <w:rsid w:val="001A33AE"/>
    <w:rsid w:val="001A3A10"/>
    <w:rsid w:val="001A3C07"/>
    <w:rsid w:val="001A407A"/>
    <w:rsid w:val="001A42BF"/>
    <w:rsid w:val="001A43F6"/>
    <w:rsid w:val="001A45C1"/>
    <w:rsid w:val="001A48A2"/>
    <w:rsid w:val="001A5222"/>
    <w:rsid w:val="001A587D"/>
    <w:rsid w:val="001A59EA"/>
    <w:rsid w:val="001A5A59"/>
    <w:rsid w:val="001A5C1F"/>
    <w:rsid w:val="001A6137"/>
    <w:rsid w:val="001A61F8"/>
    <w:rsid w:val="001A636D"/>
    <w:rsid w:val="001A6463"/>
    <w:rsid w:val="001A64AD"/>
    <w:rsid w:val="001A6676"/>
    <w:rsid w:val="001A6688"/>
    <w:rsid w:val="001A6816"/>
    <w:rsid w:val="001A693A"/>
    <w:rsid w:val="001A69E3"/>
    <w:rsid w:val="001A6C11"/>
    <w:rsid w:val="001A6F11"/>
    <w:rsid w:val="001A6F61"/>
    <w:rsid w:val="001A7708"/>
    <w:rsid w:val="001A7CEA"/>
    <w:rsid w:val="001A7EE7"/>
    <w:rsid w:val="001A7F0D"/>
    <w:rsid w:val="001A7FF9"/>
    <w:rsid w:val="001B00C7"/>
    <w:rsid w:val="001B0393"/>
    <w:rsid w:val="001B04C2"/>
    <w:rsid w:val="001B0FFB"/>
    <w:rsid w:val="001B1116"/>
    <w:rsid w:val="001B11B9"/>
    <w:rsid w:val="001B11E0"/>
    <w:rsid w:val="001B14E1"/>
    <w:rsid w:val="001B1584"/>
    <w:rsid w:val="001B1B01"/>
    <w:rsid w:val="001B1C4D"/>
    <w:rsid w:val="001B1E0B"/>
    <w:rsid w:val="001B2346"/>
    <w:rsid w:val="001B2921"/>
    <w:rsid w:val="001B2C94"/>
    <w:rsid w:val="001B3940"/>
    <w:rsid w:val="001B3E3E"/>
    <w:rsid w:val="001B3ECE"/>
    <w:rsid w:val="001B4985"/>
    <w:rsid w:val="001B568E"/>
    <w:rsid w:val="001B56DC"/>
    <w:rsid w:val="001B5951"/>
    <w:rsid w:val="001B5CEB"/>
    <w:rsid w:val="001B6013"/>
    <w:rsid w:val="001B6056"/>
    <w:rsid w:val="001B626A"/>
    <w:rsid w:val="001B6610"/>
    <w:rsid w:val="001B6694"/>
    <w:rsid w:val="001B681E"/>
    <w:rsid w:val="001B6C51"/>
    <w:rsid w:val="001B6E2B"/>
    <w:rsid w:val="001B7132"/>
    <w:rsid w:val="001B7214"/>
    <w:rsid w:val="001B72B8"/>
    <w:rsid w:val="001B7625"/>
    <w:rsid w:val="001B775B"/>
    <w:rsid w:val="001B77D2"/>
    <w:rsid w:val="001B7937"/>
    <w:rsid w:val="001B7A18"/>
    <w:rsid w:val="001B7ACC"/>
    <w:rsid w:val="001C01AA"/>
    <w:rsid w:val="001C0918"/>
    <w:rsid w:val="001C0D92"/>
    <w:rsid w:val="001C0E20"/>
    <w:rsid w:val="001C0F67"/>
    <w:rsid w:val="001C0FF3"/>
    <w:rsid w:val="001C10BD"/>
    <w:rsid w:val="001C10C1"/>
    <w:rsid w:val="001C11EA"/>
    <w:rsid w:val="001C16F9"/>
    <w:rsid w:val="001C1905"/>
    <w:rsid w:val="001C19F7"/>
    <w:rsid w:val="001C1CCA"/>
    <w:rsid w:val="001C1CD7"/>
    <w:rsid w:val="001C1D8B"/>
    <w:rsid w:val="001C1DEE"/>
    <w:rsid w:val="001C1F20"/>
    <w:rsid w:val="001C23DD"/>
    <w:rsid w:val="001C24AF"/>
    <w:rsid w:val="001C24B6"/>
    <w:rsid w:val="001C279A"/>
    <w:rsid w:val="001C2A2A"/>
    <w:rsid w:val="001C2AF4"/>
    <w:rsid w:val="001C2C26"/>
    <w:rsid w:val="001C30CE"/>
    <w:rsid w:val="001C3185"/>
    <w:rsid w:val="001C32D2"/>
    <w:rsid w:val="001C32EF"/>
    <w:rsid w:val="001C3B24"/>
    <w:rsid w:val="001C3DB6"/>
    <w:rsid w:val="001C3E60"/>
    <w:rsid w:val="001C4516"/>
    <w:rsid w:val="001C460D"/>
    <w:rsid w:val="001C46BA"/>
    <w:rsid w:val="001C46CA"/>
    <w:rsid w:val="001C489E"/>
    <w:rsid w:val="001C4A19"/>
    <w:rsid w:val="001C4AA6"/>
    <w:rsid w:val="001C4AFA"/>
    <w:rsid w:val="001C4C90"/>
    <w:rsid w:val="001C4F18"/>
    <w:rsid w:val="001C4FE1"/>
    <w:rsid w:val="001C5004"/>
    <w:rsid w:val="001C5065"/>
    <w:rsid w:val="001C50E0"/>
    <w:rsid w:val="001C56C4"/>
    <w:rsid w:val="001C57CD"/>
    <w:rsid w:val="001C597A"/>
    <w:rsid w:val="001C5AE4"/>
    <w:rsid w:val="001C5B00"/>
    <w:rsid w:val="001C6243"/>
    <w:rsid w:val="001C65D6"/>
    <w:rsid w:val="001C665C"/>
    <w:rsid w:val="001C67DC"/>
    <w:rsid w:val="001C69B3"/>
    <w:rsid w:val="001C6AFA"/>
    <w:rsid w:val="001C6CA5"/>
    <w:rsid w:val="001C6D03"/>
    <w:rsid w:val="001C7062"/>
    <w:rsid w:val="001C71FB"/>
    <w:rsid w:val="001C73BC"/>
    <w:rsid w:val="001C745C"/>
    <w:rsid w:val="001C75BE"/>
    <w:rsid w:val="001C7946"/>
    <w:rsid w:val="001C7A04"/>
    <w:rsid w:val="001C7BC7"/>
    <w:rsid w:val="001C7C6C"/>
    <w:rsid w:val="001C7CC8"/>
    <w:rsid w:val="001D031D"/>
    <w:rsid w:val="001D0457"/>
    <w:rsid w:val="001D090F"/>
    <w:rsid w:val="001D099F"/>
    <w:rsid w:val="001D0D2E"/>
    <w:rsid w:val="001D0FEE"/>
    <w:rsid w:val="001D118C"/>
    <w:rsid w:val="001D1582"/>
    <w:rsid w:val="001D1BE0"/>
    <w:rsid w:val="001D2289"/>
    <w:rsid w:val="001D23ED"/>
    <w:rsid w:val="001D2664"/>
    <w:rsid w:val="001D28BC"/>
    <w:rsid w:val="001D293A"/>
    <w:rsid w:val="001D2A38"/>
    <w:rsid w:val="001D3566"/>
    <w:rsid w:val="001D384A"/>
    <w:rsid w:val="001D3BF1"/>
    <w:rsid w:val="001D3D61"/>
    <w:rsid w:val="001D426A"/>
    <w:rsid w:val="001D44E2"/>
    <w:rsid w:val="001D4F8F"/>
    <w:rsid w:val="001D5595"/>
    <w:rsid w:val="001D585B"/>
    <w:rsid w:val="001D58A0"/>
    <w:rsid w:val="001D5AB6"/>
    <w:rsid w:val="001D5C28"/>
    <w:rsid w:val="001D5E30"/>
    <w:rsid w:val="001D6011"/>
    <w:rsid w:val="001D6107"/>
    <w:rsid w:val="001D6136"/>
    <w:rsid w:val="001D668A"/>
    <w:rsid w:val="001D66B5"/>
    <w:rsid w:val="001D6A63"/>
    <w:rsid w:val="001D6BB9"/>
    <w:rsid w:val="001D6EAB"/>
    <w:rsid w:val="001D6EC1"/>
    <w:rsid w:val="001D73D8"/>
    <w:rsid w:val="001D7650"/>
    <w:rsid w:val="001D7708"/>
    <w:rsid w:val="001D781F"/>
    <w:rsid w:val="001D7874"/>
    <w:rsid w:val="001D7D8E"/>
    <w:rsid w:val="001D7F22"/>
    <w:rsid w:val="001E0595"/>
    <w:rsid w:val="001E09EA"/>
    <w:rsid w:val="001E0E54"/>
    <w:rsid w:val="001E11DF"/>
    <w:rsid w:val="001E1341"/>
    <w:rsid w:val="001E1437"/>
    <w:rsid w:val="001E149F"/>
    <w:rsid w:val="001E19AA"/>
    <w:rsid w:val="001E1AB4"/>
    <w:rsid w:val="001E1BBA"/>
    <w:rsid w:val="001E2185"/>
    <w:rsid w:val="001E21E3"/>
    <w:rsid w:val="001E2306"/>
    <w:rsid w:val="001E265F"/>
    <w:rsid w:val="001E28D8"/>
    <w:rsid w:val="001E305F"/>
    <w:rsid w:val="001E3819"/>
    <w:rsid w:val="001E3EBC"/>
    <w:rsid w:val="001E489C"/>
    <w:rsid w:val="001E4DDE"/>
    <w:rsid w:val="001E4DF8"/>
    <w:rsid w:val="001E4FEB"/>
    <w:rsid w:val="001E5059"/>
    <w:rsid w:val="001E51BD"/>
    <w:rsid w:val="001E5297"/>
    <w:rsid w:val="001E5304"/>
    <w:rsid w:val="001E5528"/>
    <w:rsid w:val="001E5606"/>
    <w:rsid w:val="001E58EF"/>
    <w:rsid w:val="001E5AFC"/>
    <w:rsid w:val="001E5BFA"/>
    <w:rsid w:val="001E5D7E"/>
    <w:rsid w:val="001E5E97"/>
    <w:rsid w:val="001E5F7D"/>
    <w:rsid w:val="001E6333"/>
    <w:rsid w:val="001E6509"/>
    <w:rsid w:val="001E668A"/>
    <w:rsid w:val="001E6759"/>
    <w:rsid w:val="001E6C03"/>
    <w:rsid w:val="001E6C7A"/>
    <w:rsid w:val="001E717E"/>
    <w:rsid w:val="001E7391"/>
    <w:rsid w:val="001E79EF"/>
    <w:rsid w:val="001F0012"/>
    <w:rsid w:val="001F0018"/>
    <w:rsid w:val="001F00A4"/>
    <w:rsid w:val="001F0113"/>
    <w:rsid w:val="001F03B3"/>
    <w:rsid w:val="001F08B9"/>
    <w:rsid w:val="001F0F17"/>
    <w:rsid w:val="001F1000"/>
    <w:rsid w:val="001F11F9"/>
    <w:rsid w:val="001F17CA"/>
    <w:rsid w:val="001F1B67"/>
    <w:rsid w:val="001F1DC5"/>
    <w:rsid w:val="001F1EF7"/>
    <w:rsid w:val="001F2066"/>
    <w:rsid w:val="001F2304"/>
    <w:rsid w:val="001F275C"/>
    <w:rsid w:val="001F27D2"/>
    <w:rsid w:val="001F2B59"/>
    <w:rsid w:val="001F2C65"/>
    <w:rsid w:val="001F2CBB"/>
    <w:rsid w:val="001F30C7"/>
    <w:rsid w:val="001F3347"/>
    <w:rsid w:val="001F34B2"/>
    <w:rsid w:val="001F34CB"/>
    <w:rsid w:val="001F3BFD"/>
    <w:rsid w:val="001F40D9"/>
    <w:rsid w:val="001F4415"/>
    <w:rsid w:val="001F48B2"/>
    <w:rsid w:val="001F4E82"/>
    <w:rsid w:val="001F5255"/>
    <w:rsid w:val="001F555A"/>
    <w:rsid w:val="001F57C8"/>
    <w:rsid w:val="001F57DB"/>
    <w:rsid w:val="001F5A0D"/>
    <w:rsid w:val="001F5D37"/>
    <w:rsid w:val="001F6076"/>
    <w:rsid w:val="001F62DC"/>
    <w:rsid w:val="001F630C"/>
    <w:rsid w:val="001F642A"/>
    <w:rsid w:val="001F6675"/>
    <w:rsid w:val="001F670B"/>
    <w:rsid w:val="001F67FE"/>
    <w:rsid w:val="001F69E4"/>
    <w:rsid w:val="001F6DCD"/>
    <w:rsid w:val="001F701D"/>
    <w:rsid w:val="001F725A"/>
    <w:rsid w:val="001F75A7"/>
    <w:rsid w:val="001F7B36"/>
    <w:rsid w:val="001F7DB5"/>
    <w:rsid w:val="001F7E13"/>
    <w:rsid w:val="001F7E1E"/>
    <w:rsid w:val="00200281"/>
    <w:rsid w:val="00200622"/>
    <w:rsid w:val="00200982"/>
    <w:rsid w:val="002009E8"/>
    <w:rsid w:val="00200BFB"/>
    <w:rsid w:val="00200E86"/>
    <w:rsid w:val="00200FB2"/>
    <w:rsid w:val="002013E9"/>
    <w:rsid w:val="002015BE"/>
    <w:rsid w:val="00201803"/>
    <w:rsid w:val="00201963"/>
    <w:rsid w:val="00201AA7"/>
    <w:rsid w:val="00202A4A"/>
    <w:rsid w:val="00202C02"/>
    <w:rsid w:val="00202FBB"/>
    <w:rsid w:val="002031B4"/>
    <w:rsid w:val="00203559"/>
    <w:rsid w:val="0020357F"/>
    <w:rsid w:val="00203A09"/>
    <w:rsid w:val="00203FE2"/>
    <w:rsid w:val="002041ED"/>
    <w:rsid w:val="00204415"/>
    <w:rsid w:val="00204460"/>
    <w:rsid w:val="002046E5"/>
    <w:rsid w:val="00204994"/>
    <w:rsid w:val="00204D3C"/>
    <w:rsid w:val="00204EB2"/>
    <w:rsid w:val="00204ECB"/>
    <w:rsid w:val="002050B3"/>
    <w:rsid w:val="002050F0"/>
    <w:rsid w:val="00205124"/>
    <w:rsid w:val="0020513C"/>
    <w:rsid w:val="00205343"/>
    <w:rsid w:val="00205517"/>
    <w:rsid w:val="00205571"/>
    <w:rsid w:val="0020558B"/>
    <w:rsid w:val="002056BC"/>
    <w:rsid w:val="0020574F"/>
    <w:rsid w:val="002058D1"/>
    <w:rsid w:val="0020594C"/>
    <w:rsid w:val="00205B9C"/>
    <w:rsid w:val="00205CD0"/>
    <w:rsid w:val="00205F1A"/>
    <w:rsid w:val="002061EB"/>
    <w:rsid w:val="0020682A"/>
    <w:rsid w:val="002069CB"/>
    <w:rsid w:val="002071C8"/>
    <w:rsid w:val="002074E8"/>
    <w:rsid w:val="002077A7"/>
    <w:rsid w:val="00207B09"/>
    <w:rsid w:val="00207EF0"/>
    <w:rsid w:val="00207F44"/>
    <w:rsid w:val="00210038"/>
    <w:rsid w:val="0021022A"/>
    <w:rsid w:val="002106DD"/>
    <w:rsid w:val="00210702"/>
    <w:rsid w:val="00210840"/>
    <w:rsid w:val="00210B34"/>
    <w:rsid w:val="00210D02"/>
    <w:rsid w:val="00210E7A"/>
    <w:rsid w:val="00211058"/>
    <w:rsid w:val="0021133C"/>
    <w:rsid w:val="002116E9"/>
    <w:rsid w:val="00211912"/>
    <w:rsid w:val="00211A89"/>
    <w:rsid w:val="00211FDA"/>
    <w:rsid w:val="002125B4"/>
    <w:rsid w:val="002126E7"/>
    <w:rsid w:val="00212717"/>
    <w:rsid w:val="00212E7F"/>
    <w:rsid w:val="00212F46"/>
    <w:rsid w:val="0021337B"/>
    <w:rsid w:val="00213428"/>
    <w:rsid w:val="00213570"/>
    <w:rsid w:val="00213632"/>
    <w:rsid w:val="0021382F"/>
    <w:rsid w:val="00213A6E"/>
    <w:rsid w:val="00213BEE"/>
    <w:rsid w:val="00213D47"/>
    <w:rsid w:val="0021449A"/>
    <w:rsid w:val="002149BE"/>
    <w:rsid w:val="00214A6A"/>
    <w:rsid w:val="00214D1C"/>
    <w:rsid w:val="00214D3C"/>
    <w:rsid w:val="002154B5"/>
    <w:rsid w:val="002154D2"/>
    <w:rsid w:val="002155B8"/>
    <w:rsid w:val="002157F1"/>
    <w:rsid w:val="00215A81"/>
    <w:rsid w:val="00215D4B"/>
    <w:rsid w:val="00215D7A"/>
    <w:rsid w:val="00215F5D"/>
    <w:rsid w:val="00216119"/>
    <w:rsid w:val="002161DF"/>
    <w:rsid w:val="00216251"/>
    <w:rsid w:val="0021644C"/>
    <w:rsid w:val="002164E3"/>
    <w:rsid w:val="00216810"/>
    <w:rsid w:val="002168B3"/>
    <w:rsid w:val="00216A2C"/>
    <w:rsid w:val="00216BE2"/>
    <w:rsid w:val="00216CA7"/>
    <w:rsid w:val="00216EE8"/>
    <w:rsid w:val="00216F96"/>
    <w:rsid w:val="002175B5"/>
    <w:rsid w:val="002179E5"/>
    <w:rsid w:val="00217CA9"/>
    <w:rsid w:val="0022005A"/>
    <w:rsid w:val="00220331"/>
    <w:rsid w:val="00220490"/>
    <w:rsid w:val="00220A0E"/>
    <w:rsid w:val="00220BB2"/>
    <w:rsid w:val="00220C50"/>
    <w:rsid w:val="00220FEB"/>
    <w:rsid w:val="00221014"/>
    <w:rsid w:val="00221942"/>
    <w:rsid w:val="00221AA7"/>
    <w:rsid w:val="002220C8"/>
    <w:rsid w:val="00222390"/>
    <w:rsid w:val="00222593"/>
    <w:rsid w:val="002226B9"/>
    <w:rsid w:val="0022271A"/>
    <w:rsid w:val="00223135"/>
    <w:rsid w:val="00223170"/>
    <w:rsid w:val="002231A9"/>
    <w:rsid w:val="002235EF"/>
    <w:rsid w:val="002238B2"/>
    <w:rsid w:val="00223AB2"/>
    <w:rsid w:val="00223BA2"/>
    <w:rsid w:val="00223DC6"/>
    <w:rsid w:val="0022474A"/>
    <w:rsid w:val="00224839"/>
    <w:rsid w:val="002249B2"/>
    <w:rsid w:val="00224A3A"/>
    <w:rsid w:val="00224A80"/>
    <w:rsid w:val="00224C90"/>
    <w:rsid w:val="00225182"/>
    <w:rsid w:val="00225477"/>
    <w:rsid w:val="00225667"/>
    <w:rsid w:val="00225794"/>
    <w:rsid w:val="00225AFB"/>
    <w:rsid w:val="00225BB0"/>
    <w:rsid w:val="00225FAC"/>
    <w:rsid w:val="00226088"/>
    <w:rsid w:val="00226089"/>
    <w:rsid w:val="00226522"/>
    <w:rsid w:val="00226574"/>
    <w:rsid w:val="00226A18"/>
    <w:rsid w:val="00226D58"/>
    <w:rsid w:val="00227618"/>
    <w:rsid w:val="002278EC"/>
    <w:rsid w:val="00230031"/>
    <w:rsid w:val="002300CD"/>
    <w:rsid w:val="002301CD"/>
    <w:rsid w:val="00230B9E"/>
    <w:rsid w:val="00230CCF"/>
    <w:rsid w:val="00230E67"/>
    <w:rsid w:val="00231220"/>
    <w:rsid w:val="002312A3"/>
    <w:rsid w:val="00231375"/>
    <w:rsid w:val="002313A8"/>
    <w:rsid w:val="00231817"/>
    <w:rsid w:val="00231A34"/>
    <w:rsid w:val="00231A7F"/>
    <w:rsid w:val="00231C88"/>
    <w:rsid w:val="00231F6A"/>
    <w:rsid w:val="002325CD"/>
    <w:rsid w:val="0023280E"/>
    <w:rsid w:val="00232A33"/>
    <w:rsid w:val="00232EC0"/>
    <w:rsid w:val="00233146"/>
    <w:rsid w:val="00233179"/>
    <w:rsid w:val="002332CF"/>
    <w:rsid w:val="002334BC"/>
    <w:rsid w:val="00233770"/>
    <w:rsid w:val="0023382B"/>
    <w:rsid w:val="00233986"/>
    <w:rsid w:val="00233C11"/>
    <w:rsid w:val="00233D2C"/>
    <w:rsid w:val="00233F3F"/>
    <w:rsid w:val="00234038"/>
    <w:rsid w:val="00234546"/>
    <w:rsid w:val="0023489E"/>
    <w:rsid w:val="002348EF"/>
    <w:rsid w:val="00234D1C"/>
    <w:rsid w:val="00234FC8"/>
    <w:rsid w:val="002350CA"/>
    <w:rsid w:val="0023520C"/>
    <w:rsid w:val="00235373"/>
    <w:rsid w:val="00235616"/>
    <w:rsid w:val="0023566C"/>
    <w:rsid w:val="0023578D"/>
    <w:rsid w:val="0023586C"/>
    <w:rsid w:val="00235873"/>
    <w:rsid w:val="00235B43"/>
    <w:rsid w:val="00235E37"/>
    <w:rsid w:val="0023602D"/>
    <w:rsid w:val="00236277"/>
    <w:rsid w:val="002367EC"/>
    <w:rsid w:val="0023683B"/>
    <w:rsid w:val="0023684D"/>
    <w:rsid w:val="00236C82"/>
    <w:rsid w:val="00236E7F"/>
    <w:rsid w:val="00237713"/>
    <w:rsid w:val="002377D1"/>
    <w:rsid w:val="00237959"/>
    <w:rsid w:val="00237DDA"/>
    <w:rsid w:val="00237E28"/>
    <w:rsid w:val="0024002C"/>
    <w:rsid w:val="00240098"/>
    <w:rsid w:val="00240A69"/>
    <w:rsid w:val="0024110B"/>
    <w:rsid w:val="002412DC"/>
    <w:rsid w:val="002415A4"/>
    <w:rsid w:val="002416D6"/>
    <w:rsid w:val="002417BD"/>
    <w:rsid w:val="00241BFD"/>
    <w:rsid w:val="00241CE4"/>
    <w:rsid w:val="00241D8E"/>
    <w:rsid w:val="00242324"/>
    <w:rsid w:val="0024263A"/>
    <w:rsid w:val="0024276E"/>
    <w:rsid w:val="00242A35"/>
    <w:rsid w:val="00242CA1"/>
    <w:rsid w:val="0024303D"/>
    <w:rsid w:val="00243763"/>
    <w:rsid w:val="00243E41"/>
    <w:rsid w:val="00243EC9"/>
    <w:rsid w:val="00243F7A"/>
    <w:rsid w:val="00244327"/>
    <w:rsid w:val="002445A5"/>
    <w:rsid w:val="00244750"/>
    <w:rsid w:val="0024475A"/>
    <w:rsid w:val="00244819"/>
    <w:rsid w:val="00244BE7"/>
    <w:rsid w:val="00244CC0"/>
    <w:rsid w:val="00244E9C"/>
    <w:rsid w:val="0024511F"/>
    <w:rsid w:val="00245540"/>
    <w:rsid w:val="00245627"/>
    <w:rsid w:val="00245846"/>
    <w:rsid w:val="00245B0C"/>
    <w:rsid w:val="00245BFF"/>
    <w:rsid w:val="00245C8F"/>
    <w:rsid w:val="00246038"/>
    <w:rsid w:val="002460D6"/>
    <w:rsid w:val="002463AB"/>
    <w:rsid w:val="00246459"/>
    <w:rsid w:val="002468AF"/>
    <w:rsid w:val="00246AF0"/>
    <w:rsid w:val="00246C37"/>
    <w:rsid w:val="00246F86"/>
    <w:rsid w:val="00247095"/>
    <w:rsid w:val="00247230"/>
    <w:rsid w:val="0024726A"/>
    <w:rsid w:val="002478E6"/>
    <w:rsid w:val="00247989"/>
    <w:rsid w:val="00247F39"/>
    <w:rsid w:val="002506BC"/>
    <w:rsid w:val="00250BE9"/>
    <w:rsid w:val="0025103B"/>
    <w:rsid w:val="0025105A"/>
    <w:rsid w:val="0025105C"/>
    <w:rsid w:val="002511D4"/>
    <w:rsid w:val="0025120B"/>
    <w:rsid w:val="0025149E"/>
    <w:rsid w:val="0025187F"/>
    <w:rsid w:val="0025198D"/>
    <w:rsid w:val="00251ACC"/>
    <w:rsid w:val="00251C54"/>
    <w:rsid w:val="00252016"/>
    <w:rsid w:val="0025201B"/>
    <w:rsid w:val="002523E2"/>
    <w:rsid w:val="00252822"/>
    <w:rsid w:val="00252A76"/>
    <w:rsid w:val="00252CDD"/>
    <w:rsid w:val="00252F01"/>
    <w:rsid w:val="00253068"/>
    <w:rsid w:val="002530F1"/>
    <w:rsid w:val="00253698"/>
    <w:rsid w:val="00253AE7"/>
    <w:rsid w:val="00253FA3"/>
    <w:rsid w:val="002541B7"/>
    <w:rsid w:val="00254261"/>
    <w:rsid w:val="00254345"/>
    <w:rsid w:val="00254502"/>
    <w:rsid w:val="00254E44"/>
    <w:rsid w:val="002553C6"/>
    <w:rsid w:val="0025566C"/>
    <w:rsid w:val="00255AA6"/>
    <w:rsid w:val="00256104"/>
    <w:rsid w:val="0025679D"/>
    <w:rsid w:val="00256C01"/>
    <w:rsid w:val="00256CBB"/>
    <w:rsid w:val="00257693"/>
    <w:rsid w:val="002577E0"/>
    <w:rsid w:val="0026053D"/>
    <w:rsid w:val="00260852"/>
    <w:rsid w:val="00260A07"/>
    <w:rsid w:val="00260AB1"/>
    <w:rsid w:val="00260ACC"/>
    <w:rsid w:val="00260C6A"/>
    <w:rsid w:val="00260EFA"/>
    <w:rsid w:val="002614C5"/>
    <w:rsid w:val="002617C1"/>
    <w:rsid w:val="00261D12"/>
    <w:rsid w:val="00262435"/>
    <w:rsid w:val="00262566"/>
    <w:rsid w:val="00262601"/>
    <w:rsid w:val="0026296E"/>
    <w:rsid w:val="00262A9B"/>
    <w:rsid w:val="00262CE7"/>
    <w:rsid w:val="00263353"/>
    <w:rsid w:val="00263455"/>
    <w:rsid w:val="002635EF"/>
    <w:rsid w:val="0026389E"/>
    <w:rsid w:val="00263B0D"/>
    <w:rsid w:val="00263C48"/>
    <w:rsid w:val="00264069"/>
    <w:rsid w:val="00264095"/>
    <w:rsid w:val="00264253"/>
    <w:rsid w:val="00264557"/>
    <w:rsid w:val="00264721"/>
    <w:rsid w:val="00264983"/>
    <w:rsid w:val="00264A07"/>
    <w:rsid w:val="00264BB5"/>
    <w:rsid w:val="00264D74"/>
    <w:rsid w:val="00265041"/>
    <w:rsid w:val="00265152"/>
    <w:rsid w:val="002658BF"/>
    <w:rsid w:val="00265EA1"/>
    <w:rsid w:val="002663AE"/>
    <w:rsid w:val="00266B6A"/>
    <w:rsid w:val="00266B7C"/>
    <w:rsid w:val="00266D55"/>
    <w:rsid w:val="002672DA"/>
    <w:rsid w:val="00267E1D"/>
    <w:rsid w:val="002701A4"/>
    <w:rsid w:val="00270490"/>
    <w:rsid w:val="00270685"/>
    <w:rsid w:val="0027074F"/>
    <w:rsid w:val="00270A0F"/>
    <w:rsid w:val="00271270"/>
    <w:rsid w:val="002713D4"/>
    <w:rsid w:val="00271A7D"/>
    <w:rsid w:val="00271B36"/>
    <w:rsid w:val="00272718"/>
    <w:rsid w:val="002728E8"/>
    <w:rsid w:val="00272956"/>
    <w:rsid w:val="00272B27"/>
    <w:rsid w:val="00273311"/>
    <w:rsid w:val="00273471"/>
    <w:rsid w:val="00273617"/>
    <w:rsid w:val="0027370D"/>
    <w:rsid w:val="00273AB0"/>
    <w:rsid w:val="00273BF8"/>
    <w:rsid w:val="00273C70"/>
    <w:rsid w:val="00273CEA"/>
    <w:rsid w:val="00273D7E"/>
    <w:rsid w:val="00273F5C"/>
    <w:rsid w:val="00273F7F"/>
    <w:rsid w:val="00273FFC"/>
    <w:rsid w:val="002745DC"/>
    <w:rsid w:val="00274664"/>
    <w:rsid w:val="00274CC8"/>
    <w:rsid w:val="002751D2"/>
    <w:rsid w:val="00275283"/>
    <w:rsid w:val="0027545D"/>
    <w:rsid w:val="00275791"/>
    <w:rsid w:val="00275891"/>
    <w:rsid w:val="00275B0C"/>
    <w:rsid w:val="00275B7E"/>
    <w:rsid w:val="00275BA9"/>
    <w:rsid w:val="00276016"/>
    <w:rsid w:val="00276052"/>
    <w:rsid w:val="002760E7"/>
    <w:rsid w:val="00276235"/>
    <w:rsid w:val="002762EF"/>
    <w:rsid w:val="002766EB"/>
    <w:rsid w:val="00276A85"/>
    <w:rsid w:val="00276E18"/>
    <w:rsid w:val="00277180"/>
    <w:rsid w:val="002772C2"/>
    <w:rsid w:val="0027768C"/>
    <w:rsid w:val="00277788"/>
    <w:rsid w:val="002777F9"/>
    <w:rsid w:val="00277935"/>
    <w:rsid w:val="00277E48"/>
    <w:rsid w:val="00277EC8"/>
    <w:rsid w:val="00277EE6"/>
    <w:rsid w:val="00277F89"/>
    <w:rsid w:val="0028057E"/>
    <w:rsid w:val="002805AB"/>
    <w:rsid w:val="002806E2"/>
    <w:rsid w:val="00280B0E"/>
    <w:rsid w:val="00280E00"/>
    <w:rsid w:val="00280E04"/>
    <w:rsid w:val="00281BCE"/>
    <w:rsid w:val="00281CE4"/>
    <w:rsid w:val="00281F49"/>
    <w:rsid w:val="002822B6"/>
    <w:rsid w:val="002823B5"/>
    <w:rsid w:val="002824D5"/>
    <w:rsid w:val="00282BC4"/>
    <w:rsid w:val="00282F2A"/>
    <w:rsid w:val="0028320A"/>
    <w:rsid w:val="0028327E"/>
    <w:rsid w:val="00283548"/>
    <w:rsid w:val="00283A54"/>
    <w:rsid w:val="00283B08"/>
    <w:rsid w:val="00283FD8"/>
    <w:rsid w:val="00284204"/>
    <w:rsid w:val="002842A2"/>
    <w:rsid w:val="002842D3"/>
    <w:rsid w:val="002849FA"/>
    <w:rsid w:val="00284A7F"/>
    <w:rsid w:val="00284BC2"/>
    <w:rsid w:val="00284BCE"/>
    <w:rsid w:val="00284FB6"/>
    <w:rsid w:val="00285010"/>
    <w:rsid w:val="0028542F"/>
    <w:rsid w:val="0028562A"/>
    <w:rsid w:val="00285D55"/>
    <w:rsid w:val="002864DE"/>
    <w:rsid w:val="002867F8"/>
    <w:rsid w:val="00286878"/>
    <w:rsid w:val="002868E2"/>
    <w:rsid w:val="00286B74"/>
    <w:rsid w:val="00286C40"/>
    <w:rsid w:val="00286F7A"/>
    <w:rsid w:val="00287520"/>
    <w:rsid w:val="0028782A"/>
    <w:rsid w:val="002878AC"/>
    <w:rsid w:val="00287C7E"/>
    <w:rsid w:val="00287EFC"/>
    <w:rsid w:val="002902C3"/>
    <w:rsid w:val="00290557"/>
    <w:rsid w:val="0029076E"/>
    <w:rsid w:val="002907A3"/>
    <w:rsid w:val="00290882"/>
    <w:rsid w:val="00290B5F"/>
    <w:rsid w:val="00290C13"/>
    <w:rsid w:val="002913CA"/>
    <w:rsid w:val="00291461"/>
    <w:rsid w:val="00291560"/>
    <w:rsid w:val="00291578"/>
    <w:rsid w:val="00291773"/>
    <w:rsid w:val="0029209A"/>
    <w:rsid w:val="0029229E"/>
    <w:rsid w:val="002924C7"/>
    <w:rsid w:val="002926C4"/>
    <w:rsid w:val="00292852"/>
    <w:rsid w:val="002928E1"/>
    <w:rsid w:val="00292B70"/>
    <w:rsid w:val="00292F0A"/>
    <w:rsid w:val="00293272"/>
    <w:rsid w:val="0029355C"/>
    <w:rsid w:val="0029368E"/>
    <w:rsid w:val="002936E8"/>
    <w:rsid w:val="00293AB2"/>
    <w:rsid w:val="00293D5A"/>
    <w:rsid w:val="0029410B"/>
    <w:rsid w:val="0029463A"/>
    <w:rsid w:val="0029496A"/>
    <w:rsid w:val="002949AA"/>
    <w:rsid w:val="00294AF6"/>
    <w:rsid w:val="00295301"/>
    <w:rsid w:val="00295405"/>
    <w:rsid w:val="0029568B"/>
    <w:rsid w:val="00295738"/>
    <w:rsid w:val="00295998"/>
    <w:rsid w:val="00295C2B"/>
    <w:rsid w:val="00295CFE"/>
    <w:rsid w:val="0029623D"/>
    <w:rsid w:val="00296406"/>
    <w:rsid w:val="0029661D"/>
    <w:rsid w:val="00296701"/>
    <w:rsid w:val="0029697C"/>
    <w:rsid w:val="002969EE"/>
    <w:rsid w:val="00296C12"/>
    <w:rsid w:val="00297348"/>
    <w:rsid w:val="0029745A"/>
    <w:rsid w:val="00297A5E"/>
    <w:rsid w:val="00297A66"/>
    <w:rsid w:val="00297B4E"/>
    <w:rsid w:val="00297E57"/>
    <w:rsid w:val="00297FA2"/>
    <w:rsid w:val="002A006C"/>
    <w:rsid w:val="002A0484"/>
    <w:rsid w:val="002A0824"/>
    <w:rsid w:val="002A0852"/>
    <w:rsid w:val="002A0A17"/>
    <w:rsid w:val="002A0EA7"/>
    <w:rsid w:val="002A168C"/>
    <w:rsid w:val="002A174C"/>
    <w:rsid w:val="002A19C5"/>
    <w:rsid w:val="002A1A5F"/>
    <w:rsid w:val="002A1A83"/>
    <w:rsid w:val="002A1DAC"/>
    <w:rsid w:val="002A1E12"/>
    <w:rsid w:val="002A229D"/>
    <w:rsid w:val="002A23B8"/>
    <w:rsid w:val="002A2A39"/>
    <w:rsid w:val="002A2A7C"/>
    <w:rsid w:val="002A2DBB"/>
    <w:rsid w:val="002A3277"/>
    <w:rsid w:val="002A3400"/>
    <w:rsid w:val="002A3405"/>
    <w:rsid w:val="002A358D"/>
    <w:rsid w:val="002A3744"/>
    <w:rsid w:val="002A3A34"/>
    <w:rsid w:val="002A3B6F"/>
    <w:rsid w:val="002A3CFF"/>
    <w:rsid w:val="002A3DC7"/>
    <w:rsid w:val="002A402E"/>
    <w:rsid w:val="002A42D3"/>
    <w:rsid w:val="002A43AA"/>
    <w:rsid w:val="002A43C9"/>
    <w:rsid w:val="002A44BB"/>
    <w:rsid w:val="002A4534"/>
    <w:rsid w:val="002A45FF"/>
    <w:rsid w:val="002A4701"/>
    <w:rsid w:val="002A4C18"/>
    <w:rsid w:val="002A4C7A"/>
    <w:rsid w:val="002A4E91"/>
    <w:rsid w:val="002A5538"/>
    <w:rsid w:val="002A5CF1"/>
    <w:rsid w:val="002A5D3A"/>
    <w:rsid w:val="002A5DBB"/>
    <w:rsid w:val="002A6253"/>
    <w:rsid w:val="002A63EB"/>
    <w:rsid w:val="002A6404"/>
    <w:rsid w:val="002A67CB"/>
    <w:rsid w:val="002A6807"/>
    <w:rsid w:val="002A6DCC"/>
    <w:rsid w:val="002A6E92"/>
    <w:rsid w:val="002A70F5"/>
    <w:rsid w:val="002A725C"/>
    <w:rsid w:val="002A727E"/>
    <w:rsid w:val="002A7681"/>
    <w:rsid w:val="002A76FE"/>
    <w:rsid w:val="002A7FB1"/>
    <w:rsid w:val="002B000D"/>
    <w:rsid w:val="002B006C"/>
    <w:rsid w:val="002B018D"/>
    <w:rsid w:val="002B01FA"/>
    <w:rsid w:val="002B0389"/>
    <w:rsid w:val="002B04D8"/>
    <w:rsid w:val="002B0E2B"/>
    <w:rsid w:val="002B1249"/>
    <w:rsid w:val="002B16F0"/>
    <w:rsid w:val="002B19B5"/>
    <w:rsid w:val="002B1B2C"/>
    <w:rsid w:val="002B1B37"/>
    <w:rsid w:val="002B1B95"/>
    <w:rsid w:val="002B1C18"/>
    <w:rsid w:val="002B1CF4"/>
    <w:rsid w:val="002B1E73"/>
    <w:rsid w:val="002B2149"/>
    <w:rsid w:val="002B25CC"/>
    <w:rsid w:val="002B2775"/>
    <w:rsid w:val="002B2B25"/>
    <w:rsid w:val="002B2B92"/>
    <w:rsid w:val="002B2BB7"/>
    <w:rsid w:val="002B2BD5"/>
    <w:rsid w:val="002B2E3C"/>
    <w:rsid w:val="002B3076"/>
    <w:rsid w:val="002B3089"/>
    <w:rsid w:val="002B3114"/>
    <w:rsid w:val="002B31C0"/>
    <w:rsid w:val="002B34A3"/>
    <w:rsid w:val="002B34A5"/>
    <w:rsid w:val="002B34F6"/>
    <w:rsid w:val="002B3904"/>
    <w:rsid w:val="002B39D5"/>
    <w:rsid w:val="002B3A3F"/>
    <w:rsid w:val="002B3EC8"/>
    <w:rsid w:val="002B49E2"/>
    <w:rsid w:val="002B532C"/>
    <w:rsid w:val="002B54E1"/>
    <w:rsid w:val="002B5504"/>
    <w:rsid w:val="002B55F5"/>
    <w:rsid w:val="002B59F0"/>
    <w:rsid w:val="002B5E13"/>
    <w:rsid w:val="002B5EB1"/>
    <w:rsid w:val="002B5EC1"/>
    <w:rsid w:val="002B67CC"/>
    <w:rsid w:val="002B6B1D"/>
    <w:rsid w:val="002B6B9E"/>
    <w:rsid w:val="002B6CC5"/>
    <w:rsid w:val="002B6D69"/>
    <w:rsid w:val="002B6E1B"/>
    <w:rsid w:val="002B6EA9"/>
    <w:rsid w:val="002B7229"/>
    <w:rsid w:val="002B76F5"/>
    <w:rsid w:val="002B77E1"/>
    <w:rsid w:val="002B7B00"/>
    <w:rsid w:val="002B7B3E"/>
    <w:rsid w:val="002B7C44"/>
    <w:rsid w:val="002B7CC6"/>
    <w:rsid w:val="002B7DD6"/>
    <w:rsid w:val="002B7F65"/>
    <w:rsid w:val="002C00D0"/>
    <w:rsid w:val="002C033E"/>
    <w:rsid w:val="002C04E0"/>
    <w:rsid w:val="002C171A"/>
    <w:rsid w:val="002C1824"/>
    <w:rsid w:val="002C188A"/>
    <w:rsid w:val="002C207B"/>
    <w:rsid w:val="002C2324"/>
    <w:rsid w:val="002C2476"/>
    <w:rsid w:val="002C2761"/>
    <w:rsid w:val="002C27CA"/>
    <w:rsid w:val="002C2894"/>
    <w:rsid w:val="002C2B17"/>
    <w:rsid w:val="002C2F75"/>
    <w:rsid w:val="002C3373"/>
    <w:rsid w:val="002C3585"/>
    <w:rsid w:val="002C3B7C"/>
    <w:rsid w:val="002C3D1A"/>
    <w:rsid w:val="002C3F37"/>
    <w:rsid w:val="002C3F41"/>
    <w:rsid w:val="002C4123"/>
    <w:rsid w:val="002C4528"/>
    <w:rsid w:val="002C4A71"/>
    <w:rsid w:val="002C4B59"/>
    <w:rsid w:val="002C4BEE"/>
    <w:rsid w:val="002C4C0A"/>
    <w:rsid w:val="002C4E3F"/>
    <w:rsid w:val="002C5181"/>
    <w:rsid w:val="002C5348"/>
    <w:rsid w:val="002C538D"/>
    <w:rsid w:val="002C5608"/>
    <w:rsid w:val="002C5811"/>
    <w:rsid w:val="002C5E5C"/>
    <w:rsid w:val="002C5F8E"/>
    <w:rsid w:val="002C61E7"/>
    <w:rsid w:val="002C6284"/>
    <w:rsid w:val="002C65AC"/>
    <w:rsid w:val="002C6710"/>
    <w:rsid w:val="002C69E8"/>
    <w:rsid w:val="002C6D4F"/>
    <w:rsid w:val="002C6F90"/>
    <w:rsid w:val="002C70D0"/>
    <w:rsid w:val="002C7185"/>
    <w:rsid w:val="002C72FC"/>
    <w:rsid w:val="002D00D4"/>
    <w:rsid w:val="002D015F"/>
    <w:rsid w:val="002D0603"/>
    <w:rsid w:val="002D073B"/>
    <w:rsid w:val="002D0ED0"/>
    <w:rsid w:val="002D0ED5"/>
    <w:rsid w:val="002D10D9"/>
    <w:rsid w:val="002D11B2"/>
    <w:rsid w:val="002D132C"/>
    <w:rsid w:val="002D1360"/>
    <w:rsid w:val="002D1575"/>
    <w:rsid w:val="002D18F5"/>
    <w:rsid w:val="002D1911"/>
    <w:rsid w:val="002D1D3D"/>
    <w:rsid w:val="002D1D84"/>
    <w:rsid w:val="002D1F57"/>
    <w:rsid w:val="002D20AC"/>
    <w:rsid w:val="002D2429"/>
    <w:rsid w:val="002D2BAF"/>
    <w:rsid w:val="002D33C8"/>
    <w:rsid w:val="002D33FD"/>
    <w:rsid w:val="002D34E7"/>
    <w:rsid w:val="002D3668"/>
    <w:rsid w:val="002D3AB9"/>
    <w:rsid w:val="002D3BF2"/>
    <w:rsid w:val="002D3DD0"/>
    <w:rsid w:val="002D3F8C"/>
    <w:rsid w:val="002D3F9A"/>
    <w:rsid w:val="002D407C"/>
    <w:rsid w:val="002D4391"/>
    <w:rsid w:val="002D5138"/>
    <w:rsid w:val="002D51AF"/>
    <w:rsid w:val="002D5218"/>
    <w:rsid w:val="002D52BB"/>
    <w:rsid w:val="002D5800"/>
    <w:rsid w:val="002D5A61"/>
    <w:rsid w:val="002D5B04"/>
    <w:rsid w:val="002D5C03"/>
    <w:rsid w:val="002D5C06"/>
    <w:rsid w:val="002D5DDF"/>
    <w:rsid w:val="002D67AD"/>
    <w:rsid w:val="002D6B20"/>
    <w:rsid w:val="002D6DD7"/>
    <w:rsid w:val="002D7558"/>
    <w:rsid w:val="002D7612"/>
    <w:rsid w:val="002D7706"/>
    <w:rsid w:val="002D77E3"/>
    <w:rsid w:val="002D796A"/>
    <w:rsid w:val="002D798C"/>
    <w:rsid w:val="002D7A62"/>
    <w:rsid w:val="002D7B2A"/>
    <w:rsid w:val="002E03A6"/>
    <w:rsid w:val="002E0872"/>
    <w:rsid w:val="002E0C27"/>
    <w:rsid w:val="002E0E3B"/>
    <w:rsid w:val="002E0F8E"/>
    <w:rsid w:val="002E1022"/>
    <w:rsid w:val="002E10D3"/>
    <w:rsid w:val="002E1228"/>
    <w:rsid w:val="002E1F3A"/>
    <w:rsid w:val="002E1F3D"/>
    <w:rsid w:val="002E1FE1"/>
    <w:rsid w:val="002E23F5"/>
    <w:rsid w:val="002E2885"/>
    <w:rsid w:val="002E298A"/>
    <w:rsid w:val="002E299C"/>
    <w:rsid w:val="002E3912"/>
    <w:rsid w:val="002E3A20"/>
    <w:rsid w:val="002E4188"/>
    <w:rsid w:val="002E41C3"/>
    <w:rsid w:val="002E436E"/>
    <w:rsid w:val="002E454E"/>
    <w:rsid w:val="002E4757"/>
    <w:rsid w:val="002E47B6"/>
    <w:rsid w:val="002E4807"/>
    <w:rsid w:val="002E4A19"/>
    <w:rsid w:val="002E4B84"/>
    <w:rsid w:val="002E4CEB"/>
    <w:rsid w:val="002E4FD0"/>
    <w:rsid w:val="002E5938"/>
    <w:rsid w:val="002E5A3B"/>
    <w:rsid w:val="002E5E8A"/>
    <w:rsid w:val="002E6725"/>
    <w:rsid w:val="002E6930"/>
    <w:rsid w:val="002E6976"/>
    <w:rsid w:val="002E6EC5"/>
    <w:rsid w:val="002E6EC7"/>
    <w:rsid w:val="002E7969"/>
    <w:rsid w:val="002E79BA"/>
    <w:rsid w:val="002E7D2B"/>
    <w:rsid w:val="002F0307"/>
    <w:rsid w:val="002F04E3"/>
    <w:rsid w:val="002F0527"/>
    <w:rsid w:val="002F0A62"/>
    <w:rsid w:val="002F0B46"/>
    <w:rsid w:val="002F0E68"/>
    <w:rsid w:val="002F0ECA"/>
    <w:rsid w:val="002F11A7"/>
    <w:rsid w:val="002F17C7"/>
    <w:rsid w:val="002F18C1"/>
    <w:rsid w:val="002F1C32"/>
    <w:rsid w:val="002F246C"/>
    <w:rsid w:val="002F2565"/>
    <w:rsid w:val="002F2606"/>
    <w:rsid w:val="002F266C"/>
    <w:rsid w:val="002F28A1"/>
    <w:rsid w:val="002F2D52"/>
    <w:rsid w:val="002F2E14"/>
    <w:rsid w:val="002F33C9"/>
    <w:rsid w:val="002F3787"/>
    <w:rsid w:val="002F37DD"/>
    <w:rsid w:val="002F3988"/>
    <w:rsid w:val="002F3AF9"/>
    <w:rsid w:val="002F3CBE"/>
    <w:rsid w:val="002F4199"/>
    <w:rsid w:val="002F42EA"/>
    <w:rsid w:val="002F45EC"/>
    <w:rsid w:val="002F4647"/>
    <w:rsid w:val="002F4675"/>
    <w:rsid w:val="002F486C"/>
    <w:rsid w:val="002F4893"/>
    <w:rsid w:val="002F4FA3"/>
    <w:rsid w:val="002F573C"/>
    <w:rsid w:val="002F580A"/>
    <w:rsid w:val="002F5810"/>
    <w:rsid w:val="002F5BD0"/>
    <w:rsid w:val="002F5D45"/>
    <w:rsid w:val="002F5FE7"/>
    <w:rsid w:val="002F633A"/>
    <w:rsid w:val="002F64DC"/>
    <w:rsid w:val="002F68C3"/>
    <w:rsid w:val="002F6DE9"/>
    <w:rsid w:val="002F7048"/>
    <w:rsid w:val="002F7111"/>
    <w:rsid w:val="002F73BC"/>
    <w:rsid w:val="002F7847"/>
    <w:rsid w:val="002F7874"/>
    <w:rsid w:val="002F7A47"/>
    <w:rsid w:val="002F7A8E"/>
    <w:rsid w:val="003002C5"/>
    <w:rsid w:val="003004B1"/>
    <w:rsid w:val="003004F9"/>
    <w:rsid w:val="0030060A"/>
    <w:rsid w:val="00300617"/>
    <w:rsid w:val="00300813"/>
    <w:rsid w:val="00300A2A"/>
    <w:rsid w:val="00300B6A"/>
    <w:rsid w:val="00300F98"/>
    <w:rsid w:val="003010FE"/>
    <w:rsid w:val="00301634"/>
    <w:rsid w:val="00301789"/>
    <w:rsid w:val="00301950"/>
    <w:rsid w:val="0030195C"/>
    <w:rsid w:val="00301978"/>
    <w:rsid w:val="00301A6F"/>
    <w:rsid w:val="00301B68"/>
    <w:rsid w:val="00301C1A"/>
    <w:rsid w:val="00301DD8"/>
    <w:rsid w:val="0030233C"/>
    <w:rsid w:val="00302519"/>
    <w:rsid w:val="00302888"/>
    <w:rsid w:val="00302ED4"/>
    <w:rsid w:val="00303053"/>
    <w:rsid w:val="0030332C"/>
    <w:rsid w:val="0030388E"/>
    <w:rsid w:val="003040C3"/>
    <w:rsid w:val="00304285"/>
    <w:rsid w:val="003042D4"/>
    <w:rsid w:val="003042E6"/>
    <w:rsid w:val="00304403"/>
    <w:rsid w:val="003048E8"/>
    <w:rsid w:val="00305195"/>
    <w:rsid w:val="003051C2"/>
    <w:rsid w:val="003051E1"/>
    <w:rsid w:val="00305253"/>
    <w:rsid w:val="003057E5"/>
    <w:rsid w:val="003058DC"/>
    <w:rsid w:val="00305AE0"/>
    <w:rsid w:val="00305C5E"/>
    <w:rsid w:val="00305E20"/>
    <w:rsid w:val="003061B0"/>
    <w:rsid w:val="00306234"/>
    <w:rsid w:val="00306288"/>
    <w:rsid w:val="003066A3"/>
    <w:rsid w:val="003066B0"/>
    <w:rsid w:val="00306A23"/>
    <w:rsid w:val="00306DE0"/>
    <w:rsid w:val="00306DFE"/>
    <w:rsid w:val="00306EB1"/>
    <w:rsid w:val="0030702E"/>
    <w:rsid w:val="003072BC"/>
    <w:rsid w:val="00307311"/>
    <w:rsid w:val="003073C6"/>
    <w:rsid w:val="003077B4"/>
    <w:rsid w:val="00307AF9"/>
    <w:rsid w:val="00307B99"/>
    <w:rsid w:val="00307BD5"/>
    <w:rsid w:val="00307BF5"/>
    <w:rsid w:val="003102C4"/>
    <w:rsid w:val="0031030E"/>
    <w:rsid w:val="003103C4"/>
    <w:rsid w:val="003105C4"/>
    <w:rsid w:val="003115E4"/>
    <w:rsid w:val="0031185B"/>
    <w:rsid w:val="00311B9C"/>
    <w:rsid w:val="00311C85"/>
    <w:rsid w:val="00311D47"/>
    <w:rsid w:val="003120F3"/>
    <w:rsid w:val="00312296"/>
    <w:rsid w:val="00312374"/>
    <w:rsid w:val="00312AD2"/>
    <w:rsid w:val="00313614"/>
    <w:rsid w:val="00313723"/>
    <w:rsid w:val="003139F1"/>
    <w:rsid w:val="00313DD2"/>
    <w:rsid w:val="00314027"/>
    <w:rsid w:val="00314064"/>
    <w:rsid w:val="00314631"/>
    <w:rsid w:val="003146EF"/>
    <w:rsid w:val="003147E2"/>
    <w:rsid w:val="0031495C"/>
    <w:rsid w:val="00314ADA"/>
    <w:rsid w:val="00314AEF"/>
    <w:rsid w:val="00314F0E"/>
    <w:rsid w:val="00315723"/>
    <w:rsid w:val="00315775"/>
    <w:rsid w:val="00315E7E"/>
    <w:rsid w:val="003169D1"/>
    <w:rsid w:val="00316B54"/>
    <w:rsid w:val="00316B74"/>
    <w:rsid w:val="00317120"/>
    <w:rsid w:val="003173F1"/>
    <w:rsid w:val="0031764D"/>
    <w:rsid w:val="0031775B"/>
    <w:rsid w:val="00317C66"/>
    <w:rsid w:val="00317CB4"/>
    <w:rsid w:val="00317E8E"/>
    <w:rsid w:val="00317EBB"/>
    <w:rsid w:val="00320450"/>
    <w:rsid w:val="003205A4"/>
    <w:rsid w:val="0032094A"/>
    <w:rsid w:val="00321D8E"/>
    <w:rsid w:val="00321F77"/>
    <w:rsid w:val="00322489"/>
    <w:rsid w:val="003225B8"/>
    <w:rsid w:val="003229E2"/>
    <w:rsid w:val="00322B64"/>
    <w:rsid w:val="00322B7A"/>
    <w:rsid w:val="00322B90"/>
    <w:rsid w:val="00322CAB"/>
    <w:rsid w:val="00322FDD"/>
    <w:rsid w:val="003231DE"/>
    <w:rsid w:val="00323261"/>
    <w:rsid w:val="0032356F"/>
    <w:rsid w:val="00323643"/>
    <w:rsid w:val="003236AD"/>
    <w:rsid w:val="0032376F"/>
    <w:rsid w:val="003237F9"/>
    <w:rsid w:val="00323B20"/>
    <w:rsid w:val="00323DE3"/>
    <w:rsid w:val="00323F63"/>
    <w:rsid w:val="00323FBC"/>
    <w:rsid w:val="00324979"/>
    <w:rsid w:val="00324CAC"/>
    <w:rsid w:val="00324F6D"/>
    <w:rsid w:val="00325471"/>
    <w:rsid w:val="003257A4"/>
    <w:rsid w:val="00325928"/>
    <w:rsid w:val="00325A9D"/>
    <w:rsid w:val="00326178"/>
    <w:rsid w:val="003262FB"/>
    <w:rsid w:val="00326A8A"/>
    <w:rsid w:val="00326C9E"/>
    <w:rsid w:val="00326D4B"/>
    <w:rsid w:val="00326EEB"/>
    <w:rsid w:val="00326F5F"/>
    <w:rsid w:val="0032703C"/>
    <w:rsid w:val="00327763"/>
    <w:rsid w:val="00327B6C"/>
    <w:rsid w:val="00330173"/>
    <w:rsid w:val="003309AC"/>
    <w:rsid w:val="003311D0"/>
    <w:rsid w:val="0033147C"/>
    <w:rsid w:val="00331538"/>
    <w:rsid w:val="0033158B"/>
    <w:rsid w:val="00331ADA"/>
    <w:rsid w:val="00331CCC"/>
    <w:rsid w:val="00331F54"/>
    <w:rsid w:val="003320C7"/>
    <w:rsid w:val="00332863"/>
    <w:rsid w:val="00332AD7"/>
    <w:rsid w:val="0033316D"/>
    <w:rsid w:val="003333AF"/>
    <w:rsid w:val="0033350B"/>
    <w:rsid w:val="003335AD"/>
    <w:rsid w:val="003339B8"/>
    <w:rsid w:val="00333D9C"/>
    <w:rsid w:val="003341F3"/>
    <w:rsid w:val="0033457D"/>
    <w:rsid w:val="003345F5"/>
    <w:rsid w:val="003346BB"/>
    <w:rsid w:val="003348B9"/>
    <w:rsid w:val="003349E7"/>
    <w:rsid w:val="003356B4"/>
    <w:rsid w:val="00335770"/>
    <w:rsid w:val="003358FF"/>
    <w:rsid w:val="00335992"/>
    <w:rsid w:val="00335E64"/>
    <w:rsid w:val="00335EDB"/>
    <w:rsid w:val="00336590"/>
    <w:rsid w:val="00336681"/>
    <w:rsid w:val="0033684D"/>
    <w:rsid w:val="003368D1"/>
    <w:rsid w:val="00336A0C"/>
    <w:rsid w:val="00336A7A"/>
    <w:rsid w:val="00336CE4"/>
    <w:rsid w:val="00337287"/>
    <w:rsid w:val="003373CC"/>
    <w:rsid w:val="0033752A"/>
    <w:rsid w:val="003376F4"/>
    <w:rsid w:val="00337892"/>
    <w:rsid w:val="00337A7E"/>
    <w:rsid w:val="00337A92"/>
    <w:rsid w:val="00337B42"/>
    <w:rsid w:val="00337D08"/>
    <w:rsid w:val="00337D49"/>
    <w:rsid w:val="00340261"/>
    <w:rsid w:val="0034070E"/>
    <w:rsid w:val="0034091F"/>
    <w:rsid w:val="003409AC"/>
    <w:rsid w:val="00340A07"/>
    <w:rsid w:val="00340D2C"/>
    <w:rsid w:val="00340F0C"/>
    <w:rsid w:val="00341015"/>
    <w:rsid w:val="00341142"/>
    <w:rsid w:val="0034140A"/>
    <w:rsid w:val="0034146B"/>
    <w:rsid w:val="003415A4"/>
    <w:rsid w:val="0034162A"/>
    <w:rsid w:val="00341B42"/>
    <w:rsid w:val="00341D44"/>
    <w:rsid w:val="00341E06"/>
    <w:rsid w:val="003425D9"/>
    <w:rsid w:val="00342A99"/>
    <w:rsid w:val="00342BF2"/>
    <w:rsid w:val="0034310F"/>
    <w:rsid w:val="00343402"/>
    <w:rsid w:val="0034348F"/>
    <w:rsid w:val="0034368A"/>
    <w:rsid w:val="00343936"/>
    <w:rsid w:val="00343DF4"/>
    <w:rsid w:val="00343FD9"/>
    <w:rsid w:val="0034417B"/>
    <w:rsid w:val="0034453D"/>
    <w:rsid w:val="00344A92"/>
    <w:rsid w:val="00345818"/>
    <w:rsid w:val="00346674"/>
    <w:rsid w:val="00346A9A"/>
    <w:rsid w:val="00346EED"/>
    <w:rsid w:val="0034725D"/>
    <w:rsid w:val="003475FC"/>
    <w:rsid w:val="00347915"/>
    <w:rsid w:val="00347A34"/>
    <w:rsid w:val="00347DBB"/>
    <w:rsid w:val="00350276"/>
    <w:rsid w:val="00350E9C"/>
    <w:rsid w:val="00351229"/>
    <w:rsid w:val="003517DF"/>
    <w:rsid w:val="00351B71"/>
    <w:rsid w:val="00351B8D"/>
    <w:rsid w:val="00351D17"/>
    <w:rsid w:val="00351E5E"/>
    <w:rsid w:val="00351F88"/>
    <w:rsid w:val="0035270F"/>
    <w:rsid w:val="00352D20"/>
    <w:rsid w:val="00352FA0"/>
    <w:rsid w:val="00352FA6"/>
    <w:rsid w:val="00353036"/>
    <w:rsid w:val="003531D5"/>
    <w:rsid w:val="00353379"/>
    <w:rsid w:val="003538FC"/>
    <w:rsid w:val="0035394D"/>
    <w:rsid w:val="00353990"/>
    <w:rsid w:val="00353BA0"/>
    <w:rsid w:val="00353F58"/>
    <w:rsid w:val="00354639"/>
    <w:rsid w:val="00354749"/>
    <w:rsid w:val="003547F8"/>
    <w:rsid w:val="003548D8"/>
    <w:rsid w:val="00354A0E"/>
    <w:rsid w:val="00354C2B"/>
    <w:rsid w:val="00354E0D"/>
    <w:rsid w:val="00354F06"/>
    <w:rsid w:val="003553C9"/>
    <w:rsid w:val="0035542A"/>
    <w:rsid w:val="00355558"/>
    <w:rsid w:val="0035580A"/>
    <w:rsid w:val="00355F40"/>
    <w:rsid w:val="003560BA"/>
    <w:rsid w:val="0035648E"/>
    <w:rsid w:val="00356653"/>
    <w:rsid w:val="003566F4"/>
    <w:rsid w:val="00356964"/>
    <w:rsid w:val="00356974"/>
    <w:rsid w:val="00356C7E"/>
    <w:rsid w:val="00356CD7"/>
    <w:rsid w:val="00356CF6"/>
    <w:rsid w:val="00356D3B"/>
    <w:rsid w:val="0035743F"/>
    <w:rsid w:val="003575CC"/>
    <w:rsid w:val="00357695"/>
    <w:rsid w:val="0035775C"/>
    <w:rsid w:val="003578D9"/>
    <w:rsid w:val="0035797F"/>
    <w:rsid w:val="00357A64"/>
    <w:rsid w:val="00357BE2"/>
    <w:rsid w:val="00357DBE"/>
    <w:rsid w:val="00357FC8"/>
    <w:rsid w:val="0036003F"/>
    <w:rsid w:val="003603D1"/>
    <w:rsid w:val="003604C4"/>
    <w:rsid w:val="00360713"/>
    <w:rsid w:val="003607B5"/>
    <w:rsid w:val="00360941"/>
    <w:rsid w:val="00360A2F"/>
    <w:rsid w:val="00360AD0"/>
    <w:rsid w:val="00360B43"/>
    <w:rsid w:val="00360EDA"/>
    <w:rsid w:val="00360FD3"/>
    <w:rsid w:val="003611B8"/>
    <w:rsid w:val="00361427"/>
    <w:rsid w:val="0036170C"/>
    <w:rsid w:val="00361F1A"/>
    <w:rsid w:val="00362006"/>
    <w:rsid w:val="0036221C"/>
    <w:rsid w:val="00362305"/>
    <w:rsid w:val="00362440"/>
    <w:rsid w:val="00362476"/>
    <w:rsid w:val="003624E3"/>
    <w:rsid w:val="003624F3"/>
    <w:rsid w:val="00362592"/>
    <w:rsid w:val="00362774"/>
    <w:rsid w:val="00362874"/>
    <w:rsid w:val="0036290A"/>
    <w:rsid w:val="00362940"/>
    <w:rsid w:val="00362E48"/>
    <w:rsid w:val="00362E4A"/>
    <w:rsid w:val="00363247"/>
    <w:rsid w:val="003632F4"/>
    <w:rsid w:val="003637DF"/>
    <w:rsid w:val="00363ADB"/>
    <w:rsid w:val="00363B2F"/>
    <w:rsid w:val="00363B3B"/>
    <w:rsid w:val="00363D09"/>
    <w:rsid w:val="00363F00"/>
    <w:rsid w:val="00363FD8"/>
    <w:rsid w:val="003642A6"/>
    <w:rsid w:val="00364443"/>
    <w:rsid w:val="003645DC"/>
    <w:rsid w:val="00364794"/>
    <w:rsid w:val="0036484F"/>
    <w:rsid w:val="00364A7D"/>
    <w:rsid w:val="00364CD9"/>
    <w:rsid w:val="00364F80"/>
    <w:rsid w:val="003655CF"/>
    <w:rsid w:val="003658B9"/>
    <w:rsid w:val="00366005"/>
    <w:rsid w:val="003661DA"/>
    <w:rsid w:val="00366E0F"/>
    <w:rsid w:val="00367195"/>
    <w:rsid w:val="0036749B"/>
    <w:rsid w:val="0036784B"/>
    <w:rsid w:val="003678F1"/>
    <w:rsid w:val="003678F3"/>
    <w:rsid w:val="00367997"/>
    <w:rsid w:val="00367C5D"/>
    <w:rsid w:val="00367CA6"/>
    <w:rsid w:val="00367D8A"/>
    <w:rsid w:val="0037045A"/>
    <w:rsid w:val="003706BC"/>
    <w:rsid w:val="00370E55"/>
    <w:rsid w:val="00370FAC"/>
    <w:rsid w:val="00371549"/>
    <w:rsid w:val="003719A2"/>
    <w:rsid w:val="00371D05"/>
    <w:rsid w:val="00371DDF"/>
    <w:rsid w:val="00371E8F"/>
    <w:rsid w:val="00371FFC"/>
    <w:rsid w:val="0037202C"/>
    <w:rsid w:val="003722D8"/>
    <w:rsid w:val="00372328"/>
    <w:rsid w:val="00372549"/>
    <w:rsid w:val="00372652"/>
    <w:rsid w:val="003728B2"/>
    <w:rsid w:val="00372AD4"/>
    <w:rsid w:val="00372B29"/>
    <w:rsid w:val="00372DBE"/>
    <w:rsid w:val="0037303B"/>
    <w:rsid w:val="00373579"/>
    <w:rsid w:val="003735CD"/>
    <w:rsid w:val="0037375D"/>
    <w:rsid w:val="00374316"/>
    <w:rsid w:val="0037432C"/>
    <w:rsid w:val="0037452D"/>
    <w:rsid w:val="0037470D"/>
    <w:rsid w:val="00374928"/>
    <w:rsid w:val="0037495B"/>
    <w:rsid w:val="0037496D"/>
    <w:rsid w:val="00374A22"/>
    <w:rsid w:val="00374A65"/>
    <w:rsid w:val="00374CE7"/>
    <w:rsid w:val="00374DB0"/>
    <w:rsid w:val="003751B6"/>
    <w:rsid w:val="00375764"/>
    <w:rsid w:val="00375C4C"/>
    <w:rsid w:val="00375F1B"/>
    <w:rsid w:val="003766AE"/>
    <w:rsid w:val="00376811"/>
    <w:rsid w:val="003768F9"/>
    <w:rsid w:val="00376B1F"/>
    <w:rsid w:val="00376D67"/>
    <w:rsid w:val="00376F6B"/>
    <w:rsid w:val="00376F9B"/>
    <w:rsid w:val="00376FC5"/>
    <w:rsid w:val="00377067"/>
    <w:rsid w:val="003771E0"/>
    <w:rsid w:val="003772E6"/>
    <w:rsid w:val="003802CF"/>
    <w:rsid w:val="0038039D"/>
    <w:rsid w:val="00380610"/>
    <w:rsid w:val="00380973"/>
    <w:rsid w:val="00380AC4"/>
    <w:rsid w:val="00380B7C"/>
    <w:rsid w:val="0038112A"/>
    <w:rsid w:val="00381273"/>
    <w:rsid w:val="003813E9"/>
    <w:rsid w:val="00381524"/>
    <w:rsid w:val="00381906"/>
    <w:rsid w:val="00381A72"/>
    <w:rsid w:val="00381BB6"/>
    <w:rsid w:val="00381BCD"/>
    <w:rsid w:val="00381F5E"/>
    <w:rsid w:val="00383055"/>
    <w:rsid w:val="003830AD"/>
    <w:rsid w:val="0038323C"/>
    <w:rsid w:val="00383329"/>
    <w:rsid w:val="00383445"/>
    <w:rsid w:val="0038347F"/>
    <w:rsid w:val="00383720"/>
    <w:rsid w:val="0038388D"/>
    <w:rsid w:val="00383E1F"/>
    <w:rsid w:val="00383E2C"/>
    <w:rsid w:val="00383E88"/>
    <w:rsid w:val="003842F3"/>
    <w:rsid w:val="00384447"/>
    <w:rsid w:val="00384585"/>
    <w:rsid w:val="00384676"/>
    <w:rsid w:val="0038487F"/>
    <w:rsid w:val="00384A33"/>
    <w:rsid w:val="00384A8B"/>
    <w:rsid w:val="00384BF4"/>
    <w:rsid w:val="00384C51"/>
    <w:rsid w:val="00384DCB"/>
    <w:rsid w:val="00384E61"/>
    <w:rsid w:val="00384E93"/>
    <w:rsid w:val="003850D5"/>
    <w:rsid w:val="0038557D"/>
    <w:rsid w:val="00385B0B"/>
    <w:rsid w:val="00385CD9"/>
    <w:rsid w:val="00385D63"/>
    <w:rsid w:val="00385D68"/>
    <w:rsid w:val="00386069"/>
    <w:rsid w:val="0038674A"/>
    <w:rsid w:val="00386FBF"/>
    <w:rsid w:val="00387116"/>
    <w:rsid w:val="00387399"/>
    <w:rsid w:val="00387593"/>
    <w:rsid w:val="00387603"/>
    <w:rsid w:val="00387779"/>
    <w:rsid w:val="00387864"/>
    <w:rsid w:val="00387BDD"/>
    <w:rsid w:val="00387D7D"/>
    <w:rsid w:val="0039000C"/>
    <w:rsid w:val="00390399"/>
    <w:rsid w:val="003904A5"/>
    <w:rsid w:val="0039053C"/>
    <w:rsid w:val="00390752"/>
    <w:rsid w:val="00390857"/>
    <w:rsid w:val="00390972"/>
    <w:rsid w:val="00390C25"/>
    <w:rsid w:val="00390FBE"/>
    <w:rsid w:val="0039111A"/>
    <w:rsid w:val="0039126C"/>
    <w:rsid w:val="00391647"/>
    <w:rsid w:val="00391A92"/>
    <w:rsid w:val="00391C97"/>
    <w:rsid w:val="00391CE7"/>
    <w:rsid w:val="00391E3D"/>
    <w:rsid w:val="003920F4"/>
    <w:rsid w:val="003920FB"/>
    <w:rsid w:val="0039248F"/>
    <w:rsid w:val="00392546"/>
    <w:rsid w:val="003925FA"/>
    <w:rsid w:val="003926E3"/>
    <w:rsid w:val="003928FF"/>
    <w:rsid w:val="0039295E"/>
    <w:rsid w:val="003929AE"/>
    <w:rsid w:val="00392B37"/>
    <w:rsid w:val="00393447"/>
    <w:rsid w:val="0039394B"/>
    <w:rsid w:val="0039395D"/>
    <w:rsid w:val="003939D5"/>
    <w:rsid w:val="00393E64"/>
    <w:rsid w:val="0039470E"/>
    <w:rsid w:val="003947D5"/>
    <w:rsid w:val="00394C04"/>
    <w:rsid w:val="00394CA4"/>
    <w:rsid w:val="00394F8C"/>
    <w:rsid w:val="0039513A"/>
    <w:rsid w:val="00395271"/>
    <w:rsid w:val="00395326"/>
    <w:rsid w:val="00395341"/>
    <w:rsid w:val="003953B6"/>
    <w:rsid w:val="00395C2E"/>
    <w:rsid w:val="00395F77"/>
    <w:rsid w:val="00396276"/>
    <w:rsid w:val="003962B6"/>
    <w:rsid w:val="00396309"/>
    <w:rsid w:val="003965BA"/>
    <w:rsid w:val="0039695A"/>
    <w:rsid w:val="00396DD0"/>
    <w:rsid w:val="00396DF0"/>
    <w:rsid w:val="00397003"/>
    <w:rsid w:val="0039706D"/>
    <w:rsid w:val="003972A4"/>
    <w:rsid w:val="003975CF"/>
    <w:rsid w:val="00397A33"/>
    <w:rsid w:val="00397BC1"/>
    <w:rsid w:val="00397D7C"/>
    <w:rsid w:val="00397F3E"/>
    <w:rsid w:val="003A020C"/>
    <w:rsid w:val="003A035C"/>
    <w:rsid w:val="003A043A"/>
    <w:rsid w:val="003A05D1"/>
    <w:rsid w:val="003A0D68"/>
    <w:rsid w:val="003A17E0"/>
    <w:rsid w:val="003A1AD9"/>
    <w:rsid w:val="003A28BF"/>
    <w:rsid w:val="003A2943"/>
    <w:rsid w:val="003A2958"/>
    <w:rsid w:val="003A2C6E"/>
    <w:rsid w:val="003A2CE8"/>
    <w:rsid w:val="003A2DE6"/>
    <w:rsid w:val="003A2EBE"/>
    <w:rsid w:val="003A3083"/>
    <w:rsid w:val="003A3645"/>
    <w:rsid w:val="003A46EA"/>
    <w:rsid w:val="003A48EB"/>
    <w:rsid w:val="003A4BF3"/>
    <w:rsid w:val="003A4D4C"/>
    <w:rsid w:val="003A561F"/>
    <w:rsid w:val="003A5918"/>
    <w:rsid w:val="003A5973"/>
    <w:rsid w:val="003A5988"/>
    <w:rsid w:val="003A5B04"/>
    <w:rsid w:val="003A5B6B"/>
    <w:rsid w:val="003A6109"/>
    <w:rsid w:val="003A6188"/>
    <w:rsid w:val="003A6650"/>
    <w:rsid w:val="003A6A63"/>
    <w:rsid w:val="003A6D4E"/>
    <w:rsid w:val="003A6DBA"/>
    <w:rsid w:val="003A6F15"/>
    <w:rsid w:val="003A725E"/>
    <w:rsid w:val="003A7364"/>
    <w:rsid w:val="003A7437"/>
    <w:rsid w:val="003A76A3"/>
    <w:rsid w:val="003A7C2F"/>
    <w:rsid w:val="003A7E45"/>
    <w:rsid w:val="003B02FE"/>
    <w:rsid w:val="003B0890"/>
    <w:rsid w:val="003B095C"/>
    <w:rsid w:val="003B09AE"/>
    <w:rsid w:val="003B09D7"/>
    <w:rsid w:val="003B1410"/>
    <w:rsid w:val="003B1471"/>
    <w:rsid w:val="003B17F6"/>
    <w:rsid w:val="003B1D3D"/>
    <w:rsid w:val="003B1DC3"/>
    <w:rsid w:val="003B1F0C"/>
    <w:rsid w:val="003B203E"/>
    <w:rsid w:val="003B20CD"/>
    <w:rsid w:val="003B2A3A"/>
    <w:rsid w:val="003B2A6C"/>
    <w:rsid w:val="003B2B71"/>
    <w:rsid w:val="003B2BC6"/>
    <w:rsid w:val="003B300C"/>
    <w:rsid w:val="003B32F1"/>
    <w:rsid w:val="003B33B5"/>
    <w:rsid w:val="003B3561"/>
    <w:rsid w:val="003B3626"/>
    <w:rsid w:val="003B3A69"/>
    <w:rsid w:val="003B3DE9"/>
    <w:rsid w:val="003B3E98"/>
    <w:rsid w:val="003B3EB5"/>
    <w:rsid w:val="003B3FE1"/>
    <w:rsid w:val="003B420D"/>
    <w:rsid w:val="003B435F"/>
    <w:rsid w:val="003B4B86"/>
    <w:rsid w:val="003B4CB9"/>
    <w:rsid w:val="003B4DB9"/>
    <w:rsid w:val="003B5101"/>
    <w:rsid w:val="003B537D"/>
    <w:rsid w:val="003B5530"/>
    <w:rsid w:val="003B5809"/>
    <w:rsid w:val="003B5DF8"/>
    <w:rsid w:val="003B5EC6"/>
    <w:rsid w:val="003B5F84"/>
    <w:rsid w:val="003B643C"/>
    <w:rsid w:val="003B6521"/>
    <w:rsid w:val="003B656C"/>
    <w:rsid w:val="003B6593"/>
    <w:rsid w:val="003B6892"/>
    <w:rsid w:val="003B6ADF"/>
    <w:rsid w:val="003B6D3D"/>
    <w:rsid w:val="003B6ECD"/>
    <w:rsid w:val="003B6FEF"/>
    <w:rsid w:val="003B70F4"/>
    <w:rsid w:val="003B7EF6"/>
    <w:rsid w:val="003C087A"/>
    <w:rsid w:val="003C0954"/>
    <w:rsid w:val="003C0E44"/>
    <w:rsid w:val="003C0FF2"/>
    <w:rsid w:val="003C15EA"/>
    <w:rsid w:val="003C1725"/>
    <w:rsid w:val="003C1BE9"/>
    <w:rsid w:val="003C1D7B"/>
    <w:rsid w:val="003C1DE6"/>
    <w:rsid w:val="003C2211"/>
    <w:rsid w:val="003C2361"/>
    <w:rsid w:val="003C2624"/>
    <w:rsid w:val="003C2633"/>
    <w:rsid w:val="003C2772"/>
    <w:rsid w:val="003C2797"/>
    <w:rsid w:val="003C2CDD"/>
    <w:rsid w:val="003C2CE7"/>
    <w:rsid w:val="003C356C"/>
    <w:rsid w:val="003C36A9"/>
    <w:rsid w:val="003C3777"/>
    <w:rsid w:val="003C3790"/>
    <w:rsid w:val="003C3CC1"/>
    <w:rsid w:val="003C3D53"/>
    <w:rsid w:val="003C3D7A"/>
    <w:rsid w:val="003C4240"/>
    <w:rsid w:val="003C4471"/>
    <w:rsid w:val="003C4496"/>
    <w:rsid w:val="003C468F"/>
    <w:rsid w:val="003C4911"/>
    <w:rsid w:val="003C4ACA"/>
    <w:rsid w:val="003C4BCF"/>
    <w:rsid w:val="003C4CA7"/>
    <w:rsid w:val="003C4D00"/>
    <w:rsid w:val="003C4FA7"/>
    <w:rsid w:val="003C5292"/>
    <w:rsid w:val="003C5488"/>
    <w:rsid w:val="003C562C"/>
    <w:rsid w:val="003C564A"/>
    <w:rsid w:val="003C5919"/>
    <w:rsid w:val="003C5D16"/>
    <w:rsid w:val="003C5F83"/>
    <w:rsid w:val="003C61CF"/>
    <w:rsid w:val="003C6C16"/>
    <w:rsid w:val="003C6F56"/>
    <w:rsid w:val="003C713C"/>
    <w:rsid w:val="003C7174"/>
    <w:rsid w:val="003C773F"/>
    <w:rsid w:val="003C782F"/>
    <w:rsid w:val="003C7C88"/>
    <w:rsid w:val="003C7D3A"/>
    <w:rsid w:val="003C7D44"/>
    <w:rsid w:val="003C7D59"/>
    <w:rsid w:val="003C7E22"/>
    <w:rsid w:val="003D0159"/>
    <w:rsid w:val="003D01DD"/>
    <w:rsid w:val="003D0243"/>
    <w:rsid w:val="003D0260"/>
    <w:rsid w:val="003D0688"/>
    <w:rsid w:val="003D06C4"/>
    <w:rsid w:val="003D07D5"/>
    <w:rsid w:val="003D0998"/>
    <w:rsid w:val="003D0B62"/>
    <w:rsid w:val="003D161A"/>
    <w:rsid w:val="003D1830"/>
    <w:rsid w:val="003D18CA"/>
    <w:rsid w:val="003D1A95"/>
    <w:rsid w:val="003D1B42"/>
    <w:rsid w:val="003D1E6B"/>
    <w:rsid w:val="003D1F11"/>
    <w:rsid w:val="003D1F7B"/>
    <w:rsid w:val="003D20E8"/>
    <w:rsid w:val="003D212D"/>
    <w:rsid w:val="003D2160"/>
    <w:rsid w:val="003D2510"/>
    <w:rsid w:val="003D292E"/>
    <w:rsid w:val="003D299E"/>
    <w:rsid w:val="003D2E97"/>
    <w:rsid w:val="003D2EA2"/>
    <w:rsid w:val="003D3036"/>
    <w:rsid w:val="003D3088"/>
    <w:rsid w:val="003D3168"/>
    <w:rsid w:val="003D3767"/>
    <w:rsid w:val="003D39CA"/>
    <w:rsid w:val="003D3DC6"/>
    <w:rsid w:val="003D3EC7"/>
    <w:rsid w:val="003D4175"/>
    <w:rsid w:val="003D44B5"/>
    <w:rsid w:val="003D4540"/>
    <w:rsid w:val="003D4820"/>
    <w:rsid w:val="003D4877"/>
    <w:rsid w:val="003D4DCC"/>
    <w:rsid w:val="003D4E0C"/>
    <w:rsid w:val="003D4E3E"/>
    <w:rsid w:val="003D4E64"/>
    <w:rsid w:val="003D5330"/>
    <w:rsid w:val="003D547A"/>
    <w:rsid w:val="003D5779"/>
    <w:rsid w:val="003D5BB0"/>
    <w:rsid w:val="003D5F1D"/>
    <w:rsid w:val="003D5FDA"/>
    <w:rsid w:val="003D6171"/>
    <w:rsid w:val="003D6500"/>
    <w:rsid w:val="003D65B8"/>
    <w:rsid w:val="003D6828"/>
    <w:rsid w:val="003D6986"/>
    <w:rsid w:val="003D6995"/>
    <w:rsid w:val="003D6BF8"/>
    <w:rsid w:val="003D6F39"/>
    <w:rsid w:val="003D794D"/>
    <w:rsid w:val="003D7976"/>
    <w:rsid w:val="003D798E"/>
    <w:rsid w:val="003D7A8E"/>
    <w:rsid w:val="003D7C2A"/>
    <w:rsid w:val="003D7D3F"/>
    <w:rsid w:val="003D7E83"/>
    <w:rsid w:val="003E0064"/>
    <w:rsid w:val="003E07F5"/>
    <w:rsid w:val="003E0C4E"/>
    <w:rsid w:val="003E0D95"/>
    <w:rsid w:val="003E1147"/>
    <w:rsid w:val="003E1596"/>
    <w:rsid w:val="003E1D66"/>
    <w:rsid w:val="003E229B"/>
    <w:rsid w:val="003E247B"/>
    <w:rsid w:val="003E25B4"/>
    <w:rsid w:val="003E295A"/>
    <w:rsid w:val="003E2AE7"/>
    <w:rsid w:val="003E2C57"/>
    <w:rsid w:val="003E2D0B"/>
    <w:rsid w:val="003E2D99"/>
    <w:rsid w:val="003E2DB6"/>
    <w:rsid w:val="003E2E3C"/>
    <w:rsid w:val="003E2E64"/>
    <w:rsid w:val="003E2F77"/>
    <w:rsid w:val="003E3058"/>
    <w:rsid w:val="003E3165"/>
    <w:rsid w:val="003E38AC"/>
    <w:rsid w:val="003E38DD"/>
    <w:rsid w:val="003E3CFF"/>
    <w:rsid w:val="003E3D31"/>
    <w:rsid w:val="003E3ED0"/>
    <w:rsid w:val="003E40EA"/>
    <w:rsid w:val="003E43D2"/>
    <w:rsid w:val="003E4C47"/>
    <w:rsid w:val="003E4D4D"/>
    <w:rsid w:val="003E4D58"/>
    <w:rsid w:val="003E51EE"/>
    <w:rsid w:val="003E5428"/>
    <w:rsid w:val="003E56B8"/>
    <w:rsid w:val="003E5835"/>
    <w:rsid w:val="003E5C5D"/>
    <w:rsid w:val="003E5F45"/>
    <w:rsid w:val="003E5FA3"/>
    <w:rsid w:val="003E60AB"/>
    <w:rsid w:val="003E60E4"/>
    <w:rsid w:val="003E6344"/>
    <w:rsid w:val="003E666F"/>
    <w:rsid w:val="003E6867"/>
    <w:rsid w:val="003E6F84"/>
    <w:rsid w:val="003E7598"/>
    <w:rsid w:val="003E7652"/>
    <w:rsid w:val="003E76A9"/>
    <w:rsid w:val="003E7715"/>
    <w:rsid w:val="003E7D69"/>
    <w:rsid w:val="003E7E33"/>
    <w:rsid w:val="003F0506"/>
    <w:rsid w:val="003F05DE"/>
    <w:rsid w:val="003F0809"/>
    <w:rsid w:val="003F0A0A"/>
    <w:rsid w:val="003F0E6D"/>
    <w:rsid w:val="003F0F41"/>
    <w:rsid w:val="003F13DF"/>
    <w:rsid w:val="003F197F"/>
    <w:rsid w:val="003F1EE8"/>
    <w:rsid w:val="003F20BD"/>
    <w:rsid w:val="003F23B6"/>
    <w:rsid w:val="003F23D6"/>
    <w:rsid w:val="003F26B6"/>
    <w:rsid w:val="003F29BA"/>
    <w:rsid w:val="003F2B48"/>
    <w:rsid w:val="003F2C47"/>
    <w:rsid w:val="003F2CA0"/>
    <w:rsid w:val="003F2E2E"/>
    <w:rsid w:val="003F3154"/>
    <w:rsid w:val="003F360D"/>
    <w:rsid w:val="003F372A"/>
    <w:rsid w:val="003F3775"/>
    <w:rsid w:val="003F3D1C"/>
    <w:rsid w:val="003F3E46"/>
    <w:rsid w:val="003F40BD"/>
    <w:rsid w:val="003F428F"/>
    <w:rsid w:val="003F4461"/>
    <w:rsid w:val="003F4684"/>
    <w:rsid w:val="003F4C39"/>
    <w:rsid w:val="003F542F"/>
    <w:rsid w:val="003F5989"/>
    <w:rsid w:val="003F60F1"/>
    <w:rsid w:val="003F6349"/>
    <w:rsid w:val="003F647F"/>
    <w:rsid w:val="003F66F4"/>
    <w:rsid w:val="003F6A8C"/>
    <w:rsid w:val="003F6B63"/>
    <w:rsid w:val="003F6C31"/>
    <w:rsid w:val="003F755C"/>
    <w:rsid w:val="003F78C4"/>
    <w:rsid w:val="003F7B97"/>
    <w:rsid w:val="003F7DE6"/>
    <w:rsid w:val="0040027B"/>
    <w:rsid w:val="0040044F"/>
    <w:rsid w:val="004004F7"/>
    <w:rsid w:val="00400575"/>
    <w:rsid w:val="00400634"/>
    <w:rsid w:val="00400675"/>
    <w:rsid w:val="00400A79"/>
    <w:rsid w:val="00400B4C"/>
    <w:rsid w:val="00401168"/>
    <w:rsid w:val="00401237"/>
    <w:rsid w:val="004016BE"/>
    <w:rsid w:val="004017B6"/>
    <w:rsid w:val="004019B0"/>
    <w:rsid w:val="00401A86"/>
    <w:rsid w:val="00401B00"/>
    <w:rsid w:val="00401C0A"/>
    <w:rsid w:val="0040208B"/>
    <w:rsid w:val="0040221B"/>
    <w:rsid w:val="004022C5"/>
    <w:rsid w:val="004023F6"/>
    <w:rsid w:val="004024FB"/>
    <w:rsid w:val="00402664"/>
    <w:rsid w:val="0040276E"/>
    <w:rsid w:val="00402D80"/>
    <w:rsid w:val="00402DEE"/>
    <w:rsid w:val="004033A1"/>
    <w:rsid w:val="0040350B"/>
    <w:rsid w:val="004037E2"/>
    <w:rsid w:val="004038C3"/>
    <w:rsid w:val="00403B9C"/>
    <w:rsid w:val="0040414B"/>
    <w:rsid w:val="004042DE"/>
    <w:rsid w:val="004048BE"/>
    <w:rsid w:val="00404E78"/>
    <w:rsid w:val="00404F97"/>
    <w:rsid w:val="00405261"/>
    <w:rsid w:val="00405401"/>
    <w:rsid w:val="00405712"/>
    <w:rsid w:val="004059C6"/>
    <w:rsid w:val="00405F09"/>
    <w:rsid w:val="00406F01"/>
    <w:rsid w:val="00406F58"/>
    <w:rsid w:val="00406F7A"/>
    <w:rsid w:val="00406FE3"/>
    <w:rsid w:val="004072AF"/>
    <w:rsid w:val="00407576"/>
    <w:rsid w:val="0040774D"/>
    <w:rsid w:val="0040788D"/>
    <w:rsid w:val="00407A6C"/>
    <w:rsid w:val="00407ACA"/>
    <w:rsid w:val="00407D1C"/>
    <w:rsid w:val="004101E1"/>
    <w:rsid w:val="004102C5"/>
    <w:rsid w:val="0041087C"/>
    <w:rsid w:val="00410A4D"/>
    <w:rsid w:val="00410D0F"/>
    <w:rsid w:val="0041159C"/>
    <w:rsid w:val="0041165A"/>
    <w:rsid w:val="00411D53"/>
    <w:rsid w:val="00411F71"/>
    <w:rsid w:val="004123DE"/>
    <w:rsid w:val="00412518"/>
    <w:rsid w:val="004125C1"/>
    <w:rsid w:val="00413353"/>
    <w:rsid w:val="004133DE"/>
    <w:rsid w:val="0041340F"/>
    <w:rsid w:val="004139D8"/>
    <w:rsid w:val="00413E81"/>
    <w:rsid w:val="00413FCB"/>
    <w:rsid w:val="0041419F"/>
    <w:rsid w:val="004141E7"/>
    <w:rsid w:val="0041435B"/>
    <w:rsid w:val="004146AE"/>
    <w:rsid w:val="00414715"/>
    <w:rsid w:val="00414734"/>
    <w:rsid w:val="00414770"/>
    <w:rsid w:val="00414DFC"/>
    <w:rsid w:val="00414F8D"/>
    <w:rsid w:val="004152DF"/>
    <w:rsid w:val="004153E5"/>
    <w:rsid w:val="004154B9"/>
    <w:rsid w:val="004155DC"/>
    <w:rsid w:val="0041576A"/>
    <w:rsid w:val="00415A4D"/>
    <w:rsid w:val="00415BA9"/>
    <w:rsid w:val="00415D0B"/>
    <w:rsid w:val="0041600D"/>
    <w:rsid w:val="0041608F"/>
    <w:rsid w:val="004165A1"/>
    <w:rsid w:val="004168FC"/>
    <w:rsid w:val="00416B99"/>
    <w:rsid w:val="00416B9D"/>
    <w:rsid w:val="00416BA7"/>
    <w:rsid w:val="00416C3A"/>
    <w:rsid w:val="00416D50"/>
    <w:rsid w:val="00416E03"/>
    <w:rsid w:val="00416FD5"/>
    <w:rsid w:val="00417772"/>
    <w:rsid w:val="00417D2A"/>
    <w:rsid w:val="00417D40"/>
    <w:rsid w:val="00417E9F"/>
    <w:rsid w:val="00420025"/>
    <w:rsid w:val="00420448"/>
    <w:rsid w:val="0042049F"/>
    <w:rsid w:val="0042052C"/>
    <w:rsid w:val="00420C7D"/>
    <w:rsid w:val="00420E67"/>
    <w:rsid w:val="00420E6A"/>
    <w:rsid w:val="004210AC"/>
    <w:rsid w:val="004211C7"/>
    <w:rsid w:val="00421292"/>
    <w:rsid w:val="00421367"/>
    <w:rsid w:val="00421978"/>
    <w:rsid w:val="00421A4E"/>
    <w:rsid w:val="00421B15"/>
    <w:rsid w:val="00421C17"/>
    <w:rsid w:val="00422270"/>
    <w:rsid w:val="004224A3"/>
    <w:rsid w:val="00422B01"/>
    <w:rsid w:val="00422B47"/>
    <w:rsid w:val="00422C1E"/>
    <w:rsid w:val="00422F5C"/>
    <w:rsid w:val="00423093"/>
    <w:rsid w:val="004231B8"/>
    <w:rsid w:val="00423A9E"/>
    <w:rsid w:val="00423B31"/>
    <w:rsid w:val="00423EB7"/>
    <w:rsid w:val="00423F0F"/>
    <w:rsid w:val="00424220"/>
    <w:rsid w:val="004242C0"/>
    <w:rsid w:val="00424307"/>
    <w:rsid w:val="004244D6"/>
    <w:rsid w:val="004246E6"/>
    <w:rsid w:val="00424BAC"/>
    <w:rsid w:val="00425A9E"/>
    <w:rsid w:val="00425B6A"/>
    <w:rsid w:val="00425DAE"/>
    <w:rsid w:val="00426363"/>
    <w:rsid w:val="004263C5"/>
    <w:rsid w:val="00426B15"/>
    <w:rsid w:val="00426D6B"/>
    <w:rsid w:val="004271BA"/>
    <w:rsid w:val="00427424"/>
    <w:rsid w:val="0042748A"/>
    <w:rsid w:val="00427775"/>
    <w:rsid w:val="00427B30"/>
    <w:rsid w:val="0043006F"/>
    <w:rsid w:val="004304B0"/>
    <w:rsid w:val="0043063A"/>
    <w:rsid w:val="004306D5"/>
    <w:rsid w:val="0043073F"/>
    <w:rsid w:val="004308BD"/>
    <w:rsid w:val="00430A58"/>
    <w:rsid w:val="00430C5A"/>
    <w:rsid w:val="004310B5"/>
    <w:rsid w:val="00431441"/>
    <w:rsid w:val="004318C9"/>
    <w:rsid w:val="00431AB9"/>
    <w:rsid w:val="00431BB9"/>
    <w:rsid w:val="00431C8E"/>
    <w:rsid w:val="00431DCE"/>
    <w:rsid w:val="00431E6C"/>
    <w:rsid w:val="00431FB0"/>
    <w:rsid w:val="004322E9"/>
    <w:rsid w:val="00432731"/>
    <w:rsid w:val="00432A42"/>
    <w:rsid w:val="00432B0B"/>
    <w:rsid w:val="00432B3D"/>
    <w:rsid w:val="00432D98"/>
    <w:rsid w:val="00432E63"/>
    <w:rsid w:val="00432F2F"/>
    <w:rsid w:val="00433090"/>
    <w:rsid w:val="004331D4"/>
    <w:rsid w:val="00433357"/>
    <w:rsid w:val="004335D6"/>
    <w:rsid w:val="00433CE7"/>
    <w:rsid w:val="00433DF2"/>
    <w:rsid w:val="004340B2"/>
    <w:rsid w:val="004345B8"/>
    <w:rsid w:val="00434615"/>
    <w:rsid w:val="00434991"/>
    <w:rsid w:val="00435388"/>
    <w:rsid w:val="004354D2"/>
    <w:rsid w:val="00435635"/>
    <w:rsid w:val="00435A16"/>
    <w:rsid w:val="00435ED2"/>
    <w:rsid w:val="00436074"/>
    <w:rsid w:val="00436317"/>
    <w:rsid w:val="0043659A"/>
    <w:rsid w:val="00436FA2"/>
    <w:rsid w:val="00437428"/>
    <w:rsid w:val="00437580"/>
    <w:rsid w:val="004376C1"/>
    <w:rsid w:val="0043783A"/>
    <w:rsid w:val="004379D3"/>
    <w:rsid w:val="00437D69"/>
    <w:rsid w:val="00437DFB"/>
    <w:rsid w:val="00437F79"/>
    <w:rsid w:val="00440171"/>
    <w:rsid w:val="00440287"/>
    <w:rsid w:val="00440418"/>
    <w:rsid w:val="00440584"/>
    <w:rsid w:val="00440838"/>
    <w:rsid w:val="004409CC"/>
    <w:rsid w:val="00440BF1"/>
    <w:rsid w:val="00440ECB"/>
    <w:rsid w:val="00441155"/>
    <w:rsid w:val="004411F2"/>
    <w:rsid w:val="0044124A"/>
    <w:rsid w:val="00441390"/>
    <w:rsid w:val="004414E8"/>
    <w:rsid w:val="0044150C"/>
    <w:rsid w:val="00441760"/>
    <w:rsid w:val="004419B9"/>
    <w:rsid w:val="00441FA8"/>
    <w:rsid w:val="00442570"/>
    <w:rsid w:val="004425DD"/>
    <w:rsid w:val="0044260F"/>
    <w:rsid w:val="00442A30"/>
    <w:rsid w:val="00442B78"/>
    <w:rsid w:val="00442C11"/>
    <w:rsid w:val="00442F39"/>
    <w:rsid w:val="00443284"/>
    <w:rsid w:val="0044335E"/>
    <w:rsid w:val="00443766"/>
    <w:rsid w:val="00443992"/>
    <w:rsid w:val="00443C88"/>
    <w:rsid w:val="00443CA9"/>
    <w:rsid w:val="00443F88"/>
    <w:rsid w:val="0044435E"/>
    <w:rsid w:val="004444BB"/>
    <w:rsid w:val="00444576"/>
    <w:rsid w:val="004447CD"/>
    <w:rsid w:val="00444929"/>
    <w:rsid w:val="00444E28"/>
    <w:rsid w:val="00444F1B"/>
    <w:rsid w:val="0044505E"/>
    <w:rsid w:val="004450D3"/>
    <w:rsid w:val="0044532E"/>
    <w:rsid w:val="00445598"/>
    <w:rsid w:val="00445E69"/>
    <w:rsid w:val="00446118"/>
    <w:rsid w:val="0044629E"/>
    <w:rsid w:val="004462E1"/>
    <w:rsid w:val="00446395"/>
    <w:rsid w:val="00446652"/>
    <w:rsid w:val="00446707"/>
    <w:rsid w:val="00446A17"/>
    <w:rsid w:val="00446B03"/>
    <w:rsid w:val="00446C4F"/>
    <w:rsid w:val="00446D35"/>
    <w:rsid w:val="00447239"/>
    <w:rsid w:val="00447341"/>
    <w:rsid w:val="00447D95"/>
    <w:rsid w:val="00447E66"/>
    <w:rsid w:val="00447FC3"/>
    <w:rsid w:val="00450173"/>
    <w:rsid w:val="004504BA"/>
    <w:rsid w:val="00450598"/>
    <w:rsid w:val="00450665"/>
    <w:rsid w:val="00450895"/>
    <w:rsid w:val="00450E10"/>
    <w:rsid w:val="00451219"/>
    <w:rsid w:val="004516DB"/>
    <w:rsid w:val="00452086"/>
    <w:rsid w:val="0045213A"/>
    <w:rsid w:val="00452738"/>
    <w:rsid w:val="00452849"/>
    <w:rsid w:val="00452AE2"/>
    <w:rsid w:val="00452BFE"/>
    <w:rsid w:val="00452CD3"/>
    <w:rsid w:val="00452D1B"/>
    <w:rsid w:val="00452E09"/>
    <w:rsid w:val="00452F57"/>
    <w:rsid w:val="0045307E"/>
    <w:rsid w:val="0045335D"/>
    <w:rsid w:val="00453632"/>
    <w:rsid w:val="0045365B"/>
    <w:rsid w:val="00453791"/>
    <w:rsid w:val="00453D45"/>
    <w:rsid w:val="00454994"/>
    <w:rsid w:val="00454E5C"/>
    <w:rsid w:val="004554A0"/>
    <w:rsid w:val="0045561A"/>
    <w:rsid w:val="00456091"/>
    <w:rsid w:val="004560A7"/>
    <w:rsid w:val="00456297"/>
    <w:rsid w:val="00456968"/>
    <w:rsid w:val="00456BF8"/>
    <w:rsid w:val="00456C80"/>
    <w:rsid w:val="00457155"/>
    <w:rsid w:val="0045716A"/>
    <w:rsid w:val="0045718B"/>
    <w:rsid w:val="004576AE"/>
    <w:rsid w:val="004577AA"/>
    <w:rsid w:val="004578AD"/>
    <w:rsid w:val="00457A1D"/>
    <w:rsid w:val="0046009B"/>
    <w:rsid w:val="0046019B"/>
    <w:rsid w:val="004602C6"/>
    <w:rsid w:val="00460398"/>
    <w:rsid w:val="004605AB"/>
    <w:rsid w:val="0046064E"/>
    <w:rsid w:val="00460766"/>
    <w:rsid w:val="00460AD6"/>
    <w:rsid w:val="00460F82"/>
    <w:rsid w:val="00461527"/>
    <w:rsid w:val="004619AF"/>
    <w:rsid w:val="00461A0A"/>
    <w:rsid w:val="00461DAF"/>
    <w:rsid w:val="00462093"/>
    <w:rsid w:val="00462955"/>
    <w:rsid w:val="00462BD6"/>
    <w:rsid w:val="00462C5F"/>
    <w:rsid w:val="004637FB"/>
    <w:rsid w:val="00463D65"/>
    <w:rsid w:val="00463D78"/>
    <w:rsid w:val="00463DA8"/>
    <w:rsid w:val="00463EEE"/>
    <w:rsid w:val="004649CA"/>
    <w:rsid w:val="00464E63"/>
    <w:rsid w:val="00464E93"/>
    <w:rsid w:val="004650CC"/>
    <w:rsid w:val="00465209"/>
    <w:rsid w:val="0046554B"/>
    <w:rsid w:val="00465609"/>
    <w:rsid w:val="0046567F"/>
    <w:rsid w:val="0046583E"/>
    <w:rsid w:val="0046591C"/>
    <w:rsid w:val="00465D29"/>
    <w:rsid w:val="00465D3E"/>
    <w:rsid w:val="00465F8B"/>
    <w:rsid w:val="00466185"/>
    <w:rsid w:val="00466261"/>
    <w:rsid w:val="00466321"/>
    <w:rsid w:val="00466787"/>
    <w:rsid w:val="00466798"/>
    <w:rsid w:val="00466C18"/>
    <w:rsid w:val="0046700E"/>
    <w:rsid w:val="00467333"/>
    <w:rsid w:val="0046739C"/>
    <w:rsid w:val="004674CD"/>
    <w:rsid w:val="00467552"/>
    <w:rsid w:val="004676F4"/>
    <w:rsid w:val="00467ABB"/>
    <w:rsid w:val="00470369"/>
    <w:rsid w:val="004703C3"/>
    <w:rsid w:val="00470896"/>
    <w:rsid w:val="004709DA"/>
    <w:rsid w:val="00470AA8"/>
    <w:rsid w:val="004710F6"/>
    <w:rsid w:val="0047181E"/>
    <w:rsid w:val="00471CFD"/>
    <w:rsid w:val="00471D8B"/>
    <w:rsid w:val="00471EC3"/>
    <w:rsid w:val="00471F0F"/>
    <w:rsid w:val="00471F69"/>
    <w:rsid w:val="00471FE0"/>
    <w:rsid w:val="004720A9"/>
    <w:rsid w:val="0047214A"/>
    <w:rsid w:val="0047284E"/>
    <w:rsid w:val="0047294F"/>
    <w:rsid w:val="00472999"/>
    <w:rsid w:val="0047317F"/>
    <w:rsid w:val="00473547"/>
    <w:rsid w:val="00473871"/>
    <w:rsid w:val="0047392E"/>
    <w:rsid w:val="00473AB9"/>
    <w:rsid w:val="00473BB2"/>
    <w:rsid w:val="00473E33"/>
    <w:rsid w:val="00473E9C"/>
    <w:rsid w:val="00474025"/>
    <w:rsid w:val="0047410A"/>
    <w:rsid w:val="00474327"/>
    <w:rsid w:val="00474375"/>
    <w:rsid w:val="0047447D"/>
    <w:rsid w:val="0047451B"/>
    <w:rsid w:val="0047468D"/>
    <w:rsid w:val="00474740"/>
    <w:rsid w:val="004747F3"/>
    <w:rsid w:val="004747F5"/>
    <w:rsid w:val="00474B32"/>
    <w:rsid w:val="00474C00"/>
    <w:rsid w:val="00474D5F"/>
    <w:rsid w:val="00474D87"/>
    <w:rsid w:val="00474F9B"/>
    <w:rsid w:val="00475426"/>
    <w:rsid w:val="00475617"/>
    <w:rsid w:val="004756F5"/>
    <w:rsid w:val="00475718"/>
    <w:rsid w:val="0047593F"/>
    <w:rsid w:val="004759D3"/>
    <w:rsid w:val="004759F7"/>
    <w:rsid w:val="00475A74"/>
    <w:rsid w:val="00475ACA"/>
    <w:rsid w:val="00475AEF"/>
    <w:rsid w:val="00475BB8"/>
    <w:rsid w:val="00475BF1"/>
    <w:rsid w:val="00476436"/>
    <w:rsid w:val="00476479"/>
    <w:rsid w:val="00476664"/>
    <w:rsid w:val="004766CA"/>
    <w:rsid w:val="00476703"/>
    <w:rsid w:val="00476910"/>
    <w:rsid w:val="00476AF1"/>
    <w:rsid w:val="00476EB8"/>
    <w:rsid w:val="004770FC"/>
    <w:rsid w:val="00477151"/>
    <w:rsid w:val="004775E3"/>
    <w:rsid w:val="00477BB9"/>
    <w:rsid w:val="00477CB0"/>
    <w:rsid w:val="00477F93"/>
    <w:rsid w:val="004801DD"/>
    <w:rsid w:val="004803AE"/>
    <w:rsid w:val="004803C9"/>
    <w:rsid w:val="004809B4"/>
    <w:rsid w:val="00480F18"/>
    <w:rsid w:val="00480F55"/>
    <w:rsid w:val="00481350"/>
    <w:rsid w:val="0048198C"/>
    <w:rsid w:val="00481B41"/>
    <w:rsid w:val="00481C56"/>
    <w:rsid w:val="00481CE5"/>
    <w:rsid w:val="004822B7"/>
    <w:rsid w:val="004822DD"/>
    <w:rsid w:val="004827A6"/>
    <w:rsid w:val="00482FE2"/>
    <w:rsid w:val="0048326E"/>
    <w:rsid w:val="00483563"/>
    <w:rsid w:val="00483764"/>
    <w:rsid w:val="0048379E"/>
    <w:rsid w:val="004837E6"/>
    <w:rsid w:val="0048403A"/>
    <w:rsid w:val="00484105"/>
    <w:rsid w:val="00484204"/>
    <w:rsid w:val="00484698"/>
    <w:rsid w:val="00484B9B"/>
    <w:rsid w:val="00484FF8"/>
    <w:rsid w:val="004854DB"/>
    <w:rsid w:val="004855F6"/>
    <w:rsid w:val="0048577A"/>
    <w:rsid w:val="00485CF1"/>
    <w:rsid w:val="00485D43"/>
    <w:rsid w:val="00485D76"/>
    <w:rsid w:val="004864AD"/>
    <w:rsid w:val="004864DE"/>
    <w:rsid w:val="0048657A"/>
    <w:rsid w:val="004865F8"/>
    <w:rsid w:val="0048661E"/>
    <w:rsid w:val="0048662F"/>
    <w:rsid w:val="0048682F"/>
    <w:rsid w:val="00486B00"/>
    <w:rsid w:val="00486BDA"/>
    <w:rsid w:val="00487144"/>
    <w:rsid w:val="00487461"/>
    <w:rsid w:val="0048756F"/>
    <w:rsid w:val="00487581"/>
    <w:rsid w:val="00490096"/>
    <w:rsid w:val="0049065D"/>
    <w:rsid w:val="00490782"/>
    <w:rsid w:val="0049078C"/>
    <w:rsid w:val="004907C5"/>
    <w:rsid w:val="00490EAC"/>
    <w:rsid w:val="004911B5"/>
    <w:rsid w:val="004912F9"/>
    <w:rsid w:val="004912FA"/>
    <w:rsid w:val="004918DF"/>
    <w:rsid w:val="00491AB2"/>
    <w:rsid w:val="00492028"/>
    <w:rsid w:val="0049213C"/>
    <w:rsid w:val="004928DF"/>
    <w:rsid w:val="00492DD5"/>
    <w:rsid w:val="00492F11"/>
    <w:rsid w:val="0049390D"/>
    <w:rsid w:val="0049395E"/>
    <w:rsid w:val="00493AE8"/>
    <w:rsid w:val="00493FA6"/>
    <w:rsid w:val="0049439B"/>
    <w:rsid w:val="00494670"/>
    <w:rsid w:val="00494C61"/>
    <w:rsid w:val="00494CE1"/>
    <w:rsid w:val="00494D8A"/>
    <w:rsid w:val="00494F50"/>
    <w:rsid w:val="00495078"/>
    <w:rsid w:val="00495388"/>
    <w:rsid w:val="0049538A"/>
    <w:rsid w:val="00495633"/>
    <w:rsid w:val="00495698"/>
    <w:rsid w:val="004958C7"/>
    <w:rsid w:val="00495BB2"/>
    <w:rsid w:val="00495CA6"/>
    <w:rsid w:val="004968EA"/>
    <w:rsid w:val="004968F7"/>
    <w:rsid w:val="00496EA8"/>
    <w:rsid w:val="00496F60"/>
    <w:rsid w:val="00497703"/>
    <w:rsid w:val="00497AB5"/>
    <w:rsid w:val="00497CAC"/>
    <w:rsid w:val="00497D50"/>
    <w:rsid w:val="00497E4B"/>
    <w:rsid w:val="004A020F"/>
    <w:rsid w:val="004A0590"/>
    <w:rsid w:val="004A05E3"/>
    <w:rsid w:val="004A068E"/>
    <w:rsid w:val="004A06CF"/>
    <w:rsid w:val="004A0743"/>
    <w:rsid w:val="004A09B6"/>
    <w:rsid w:val="004A0AEA"/>
    <w:rsid w:val="004A0F54"/>
    <w:rsid w:val="004A1006"/>
    <w:rsid w:val="004A102A"/>
    <w:rsid w:val="004A11AE"/>
    <w:rsid w:val="004A1252"/>
    <w:rsid w:val="004A14F2"/>
    <w:rsid w:val="004A1758"/>
    <w:rsid w:val="004A1953"/>
    <w:rsid w:val="004A1DCB"/>
    <w:rsid w:val="004A1E84"/>
    <w:rsid w:val="004A1FB9"/>
    <w:rsid w:val="004A28CF"/>
    <w:rsid w:val="004A29D6"/>
    <w:rsid w:val="004A2A8E"/>
    <w:rsid w:val="004A2AE0"/>
    <w:rsid w:val="004A2E37"/>
    <w:rsid w:val="004A2E6A"/>
    <w:rsid w:val="004A3236"/>
    <w:rsid w:val="004A335B"/>
    <w:rsid w:val="004A3823"/>
    <w:rsid w:val="004A3B5A"/>
    <w:rsid w:val="004A3B75"/>
    <w:rsid w:val="004A3CA3"/>
    <w:rsid w:val="004A4105"/>
    <w:rsid w:val="004A41E5"/>
    <w:rsid w:val="004A4427"/>
    <w:rsid w:val="004A4489"/>
    <w:rsid w:val="004A45BB"/>
    <w:rsid w:val="004A467B"/>
    <w:rsid w:val="004A4803"/>
    <w:rsid w:val="004A4A70"/>
    <w:rsid w:val="004A4AD8"/>
    <w:rsid w:val="004A4B33"/>
    <w:rsid w:val="004A4CD6"/>
    <w:rsid w:val="004A4ED2"/>
    <w:rsid w:val="004A511D"/>
    <w:rsid w:val="004A53FB"/>
    <w:rsid w:val="004A599D"/>
    <w:rsid w:val="004A5A2B"/>
    <w:rsid w:val="004A5E5C"/>
    <w:rsid w:val="004A5F72"/>
    <w:rsid w:val="004A6C98"/>
    <w:rsid w:val="004A6D7B"/>
    <w:rsid w:val="004A6F02"/>
    <w:rsid w:val="004A739E"/>
    <w:rsid w:val="004A7554"/>
    <w:rsid w:val="004A75E3"/>
    <w:rsid w:val="004A78F8"/>
    <w:rsid w:val="004A7B9F"/>
    <w:rsid w:val="004A7CCD"/>
    <w:rsid w:val="004B0335"/>
    <w:rsid w:val="004B04B9"/>
    <w:rsid w:val="004B0562"/>
    <w:rsid w:val="004B065F"/>
    <w:rsid w:val="004B06FC"/>
    <w:rsid w:val="004B0769"/>
    <w:rsid w:val="004B0874"/>
    <w:rsid w:val="004B10B8"/>
    <w:rsid w:val="004B13F9"/>
    <w:rsid w:val="004B17AD"/>
    <w:rsid w:val="004B190F"/>
    <w:rsid w:val="004B19B3"/>
    <w:rsid w:val="004B1C13"/>
    <w:rsid w:val="004B1D63"/>
    <w:rsid w:val="004B216B"/>
    <w:rsid w:val="004B23E7"/>
    <w:rsid w:val="004B24A3"/>
    <w:rsid w:val="004B271B"/>
    <w:rsid w:val="004B2B13"/>
    <w:rsid w:val="004B2CB6"/>
    <w:rsid w:val="004B2CF4"/>
    <w:rsid w:val="004B2D86"/>
    <w:rsid w:val="004B2F31"/>
    <w:rsid w:val="004B303D"/>
    <w:rsid w:val="004B3122"/>
    <w:rsid w:val="004B3538"/>
    <w:rsid w:val="004B3694"/>
    <w:rsid w:val="004B3702"/>
    <w:rsid w:val="004B37A1"/>
    <w:rsid w:val="004B3D03"/>
    <w:rsid w:val="004B3DF7"/>
    <w:rsid w:val="004B3F81"/>
    <w:rsid w:val="004B414E"/>
    <w:rsid w:val="004B41BD"/>
    <w:rsid w:val="004B478A"/>
    <w:rsid w:val="004B47CE"/>
    <w:rsid w:val="004B4845"/>
    <w:rsid w:val="004B4B50"/>
    <w:rsid w:val="004B4C02"/>
    <w:rsid w:val="004B4C0C"/>
    <w:rsid w:val="004B5464"/>
    <w:rsid w:val="004B5592"/>
    <w:rsid w:val="004B5602"/>
    <w:rsid w:val="004B5878"/>
    <w:rsid w:val="004B58D6"/>
    <w:rsid w:val="004B5DCC"/>
    <w:rsid w:val="004B5DE4"/>
    <w:rsid w:val="004B5F80"/>
    <w:rsid w:val="004B5FBE"/>
    <w:rsid w:val="004B60B1"/>
    <w:rsid w:val="004B60E5"/>
    <w:rsid w:val="004B60F5"/>
    <w:rsid w:val="004B632B"/>
    <w:rsid w:val="004B6C97"/>
    <w:rsid w:val="004B6F5E"/>
    <w:rsid w:val="004B703C"/>
    <w:rsid w:val="004B7476"/>
    <w:rsid w:val="004B7BF5"/>
    <w:rsid w:val="004C03AE"/>
    <w:rsid w:val="004C03BC"/>
    <w:rsid w:val="004C03BD"/>
    <w:rsid w:val="004C03E6"/>
    <w:rsid w:val="004C0B8F"/>
    <w:rsid w:val="004C0BF7"/>
    <w:rsid w:val="004C0C56"/>
    <w:rsid w:val="004C0CCD"/>
    <w:rsid w:val="004C0DEB"/>
    <w:rsid w:val="004C0E9B"/>
    <w:rsid w:val="004C0F9D"/>
    <w:rsid w:val="004C1029"/>
    <w:rsid w:val="004C23D0"/>
    <w:rsid w:val="004C261C"/>
    <w:rsid w:val="004C26A8"/>
    <w:rsid w:val="004C277A"/>
    <w:rsid w:val="004C2AB3"/>
    <w:rsid w:val="004C2CC7"/>
    <w:rsid w:val="004C2DF3"/>
    <w:rsid w:val="004C3196"/>
    <w:rsid w:val="004C347D"/>
    <w:rsid w:val="004C3646"/>
    <w:rsid w:val="004C39B5"/>
    <w:rsid w:val="004C39F7"/>
    <w:rsid w:val="004C3A05"/>
    <w:rsid w:val="004C3B66"/>
    <w:rsid w:val="004C3C17"/>
    <w:rsid w:val="004C4638"/>
    <w:rsid w:val="004C4A32"/>
    <w:rsid w:val="004C4CB7"/>
    <w:rsid w:val="004C4D1B"/>
    <w:rsid w:val="004C4E74"/>
    <w:rsid w:val="004C5114"/>
    <w:rsid w:val="004C51B9"/>
    <w:rsid w:val="004C5592"/>
    <w:rsid w:val="004C59A0"/>
    <w:rsid w:val="004C5DA0"/>
    <w:rsid w:val="004C5F10"/>
    <w:rsid w:val="004C63D8"/>
    <w:rsid w:val="004C64C5"/>
    <w:rsid w:val="004C67B2"/>
    <w:rsid w:val="004C67C3"/>
    <w:rsid w:val="004C79C0"/>
    <w:rsid w:val="004C7A72"/>
    <w:rsid w:val="004C7B21"/>
    <w:rsid w:val="004C7E0F"/>
    <w:rsid w:val="004C7F70"/>
    <w:rsid w:val="004C7FD1"/>
    <w:rsid w:val="004D042C"/>
    <w:rsid w:val="004D0557"/>
    <w:rsid w:val="004D05C6"/>
    <w:rsid w:val="004D0F69"/>
    <w:rsid w:val="004D1120"/>
    <w:rsid w:val="004D150F"/>
    <w:rsid w:val="004D1CEE"/>
    <w:rsid w:val="004D1D4C"/>
    <w:rsid w:val="004D202D"/>
    <w:rsid w:val="004D225C"/>
    <w:rsid w:val="004D254A"/>
    <w:rsid w:val="004D2684"/>
    <w:rsid w:val="004D26AC"/>
    <w:rsid w:val="004D2828"/>
    <w:rsid w:val="004D2912"/>
    <w:rsid w:val="004D2A7F"/>
    <w:rsid w:val="004D2F33"/>
    <w:rsid w:val="004D3365"/>
    <w:rsid w:val="004D340E"/>
    <w:rsid w:val="004D36FF"/>
    <w:rsid w:val="004D3A82"/>
    <w:rsid w:val="004D3DAC"/>
    <w:rsid w:val="004D40C6"/>
    <w:rsid w:val="004D470D"/>
    <w:rsid w:val="004D491A"/>
    <w:rsid w:val="004D4962"/>
    <w:rsid w:val="004D4D2C"/>
    <w:rsid w:val="004D5A46"/>
    <w:rsid w:val="004D5F57"/>
    <w:rsid w:val="004D633F"/>
    <w:rsid w:val="004D67C9"/>
    <w:rsid w:val="004D6837"/>
    <w:rsid w:val="004D688C"/>
    <w:rsid w:val="004D68EF"/>
    <w:rsid w:val="004D6C42"/>
    <w:rsid w:val="004D6F22"/>
    <w:rsid w:val="004D7243"/>
    <w:rsid w:val="004D7412"/>
    <w:rsid w:val="004D7908"/>
    <w:rsid w:val="004D7A21"/>
    <w:rsid w:val="004D7E52"/>
    <w:rsid w:val="004E0711"/>
    <w:rsid w:val="004E0747"/>
    <w:rsid w:val="004E0AAA"/>
    <w:rsid w:val="004E0DC6"/>
    <w:rsid w:val="004E0DCC"/>
    <w:rsid w:val="004E0E89"/>
    <w:rsid w:val="004E107D"/>
    <w:rsid w:val="004E1137"/>
    <w:rsid w:val="004E1244"/>
    <w:rsid w:val="004E13CC"/>
    <w:rsid w:val="004E18CF"/>
    <w:rsid w:val="004E1CA1"/>
    <w:rsid w:val="004E1F0B"/>
    <w:rsid w:val="004E2040"/>
    <w:rsid w:val="004E2337"/>
    <w:rsid w:val="004E23A8"/>
    <w:rsid w:val="004E25E9"/>
    <w:rsid w:val="004E2678"/>
    <w:rsid w:val="004E28CE"/>
    <w:rsid w:val="004E2935"/>
    <w:rsid w:val="004E31DC"/>
    <w:rsid w:val="004E33FF"/>
    <w:rsid w:val="004E3456"/>
    <w:rsid w:val="004E3623"/>
    <w:rsid w:val="004E39AD"/>
    <w:rsid w:val="004E3CB4"/>
    <w:rsid w:val="004E3ED2"/>
    <w:rsid w:val="004E4060"/>
    <w:rsid w:val="004E4499"/>
    <w:rsid w:val="004E449D"/>
    <w:rsid w:val="004E49E4"/>
    <w:rsid w:val="004E4F25"/>
    <w:rsid w:val="004E5000"/>
    <w:rsid w:val="004E51D4"/>
    <w:rsid w:val="004E51E3"/>
    <w:rsid w:val="004E54CA"/>
    <w:rsid w:val="004E5861"/>
    <w:rsid w:val="004E5A1D"/>
    <w:rsid w:val="004E5ACF"/>
    <w:rsid w:val="004E5EDA"/>
    <w:rsid w:val="004E6009"/>
    <w:rsid w:val="004E6232"/>
    <w:rsid w:val="004E66F8"/>
    <w:rsid w:val="004E6727"/>
    <w:rsid w:val="004E67ED"/>
    <w:rsid w:val="004E6946"/>
    <w:rsid w:val="004E6A03"/>
    <w:rsid w:val="004E6F94"/>
    <w:rsid w:val="004E7016"/>
    <w:rsid w:val="004E7251"/>
    <w:rsid w:val="004E758B"/>
    <w:rsid w:val="004E771B"/>
    <w:rsid w:val="004E7840"/>
    <w:rsid w:val="004E7EB4"/>
    <w:rsid w:val="004F00B1"/>
    <w:rsid w:val="004F02ED"/>
    <w:rsid w:val="004F038E"/>
    <w:rsid w:val="004F0537"/>
    <w:rsid w:val="004F0650"/>
    <w:rsid w:val="004F0907"/>
    <w:rsid w:val="004F09E5"/>
    <w:rsid w:val="004F0D07"/>
    <w:rsid w:val="004F0D4F"/>
    <w:rsid w:val="004F1106"/>
    <w:rsid w:val="004F1AD8"/>
    <w:rsid w:val="004F1D18"/>
    <w:rsid w:val="004F1DB6"/>
    <w:rsid w:val="004F1F5A"/>
    <w:rsid w:val="004F1FBC"/>
    <w:rsid w:val="004F2297"/>
    <w:rsid w:val="004F2351"/>
    <w:rsid w:val="004F236B"/>
    <w:rsid w:val="004F2A85"/>
    <w:rsid w:val="004F2B59"/>
    <w:rsid w:val="004F2C2D"/>
    <w:rsid w:val="004F2C97"/>
    <w:rsid w:val="004F2E92"/>
    <w:rsid w:val="004F31A0"/>
    <w:rsid w:val="004F32DB"/>
    <w:rsid w:val="004F3A01"/>
    <w:rsid w:val="004F3B63"/>
    <w:rsid w:val="004F3C62"/>
    <w:rsid w:val="004F3CB2"/>
    <w:rsid w:val="004F3D05"/>
    <w:rsid w:val="004F3D63"/>
    <w:rsid w:val="004F437F"/>
    <w:rsid w:val="004F47EA"/>
    <w:rsid w:val="004F4A68"/>
    <w:rsid w:val="004F4A92"/>
    <w:rsid w:val="004F4AFD"/>
    <w:rsid w:val="004F4BBF"/>
    <w:rsid w:val="004F4BDF"/>
    <w:rsid w:val="004F4C99"/>
    <w:rsid w:val="004F4E6A"/>
    <w:rsid w:val="004F51ED"/>
    <w:rsid w:val="004F53FD"/>
    <w:rsid w:val="004F551A"/>
    <w:rsid w:val="004F5548"/>
    <w:rsid w:val="004F55A4"/>
    <w:rsid w:val="004F58AD"/>
    <w:rsid w:val="004F5949"/>
    <w:rsid w:val="004F59DE"/>
    <w:rsid w:val="004F5C26"/>
    <w:rsid w:val="004F5E21"/>
    <w:rsid w:val="004F5EFB"/>
    <w:rsid w:val="004F5F79"/>
    <w:rsid w:val="004F60E4"/>
    <w:rsid w:val="004F627D"/>
    <w:rsid w:val="004F62E2"/>
    <w:rsid w:val="004F69AA"/>
    <w:rsid w:val="004F6B88"/>
    <w:rsid w:val="004F71A0"/>
    <w:rsid w:val="004F730D"/>
    <w:rsid w:val="004F785C"/>
    <w:rsid w:val="004F7878"/>
    <w:rsid w:val="004F7912"/>
    <w:rsid w:val="004F7D66"/>
    <w:rsid w:val="004F7F5F"/>
    <w:rsid w:val="00500084"/>
    <w:rsid w:val="00500121"/>
    <w:rsid w:val="0050021B"/>
    <w:rsid w:val="005004F2"/>
    <w:rsid w:val="00500645"/>
    <w:rsid w:val="0050096A"/>
    <w:rsid w:val="00500C2A"/>
    <w:rsid w:val="00500D9C"/>
    <w:rsid w:val="00500E03"/>
    <w:rsid w:val="00501163"/>
    <w:rsid w:val="00501479"/>
    <w:rsid w:val="005014E8"/>
    <w:rsid w:val="005016EA"/>
    <w:rsid w:val="005016F3"/>
    <w:rsid w:val="00501730"/>
    <w:rsid w:val="00501731"/>
    <w:rsid w:val="00501D02"/>
    <w:rsid w:val="00502069"/>
    <w:rsid w:val="005020D8"/>
    <w:rsid w:val="005024E0"/>
    <w:rsid w:val="0050300A"/>
    <w:rsid w:val="00503152"/>
    <w:rsid w:val="0050371F"/>
    <w:rsid w:val="005039CB"/>
    <w:rsid w:val="005042C7"/>
    <w:rsid w:val="005043F5"/>
    <w:rsid w:val="005053C0"/>
    <w:rsid w:val="005054D5"/>
    <w:rsid w:val="0050558F"/>
    <w:rsid w:val="0050562D"/>
    <w:rsid w:val="00505947"/>
    <w:rsid w:val="005059C3"/>
    <w:rsid w:val="00505DC4"/>
    <w:rsid w:val="00505F86"/>
    <w:rsid w:val="00505FD0"/>
    <w:rsid w:val="00506286"/>
    <w:rsid w:val="005065C3"/>
    <w:rsid w:val="00506666"/>
    <w:rsid w:val="005067D0"/>
    <w:rsid w:val="00506E1B"/>
    <w:rsid w:val="00507203"/>
    <w:rsid w:val="0050766E"/>
    <w:rsid w:val="00507684"/>
    <w:rsid w:val="00507743"/>
    <w:rsid w:val="00507906"/>
    <w:rsid w:val="00507A75"/>
    <w:rsid w:val="00507E24"/>
    <w:rsid w:val="00510005"/>
    <w:rsid w:val="005101F6"/>
    <w:rsid w:val="00510424"/>
    <w:rsid w:val="005105DE"/>
    <w:rsid w:val="00510743"/>
    <w:rsid w:val="00510813"/>
    <w:rsid w:val="00510830"/>
    <w:rsid w:val="00510AA4"/>
    <w:rsid w:val="00510E26"/>
    <w:rsid w:val="00510FC6"/>
    <w:rsid w:val="00511990"/>
    <w:rsid w:val="00511DE0"/>
    <w:rsid w:val="00511EE6"/>
    <w:rsid w:val="0051222C"/>
    <w:rsid w:val="00512401"/>
    <w:rsid w:val="00512570"/>
    <w:rsid w:val="005125DD"/>
    <w:rsid w:val="00512DA3"/>
    <w:rsid w:val="00512EEA"/>
    <w:rsid w:val="005131A7"/>
    <w:rsid w:val="0051330F"/>
    <w:rsid w:val="005133C6"/>
    <w:rsid w:val="00513A2A"/>
    <w:rsid w:val="00513BC0"/>
    <w:rsid w:val="00514012"/>
    <w:rsid w:val="00514166"/>
    <w:rsid w:val="00514328"/>
    <w:rsid w:val="0051467F"/>
    <w:rsid w:val="005146B7"/>
    <w:rsid w:val="00514870"/>
    <w:rsid w:val="00514B9B"/>
    <w:rsid w:val="00514C6D"/>
    <w:rsid w:val="00514D61"/>
    <w:rsid w:val="005150AB"/>
    <w:rsid w:val="00515446"/>
    <w:rsid w:val="00515795"/>
    <w:rsid w:val="0051589C"/>
    <w:rsid w:val="005159B4"/>
    <w:rsid w:val="00515B48"/>
    <w:rsid w:val="00515BBA"/>
    <w:rsid w:val="00515F9C"/>
    <w:rsid w:val="0051619D"/>
    <w:rsid w:val="0051626F"/>
    <w:rsid w:val="00516381"/>
    <w:rsid w:val="0051675B"/>
    <w:rsid w:val="0051677C"/>
    <w:rsid w:val="00516807"/>
    <w:rsid w:val="00516C7B"/>
    <w:rsid w:val="00516E53"/>
    <w:rsid w:val="00517384"/>
    <w:rsid w:val="005176CF"/>
    <w:rsid w:val="0051770E"/>
    <w:rsid w:val="00517C69"/>
    <w:rsid w:val="00517F02"/>
    <w:rsid w:val="00520A3E"/>
    <w:rsid w:val="00520E46"/>
    <w:rsid w:val="005211B0"/>
    <w:rsid w:val="00521353"/>
    <w:rsid w:val="00521A78"/>
    <w:rsid w:val="00521C00"/>
    <w:rsid w:val="00521E37"/>
    <w:rsid w:val="00522144"/>
    <w:rsid w:val="00522526"/>
    <w:rsid w:val="00522A22"/>
    <w:rsid w:val="00522A3C"/>
    <w:rsid w:val="00522D67"/>
    <w:rsid w:val="00522DC0"/>
    <w:rsid w:val="00523661"/>
    <w:rsid w:val="00523A86"/>
    <w:rsid w:val="00523E09"/>
    <w:rsid w:val="00524155"/>
    <w:rsid w:val="00524303"/>
    <w:rsid w:val="0052430F"/>
    <w:rsid w:val="0052445B"/>
    <w:rsid w:val="005248B4"/>
    <w:rsid w:val="00524C6D"/>
    <w:rsid w:val="005251CD"/>
    <w:rsid w:val="0052578B"/>
    <w:rsid w:val="005258A2"/>
    <w:rsid w:val="00525A5E"/>
    <w:rsid w:val="00525C78"/>
    <w:rsid w:val="00525D16"/>
    <w:rsid w:val="005261FB"/>
    <w:rsid w:val="00526553"/>
    <w:rsid w:val="005266FC"/>
    <w:rsid w:val="005268E5"/>
    <w:rsid w:val="005269E5"/>
    <w:rsid w:val="00526F68"/>
    <w:rsid w:val="00527410"/>
    <w:rsid w:val="0052770B"/>
    <w:rsid w:val="00527841"/>
    <w:rsid w:val="005301CC"/>
    <w:rsid w:val="00530EC9"/>
    <w:rsid w:val="00530FC0"/>
    <w:rsid w:val="00531000"/>
    <w:rsid w:val="005312BB"/>
    <w:rsid w:val="00531377"/>
    <w:rsid w:val="005318C2"/>
    <w:rsid w:val="00531A74"/>
    <w:rsid w:val="00531BD7"/>
    <w:rsid w:val="00531E30"/>
    <w:rsid w:val="00532437"/>
    <w:rsid w:val="005326F8"/>
    <w:rsid w:val="005329A8"/>
    <w:rsid w:val="0053306F"/>
    <w:rsid w:val="00533133"/>
    <w:rsid w:val="00533361"/>
    <w:rsid w:val="00533798"/>
    <w:rsid w:val="005337FF"/>
    <w:rsid w:val="00533874"/>
    <w:rsid w:val="005339A8"/>
    <w:rsid w:val="00533B13"/>
    <w:rsid w:val="00533B32"/>
    <w:rsid w:val="00533DC9"/>
    <w:rsid w:val="00533DE3"/>
    <w:rsid w:val="00533DE5"/>
    <w:rsid w:val="00534066"/>
    <w:rsid w:val="0053414C"/>
    <w:rsid w:val="005348FD"/>
    <w:rsid w:val="00534D86"/>
    <w:rsid w:val="00534DAC"/>
    <w:rsid w:val="00534DAE"/>
    <w:rsid w:val="00535600"/>
    <w:rsid w:val="00535733"/>
    <w:rsid w:val="00535A33"/>
    <w:rsid w:val="00535E4B"/>
    <w:rsid w:val="00535FE1"/>
    <w:rsid w:val="00536449"/>
    <w:rsid w:val="0053661E"/>
    <w:rsid w:val="005369C2"/>
    <w:rsid w:val="00536D2B"/>
    <w:rsid w:val="00536DD2"/>
    <w:rsid w:val="005375B5"/>
    <w:rsid w:val="00537668"/>
    <w:rsid w:val="005377D5"/>
    <w:rsid w:val="00537F77"/>
    <w:rsid w:val="005401AE"/>
    <w:rsid w:val="00540296"/>
    <w:rsid w:val="00540489"/>
    <w:rsid w:val="00540820"/>
    <w:rsid w:val="005408E8"/>
    <w:rsid w:val="00540AE3"/>
    <w:rsid w:val="00540B82"/>
    <w:rsid w:val="00540C86"/>
    <w:rsid w:val="00540FF5"/>
    <w:rsid w:val="0054117D"/>
    <w:rsid w:val="0054127D"/>
    <w:rsid w:val="00541463"/>
    <w:rsid w:val="005414DD"/>
    <w:rsid w:val="00541BA7"/>
    <w:rsid w:val="00541F3E"/>
    <w:rsid w:val="00542179"/>
    <w:rsid w:val="005423A1"/>
    <w:rsid w:val="00542415"/>
    <w:rsid w:val="00542447"/>
    <w:rsid w:val="005425C6"/>
    <w:rsid w:val="0054276F"/>
    <w:rsid w:val="00542A28"/>
    <w:rsid w:val="00542CA5"/>
    <w:rsid w:val="00542E07"/>
    <w:rsid w:val="00542E42"/>
    <w:rsid w:val="0054308C"/>
    <w:rsid w:val="005431A6"/>
    <w:rsid w:val="0054343A"/>
    <w:rsid w:val="00543ED9"/>
    <w:rsid w:val="00544082"/>
    <w:rsid w:val="0054421C"/>
    <w:rsid w:val="005446D6"/>
    <w:rsid w:val="005446F5"/>
    <w:rsid w:val="00544978"/>
    <w:rsid w:val="00544985"/>
    <w:rsid w:val="00544B77"/>
    <w:rsid w:val="00544DFB"/>
    <w:rsid w:val="00545424"/>
    <w:rsid w:val="005454A8"/>
    <w:rsid w:val="00545B85"/>
    <w:rsid w:val="00545FAD"/>
    <w:rsid w:val="005460A6"/>
    <w:rsid w:val="005460BD"/>
    <w:rsid w:val="005462D5"/>
    <w:rsid w:val="00546A78"/>
    <w:rsid w:val="00546BA4"/>
    <w:rsid w:val="00546DB2"/>
    <w:rsid w:val="00546DB7"/>
    <w:rsid w:val="005470D7"/>
    <w:rsid w:val="005472C8"/>
    <w:rsid w:val="0054730C"/>
    <w:rsid w:val="005473D3"/>
    <w:rsid w:val="005474C6"/>
    <w:rsid w:val="005477F0"/>
    <w:rsid w:val="00547B87"/>
    <w:rsid w:val="00547E98"/>
    <w:rsid w:val="00547FE9"/>
    <w:rsid w:val="0055046C"/>
    <w:rsid w:val="005508B8"/>
    <w:rsid w:val="0055094B"/>
    <w:rsid w:val="00550B27"/>
    <w:rsid w:val="00550BEA"/>
    <w:rsid w:val="00550D1A"/>
    <w:rsid w:val="00550E8D"/>
    <w:rsid w:val="00551022"/>
    <w:rsid w:val="00551153"/>
    <w:rsid w:val="00551834"/>
    <w:rsid w:val="005518B5"/>
    <w:rsid w:val="005518ED"/>
    <w:rsid w:val="00551B04"/>
    <w:rsid w:val="00551D97"/>
    <w:rsid w:val="00552092"/>
    <w:rsid w:val="005521D4"/>
    <w:rsid w:val="0055241A"/>
    <w:rsid w:val="0055278B"/>
    <w:rsid w:val="00552943"/>
    <w:rsid w:val="00552BD8"/>
    <w:rsid w:val="00552BF4"/>
    <w:rsid w:val="00552C45"/>
    <w:rsid w:val="00552F02"/>
    <w:rsid w:val="00553004"/>
    <w:rsid w:val="00553185"/>
    <w:rsid w:val="00553491"/>
    <w:rsid w:val="00553877"/>
    <w:rsid w:val="00553A4A"/>
    <w:rsid w:val="00553B40"/>
    <w:rsid w:val="00554365"/>
    <w:rsid w:val="005543EB"/>
    <w:rsid w:val="00554482"/>
    <w:rsid w:val="00554A7B"/>
    <w:rsid w:val="00554D65"/>
    <w:rsid w:val="0055521D"/>
    <w:rsid w:val="0055572C"/>
    <w:rsid w:val="00555A88"/>
    <w:rsid w:val="00555E8C"/>
    <w:rsid w:val="0055618E"/>
    <w:rsid w:val="005562C6"/>
    <w:rsid w:val="0055680A"/>
    <w:rsid w:val="00556860"/>
    <w:rsid w:val="00556A90"/>
    <w:rsid w:val="0055730A"/>
    <w:rsid w:val="005573D0"/>
    <w:rsid w:val="0055748A"/>
    <w:rsid w:val="00557740"/>
    <w:rsid w:val="00557847"/>
    <w:rsid w:val="00557A22"/>
    <w:rsid w:val="00557C73"/>
    <w:rsid w:val="00560D8F"/>
    <w:rsid w:val="00560F16"/>
    <w:rsid w:val="00561055"/>
    <w:rsid w:val="00561059"/>
    <w:rsid w:val="0056106A"/>
    <w:rsid w:val="0056144C"/>
    <w:rsid w:val="005614D9"/>
    <w:rsid w:val="00561539"/>
    <w:rsid w:val="0056176B"/>
    <w:rsid w:val="005619A5"/>
    <w:rsid w:val="00561C71"/>
    <w:rsid w:val="00561C96"/>
    <w:rsid w:val="005620D3"/>
    <w:rsid w:val="00562161"/>
    <w:rsid w:val="005624A6"/>
    <w:rsid w:val="00562692"/>
    <w:rsid w:val="00562D15"/>
    <w:rsid w:val="00562D94"/>
    <w:rsid w:val="0056314A"/>
    <w:rsid w:val="00563577"/>
    <w:rsid w:val="00563655"/>
    <w:rsid w:val="005638F7"/>
    <w:rsid w:val="00563E9E"/>
    <w:rsid w:val="005640B7"/>
    <w:rsid w:val="005642B7"/>
    <w:rsid w:val="0056431E"/>
    <w:rsid w:val="00564CD8"/>
    <w:rsid w:val="00564F58"/>
    <w:rsid w:val="0056515F"/>
    <w:rsid w:val="0056551C"/>
    <w:rsid w:val="00565847"/>
    <w:rsid w:val="00565A1E"/>
    <w:rsid w:val="00565C2A"/>
    <w:rsid w:val="00565C7E"/>
    <w:rsid w:val="00565F23"/>
    <w:rsid w:val="0056611D"/>
    <w:rsid w:val="005661D5"/>
    <w:rsid w:val="005663E7"/>
    <w:rsid w:val="005664AE"/>
    <w:rsid w:val="0056674E"/>
    <w:rsid w:val="00566F77"/>
    <w:rsid w:val="00566FAD"/>
    <w:rsid w:val="0056771C"/>
    <w:rsid w:val="00567750"/>
    <w:rsid w:val="0056782B"/>
    <w:rsid w:val="00567CD0"/>
    <w:rsid w:val="00567DCF"/>
    <w:rsid w:val="00567EC7"/>
    <w:rsid w:val="005700E6"/>
    <w:rsid w:val="005703A9"/>
    <w:rsid w:val="005708CF"/>
    <w:rsid w:val="005708ED"/>
    <w:rsid w:val="00570950"/>
    <w:rsid w:val="00570CFD"/>
    <w:rsid w:val="00570D8F"/>
    <w:rsid w:val="00571267"/>
    <w:rsid w:val="0057145E"/>
    <w:rsid w:val="00571576"/>
    <w:rsid w:val="00571579"/>
    <w:rsid w:val="00571798"/>
    <w:rsid w:val="00571988"/>
    <w:rsid w:val="00571C13"/>
    <w:rsid w:val="00571D70"/>
    <w:rsid w:val="00571F39"/>
    <w:rsid w:val="005720AE"/>
    <w:rsid w:val="00572135"/>
    <w:rsid w:val="00572212"/>
    <w:rsid w:val="0057277E"/>
    <w:rsid w:val="00572ABB"/>
    <w:rsid w:val="00572CF2"/>
    <w:rsid w:val="005730EB"/>
    <w:rsid w:val="00573A30"/>
    <w:rsid w:val="00573D70"/>
    <w:rsid w:val="00573DBD"/>
    <w:rsid w:val="00573E40"/>
    <w:rsid w:val="005744AC"/>
    <w:rsid w:val="00574B2E"/>
    <w:rsid w:val="00574C85"/>
    <w:rsid w:val="005750D9"/>
    <w:rsid w:val="00575347"/>
    <w:rsid w:val="0057545F"/>
    <w:rsid w:val="00575699"/>
    <w:rsid w:val="00575701"/>
    <w:rsid w:val="005758D5"/>
    <w:rsid w:val="00575B03"/>
    <w:rsid w:val="005762FE"/>
    <w:rsid w:val="00576F62"/>
    <w:rsid w:val="00577232"/>
    <w:rsid w:val="00577241"/>
    <w:rsid w:val="00577284"/>
    <w:rsid w:val="00577764"/>
    <w:rsid w:val="00577ADE"/>
    <w:rsid w:val="00580079"/>
    <w:rsid w:val="00580137"/>
    <w:rsid w:val="00580189"/>
    <w:rsid w:val="005802B0"/>
    <w:rsid w:val="00580489"/>
    <w:rsid w:val="00580941"/>
    <w:rsid w:val="00580BFF"/>
    <w:rsid w:val="00581415"/>
    <w:rsid w:val="0058154C"/>
    <w:rsid w:val="00581C2B"/>
    <w:rsid w:val="00582124"/>
    <w:rsid w:val="00582272"/>
    <w:rsid w:val="00582776"/>
    <w:rsid w:val="00582AC4"/>
    <w:rsid w:val="005831BC"/>
    <w:rsid w:val="005832CF"/>
    <w:rsid w:val="00583791"/>
    <w:rsid w:val="00583984"/>
    <w:rsid w:val="00583B47"/>
    <w:rsid w:val="00583D30"/>
    <w:rsid w:val="00583F81"/>
    <w:rsid w:val="0058425A"/>
    <w:rsid w:val="00584634"/>
    <w:rsid w:val="00584681"/>
    <w:rsid w:val="00584704"/>
    <w:rsid w:val="005847B7"/>
    <w:rsid w:val="00584A7B"/>
    <w:rsid w:val="00584B58"/>
    <w:rsid w:val="005852F0"/>
    <w:rsid w:val="00585502"/>
    <w:rsid w:val="00585D2A"/>
    <w:rsid w:val="00585D8B"/>
    <w:rsid w:val="00586050"/>
    <w:rsid w:val="005864BB"/>
    <w:rsid w:val="005865B2"/>
    <w:rsid w:val="0058664B"/>
    <w:rsid w:val="005867A4"/>
    <w:rsid w:val="005867CD"/>
    <w:rsid w:val="00586892"/>
    <w:rsid w:val="00586F1C"/>
    <w:rsid w:val="0058705A"/>
    <w:rsid w:val="005870BC"/>
    <w:rsid w:val="0058713C"/>
    <w:rsid w:val="0058732C"/>
    <w:rsid w:val="005873CF"/>
    <w:rsid w:val="00587B33"/>
    <w:rsid w:val="00587C7A"/>
    <w:rsid w:val="005903DD"/>
    <w:rsid w:val="005907E5"/>
    <w:rsid w:val="005908FE"/>
    <w:rsid w:val="00590A60"/>
    <w:rsid w:val="00591083"/>
    <w:rsid w:val="00591251"/>
    <w:rsid w:val="0059137F"/>
    <w:rsid w:val="00591750"/>
    <w:rsid w:val="005918AE"/>
    <w:rsid w:val="005919DE"/>
    <w:rsid w:val="00591CF1"/>
    <w:rsid w:val="00591FBF"/>
    <w:rsid w:val="00592115"/>
    <w:rsid w:val="0059212E"/>
    <w:rsid w:val="005921A1"/>
    <w:rsid w:val="0059276B"/>
    <w:rsid w:val="005927A2"/>
    <w:rsid w:val="005932C3"/>
    <w:rsid w:val="005932F5"/>
    <w:rsid w:val="00593478"/>
    <w:rsid w:val="00593681"/>
    <w:rsid w:val="0059368E"/>
    <w:rsid w:val="00593828"/>
    <w:rsid w:val="0059383E"/>
    <w:rsid w:val="005938A5"/>
    <w:rsid w:val="00593901"/>
    <w:rsid w:val="00593981"/>
    <w:rsid w:val="00593AE8"/>
    <w:rsid w:val="00593B34"/>
    <w:rsid w:val="00593CB7"/>
    <w:rsid w:val="005940A8"/>
    <w:rsid w:val="005940EC"/>
    <w:rsid w:val="005941F4"/>
    <w:rsid w:val="00594447"/>
    <w:rsid w:val="00594826"/>
    <w:rsid w:val="00594D77"/>
    <w:rsid w:val="00595426"/>
    <w:rsid w:val="00595C0F"/>
    <w:rsid w:val="005969E4"/>
    <w:rsid w:val="00596CB1"/>
    <w:rsid w:val="00596D96"/>
    <w:rsid w:val="00596DD7"/>
    <w:rsid w:val="00596EDC"/>
    <w:rsid w:val="00597471"/>
    <w:rsid w:val="005975E4"/>
    <w:rsid w:val="005976F9"/>
    <w:rsid w:val="005977D3"/>
    <w:rsid w:val="00597855"/>
    <w:rsid w:val="00597EB7"/>
    <w:rsid w:val="00597F15"/>
    <w:rsid w:val="00597F44"/>
    <w:rsid w:val="00597F7C"/>
    <w:rsid w:val="005A004F"/>
    <w:rsid w:val="005A030A"/>
    <w:rsid w:val="005A06B7"/>
    <w:rsid w:val="005A0EC1"/>
    <w:rsid w:val="005A0FC8"/>
    <w:rsid w:val="005A0FCC"/>
    <w:rsid w:val="005A1438"/>
    <w:rsid w:val="005A1759"/>
    <w:rsid w:val="005A1889"/>
    <w:rsid w:val="005A2757"/>
    <w:rsid w:val="005A29D1"/>
    <w:rsid w:val="005A31D5"/>
    <w:rsid w:val="005A3409"/>
    <w:rsid w:val="005A3EC4"/>
    <w:rsid w:val="005A3F5F"/>
    <w:rsid w:val="005A3FC8"/>
    <w:rsid w:val="005A40EC"/>
    <w:rsid w:val="005A43ED"/>
    <w:rsid w:val="005A4587"/>
    <w:rsid w:val="005A4616"/>
    <w:rsid w:val="005A480D"/>
    <w:rsid w:val="005A4AB4"/>
    <w:rsid w:val="005A4BD4"/>
    <w:rsid w:val="005A4ECC"/>
    <w:rsid w:val="005A50EC"/>
    <w:rsid w:val="005A516A"/>
    <w:rsid w:val="005A5365"/>
    <w:rsid w:val="005A5873"/>
    <w:rsid w:val="005A5E30"/>
    <w:rsid w:val="005A5F45"/>
    <w:rsid w:val="005A6328"/>
    <w:rsid w:val="005A64BB"/>
    <w:rsid w:val="005A659A"/>
    <w:rsid w:val="005A6620"/>
    <w:rsid w:val="005A68A7"/>
    <w:rsid w:val="005A6AB3"/>
    <w:rsid w:val="005A6C41"/>
    <w:rsid w:val="005A6D24"/>
    <w:rsid w:val="005A6DA9"/>
    <w:rsid w:val="005A6E01"/>
    <w:rsid w:val="005A6EF3"/>
    <w:rsid w:val="005A6FC1"/>
    <w:rsid w:val="005A6FCB"/>
    <w:rsid w:val="005A73B0"/>
    <w:rsid w:val="005A7C7A"/>
    <w:rsid w:val="005A7FA5"/>
    <w:rsid w:val="005B0060"/>
    <w:rsid w:val="005B02EF"/>
    <w:rsid w:val="005B089D"/>
    <w:rsid w:val="005B090B"/>
    <w:rsid w:val="005B0A0F"/>
    <w:rsid w:val="005B0ACB"/>
    <w:rsid w:val="005B0E19"/>
    <w:rsid w:val="005B0E47"/>
    <w:rsid w:val="005B11D3"/>
    <w:rsid w:val="005B1551"/>
    <w:rsid w:val="005B185B"/>
    <w:rsid w:val="005B1935"/>
    <w:rsid w:val="005B1AE4"/>
    <w:rsid w:val="005B1E17"/>
    <w:rsid w:val="005B26C6"/>
    <w:rsid w:val="005B2A8D"/>
    <w:rsid w:val="005B2C1D"/>
    <w:rsid w:val="005B2E2F"/>
    <w:rsid w:val="005B2F18"/>
    <w:rsid w:val="005B31B5"/>
    <w:rsid w:val="005B335F"/>
    <w:rsid w:val="005B395C"/>
    <w:rsid w:val="005B39A8"/>
    <w:rsid w:val="005B39CE"/>
    <w:rsid w:val="005B3AF2"/>
    <w:rsid w:val="005B3BA2"/>
    <w:rsid w:val="005B3CA2"/>
    <w:rsid w:val="005B3D50"/>
    <w:rsid w:val="005B3ECA"/>
    <w:rsid w:val="005B4204"/>
    <w:rsid w:val="005B4396"/>
    <w:rsid w:val="005B43A9"/>
    <w:rsid w:val="005B4ADF"/>
    <w:rsid w:val="005B4CD3"/>
    <w:rsid w:val="005B504D"/>
    <w:rsid w:val="005B526E"/>
    <w:rsid w:val="005B52A3"/>
    <w:rsid w:val="005B5928"/>
    <w:rsid w:val="005B596B"/>
    <w:rsid w:val="005B5AC6"/>
    <w:rsid w:val="005B5C95"/>
    <w:rsid w:val="005B692A"/>
    <w:rsid w:val="005B6A2C"/>
    <w:rsid w:val="005B6B03"/>
    <w:rsid w:val="005B76D6"/>
    <w:rsid w:val="005B78F0"/>
    <w:rsid w:val="005B7A89"/>
    <w:rsid w:val="005C00F4"/>
    <w:rsid w:val="005C0591"/>
    <w:rsid w:val="005C070D"/>
    <w:rsid w:val="005C0BD1"/>
    <w:rsid w:val="005C0F65"/>
    <w:rsid w:val="005C11E2"/>
    <w:rsid w:val="005C12FE"/>
    <w:rsid w:val="005C18D2"/>
    <w:rsid w:val="005C191B"/>
    <w:rsid w:val="005C1A05"/>
    <w:rsid w:val="005C1A29"/>
    <w:rsid w:val="005C1A31"/>
    <w:rsid w:val="005C1E0B"/>
    <w:rsid w:val="005C22DD"/>
    <w:rsid w:val="005C27D5"/>
    <w:rsid w:val="005C2A1D"/>
    <w:rsid w:val="005C2BB7"/>
    <w:rsid w:val="005C2EBD"/>
    <w:rsid w:val="005C2EEF"/>
    <w:rsid w:val="005C3069"/>
    <w:rsid w:val="005C352B"/>
    <w:rsid w:val="005C35CC"/>
    <w:rsid w:val="005C379D"/>
    <w:rsid w:val="005C38B7"/>
    <w:rsid w:val="005C3AB8"/>
    <w:rsid w:val="005C3F3A"/>
    <w:rsid w:val="005C3F57"/>
    <w:rsid w:val="005C4200"/>
    <w:rsid w:val="005C424F"/>
    <w:rsid w:val="005C44C4"/>
    <w:rsid w:val="005C4942"/>
    <w:rsid w:val="005C5049"/>
    <w:rsid w:val="005C51C4"/>
    <w:rsid w:val="005C55FF"/>
    <w:rsid w:val="005C59DF"/>
    <w:rsid w:val="005C5EAC"/>
    <w:rsid w:val="005C60A0"/>
    <w:rsid w:val="005C61B9"/>
    <w:rsid w:val="005C6372"/>
    <w:rsid w:val="005C683D"/>
    <w:rsid w:val="005C6A0D"/>
    <w:rsid w:val="005C6E91"/>
    <w:rsid w:val="005C70B2"/>
    <w:rsid w:val="005C7227"/>
    <w:rsid w:val="005C73F3"/>
    <w:rsid w:val="005C77E4"/>
    <w:rsid w:val="005C7995"/>
    <w:rsid w:val="005C7A6D"/>
    <w:rsid w:val="005D00A5"/>
    <w:rsid w:val="005D01F9"/>
    <w:rsid w:val="005D03B2"/>
    <w:rsid w:val="005D082E"/>
    <w:rsid w:val="005D0BE7"/>
    <w:rsid w:val="005D10EE"/>
    <w:rsid w:val="005D1424"/>
    <w:rsid w:val="005D14AE"/>
    <w:rsid w:val="005D15F3"/>
    <w:rsid w:val="005D1837"/>
    <w:rsid w:val="005D1B38"/>
    <w:rsid w:val="005D1C66"/>
    <w:rsid w:val="005D1D10"/>
    <w:rsid w:val="005D1F65"/>
    <w:rsid w:val="005D1F6A"/>
    <w:rsid w:val="005D22BD"/>
    <w:rsid w:val="005D24E5"/>
    <w:rsid w:val="005D2722"/>
    <w:rsid w:val="005D2940"/>
    <w:rsid w:val="005D3580"/>
    <w:rsid w:val="005D36AB"/>
    <w:rsid w:val="005D36FB"/>
    <w:rsid w:val="005D38E0"/>
    <w:rsid w:val="005D3FFC"/>
    <w:rsid w:val="005D45DC"/>
    <w:rsid w:val="005D462E"/>
    <w:rsid w:val="005D4668"/>
    <w:rsid w:val="005D4A31"/>
    <w:rsid w:val="005D5284"/>
    <w:rsid w:val="005D56C5"/>
    <w:rsid w:val="005D62F6"/>
    <w:rsid w:val="005D6537"/>
    <w:rsid w:val="005D6724"/>
    <w:rsid w:val="005D67D8"/>
    <w:rsid w:val="005D67E5"/>
    <w:rsid w:val="005D6B48"/>
    <w:rsid w:val="005D7020"/>
    <w:rsid w:val="005D70D5"/>
    <w:rsid w:val="005D7610"/>
    <w:rsid w:val="005D7C5C"/>
    <w:rsid w:val="005D7F6D"/>
    <w:rsid w:val="005E0180"/>
    <w:rsid w:val="005E04E2"/>
    <w:rsid w:val="005E0A43"/>
    <w:rsid w:val="005E0C6E"/>
    <w:rsid w:val="005E0FD1"/>
    <w:rsid w:val="005E1039"/>
    <w:rsid w:val="005E126D"/>
    <w:rsid w:val="005E1316"/>
    <w:rsid w:val="005E172D"/>
    <w:rsid w:val="005E1D6D"/>
    <w:rsid w:val="005E2088"/>
    <w:rsid w:val="005E298B"/>
    <w:rsid w:val="005E2AD1"/>
    <w:rsid w:val="005E2BDB"/>
    <w:rsid w:val="005E2E27"/>
    <w:rsid w:val="005E2E9B"/>
    <w:rsid w:val="005E2F75"/>
    <w:rsid w:val="005E3139"/>
    <w:rsid w:val="005E328D"/>
    <w:rsid w:val="005E3330"/>
    <w:rsid w:val="005E33DD"/>
    <w:rsid w:val="005E3567"/>
    <w:rsid w:val="005E370E"/>
    <w:rsid w:val="005E39AD"/>
    <w:rsid w:val="005E3A11"/>
    <w:rsid w:val="005E3A31"/>
    <w:rsid w:val="005E3D3E"/>
    <w:rsid w:val="005E46B3"/>
    <w:rsid w:val="005E49BD"/>
    <w:rsid w:val="005E4C1D"/>
    <w:rsid w:val="005E4E57"/>
    <w:rsid w:val="005E5024"/>
    <w:rsid w:val="005E5292"/>
    <w:rsid w:val="005E5372"/>
    <w:rsid w:val="005E56B3"/>
    <w:rsid w:val="005E578D"/>
    <w:rsid w:val="005E5F11"/>
    <w:rsid w:val="005E6433"/>
    <w:rsid w:val="005E6E28"/>
    <w:rsid w:val="005E6E39"/>
    <w:rsid w:val="005E7434"/>
    <w:rsid w:val="005E7457"/>
    <w:rsid w:val="005E78C7"/>
    <w:rsid w:val="005E7D8D"/>
    <w:rsid w:val="005E7DCE"/>
    <w:rsid w:val="005F0038"/>
    <w:rsid w:val="005F0129"/>
    <w:rsid w:val="005F0147"/>
    <w:rsid w:val="005F04D9"/>
    <w:rsid w:val="005F0AF8"/>
    <w:rsid w:val="005F1164"/>
    <w:rsid w:val="005F1286"/>
    <w:rsid w:val="005F154B"/>
    <w:rsid w:val="005F1978"/>
    <w:rsid w:val="005F1C06"/>
    <w:rsid w:val="005F2288"/>
    <w:rsid w:val="005F23FE"/>
    <w:rsid w:val="005F2F94"/>
    <w:rsid w:val="005F318A"/>
    <w:rsid w:val="005F3B15"/>
    <w:rsid w:val="005F3DE7"/>
    <w:rsid w:val="005F3E09"/>
    <w:rsid w:val="005F3EB2"/>
    <w:rsid w:val="005F43A9"/>
    <w:rsid w:val="005F461A"/>
    <w:rsid w:val="005F4699"/>
    <w:rsid w:val="005F49A0"/>
    <w:rsid w:val="005F4ADC"/>
    <w:rsid w:val="005F597E"/>
    <w:rsid w:val="005F5CEE"/>
    <w:rsid w:val="005F61BE"/>
    <w:rsid w:val="005F6209"/>
    <w:rsid w:val="005F65C9"/>
    <w:rsid w:val="005F6A74"/>
    <w:rsid w:val="005F6A79"/>
    <w:rsid w:val="005F6DB1"/>
    <w:rsid w:val="005F7169"/>
    <w:rsid w:val="005F71B7"/>
    <w:rsid w:val="005F7303"/>
    <w:rsid w:val="005F7475"/>
    <w:rsid w:val="005F79C7"/>
    <w:rsid w:val="005F7D21"/>
    <w:rsid w:val="005F7ED5"/>
    <w:rsid w:val="00600251"/>
    <w:rsid w:val="00600411"/>
    <w:rsid w:val="006004D9"/>
    <w:rsid w:val="006012B7"/>
    <w:rsid w:val="00601753"/>
    <w:rsid w:val="006017BA"/>
    <w:rsid w:val="00601938"/>
    <w:rsid w:val="00601BCD"/>
    <w:rsid w:val="00601CA1"/>
    <w:rsid w:val="00601DAB"/>
    <w:rsid w:val="00601FF1"/>
    <w:rsid w:val="00602237"/>
    <w:rsid w:val="00602398"/>
    <w:rsid w:val="00602665"/>
    <w:rsid w:val="006027AD"/>
    <w:rsid w:val="006027D3"/>
    <w:rsid w:val="006029D4"/>
    <w:rsid w:val="00602A4E"/>
    <w:rsid w:val="00602BB0"/>
    <w:rsid w:val="00602C90"/>
    <w:rsid w:val="00602EA5"/>
    <w:rsid w:val="0060310E"/>
    <w:rsid w:val="00603156"/>
    <w:rsid w:val="00603201"/>
    <w:rsid w:val="006032E8"/>
    <w:rsid w:val="0060357D"/>
    <w:rsid w:val="00603629"/>
    <w:rsid w:val="00603877"/>
    <w:rsid w:val="00603C82"/>
    <w:rsid w:val="00603D7B"/>
    <w:rsid w:val="00603E58"/>
    <w:rsid w:val="00603E94"/>
    <w:rsid w:val="00604500"/>
    <w:rsid w:val="00604683"/>
    <w:rsid w:val="006046C1"/>
    <w:rsid w:val="00604952"/>
    <w:rsid w:val="00604A99"/>
    <w:rsid w:val="00604E81"/>
    <w:rsid w:val="00604F30"/>
    <w:rsid w:val="00604FD1"/>
    <w:rsid w:val="00604FDE"/>
    <w:rsid w:val="00605037"/>
    <w:rsid w:val="006050E3"/>
    <w:rsid w:val="0060542B"/>
    <w:rsid w:val="00605445"/>
    <w:rsid w:val="006054AF"/>
    <w:rsid w:val="006054F8"/>
    <w:rsid w:val="006057D1"/>
    <w:rsid w:val="0060582A"/>
    <w:rsid w:val="00605E33"/>
    <w:rsid w:val="00605E84"/>
    <w:rsid w:val="006061FD"/>
    <w:rsid w:val="00606346"/>
    <w:rsid w:val="00606468"/>
    <w:rsid w:val="00606868"/>
    <w:rsid w:val="00606A1C"/>
    <w:rsid w:val="00606C82"/>
    <w:rsid w:val="00606C84"/>
    <w:rsid w:val="00606F67"/>
    <w:rsid w:val="006070E4"/>
    <w:rsid w:val="006071CB"/>
    <w:rsid w:val="006075C3"/>
    <w:rsid w:val="00607930"/>
    <w:rsid w:val="00607B53"/>
    <w:rsid w:val="00607C3F"/>
    <w:rsid w:val="00607D5F"/>
    <w:rsid w:val="00607E88"/>
    <w:rsid w:val="00607F05"/>
    <w:rsid w:val="00610348"/>
    <w:rsid w:val="00610465"/>
    <w:rsid w:val="00610655"/>
    <w:rsid w:val="00610923"/>
    <w:rsid w:val="00610B85"/>
    <w:rsid w:val="00610F04"/>
    <w:rsid w:val="0061118F"/>
    <w:rsid w:val="006114C9"/>
    <w:rsid w:val="006115C2"/>
    <w:rsid w:val="00611675"/>
    <w:rsid w:val="006116B7"/>
    <w:rsid w:val="0061173A"/>
    <w:rsid w:val="0061195B"/>
    <w:rsid w:val="00611D42"/>
    <w:rsid w:val="00611F75"/>
    <w:rsid w:val="00611FEC"/>
    <w:rsid w:val="006120B1"/>
    <w:rsid w:val="00612245"/>
    <w:rsid w:val="0061249A"/>
    <w:rsid w:val="00612AB7"/>
    <w:rsid w:val="00612DAA"/>
    <w:rsid w:val="00612DBB"/>
    <w:rsid w:val="00612FBF"/>
    <w:rsid w:val="0061300F"/>
    <w:rsid w:val="00613124"/>
    <w:rsid w:val="0061335A"/>
    <w:rsid w:val="00613360"/>
    <w:rsid w:val="00613A0B"/>
    <w:rsid w:val="00613A90"/>
    <w:rsid w:val="00613D31"/>
    <w:rsid w:val="00613F2C"/>
    <w:rsid w:val="006142DC"/>
    <w:rsid w:val="0061455D"/>
    <w:rsid w:val="006145D8"/>
    <w:rsid w:val="006145FC"/>
    <w:rsid w:val="006147F2"/>
    <w:rsid w:val="00614CEB"/>
    <w:rsid w:val="00614D9E"/>
    <w:rsid w:val="00614F7F"/>
    <w:rsid w:val="00615024"/>
    <w:rsid w:val="006150E0"/>
    <w:rsid w:val="0061514C"/>
    <w:rsid w:val="00615358"/>
    <w:rsid w:val="00615C48"/>
    <w:rsid w:val="00615E07"/>
    <w:rsid w:val="0061617D"/>
    <w:rsid w:val="00616216"/>
    <w:rsid w:val="006164A2"/>
    <w:rsid w:val="0061682F"/>
    <w:rsid w:val="00616A3B"/>
    <w:rsid w:val="00616AA9"/>
    <w:rsid w:val="00616B68"/>
    <w:rsid w:val="00616BD7"/>
    <w:rsid w:val="00616C42"/>
    <w:rsid w:val="00616C7B"/>
    <w:rsid w:val="006170DE"/>
    <w:rsid w:val="00617344"/>
    <w:rsid w:val="00617462"/>
    <w:rsid w:val="006175E4"/>
    <w:rsid w:val="00617CC3"/>
    <w:rsid w:val="00617D06"/>
    <w:rsid w:val="00617DE3"/>
    <w:rsid w:val="00617ED2"/>
    <w:rsid w:val="00617F25"/>
    <w:rsid w:val="006202E2"/>
    <w:rsid w:val="00620481"/>
    <w:rsid w:val="00620990"/>
    <w:rsid w:val="00620CD8"/>
    <w:rsid w:val="006214F0"/>
    <w:rsid w:val="00621630"/>
    <w:rsid w:val="006219A3"/>
    <w:rsid w:val="0062210F"/>
    <w:rsid w:val="006223D4"/>
    <w:rsid w:val="00622887"/>
    <w:rsid w:val="006228D3"/>
    <w:rsid w:val="0062290A"/>
    <w:rsid w:val="00622F84"/>
    <w:rsid w:val="00623083"/>
    <w:rsid w:val="00623222"/>
    <w:rsid w:val="0062361F"/>
    <w:rsid w:val="00623D54"/>
    <w:rsid w:val="00624535"/>
    <w:rsid w:val="00624886"/>
    <w:rsid w:val="00624F26"/>
    <w:rsid w:val="00624FEC"/>
    <w:rsid w:val="00625073"/>
    <w:rsid w:val="006252CD"/>
    <w:rsid w:val="006253D3"/>
    <w:rsid w:val="0062563C"/>
    <w:rsid w:val="00625989"/>
    <w:rsid w:val="006259A3"/>
    <w:rsid w:val="00625C3A"/>
    <w:rsid w:val="00625D45"/>
    <w:rsid w:val="006260D6"/>
    <w:rsid w:val="006263D6"/>
    <w:rsid w:val="0062644E"/>
    <w:rsid w:val="00626588"/>
    <w:rsid w:val="00626965"/>
    <w:rsid w:val="00626CA1"/>
    <w:rsid w:val="006273D5"/>
    <w:rsid w:val="00627413"/>
    <w:rsid w:val="00627421"/>
    <w:rsid w:val="006275F7"/>
    <w:rsid w:val="00627AE8"/>
    <w:rsid w:val="00627AFD"/>
    <w:rsid w:val="00627B2B"/>
    <w:rsid w:val="00627E88"/>
    <w:rsid w:val="00627E89"/>
    <w:rsid w:val="00630172"/>
    <w:rsid w:val="00630993"/>
    <w:rsid w:val="00630B39"/>
    <w:rsid w:val="00630BB5"/>
    <w:rsid w:val="00630DD1"/>
    <w:rsid w:val="00630EC5"/>
    <w:rsid w:val="00631151"/>
    <w:rsid w:val="0063127A"/>
    <w:rsid w:val="00631317"/>
    <w:rsid w:val="006313B0"/>
    <w:rsid w:val="00631480"/>
    <w:rsid w:val="006318FA"/>
    <w:rsid w:val="00631E1A"/>
    <w:rsid w:val="00631EF1"/>
    <w:rsid w:val="006320C1"/>
    <w:rsid w:val="0063231E"/>
    <w:rsid w:val="0063235F"/>
    <w:rsid w:val="0063237B"/>
    <w:rsid w:val="00632660"/>
    <w:rsid w:val="006326E8"/>
    <w:rsid w:val="00632754"/>
    <w:rsid w:val="00632814"/>
    <w:rsid w:val="00632886"/>
    <w:rsid w:val="00632B8F"/>
    <w:rsid w:val="00632E88"/>
    <w:rsid w:val="00632F0C"/>
    <w:rsid w:val="006330CC"/>
    <w:rsid w:val="00633533"/>
    <w:rsid w:val="0063355C"/>
    <w:rsid w:val="00633AAD"/>
    <w:rsid w:val="00633B06"/>
    <w:rsid w:val="00633F9A"/>
    <w:rsid w:val="00634292"/>
    <w:rsid w:val="006344FA"/>
    <w:rsid w:val="0063465D"/>
    <w:rsid w:val="00634962"/>
    <w:rsid w:val="0063499A"/>
    <w:rsid w:val="00634E37"/>
    <w:rsid w:val="0063532C"/>
    <w:rsid w:val="0063545C"/>
    <w:rsid w:val="006356CD"/>
    <w:rsid w:val="00635E1A"/>
    <w:rsid w:val="00635EEF"/>
    <w:rsid w:val="00636134"/>
    <w:rsid w:val="00636473"/>
    <w:rsid w:val="00636580"/>
    <w:rsid w:val="0063664D"/>
    <w:rsid w:val="00636961"/>
    <w:rsid w:val="006369CE"/>
    <w:rsid w:val="00636DA9"/>
    <w:rsid w:val="00637253"/>
    <w:rsid w:val="006372BE"/>
    <w:rsid w:val="0063743B"/>
    <w:rsid w:val="006374E0"/>
    <w:rsid w:val="006377A6"/>
    <w:rsid w:val="006379B0"/>
    <w:rsid w:val="00637A3D"/>
    <w:rsid w:val="00637B5A"/>
    <w:rsid w:val="00637CD3"/>
    <w:rsid w:val="00637F03"/>
    <w:rsid w:val="00640348"/>
    <w:rsid w:val="00640641"/>
    <w:rsid w:val="00640878"/>
    <w:rsid w:val="006410D5"/>
    <w:rsid w:val="006411EF"/>
    <w:rsid w:val="00641214"/>
    <w:rsid w:val="006412BB"/>
    <w:rsid w:val="006414C5"/>
    <w:rsid w:val="006417A8"/>
    <w:rsid w:val="00641B3A"/>
    <w:rsid w:val="00641FBB"/>
    <w:rsid w:val="00642064"/>
    <w:rsid w:val="006420A7"/>
    <w:rsid w:val="006420D0"/>
    <w:rsid w:val="00642151"/>
    <w:rsid w:val="00642450"/>
    <w:rsid w:val="006424C5"/>
    <w:rsid w:val="00642539"/>
    <w:rsid w:val="006426B2"/>
    <w:rsid w:val="006427CD"/>
    <w:rsid w:val="0064281F"/>
    <w:rsid w:val="00642AAF"/>
    <w:rsid w:val="00642DB3"/>
    <w:rsid w:val="00642F67"/>
    <w:rsid w:val="00643061"/>
    <w:rsid w:val="006431ED"/>
    <w:rsid w:val="00643278"/>
    <w:rsid w:val="006434B0"/>
    <w:rsid w:val="006434C4"/>
    <w:rsid w:val="00643583"/>
    <w:rsid w:val="00643A0F"/>
    <w:rsid w:val="00643C06"/>
    <w:rsid w:val="0064436B"/>
    <w:rsid w:val="0064462F"/>
    <w:rsid w:val="00644845"/>
    <w:rsid w:val="00644941"/>
    <w:rsid w:val="00644F6B"/>
    <w:rsid w:val="006454EE"/>
    <w:rsid w:val="00645640"/>
    <w:rsid w:val="006456F9"/>
    <w:rsid w:val="006457AE"/>
    <w:rsid w:val="00645B17"/>
    <w:rsid w:val="00645B6E"/>
    <w:rsid w:val="00646258"/>
    <w:rsid w:val="006463CC"/>
    <w:rsid w:val="0064666C"/>
    <w:rsid w:val="00646862"/>
    <w:rsid w:val="00646A96"/>
    <w:rsid w:val="00646AF0"/>
    <w:rsid w:val="00646D1C"/>
    <w:rsid w:val="00646D74"/>
    <w:rsid w:val="006470D0"/>
    <w:rsid w:val="0064713C"/>
    <w:rsid w:val="00647513"/>
    <w:rsid w:val="0064756B"/>
    <w:rsid w:val="00647C14"/>
    <w:rsid w:val="00647CB3"/>
    <w:rsid w:val="00647FD2"/>
    <w:rsid w:val="0065008F"/>
    <w:rsid w:val="0065035F"/>
    <w:rsid w:val="00650F2D"/>
    <w:rsid w:val="00651361"/>
    <w:rsid w:val="00651368"/>
    <w:rsid w:val="006515A2"/>
    <w:rsid w:val="00651D69"/>
    <w:rsid w:val="00652381"/>
    <w:rsid w:val="00652546"/>
    <w:rsid w:val="00652691"/>
    <w:rsid w:val="00652C69"/>
    <w:rsid w:val="00652C81"/>
    <w:rsid w:val="00652FD2"/>
    <w:rsid w:val="006531F7"/>
    <w:rsid w:val="0065326D"/>
    <w:rsid w:val="00653319"/>
    <w:rsid w:val="006534A8"/>
    <w:rsid w:val="0065351E"/>
    <w:rsid w:val="0065392E"/>
    <w:rsid w:val="006539C1"/>
    <w:rsid w:val="00653CD9"/>
    <w:rsid w:val="00653CDE"/>
    <w:rsid w:val="006541EA"/>
    <w:rsid w:val="006542D3"/>
    <w:rsid w:val="006546EF"/>
    <w:rsid w:val="00654C84"/>
    <w:rsid w:val="00654CC6"/>
    <w:rsid w:val="006556AC"/>
    <w:rsid w:val="00655BBA"/>
    <w:rsid w:val="006561B6"/>
    <w:rsid w:val="0065628A"/>
    <w:rsid w:val="006563AD"/>
    <w:rsid w:val="00656800"/>
    <w:rsid w:val="00656D6F"/>
    <w:rsid w:val="00657118"/>
    <w:rsid w:val="0065712C"/>
    <w:rsid w:val="006573B8"/>
    <w:rsid w:val="00657474"/>
    <w:rsid w:val="006575FD"/>
    <w:rsid w:val="00657923"/>
    <w:rsid w:val="00657C95"/>
    <w:rsid w:val="00657CD2"/>
    <w:rsid w:val="00657D1E"/>
    <w:rsid w:val="00657EA1"/>
    <w:rsid w:val="00660259"/>
    <w:rsid w:val="00660456"/>
    <w:rsid w:val="0066078F"/>
    <w:rsid w:val="00660962"/>
    <w:rsid w:val="0066121A"/>
    <w:rsid w:val="006613F1"/>
    <w:rsid w:val="0066218A"/>
    <w:rsid w:val="00662259"/>
    <w:rsid w:val="00662B7A"/>
    <w:rsid w:val="00662D67"/>
    <w:rsid w:val="00662DD3"/>
    <w:rsid w:val="00662FEB"/>
    <w:rsid w:val="006636C0"/>
    <w:rsid w:val="00663783"/>
    <w:rsid w:val="00663DA5"/>
    <w:rsid w:val="00663F52"/>
    <w:rsid w:val="006641C0"/>
    <w:rsid w:val="006644AB"/>
    <w:rsid w:val="00664A7F"/>
    <w:rsid w:val="00664BCA"/>
    <w:rsid w:val="00664F00"/>
    <w:rsid w:val="0066544C"/>
    <w:rsid w:val="00665525"/>
    <w:rsid w:val="00665698"/>
    <w:rsid w:val="00665CC8"/>
    <w:rsid w:val="00666004"/>
    <w:rsid w:val="00666215"/>
    <w:rsid w:val="00666280"/>
    <w:rsid w:val="006665F3"/>
    <w:rsid w:val="00666642"/>
    <w:rsid w:val="0066675D"/>
    <w:rsid w:val="00666DA7"/>
    <w:rsid w:val="006670D8"/>
    <w:rsid w:val="006671B8"/>
    <w:rsid w:val="0066741B"/>
    <w:rsid w:val="006675D3"/>
    <w:rsid w:val="00667FDD"/>
    <w:rsid w:val="00670343"/>
    <w:rsid w:val="00670420"/>
    <w:rsid w:val="00670ABB"/>
    <w:rsid w:val="00670B22"/>
    <w:rsid w:val="00670BC7"/>
    <w:rsid w:val="00670D64"/>
    <w:rsid w:val="00670EA1"/>
    <w:rsid w:val="00670FCB"/>
    <w:rsid w:val="006711FD"/>
    <w:rsid w:val="006712A4"/>
    <w:rsid w:val="00671324"/>
    <w:rsid w:val="0067159B"/>
    <w:rsid w:val="00671970"/>
    <w:rsid w:val="00671985"/>
    <w:rsid w:val="00671ADA"/>
    <w:rsid w:val="0067202C"/>
    <w:rsid w:val="006721CE"/>
    <w:rsid w:val="00672435"/>
    <w:rsid w:val="00672826"/>
    <w:rsid w:val="00672E30"/>
    <w:rsid w:val="00673164"/>
    <w:rsid w:val="00673527"/>
    <w:rsid w:val="00673AE1"/>
    <w:rsid w:val="00673C5B"/>
    <w:rsid w:val="00673D02"/>
    <w:rsid w:val="00673E0A"/>
    <w:rsid w:val="006748B8"/>
    <w:rsid w:val="00675214"/>
    <w:rsid w:val="00675433"/>
    <w:rsid w:val="0067565E"/>
    <w:rsid w:val="006763BC"/>
    <w:rsid w:val="00676F90"/>
    <w:rsid w:val="00677019"/>
    <w:rsid w:val="006775C3"/>
    <w:rsid w:val="00677674"/>
    <w:rsid w:val="00677723"/>
    <w:rsid w:val="00677817"/>
    <w:rsid w:val="00677B59"/>
    <w:rsid w:val="00680029"/>
    <w:rsid w:val="006800BF"/>
    <w:rsid w:val="006800E3"/>
    <w:rsid w:val="006801BE"/>
    <w:rsid w:val="00680B6B"/>
    <w:rsid w:val="00681007"/>
    <w:rsid w:val="0068106C"/>
    <w:rsid w:val="00681269"/>
    <w:rsid w:val="0068197D"/>
    <w:rsid w:val="00681DCD"/>
    <w:rsid w:val="006823AD"/>
    <w:rsid w:val="0068286C"/>
    <w:rsid w:val="0068304B"/>
    <w:rsid w:val="006831A6"/>
    <w:rsid w:val="006832F2"/>
    <w:rsid w:val="0068330A"/>
    <w:rsid w:val="00683658"/>
    <w:rsid w:val="00683973"/>
    <w:rsid w:val="006839AF"/>
    <w:rsid w:val="00683C13"/>
    <w:rsid w:val="00683C6E"/>
    <w:rsid w:val="00683CC5"/>
    <w:rsid w:val="00683D31"/>
    <w:rsid w:val="00683E04"/>
    <w:rsid w:val="00683F30"/>
    <w:rsid w:val="0068434A"/>
    <w:rsid w:val="00684668"/>
    <w:rsid w:val="00684A62"/>
    <w:rsid w:val="00684B44"/>
    <w:rsid w:val="00685056"/>
    <w:rsid w:val="006854A3"/>
    <w:rsid w:val="0068585E"/>
    <w:rsid w:val="006859FB"/>
    <w:rsid w:val="00685B3A"/>
    <w:rsid w:val="00685C58"/>
    <w:rsid w:val="00685C62"/>
    <w:rsid w:val="00685EB2"/>
    <w:rsid w:val="0068636C"/>
    <w:rsid w:val="006864B5"/>
    <w:rsid w:val="00686932"/>
    <w:rsid w:val="0068695E"/>
    <w:rsid w:val="00686B18"/>
    <w:rsid w:val="00686E4C"/>
    <w:rsid w:val="00686FD4"/>
    <w:rsid w:val="006871F2"/>
    <w:rsid w:val="006872AC"/>
    <w:rsid w:val="00687548"/>
    <w:rsid w:val="006877A1"/>
    <w:rsid w:val="006877DA"/>
    <w:rsid w:val="00687872"/>
    <w:rsid w:val="00687949"/>
    <w:rsid w:val="00687AF5"/>
    <w:rsid w:val="00687CE7"/>
    <w:rsid w:val="006902F3"/>
    <w:rsid w:val="0069030A"/>
    <w:rsid w:val="00690755"/>
    <w:rsid w:val="00690899"/>
    <w:rsid w:val="00690AFF"/>
    <w:rsid w:val="00690C03"/>
    <w:rsid w:val="00690CBA"/>
    <w:rsid w:val="006912C5"/>
    <w:rsid w:val="006913C5"/>
    <w:rsid w:val="006919A5"/>
    <w:rsid w:val="00691ABB"/>
    <w:rsid w:val="00691E39"/>
    <w:rsid w:val="0069207C"/>
    <w:rsid w:val="006920FD"/>
    <w:rsid w:val="0069237D"/>
    <w:rsid w:val="006923FE"/>
    <w:rsid w:val="0069276E"/>
    <w:rsid w:val="0069286C"/>
    <w:rsid w:val="0069290A"/>
    <w:rsid w:val="00692A16"/>
    <w:rsid w:val="00692B63"/>
    <w:rsid w:val="00692E66"/>
    <w:rsid w:val="00692F16"/>
    <w:rsid w:val="006931F0"/>
    <w:rsid w:val="0069350B"/>
    <w:rsid w:val="006939BE"/>
    <w:rsid w:val="00693A76"/>
    <w:rsid w:val="00693BDF"/>
    <w:rsid w:val="00693D2B"/>
    <w:rsid w:val="00693DF1"/>
    <w:rsid w:val="00693F23"/>
    <w:rsid w:val="00693F48"/>
    <w:rsid w:val="0069411A"/>
    <w:rsid w:val="00694266"/>
    <w:rsid w:val="006945B4"/>
    <w:rsid w:val="0069486F"/>
    <w:rsid w:val="00695059"/>
    <w:rsid w:val="00695268"/>
    <w:rsid w:val="006952D0"/>
    <w:rsid w:val="0069539F"/>
    <w:rsid w:val="0069552E"/>
    <w:rsid w:val="00695564"/>
    <w:rsid w:val="00695770"/>
    <w:rsid w:val="00696239"/>
    <w:rsid w:val="006962CB"/>
    <w:rsid w:val="00696418"/>
    <w:rsid w:val="0069641D"/>
    <w:rsid w:val="0069655D"/>
    <w:rsid w:val="006968C8"/>
    <w:rsid w:val="00696C6A"/>
    <w:rsid w:val="00696D42"/>
    <w:rsid w:val="00696DBE"/>
    <w:rsid w:val="00696DD8"/>
    <w:rsid w:val="0069702F"/>
    <w:rsid w:val="006970AB"/>
    <w:rsid w:val="00697442"/>
    <w:rsid w:val="0069753F"/>
    <w:rsid w:val="00697724"/>
    <w:rsid w:val="0069775A"/>
    <w:rsid w:val="00697796"/>
    <w:rsid w:val="00697813"/>
    <w:rsid w:val="006A0061"/>
    <w:rsid w:val="006A022E"/>
    <w:rsid w:val="006A050A"/>
    <w:rsid w:val="006A0BDF"/>
    <w:rsid w:val="006A0CBF"/>
    <w:rsid w:val="006A1127"/>
    <w:rsid w:val="006A1257"/>
    <w:rsid w:val="006A126C"/>
    <w:rsid w:val="006A154B"/>
    <w:rsid w:val="006A1665"/>
    <w:rsid w:val="006A19F7"/>
    <w:rsid w:val="006A20B7"/>
    <w:rsid w:val="006A2547"/>
    <w:rsid w:val="006A27B0"/>
    <w:rsid w:val="006A29B5"/>
    <w:rsid w:val="006A2F01"/>
    <w:rsid w:val="006A329C"/>
    <w:rsid w:val="006A353C"/>
    <w:rsid w:val="006A3A8B"/>
    <w:rsid w:val="006A3EE8"/>
    <w:rsid w:val="006A4177"/>
    <w:rsid w:val="006A41F3"/>
    <w:rsid w:val="006A43D0"/>
    <w:rsid w:val="006A45E6"/>
    <w:rsid w:val="006A4948"/>
    <w:rsid w:val="006A548C"/>
    <w:rsid w:val="006A54EA"/>
    <w:rsid w:val="006A584D"/>
    <w:rsid w:val="006A59FE"/>
    <w:rsid w:val="006A5AE2"/>
    <w:rsid w:val="006A5B66"/>
    <w:rsid w:val="006A5D6E"/>
    <w:rsid w:val="006A614A"/>
    <w:rsid w:val="006A6418"/>
    <w:rsid w:val="006A65C6"/>
    <w:rsid w:val="006A6B38"/>
    <w:rsid w:val="006A6D64"/>
    <w:rsid w:val="006A6DD6"/>
    <w:rsid w:val="006A72BF"/>
    <w:rsid w:val="006A72F3"/>
    <w:rsid w:val="006A74F4"/>
    <w:rsid w:val="006A7602"/>
    <w:rsid w:val="006A7742"/>
    <w:rsid w:val="006A7AE9"/>
    <w:rsid w:val="006A7BCD"/>
    <w:rsid w:val="006A7E24"/>
    <w:rsid w:val="006B0208"/>
    <w:rsid w:val="006B03F2"/>
    <w:rsid w:val="006B0551"/>
    <w:rsid w:val="006B0611"/>
    <w:rsid w:val="006B09DA"/>
    <w:rsid w:val="006B0B3C"/>
    <w:rsid w:val="006B0D6F"/>
    <w:rsid w:val="006B0F00"/>
    <w:rsid w:val="006B0F64"/>
    <w:rsid w:val="006B10C5"/>
    <w:rsid w:val="006B13E1"/>
    <w:rsid w:val="006B16C4"/>
    <w:rsid w:val="006B171F"/>
    <w:rsid w:val="006B1917"/>
    <w:rsid w:val="006B1A5D"/>
    <w:rsid w:val="006B1B76"/>
    <w:rsid w:val="006B1BD4"/>
    <w:rsid w:val="006B2448"/>
    <w:rsid w:val="006B2BD3"/>
    <w:rsid w:val="006B2BE9"/>
    <w:rsid w:val="006B3030"/>
    <w:rsid w:val="006B37DC"/>
    <w:rsid w:val="006B386A"/>
    <w:rsid w:val="006B3C58"/>
    <w:rsid w:val="006B44DC"/>
    <w:rsid w:val="006B460F"/>
    <w:rsid w:val="006B4765"/>
    <w:rsid w:val="006B4B4B"/>
    <w:rsid w:val="006B4B8F"/>
    <w:rsid w:val="006B4F68"/>
    <w:rsid w:val="006B503B"/>
    <w:rsid w:val="006B602B"/>
    <w:rsid w:val="006B605A"/>
    <w:rsid w:val="006B6559"/>
    <w:rsid w:val="006B6795"/>
    <w:rsid w:val="006B6BA3"/>
    <w:rsid w:val="006B6F24"/>
    <w:rsid w:val="006B71AD"/>
    <w:rsid w:val="006B7217"/>
    <w:rsid w:val="006B77EF"/>
    <w:rsid w:val="006B78C7"/>
    <w:rsid w:val="006B7B57"/>
    <w:rsid w:val="006B7E78"/>
    <w:rsid w:val="006C0266"/>
    <w:rsid w:val="006C0592"/>
    <w:rsid w:val="006C0640"/>
    <w:rsid w:val="006C0693"/>
    <w:rsid w:val="006C09CD"/>
    <w:rsid w:val="006C0F2C"/>
    <w:rsid w:val="006C14B0"/>
    <w:rsid w:val="006C152B"/>
    <w:rsid w:val="006C1EFD"/>
    <w:rsid w:val="006C2344"/>
    <w:rsid w:val="006C24A1"/>
    <w:rsid w:val="006C2539"/>
    <w:rsid w:val="006C272E"/>
    <w:rsid w:val="006C29F4"/>
    <w:rsid w:val="006C2D71"/>
    <w:rsid w:val="006C2F6B"/>
    <w:rsid w:val="006C303F"/>
    <w:rsid w:val="006C3146"/>
    <w:rsid w:val="006C3969"/>
    <w:rsid w:val="006C39F8"/>
    <w:rsid w:val="006C3A43"/>
    <w:rsid w:val="006C3AE6"/>
    <w:rsid w:val="006C3E58"/>
    <w:rsid w:val="006C412B"/>
    <w:rsid w:val="006C422B"/>
    <w:rsid w:val="006C44F8"/>
    <w:rsid w:val="006C46E6"/>
    <w:rsid w:val="006C4887"/>
    <w:rsid w:val="006C4988"/>
    <w:rsid w:val="006C4AFC"/>
    <w:rsid w:val="006C4B06"/>
    <w:rsid w:val="006C4C82"/>
    <w:rsid w:val="006C4EB0"/>
    <w:rsid w:val="006C5216"/>
    <w:rsid w:val="006C5479"/>
    <w:rsid w:val="006C58A5"/>
    <w:rsid w:val="006C5A69"/>
    <w:rsid w:val="006C5BDC"/>
    <w:rsid w:val="006C5D23"/>
    <w:rsid w:val="006C60E0"/>
    <w:rsid w:val="006C619E"/>
    <w:rsid w:val="006C63C5"/>
    <w:rsid w:val="006C6624"/>
    <w:rsid w:val="006C66CC"/>
    <w:rsid w:val="006C6730"/>
    <w:rsid w:val="006C684F"/>
    <w:rsid w:val="006C6922"/>
    <w:rsid w:val="006C6B08"/>
    <w:rsid w:val="006C6D36"/>
    <w:rsid w:val="006C7103"/>
    <w:rsid w:val="006C7469"/>
    <w:rsid w:val="006C784B"/>
    <w:rsid w:val="006C784F"/>
    <w:rsid w:val="006C78B7"/>
    <w:rsid w:val="006C7A09"/>
    <w:rsid w:val="006C7F99"/>
    <w:rsid w:val="006D0255"/>
    <w:rsid w:val="006D0317"/>
    <w:rsid w:val="006D073E"/>
    <w:rsid w:val="006D0B42"/>
    <w:rsid w:val="006D0B63"/>
    <w:rsid w:val="006D115F"/>
    <w:rsid w:val="006D136D"/>
    <w:rsid w:val="006D13B5"/>
    <w:rsid w:val="006D18A0"/>
    <w:rsid w:val="006D2924"/>
    <w:rsid w:val="006D2951"/>
    <w:rsid w:val="006D2BBE"/>
    <w:rsid w:val="006D3465"/>
    <w:rsid w:val="006D382E"/>
    <w:rsid w:val="006D391F"/>
    <w:rsid w:val="006D3B3C"/>
    <w:rsid w:val="006D3FD5"/>
    <w:rsid w:val="006D42C1"/>
    <w:rsid w:val="006D42E2"/>
    <w:rsid w:val="006D43E4"/>
    <w:rsid w:val="006D44F2"/>
    <w:rsid w:val="006D451F"/>
    <w:rsid w:val="006D463B"/>
    <w:rsid w:val="006D46E7"/>
    <w:rsid w:val="006D480C"/>
    <w:rsid w:val="006D4869"/>
    <w:rsid w:val="006D4886"/>
    <w:rsid w:val="006D4933"/>
    <w:rsid w:val="006D4A43"/>
    <w:rsid w:val="006D4C66"/>
    <w:rsid w:val="006D5176"/>
    <w:rsid w:val="006D54D5"/>
    <w:rsid w:val="006D5652"/>
    <w:rsid w:val="006D56D7"/>
    <w:rsid w:val="006D5845"/>
    <w:rsid w:val="006D5A9D"/>
    <w:rsid w:val="006D5AFA"/>
    <w:rsid w:val="006D5D8A"/>
    <w:rsid w:val="006D60D4"/>
    <w:rsid w:val="006D6165"/>
    <w:rsid w:val="006D63FD"/>
    <w:rsid w:val="006D6969"/>
    <w:rsid w:val="006D69D8"/>
    <w:rsid w:val="006D6D23"/>
    <w:rsid w:val="006D6E77"/>
    <w:rsid w:val="006D6E80"/>
    <w:rsid w:val="006D6F97"/>
    <w:rsid w:val="006D7219"/>
    <w:rsid w:val="006D7734"/>
    <w:rsid w:val="006D77BF"/>
    <w:rsid w:val="006D7887"/>
    <w:rsid w:val="006D7E68"/>
    <w:rsid w:val="006D7F81"/>
    <w:rsid w:val="006E081D"/>
    <w:rsid w:val="006E08A6"/>
    <w:rsid w:val="006E0BAA"/>
    <w:rsid w:val="006E0DA8"/>
    <w:rsid w:val="006E1269"/>
    <w:rsid w:val="006E1270"/>
    <w:rsid w:val="006E12FF"/>
    <w:rsid w:val="006E1491"/>
    <w:rsid w:val="006E1D81"/>
    <w:rsid w:val="006E1E07"/>
    <w:rsid w:val="006E25D2"/>
    <w:rsid w:val="006E283E"/>
    <w:rsid w:val="006E2A2C"/>
    <w:rsid w:val="006E2E0D"/>
    <w:rsid w:val="006E3188"/>
    <w:rsid w:val="006E372C"/>
    <w:rsid w:val="006E3752"/>
    <w:rsid w:val="006E3814"/>
    <w:rsid w:val="006E3906"/>
    <w:rsid w:val="006E39EC"/>
    <w:rsid w:val="006E3A2D"/>
    <w:rsid w:val="006E3A77"/>
    <w:rsid w:val="006E3B19"/>
    <w:rsid w:val="006E45B7"/>
    <w:rsid w:val="006E48CB"/>
    <w:rsid w:val="006E4AB6"/>
    <w:rsid w:val="006E4E40"/>
    <w:rsid w:val="006E531B"/>
    <w:rsid w:val="006E586C"/>
    <w:rsid w:val="006E5BA0"/>
    <w:rsid w:val="006E5DFA"/>
    <w:rsid w:val="006E607E"/>
    <w:rsid w:val="006E6398"/>
    <w:rsid w:val="006E64B0"/>
    <w:rsid w:val="006E67E1"/>
    <w:rsid w:val="006E6C29"/>
    <w:rsid w:val="006E6DC2"/>
    <w:rsid w:val="006E6EFA"/>
    <w:rsid w:val="006E6FD8"/>
    <w:rsid w:val="006E72C7"/>
    <w:rsid w:val="006E776A"/>
    <w:rsid w:val="006F0FDF"/>
    <w:rsid w:val="006F1620"/>
    <w:rsid w:val="006F1D75"/>
    <w:rsid w:val="006F1FBE"/>
    <w:rsid w:val="006F20A6"/>
    <w:rsid w:val="006F20D4"/>
    <w:rsid w:val="006F231F"/>
    <w:rsid w:val="006F2481"/>
    <w:rsid w:val="006F30C4"/>
    <w:rsid w:val="006F321B"/>
    <w:rsid w:val="006F34F2"/>
    <w:rsid w:val="006F35B0"/>
    <w:rsid w:val="006F35F1"/>
    <w:rsid w:val="006F37A0"/>
    <w:rsid w:val="006F382F"/>
    <w:rsid w:val="006F385E"/>
    <w:rsid w:val="006F3CE9"/>
    <w:rsid w:val="006F40A5"/>
    <w:rsid w:val="006F44C5"/>
    <w:rsid w:val="006F4741"/>
    <w:rsid w:val="006F4766"/>
    <w:rsid w:val="006F4A63"/>
    <w:rsid w:val="006F4CA5"/>
    <w:rsid w:val="006F52AB"/>
    <w:rsid w:val="006F565F"/>
    <w:rsid w:val="006F5677"/>
    <w:rsid w:val="006F5E4B"/>
    <w:rsid w:val="006F5FBA"/>
    <w:rsid w:val="006F608A"/>
    <w:rsid w:val="006F60B2"/>
    <w:rsid w:val="006F611B"/>
    <w:rsid w:val="006F6148"/>
    <w:rsid w:val="006F61CD"/>
    <w:rsid w:val="006F6734"/>
    <w:rsid w:val="006F69A5"/>
    <w:rsid w:val="006F69E3"/>
    <w:rsid w:val="006F6B23"/>
    <w:rsid w:val="006F6EDB"/>
    <w:rsid w:val="006F7211"/>
    <w:rsid w:val="006F7856"/>
    <w:rsid w:val="006F7CD3"/>
    <w:rsid w:val="006F7F03"/>
    <w:rsid w:val="00700467"/>
    <w:rsid w:val="007008D0"/>
    <w:rsid w:val="00700D11"/>
    <w:rsid w:val="00701022"/>
    <w:rsid w:val="007010AE"/>
    <w:rsid w:val="00701285"/>
    <w:rsid w:val="0070145B"/>
    <w:rsid w:val="007014FE"/>
    <w:rsid w:val="0070176A"/>
    <w:rsid w:val="00701787"/>
    <w:rsid w:val="00701E1C"/>
    <w:rsid w:val="007023B8"/>
    <w:rsid w:val="00702565"/>
    <w:rsid w:val="0070291B"/>
    <w:rsid w:val="0070291F"/>
    <w:rsid w:val="00702E6E"/>
    <w:rsid w:val="00703110"/>
    <w:rsid w:val="00703130"/>
    <w:rsid w:val="00703181"/>
    <w:rsid w:val="00703183"/>
    <w:rsid w:val="00703435"/>
    <w:rsid w:val="00703903"/>
    <w:rsid w:val="0070391C"/>
    <w:rsid w:val="00703A35"/>
    <w:rsid w:val="00704660"/>
    <w:rsid w:val="0070493A"/>
    <w:rsid w:val="0070497A"/>
    <w:rsid w:val="00705006"/>
    <w:rsid w:val="00705057"/>
    <w:rsid w:val="007059C9"/>
    <w:rsid w:val="00705C42"/>
    <w:rsid w:val="00706400"/>
    <w:rsid w:val="007065D5"/>
    <w:rsid w:val="00706C32"/>
    <w:rsid w:val="00706C5D"/>
    <w:rsid w:val="0070719C"/>
    <w:rsid w:val="007072CA"/>
    <w:rsid w:val="00707CBC"/>
    <w:rsid w:val="00707E93"/>
    <w:rsid w:val="00710241"/>
    <w:rsid w:val="00710343"/>
    <w:rsid w:val="007104A1"/>
    <w:rsid w:val="00710567"/>
    <w:rsid w:val="00710719"/>
    <w:rsid w:val="0071091A"/>
    <w:rsid w:val="00710C7B"/>
    <w:rsid w:val="007117B8"/>
    <w:rsid w:val="00711EE2"/>
    <w:rsid w:val="00711EFC"/>
    <w:rsid w:val="00711FE8"/>
    <w:rsid w:val="007120B4"/>
    <w:rsid w:val="0071236F"/>
    <w:rsid w:val="00712601"/>
    <w:rsid w:val="00712657"/>
    <w:rsid w:val="00712663"/>
    <w:rsid w:val="00712683"/>
    <w:rsid w:val="0071286E"/>
    <w:rsid w:val="007129F9"/>
    <w:rsid w:val="00712F2E"/>
    <w:rsid w:val="00712FB9"/>
    <w:rsid w:val="0071306E"/>
    <w:rsid w:val="007131D0"/>
    <w:rsid w:val="00713EA5"/>
    <w:rsid w:val="0071406E"/>
    <w:rsid w:val="00714156"/>
    <w:rsid w:val="00714236"/>
    <w:rsid w:val="0071439A"/>
    <w:rsid w:val="007145BC"/>
    <w:rsid w:val="0071466B"/>
    <w:rsid w:val="0071468F"/>
    <w:rsid w:val="00714847"/>
    <w:rsid w:val="007148B5"/>
    <w:rsid w:val="00714B50"/>
    <w:rsid w:val="007150D8"/>
    <w:rsid w:val="0071585D"/>
    <w:rsid w:val="00715C18"/>
    <w:rsid w:val="00715CB0"/>
    <w:rsid w:val="00715D1D"/>
    <w:rsid w:val="00716098"/>
    <w:rsid w:val="007160CD"/>
    <w:rsid w:val="0071633B"/>
    <w:rsid w:val="007164E4"/>
    <w:rsid w:val="0071680B"/>
    <w:rsid w:val="00716A5B"/>
    <w:rsid w:val="0071731A"/>
    <w:rsid w:val="007176BE"/>
    <w:rsid w:val="0071780C"/>
    <w:rsid w:val="00717AD4"/>
    <w:rsid w:val="00717B82"/>
    <w:rsid w:val="00717F3E"/>
    <w:rsid w:val="007200FE"/>
    <w:rsid w:val="00720281"/>
    <w:rsid w:val="007203F0"/>
    <w:rsid w:val="007203FC"/>
    <w:rsid w:val="00720915"/>
    <w:rsid w:val="0072098D"/>
    <w:rsid w:val="00720C9B"/>
    <w:rsid w:val="007211AB"/>
    <w:rsid w:val="00721304"/>
    <w:rsid w:val="007218EE"/>
    <w:rsid w:val="007219F7"/>
    <w:rsid w:val="00721A03"/>
    <w:rsid w:val="00721B20"/>
    <w:rsid w:val="00721CB8"/>
    <w:rsid w:val="00721F38"/>
    <w:rsid w:val="007222F0"/>
    <w:rsid w:val="007224BE"/>
    <w:rsid w:val="007227A6"/>
    <w:rsid w:val="00722AC0"/>
    <w:rsid w:val="00722BDB"/>
    <w:rsid w:val="0072324E"/>
    <w:rsid w:val="007233E6"/>
    <w:rsid w:val="00723A12"/>
    <w:rsid w:val="00723DD7"/>
    <w:rsid w:val="00723FC4"/>
    <w:rsid w:val="00724139"/>
    <w:rsid w:val="0072477B"/>
    <w:rsid w:val="00724998"/>
    <w:rsid w:val="00724B0A"/>
    <w:rsid w:val="00724C2F"/>
    <w:rsid w:val="00724E82"/>
    <w:rsid w:val="00724FF2"/>
    <w:rsid w:val="007250CA"/>
    <w:rsid w:val="007254B3"/>
    <w:rsid w:val="007255AD"/>
    <w:rsid w:val="00725779"/>
    <w:rsid w:val="00725C46"/>
    <w:rsid w:val="00725EB1"/>
    <w:rsid w:val="007260F6"/>
    <w:rsid w:val="0072613C"/>
    <w:rsid w:val="00726273"/>
    <w:rsid w:val="00726276"/>
    <w:rsid w:val="007266EE"/>
    <w:rsid w:val="00726713"/>
    <w:rsid w:val="00726767"/>
    <w:rsid w:val="00726784"/>
    <w:rsid w:val="00726930"/>
    <w:rsid w:val="00726A52"/>
    <w:rsid w:val="00726B26"/>
    <w:rsid w:val="0072736B"/>
    <w:rsid w:val="00727834"/>
    <w:rsid w:val="007279EF"/>
    <w:rsid w:val="007303B6"/>
    <w:rsid w:val="007305BE"/>
    <w:rsid w:val="00730E05"/>
    <w:rsid w:val="00730E22"/>
    <w:rsid w:val="007314A5"/>
    <w:rsid w:val="00731E44"/>
    <w:rsid w:val="00732021"/>
    <w:rsid w:val="007327F4"/>
    <w:rsid w:val="007328CF"/>
    <w:rsid w:val="00732922"/>
    <w:rsid w:val="007329C9"/>
    <w:rsid w:val="007329FB"/>
    <w:rsid w:val="00733085"/>
    <w:rsid w:val="007330B1"/>
    <w:rsid w:val="007331D7"/>
    <w:rsid w:val="0073344D"/>
    <w:rsid w:val="0073363E"/>
    <w:rsid w:val="00733CAA"/>
    <w:rsid w:val="00733D98"/>
    <w:rsid w:val="00734012"/>
    <w:rsid w:val="0073431B"/>
    <w:rsid w:val="00734409"/>
    <w:rsid w:val="00734456"/>
    <w:rsid w:val="00734536"/>
    <w:rsid w:val="0073459C"/>
    <w:rsid w:val="007345ED"/>
    <w:rsid w:val="00734F29"/>
    <w:rsid w:val="00735162"/>
    <w:rsid w:val="007354A7"/>
    <w:rsid w:val="007354D0"/>
    <w:rsid w:val="00735717"/>
    <w:rsid w:val="00735B79"/>
    <w:rsid w:val="00735D7B"/>
    <w:rsid w:val="00735E28"/>
    <w:rsid w:val="00736050"/>
    <w:rsid w:val="00736385"/>
    <w:rsid w:val="007364E9"/>
    <w:rsid w:val="00736536"/>
    <w:rsid w:val="00736554"/>
    <w:rsid w:val="007366B1"/>
    <w:rsid w:val="00736D59"/>
    <w:rsid w:val="00736FD1"/>
    <w:rsid w:val="0073749D"/>
    <w:rsid w:val="007375E7"/>
    <w:rsid w:val="00737868"/>
    <w:rsid w:val="007378CE"/>
    <w:rsid w:val="00737AF1"/>
    <w:rsid w:val="00737C4F"/>
    <w:rsid w:val="00740100"/>
    <w:rsid w:val="00740671"/>
    <w:rsid w:val="00740C36"/>
    <w:rsid w:val="0074121B"/>
    <w:rsid w:val="00741461"/>
    <w:rsid w:val="007418E0"/>
    <w:rsid w:val="007418FE"/>
    <w:rsid w:val="00741B86"/>
    <w:rsid w:val="00741C3E"/>
    <w:rsid w:val="00742166"/>
    <w:rsid w:val="007422B2"/>
    <w:rsid w:val="007422C9"/>
    <w:rsid w:val="007424A9"/>
    <w:rsid w:val="0074251F"/>
    <w:rsid w:val="0074258E"/>
    <w:rsid w:val="00742A0F"/>
    <w:rsid w:val="00742B72"/>
    <w:rsid w:val="00742D5F"/>
    <w:rsid w:val="00742EAA"/>
    <w:rsid w:val="00742FC5"/>
    <w:rsid w:val="00742FEA"/>
    <w:rsid w:val="00743225"/>
    <w:rsid w:val="007436C9"/>
    <w:rsid w:val="0074381F"/>
    <w:rsid w:val="00743DC8"/>
    <w:rsid w:val="00744035"/>
    <w:rsid w:val="007440CC"/>
    <w:rsid w:val="007441D1"/>
    <w:rsid w:val="0074467F"/>
    <w:rsid w:val="00744836"/>
    <w:rsid w:val="007449C0"/>
    <w:rsid w:val="00744BC8"/>
    <w:rsid w:val="00744C8F"/>
    <w:rsid w:val="00744D4C"/>
    <w:rsid w:val="00744FA7"/>
    <w:rsid w:val="0074510F"/>
    <w:rsid w:val="007452D2"/>
    <w:rsid w:val="00745333"/>
    <w:rsid w:val="00745444"/>
    <w:rsid w:val="00745499"/>
    <w:rsid w:val="00745519"/>
    <w:rsid w:val="00745530"/>
    <w:rsid w:val="007457B1"/>
    <w:rsid w:val="0074594E"/>
    <w:rsid w:val="00745F7C"/>
    <w:rsid w:val="00746345"/>
    <w:rsid w:val="00746D2C"/>
    <w:rsid w:val="00747297"/>
    <w:rsid w:val="007475E6"/>
    <w:rsid w:val="007479F4"/>
    <w:rsid w:val="00747AFC"/>
    <w:rsid w:val="00747BD4"/>
    <w:rsid w:val="00747C39"/>
    <w:rsid w:val="00747F8F"/>
    <w:rsid w:val="00750267"/>
    <w:rsid w:val="0075037A"/>
    <w:rsid w:val="007504BB"/>
    <w:rsid w:val="00750708"/>
    <w:rsid w:val="00750863"/>
    <w:rsid w:val="00750887"/>
    <w:rsid w:val="00750B5B"/>
    <w:rsid w:val="007511D8"/>
    <w:rsid w:val="007512C5"/>
    <w:rsid w:val="007513D6"/>
    <w:rsid w:val="0075162E"/>
    <w:rsid w:val="00751666"/>
    <w:rsid w:val="00751781"/>
    <w:rsid w:val="00751C08"/>
    <w:rsid w:val="00751C74"/>
    <w:rsid w:val="00752258"/>
    <w:rsid w:val="00752862"/>
    <w:rsid w:val="00752E6C"/>
    <w:rsid w:val="00752EBA"/>
    <w:rsid w:val="007531FE"/>
    <w:rsid w:val="0075331D"/>
    <w:rsid w:val="00753342"/>
    <w:rsid w:val="0075339A"/>
    <w:rsid w:val="007536A0"/>
    <w:rsid w:val="0075395F"/>
    <w:rsid w:val="00753AE9"/>
    <w:rsid w:val="00753CD9"/>
    <w:rsid w:val="00753EC3"/>
    <w:rsid w:val="00753F83"/>
    <w:rsid w:val="00754034"/>
    <w:rsid w:val="0075446B"/>
    <w:rsid w:val="007544E9"/>
    <w:rsid w:val="0075457E"/>
    <w:rsid w:val="007545D4"/>
    <w:rsid w:val="0075472E"/>
    <w:rsid w:val="00754A25"/>
    <w:rsid w:val="0075529A"/>
    <w:rsid w:val="00755396"/>
    <w:rsid w:val="0075551E"/>
    <w:rsid w:val="0075586B"/>
    <w:rsid w:val="00755B52"/>
    <w:rsid w:val="00755D70"/>
    <w:rsid w:val="0075622D"/>
    <w:rsid w:val="00756556"/>
    <w:rsid w:val="00756674"/>
    <w:rsid w:val="007566CD"/>
    <w:rsid w:val="007567B6"/>
    <w:rsid w:val="007568B2"/>
    <w:rsid w:val="007569B9"/>
    <w:rsid w:val="00756DCD"/>
    <w:rsid w:val="00756F5F"/>
    <w:rsid w:val="00757081"/>
    <w:rsid w:val="0075719E"/>
    <w:rsid w:val="007576C8"/>
    <w:rsid w:val="00757971"/>
    <w:rsid w:val="00757B23"/>
    <w:rsid w:val="00757C96"/>
    <w:rsid w:val="00757CAE"/>
    <w:rsid w:val="00757E33"/>
    <w:rsid w:val="00760890"/>
    <w:rsid w:val="007608F5"/>
    <w:rsid w:val="00760AEE"/>
    <w:rsid w:val="00760BDE"/>
    <w:rsid w:val="007618C4"/>
    <w:rsid w:val="00761C1B"/>
    <w:rsid w:val="00761E5D"/>
    <w:rsid w:val="00761EA2"/>
    <w:rsid w:val="00761F7B"/>
    <w:rsid w:val="007625C1"/>
    <w:rsid w:val="00762B57"/>
    <w:rsid w:val="00762E9E"/>
    <w:rsid w:val="00762FFC"/>
    <w:rsid w:val="0076328E"/>
    <w:rsid w:val="007632BD"/>
    <w:rsid w:val="007635E9"/>
    <w:rsid w:val="00763803"/>
    <w:rsid w:val="007638F7"/>
    <w:rsid w:val="0076411A"/>
    <w:rsid w:val="00764329"/>
    <w:rsid w:val="007646B1"/>
    <w:rsid w:val="007649DA"/>
    <w:rsid w:val="00764AA4"/>
    <w:rsid w:val="007655E3"/>
    <w:rsid w:val="0076565E"/>
    <w:rsid w:val="00765C4A"/>
    <w:rsid w:val="00766060"/>
    <w:rsid w:val="007663A8"/>
    <w:rsid w:val="007666F5"/>
    <w:rsid w:val="007667C5"/>
    <w:rsid w:val="00766AF7"/>
    <w:rsid w:val="00766BE0"/>
    <w:rsid w:val="0076732D"/>
    <w:rsid w:val="00767494"/>
    <w:rsid w:val="007677A8"/>
    <w:rsid w:val="00767980"/>
    <w:rsid w:val="00767C30"/>
    <w:rsid w:val="00767DD8"/>
    <w:rsid w:val="00767E00"/>
    <w:rsid w:val="00767E3A"/>
    <w:rsid w:val="00767F15"/>
    <w:rsid w:val="007703D1"/>
    <w:rsid w:val="00770641"/>
    <w:rsid w:val="007706CE"/>
    <w:rsid w:val="00770846"/>
    <w:rsid w:val="007708A8"/>
    <w:rsid w:val="00770B19"/>
    <w:rsid w:val="00770D19"/>
    <w:rsid w:val="00771545"/>
    <w:rsid w:val="0077191C"/>
    <w:rsid w:val="0077191F"/>
    <w:rsid w:val="007720BA"/>
    <w:rsid w:val="00772246"/>
    <w:rsid w:val="007723E3"/>
    <w:rsid w:val="00772606"/>
    <w:rsid w:val="00772752"/>
    <w:rsid w:val="007729B1"/>
    <w:rsid w:val="00772E8D"/>
    <w:rsid w:val="0077349A"/>
    <w:rsid w:val="0077361E"/>
    <w:rsid w:val="0077377C"/>
    <w:rsid w:val="00773AD6"/>
    <w:rsid w:val="00773BAA"/>
    <w:rsid w:val="00773C1E"/>
    <w:rsid w:val="007740D0"/>
    <w:rsid w:val="007742FD"/>
    <w:rsid w:val="0077463F"/>
    <w:rsid w:val="007749C2"/>
    <w:rsid w:val="00774D05"/>
    <w:rsid w:val="00774D7E"/>
    <w:rsid w:val="00774F74"/>
    <w:rsid w:val="00775045"/>
    <w:rsid w:val="007763C8"/>
    <w:rsid w:val="007765E1"/>
    <w:rsid w:val="00776691"/>
    <w:rsid w:val="00776A67"/>
    <w:rsid w:val="00776C0B"/>
    <w:rsid w:val="0077745F"/>
    <w:rsid w:val="007776CE"/>
    <w:rsid w:val="0077798F"/>
    <w:rsid w:val="00777AF0"/>
    <w:rsid w:val="00777B84"/>
    <w:rsid w:val="0078054D"/>
    <w:rsid w:val="0078084C"/>
    <w:rsid w:val="00780D0B"/>
    <w:rsid w:val="00780D6A"/>
    <w:rsid w:val="00780DE9"/>
    <w:rsid w:val="00780E81"/>
    <w:rsid w:val="00781259"/>
    <w:rsid w:val="007813C5"/>
    <w:rsid w:val="007813DB"/>
    <w:rsid w:val="007813FE"/>
    <w:rsid w:val="00781437"/>
    <w:rsid w:val="00781462"/>
    <w:rsid w:val="007819E6"/>
    <w:rsid w:val="00781FF4"/>
    <w:rsid w:val="00782143"/>
    <w:rsid w:val="007822D5"/>
    <w:rsid w:val="00782442"/>
    <w:rsid w:val="0078249C"/>
    <w:rsid w:val="0078249E"/>
    <w:rsid w:val="00782518"/>
    <w:rsid w:val="00782538"/>
    <w:rsid w:val="00782B51"/>
    <w:rsid w:val="00782C62"/>
    <w:rsid w:val="00782D73"/>
    <w:rsid w:val="00782F67"/>
    <w:rsid w:val="00782FF8"/>
    <w:rsid w:val="0078304F"/>
    <w:rsid w:val="0078316D"/>
    <w:rsid w:val="00783219"/>
    <w:rsid w:val="007836EA"/>
    <w:rsid w:val="0078386E"/>
    <w:rsid w:val="00783E80"/>
    <w:rsid w:val="00784108"/>
    <w:rsid w:val="0078433A"/>
    <w:rsid w:val="007844D5"/>
    <w:rsid w:val="007847BC"/>
    <w:rsid w:val="00784AA9"/>
    <w:rsid w:val="00784CDA"/>
    <w:rsid w:val="00784E29"/>
    <w:rsid w:val="007850EE"/>
    <w:rsid w:val="0078532F"/>
    <w:rsid w:val="007853DF"/>
    <w:rsid w:val="00785696"/>
    <w:rsid w:val="0078584E"/>
    <w:rsid w:val="00785AE1"/>
    <w:rsid w:val="00785B1E"/>
    <w:rsid w:val="00785BE9"/>
    <w:rsid w:val="00785C47"/>
    <w:rsid w:val="00785CF8"/>
    <w:rsid w:val="00785D60"/>
    <w:rsid w:val="007862E5"/>
    <w:rsid w:val="007864A4"/>
    <w:rsid w:val="0078657E"/>
    <w:rsid w:val="0078659B"/>
    <w:rsid w:val="007865A4"/>
    <w:rsid w:val="007865E2"/>
    <w:rsid w:val="007869D3"/>
    <w:rsid w:val="007869FC"/>
    <w:rsid w:val="00786BDD"/>
    <w:rsid w:val="00786E56"/>
    <w:rsid w:val="00787175"/>
    <w:rsid w:val="00787431"/>
    <w:rsid w:val="00787773"/>
    <w:rsid w:val="00787CE3"/>
    <w:rsid w:val="00787D54"/>
    <w:rsid w:val="00787DD9"/>
    <w:rsid w:val="007902E0"/>
    <w:rsid w:val="007906C4"/>
    <w:rsid w:val="007907F5"/>
    <w:rsid w:val="00790A76"/>
    <w:rsid w:val="00790B5F"/>
    <w:rsid w:val="00790ED8"/>
    <w:rsid w:val="00790EE2"/>
    <w:rsid w:val="007911AE"/>
    <w:rsid w:val="007911DB"/>
    <w:rsid w:val="00791765"/>
    <w:rsid w:val="0079177E"/>
    <w:rsid w:val="00791AA8"/>
    <w:rsid w:val="00791CDC"/>
    <w:rsid w:val="00791E51"/>
    <w:rsid w:val="00792327"/>
    <w:rsid w:val="00792395"/>
    <w:rsid w:val="00792396"/>
    <w:rsid w:val="007924BD"/>
    <w:rsid w:val="00792BDE"/>
    <w:rsid w:val="00792D30"/>
    <w:rsid w:val="00792D8C"/>
    <w:rsid w:val="00792E39"/>
    <w:rsid w:val="0079312F"/>
    <w:rsid w:val="007931B9"/>
    <w:rsid w:val="00793293"/>
    <w:rsid w:val="007933A8"/>
    <w:rsid w:val="007938AE"/>
    <w:rsid w:val="007938D3"/>
    <w:rsid w:val="00793A6A"/>
    <w:rsid w:val="00793BCF"/>
    <w:rsid w:val="00793C13"/>
    <w:rsid w:val="00793C7B"/>
    <w:rsid w:val="007940EA"/>
    <w:rsid w:val="00794499"/>
    <w:rsid w:val="0079458C"/>
    <w:rsid w:val="007946A1"/>
    <w:rsid w:val="00794782"/>
    <w:rsid w:val="0079493D"/>
    <w:rsid w:val="00794BEF"/>
    <w:rsid w:val="00794EE2"/>
    <w:rsid w:val="00795692"/>
    <w:rsid w:val="00795AE5"/>
    <w:rsid w:val="00795F9A"/>
    <w:rsid w:val="00796401"/>
    <w:rsid w:val="00796562"/>
    <w:rsid w:val="007966FA"/>
    <w:rsid w:val="007967E8"/>
    <w:rsid w:val="00796D9D"/>
    <w:rsid w:val="00796E9B"/>
    <w:rsid w:val="00797677"/>
    <w:rsid w:val="0079791D"/>
    <w:rsid w:val="0079792B"/>
    <w:rsid w:val="00797AB1"/>
    <w:rsid w:val="00797C87"/>
    <w:rsid w:val="00797DAC"/>
    <w:rsid w:val="007A00C1"/>
    <w:rsid w:val="007A04BE"/>
    <w:rsid w:val="007A05D8"/>
    <w:rsid w:val="007A06E9"/>
    <w:rsid w:val="007A115C"/>
    <w:rsid w:val="007A13D2"/>
    <w:rsid w:val="007A13E5"/>
    <w:rsid w:val="007A1867"/>
    <w:rsid w:val="007A1C20"/>
    <w:rsid w:val="007A1FB2"/>
    <w:rsid w:val="007A20C0"/>
    <w:rsid w:val="007A2170"/>
    <w:rsid w:val="007A22BF"/>
    <w:rsid w:val="007A236E"/>
    <w:rsid w:val="007A24E3"/>
    <w:rsid w:val="007A275C"/>
    <w:rsid w:val="007A2BED"/>
    <w:rsid w:val="007A2DBE"/>
    <w:rsid w:val="007A2F1C"/>
    <w:rsid w:val="007A3241"/>
    <w:rsid w:val="007A3323"/>
    <w:rsid w:val="007A33AA"/>
    <w:rsid w:val="007A3AFC"/>
    <w:rsid w:val="007A3DDD"/>
    <w:rsid w:val="007A4034"/>
    <w:rsid w:val="007A41A9"/>
    <w:rsid w:val="007A421B"/>
    <w:rsid w:val="007A4958"/>
    <w:rsid w:val="007A4B63"/>
    <w:rsid w:val="007A4BFC"/>
    <w:rsid w:val="007A4E5B"/>
    <w:rsid w:val="007A4EE5"/>
    <w:rsid w:val="007A5101"/>
    <w:rsid w:val="007A52CD"/>
    <w:rsid w:val="007A5304"/>
    <w:rsid w:val="007A54D0"/>
    <w:rsid w:val="007A587D"/>
    <w:rsid w:val="007A5AFA"/>
    <w:rsid w:val="007A5BB2"/>
    <w:rsid w:val="007A5CD8"/>
    <w:rsid w:val="007A5E67"/>
    <w:rsid w:val="007A5F23"/>
    <w:rsid w:val="007A603C"/>
    <w:rsid w:val="007A63DF"/>
    <w:rsid w:val="007A65F2"/>
    <w:rsid w:val="007A6647"/>
    <w:rsid w:val="007A6A6C"/>
    <w:rsid w:val="007A6B9E"/>
    <w:rsid w:val="007A6C37"/>
    <w:rsid w:val="007A6ED5"/>
    <w:rsid w:val="007A735B"/>
    <w:rsid w:val="007A74C5"/>
    <w:rsid w:val="007A7DE9"/>
    <w:rsid w:val="007B0937"/>
    <w:rsid w:val="007B0B2B"/>
    <w:rsid w:val="007B0CFF"/>
    <w:rsid w:val="007B0D0F"/>
    <w:rsid w:val="007B0F5C"/>
    <w:rsid w:val="007B11B9"/>
    <w:rsid w:val="007B130C"/>
    <w:rsid w:val="007B142E"/>
    <w:rsid w:val="007B143E"/>
    <w:rsid w:val="007B176E"/>
    <w:rsid w:val="007B1960"/>
    <w:rsid w:val="007B19EB"/>
    <w:rsid w:val="007B1B0B"/>
    <w:rsid w:val="007B1C43"/>
    <w:rsid w:val="007B1C49"/>
    <w:rsid w:val="007B1D62"/>
    <w:rsid w:val="007B1E1D"/>
    <w:rsid w:val="007B216F"/>
    <w:rsid w:val="007B2330"/>
    <w:rsid w:val="007B254A"/>
    <w:rsid w:val="007B2E97"/>
    <w:rsid w:val="007B305E"/>
    <w:rsid w:val="007B3225"/>
    <w:rsid w:val="007B3F8E"/>
    <w:rsid w:val="007B49C0"/>
    <w:rsid w:val="007B4CCE"/>
    <w:rsid w:val="007B4E2B"/>
    <w:rsid w:val="007B56BC"/>
    <w:rsid w:val="007B56FB"/>
    <w:rsid w:val="007B58AE"/>
    <w:rsid w:val="007B5C03"/>
    <w:rsid w:val="007B5CA4"/>
    <w:rsid w:val="007B60BA"/>
    <w:rsid w:val="007B6585"/>
    <w:rsid w:val="007B659B"/>
    <w:rsid w:val="007B65F2"/>
    <w:rsid w:val="007B6E1E"/>
    <w:rsid w:val="007B71E1"/>
    <w:rsid w:val="007B72B8"/>
    <w:rsid w:val="007B7356"/>
    <w:rsid w:val="007B73E4"/>
    <w:rsid w:val="007B748B"/>
    <w:rsid w:val="007B77E1"/>
    <w:rsid w:val="007B77EB"/>
    <w:rsid w:val="007B785D"/>
    <w:rsid w:val="007B791D"/>
    <w:rsid w:val="007B7983"/>
    <w:rsid w:val="007B79EC"/>
    <w:rsid w:val="007B7A58"/>
    <w:rsid w:val="007B7B33"/>
    <w:rsid w:val="007B7C7C"/>
    <w:rsid w:val="007B7D9F"/>
    <w:rsid w:val="007B7E09"/>
    <w:rsid w:val="007C00CB"/>
    <w:rsid w:val="007C0174"/>
    <w:rsid w:val="007C03D5"/>
    <w:rsid w:val="007C04FD"/>
    <w:rsid w:val="007C090F"/>
    <w:rsid w:val="007C09CD"/>
    <w:rsid w:val="007C0C04"/>
    <w:rsid w:val="007C0D72"/>
    <w:rsid w:val="007C1807"/>
    <w:rsid w:val="007C1A33"/>
    <w:rsid w:val="007C1A4D"/>
    <w:rsid w:val="007C1B04"/>
    <w:rsid w:val="007C1CA7"/>
    <w:rsid w:val="007C1DC8"/>
    <w:rsid w:val="007C2184"/>
    <w:rsid w:val="007C21B5"/>
    <w:rsid w:val="007C23D8"/>
    <w:rsid w:val="007C2810"/>
    <w:rsid w:val="007C2DA6"/>
    <w:rsid w:val="007C2E52"/>
    <w:rsid w:val="007C2FB0"/>
    <w:rsid w:val="007C344E"/>
    <w:rsid w:val="007C347F"/>
    <w:rsid w:val="007C36E3"/>
    <w:rsid w:val="007C3A31"/>
    <w:rsid w:val="007C45C1"/>
    <w:rsid w:val="007C47F6"/>
    <w:rsid w:val="007C4BE1"/>
    <w:rsid w:val="007C4DF7"/>
    <w:rsid w:val="007C4F29"/>
    <w:rsid w:val="007C5326"/>
    <w:rsid w:val="007C54DD"/>
    <w:rsid w:val="007C5660"/>
    <w:rsid w:val="007C5FF4"/>
    <w:rsid w:val="007C60C1"/>
    <w:rsid w:val="007C655F"/>
    <w:rsid w:val="007C6689"/>
    <w:rsid w:val="007C680F"/>
    <w:rsid w:val="007C6924"/>
    <w:rsid w:val="007C6AE0"/>
    <w:rsid w:val="007C6E1C"/>
    <w:rsid w:val="007C72EC"/>
    <w:rsid w:val="007C74A2"/>
    <w:rsid w:val="007C7591"/>
    <w:rsid w:val="007C7816"/>
    <w:rsid w:val="007C7839"/>
    <w:rsid w:val="007C7955"/>
    <w:rsid w:val="007C7B8D"/>
    <w:rsid w:val="007C7C4B"/>
    <w:rsid w:val="007C7D47"/>
    <w:rsid w:val="007D00F6"/>
    <w:rsid w:val="007D012C"/>
    <w:rsid w:val="007D01D7"/>
    <w:rsid w:val="007D02C2"/>
    <w:rsid w:val="007D0929"/>
    <w:rsid w:val="007D09B1"/>
    <w:rsid w:val="007D1053"/>
    <w:rsid w:val="007D1216"/>
    <w:rsid w:val="007D1410"/>
    <w:rsid w:val="007D154B"/>
    <w:rsid w:val="007D1779"/>
    <w:rsid w:val="007D1BB7"/>
    <w:rsid w:val="007D1F0B"/>
    <w:rsid w:val="007D238E"/>
    <w:rsid w:val="007D2415"/>
    <w:rsid w:val="007D2713"/>
    <w:rsid w:val="007D2840"/>
    <w:rsid w:val="007D2900"/>
    <w:rsid w:val="007D2994"/>
    <w:rsid w:val="007D2F6B"/>
    <w:rsid w:val="007D306D"/>
    <w:rsid w:val="007D37B4"/>
    <w:rsid w:val="007D386C"/>
    <w:rsid w:val="007D39AB"/>
    <w:rsid w:val="007D39F9"/>
    <w:rsid w:val="007D3DC7"/>
    <w:rsid w:val="007D4087"/>
    <w:rsid w:val="007D40F6"/>
    <w:rsid w:val="007D437B"/>
    <w:rsid w:val="007D4551"/>
    <w:rsid w:val="007D461E"/>
    <w:rsid w:val="007D4849"/>
    <w:rsid w:val="007D48D4"/>
    <w:rsid w:val="007D4933"/>
    <w:rsid w:val="007D4D8A"/>
    <w:rsid w:val="007D4F78"/>
    <w:rsid w:val="007D50F0"/>
    <w:rsid w:val="007D54CF"/>
    <w:rsid w:val="007D5567"/>
    <w:rsid w:val="007D569A"/>
    <w:rsid w:val="007D697D"/>
    <w:rsid w:val="007D6DBF"/>
    <w:rsid w:val="007D6ED2"/>
    <w:rsid w:val="007D6F2A"/>
    <w:rsid w:val="007D7309"/>
    <w:rsid w:val="007D7ADF"/>
    <w:rsid w:val="007E018A"/>
    <w:rsid w:val="007E01A2"/>
    <w:rsid w:val="007E079E"/>
    <w:rsid w:val="007E0842"/>
    <w:rsid w:val="007E0E75"/>
    <w:rsid w:val="007E0EC3"/>
    <w:rsid w:val="007E0F8D"/>
    <w:rsid w:val="007E1013"/>
    <w:rsid w:val="007E1331"/>
    <w:rsid w:val="007E140D"/>
    <w:rsid w:val="007E168D"/>
    <w:rsid w:val="007E18D8"/>
    <w:rsid w:val="007E196C"/>
    <w:rsid w:val="007E1987"/>
    <w:rsid w:val="007E1A5C"/>
    <w:rsid w:val="007E1A67"/>
    <w:rsid w:val="007E1CDA"/>
    <w:rsid w:val="007E1D17"/>
    <w:rsid w:val="007E21B4"/>
    <w:rsid w:val="007E21E6"/>
    <w:rsid w:val="007E28CC"/>
    <w:rsid w:val="007E2BE4"/>
    <w:rsid w:val="007E2BED"/>
    <w:rsid w:val="007E2C24"/>
    <w:rsid w:val="007E2EE7"/>
    <w:rsid w:val="007E315A"/>
    <w:rsid w:val="007E3173"/>
    <w:rsid w:val="007E31C0"/>
    <w:rsid w:val="007E3B59"/>
    <w:rsid w:val="007E3DAA"/>
    <w:rsid w:val="007E401C"/>
    <w:rsid w:val="007E4942"/>
    <w:rsid w:val="007E4BD2"/>
    <w:rsid w:val="007E546F"/>
    <w:rsid w:val="007E5781"/>
    <w:rsid w:val="007E58E2"/>
    <w:rsid w:val="007E5B06"/>
    <w:rsid w:val="007E66B0"/>
    <w:rsid w:val="007E6A8F"/>
    <w:rsid w:val="007E70DA"/>
    <w:rsid w:val="007E7338"/>
    <w:rsid w:val="007E743C"/>
    <w:rsid w:val="007E7FBC"/>
    <w:rsid w:val="007F00E4"/>
    <w:rsid w:val="007F01DF"/>
    <w:rsid w:val="007F02E4"/>
    <w:rsid w:val="007F09AF"/>
    <w:rsid w:val="007F09D3"/>
    <w:rsid w:val="007F10D4"/>
    <w:rsid w:val="007F169D"/>
    <w:rsid w:val="007F179E"/>
    <w:rsid w:val="007F1903"/>
    <w:rsid w:val="007F1A31"/>
    <w:rsid w:val="007F1BB3"/>
    <w:rsid w:val="007F1C17"/>
    <w:rsid w:val="007F1E4D"/>
    <w:rsid w:val="007F24FF"/>
    <w:rsid w:val="007F2850"/>
    <w:rsid w:val="007F2A73"/>
    <w:rsid w:val="007F2D28"/>
    <w:rsid w:val="007F2E80"/>
    <w:rsid w:val="007F2EDF"/>
    <w:rsid w:val="007F30EA"/>
    <w:rsid w:val="007F3113"/>
    <w:rsid w:val="007F3255"/>
    <w:rsid w:val="007F34CA"/>
    <w:rsid w:val="007F3641"/>
    <w:rsid w:val="007F3643"/>
    <w:rsid w:val="007F38E2"/>
    <w:rsid w:val="007F40A8"/>
    <w:rsid w:val="007F4360"/>
    <w:rsid w:val="007F4392"/>
    <w:rsid w:val="007F475B"/>
    <w:rsid w:val="007F5241"/>
    <w:rsid w:val="007F5465"/>
    <w:rsid w:val="007F56EF"/>
    <w:rsid w:val="007F576A"/>
    <w:rsid w:val="007F5900"/>
    <w:rsid w:val="007F5C00"/>
    <w:rsid w:val="007F5CB7"/>
    <w:rsid w:val="007F5CCE"/>
    <w:rsid w:val="007F61B0"/>
    <w:rsid w:val="007F665D"/>
    <w:rsid w:val="007F6BEA"/>
    <w:rsid w:val="007F7132"/>
    <w:rsid w:val="007F746B"/>
    <w:rsid w:val="007F7A43"/>
    <w:rsid w:val="007F7E24"/>
    <w:rsid w:val="007F7FAE"/>
    <w:rsid w:val="0080015A"/>
    <w:rsid w:val="0080056E"/>
    <w:rsid w:val="008007EA"/>
    <w:rsid w:val="00800CB9"/>
    <w:rsid w:val="00800DF8"/>
    <w:rsid w:val="00800FCA"/>
    <w:rsid w:val="00801121"/>
    <w:rsid w:val="00801393"/>
    <w:rsid w:val="008016C9"/>
    <w:rsid w:val="00801A2B"/>
    <w:rsid w:val="00801A9B"/>
    <w:rsid w:val="00801C46"/>
    <w:rsid w:val="00801F0F"/>
    <w:rsid w:val="0080206C"/>
    <w:rsid w:val="00802134"/>
    <w:rsid w:val="008022D6"/>
    <w:rsid w:val="00802598"/>
    <w:rsid w:val="00802D4F"/>
    <w:rsid w:val="00802F88"/>
    <w:rsid w:val="0080303F"/>
    <w:rsid w:val="00803724"/>
    <w:rsid w:val="00803BCB"/>
    <w:rsid w:val="00803DA4"/>
    <w:rsid w:val="008041AA"/>
    <w:rsid w:val="00804236"/>
    <w:rsid w:val="00804435"/>
    <w:rsid w:val="0080450E"/>
    <w:rsid w:val="00804908"/>
    <w:rsid w:val="00804E88"/>
    <w:rsid w:val="00804ED6"/>
    <w:rsid w:val="00805284"/>
    <w:rsid w:val="008052CE"/>
    <w:rsid w:val="00805912"/>
    <w:rsid w:val="00805A0C"/>
    <w:rsid w:val="00805E06"/>
    <w:rsid w:val="00805EBF"/>
    <w:rsid w:val="00805F07"/>
    <w:rsid w:val="0080613A"/>
    <w:rsid w:val="00806574"/>
    <w:rsid w:val="008065D7"/>
    <w:rsid w:val="00806A7E"/>
    <w:rsid w:val="00806BD8"/>
    <w:rsid w:val="00806E47"/>
    <w:rsid w:val="008074CC"/>
    <w:rsid w:val="0080760B"/>
    <w:rsid w:val="008076D1"/>
    <w:rsid w:val="0080776F"/>
    <w:rsid w:val="00807DA5"/>
    <w:rsid w:val="00807DA6"/>
    <w:rsid w:val="0081001E"/>
    <w:rsid w:val="0081030A"/>
    <w:rsid w:val="008106AE"/>
    <w:rsid w:val="00810B17"/>
    <w:rsid w:val="00810D44"/>
    <w:rsid w:val="00810DB4"/>
    <w:rsid w:val="0081107B"/>
    <w:rsid w:val="008110C8"/>
    <w:rsid w:val="008113A0"/>
    <w:rsid w:val="008113AA"/>
    <w:rsid w:val="00811A38"/>
    <w:rsid w:val="00811A54"/>
    <w:rsid w:val="00811D69"/>
    <w:rsid w:val="008128EE"/>
    <w:rsid w:val="0081293E"/>
    <w:rsid w:val="00812B0E"/>
    <w:rsid w:val="00812CDF"/>
    <w:rsid w:val="00812CF3"/>
    <w:rsid w:val="00813571"/>
    <w:rsid w:val="0081378D"/>
    <w:rsid w:val="008139BC"/>
    <w:rsid w:val="00813A98"/>
    <w:rsid w:val="00813E49"/>
    <w:rsid w:val="0081401A"/>
    <w:rsid w:val="00814035"/>
    <w:rsid w:val="00814080"/>
    <w:rsid w:val="00814698"/>
    <w:rsid w:val="00814E3B"/>
    <w:rsid w:val="00815465"/>
    <w:rsid w:val="00815768"/>
    <w:rsid w:val="00815AAA"/>
    <w:rsid w:val="00815AF9"/>
    <w:rsid w:val="00815DEF"/>
    <w:rsid w:val="0081634A"/>
    <w:rsid w:val="00816431"/>
    <w:rsid w:val="008164C0"/>
    <w:rsid w:val="008164FC"/>
    <w:rsid w:val="00816512"/>
    <w:rsid w:val="00816720"/>
    <w:rsid w:val="008169F2"/>
    <w:rsid w:val="008169FF"/>
    <w:rsid w:val="00816A7A"/>
    <w:rsid w:val="00816D19"/>
    <w:rsid w:val="00816DEB"/>
    <w:rsid w:val="00816E15"/>
    <w:rsid w:val="008176A2"/>
    <w:rsid w:val="00817747"/>
    <w:rsid w:val="00817856"/>
    <w:rsid w:val="00817C21"/>
    <w:rsid w:val="00817DC5"/>
    <w:rsid w:val="00817E9A"/>
    <w:rsid w:val="00820429"/>
    <w:rsid w:val="008208B1"/>
    <w:rsid w:val="00820930"/>
    <w:rsid w:val="0082133B"/>
    <w:rsid w:val="008213F2"/>
    <w:rsid w:val="008214BB"/>
    <w:rsid w:val="008215A7"/>
    <w:rsid w:val="008218C3"/>
    <w:rsid w:val="00821DF2"/>
    <w:rsid w:val="00821F82"/>
    <w:rsid w:val="00821FE6"/>
    <w:rsid w:val="008220B0"/>
    <w:rsid w:val="0082287C"/>
    <w:rsid w:val="008228D5"/>
    <w:rsid w:val="008228DF"/>
    <w:rsid w:val="00822FD5"/>
    <w:rsid w:val="008233F0"/>
    <w:rsid w:val="0082357D"/>
    <w:rsid w:val="0082362D"/>
    <w:rsid w:val="00823B3E"/>
    <w:rsid w:val="00823D24"/>
    <w:rsid w:val="0082407F"/>
    <w:rsid w:val="00824156"/>
    <w:rsid w:val="0082418B"/>
    <w:rsid w:val="008241CB"/>
    <w:rsid w:val="008241ED"/>
    <w:rsid w:val="00824537"/>
    <w:rsid w:val="0082490F"/>
    <w:rsid w:val="00824953"/>
    <w:rsid w:val="008249BC"/>
    <w:rsid w:val="00824BC7"/>
    <w:rsid w:val="00824FDF"/>
    <w:rsid w:val="00825584"/>
    <w:rsid w:val="00825933"/>
    <w:rsid w:val="008259AA"/>
    <w:rsid w:val="00825EC1"/>
    <w:rsid w:val="00826E63"/>
    <w:rsid w:val="00826F2E"/>
    <w:rsid w:val="00827201"/>
    <w:rsid w:val="00827958"/>
    <w:rsid w:val="00827C8C"/>
    <w:rsid w:val="00827CDA"/>
    <w:rsid w:val="00827CE3"/>
    <w:rsid w:val="00827DD6"/>
    <w:rsid w:val="00827EA0"/>
    <w:rsid w:val="00827F30"/>
    <w:rsid w:val="00827F8F"/>
    <w:rsid w:val="00827FF4"/>
    <w:rsid w:val="008300DD"/>
    <w:rsid w:val="0083056A"/>
    <w:rsid w:val="00830630"/>
    <w:rsid w:val="00830694"/>
    <w:rsid w:val="008306BD"/>
    <w:rsid w:val="00830ADD"/>
    <w:rsid w:val="00830C96"/>
    <w:rsid w:val="00830EE7"/>
    <w:rsid w:val="00830FD1"/>
    <w:rsid w:val="008310B0"/>
    <w:rsid w:val="0083134B"/>
    <w:rsid w:val="00831676"/>
    <w:rsid w:val="008316C4"/>
    <w:rsid w:val="008318C6"/>
    <w:rsid w:val="00831A80"/>
    <w:rsid w:val="00831EAC"/>
    <w:rsid w:val="00831F9B"/>
    <w:rsid w:val="00832050"/>
    <w:rsid w:val="008320E5"/>
    <w:rsid w:val="00832191"/>
    <w:rsid w:val="008326FD"/>
    <w:rsid w:val="00832947"/>
    <w:rsid w:val="00832CC7"/>
    <w:rsid w:val="00832E1F"/>
    <w:rsid w:val="00833244"/>
    <w:rsid w:val="00833506"/>
    <w:rsid w:val="00833539"/>
    <w:rsid w:val="00833722"/>
    <w:rsid w:val="00833743"/>
    <w:rsid w:val="00833A15"/>
    <w:rsid w:val="00833C76"/>
    <w:rsid w:val="008340A4"/>
    <w:rsid w:val="008340E2"/>
    <w:rsid w:val="008343A3"/>
    <w:rsid w:val="008343F8"/>
    <w:rsid w:val="0083476F"/>
    <w:rsid w:val="00834BA2"/>
    <w:rsid w:val="00834BB2"/>
    <w:rsid w:val="00834F6D"/>
    <w:rsid w:val="0083531C"/>
    <w:rsid w:val="008356C6"/>
    <w:rsid w:val="00835BD2"/>
    <w:rsid w:val="00835CE5"/>
    <w:rsid w:val="00835F3A"/>
    <w:rsid w:val="0083618F"/>
    <w:rsid w:val="00836363"/>
    <w:rsid w:val="008363AE"/>
    <w:rsid w:val="008364B8"/>
    <w:rsid w:val="008365EB"/>
    <w:rsid w:val="00836654"/>
    <w:rsid w:val="00836722"/>
    <w:rsid w:val="0083674F"/>
    <w:rsid w:val="008367ED"/>
    <w:rsid w:val="00836B4E"/>
    <w:rsid w:val="00836BAE"/>
    <w:rsid w:val="008374B0"/>
    <w:rsid w:val="00837702"/>
    <w:rsid w:val="0083778F"/>
    <w:rsid w:val="00837899"/>
    <w:rsid w:val="00837AA4"/>
    <w:rsid w:val="00837F29"/>
    <w:rsid w:val="0084008E"/>
    <w:rsid w:val="0084020C"/>
    <w:rsid w:val="00840361"/>
    <w:rsid w:val="00840996"/>
    <w:rsid w:val="00840DA5"/>
    <w:rsid w:val="00841010"/>
    <w:rsid w:val="00841232"/>
    <w:rsid w:val="008414A5"/>
    <w:rsid w:val="00841688"/>
    <w:rsid w:val="00841D6C"/>
    <w:rsid w:val="00841DEC"/>
    <w:rsid w:val="00841E4D"/>
    <w:rsid w:val="00842810"/>
    <w:rsid w:val="008428C3"/>
    <w:rsid w:val="00842A4A"/>
    <w:rsid w:val="00842D5F"/>
    <w:rsid w:val="008430B6"/>
    <w:rsid w:val="00843461"/>
    <w:rsid w:val="00843762"/>
    <w:rsid w:val="00843D08"/>
    <w:rsid w:val="00843F19"/>
    <w:rsid w:val="00844023"/>
    <w:rsid w:val="008448D7"/>
    <w:rsid w:val="00844A47"/>
    <w:rsid w:val="00844F84"/>
    <w:rsid w:val="008451E3"/>
    <w:rsid w:val="00845415"/>
    <w:rsid w:val="00845561"/>
    <w:rsid w:val="00845745"/>
    <w:rsid w:val="008458FF"/>
    <w:rsid w:val="00845AC4"/>
    <w:rsid w:val="00845B63"/>
    <w:rsid w:val="00845ED3"/>
    <w:rsid w:val="00845F0B"/>
    <w:rsid w:val="00845FF0"/>
    <w:rsid w:val="0084652D"/>
    <w:rsid w:val="00846C81"/>
    <w:rsid w:val="00846E0C"/>
    <w:rsid w:val="008472E3"/>
    <w:rsid w:val="0084756E"/>
    <w:rsid w:val="008476FB"/>
    <w:rsid w:val="00847AD3"/>
    <w:rsid w:val="00847D16"/>
    <w:rsid w:val="0085000B"/>
    <w:rsid w:val="008501D0"/>
    <w:rsid w:val="0085058A"/>
    <w:rsid w:val="00850970"/>
    <w:rsid w:val="00850A82"/>
    <w:rsid w:val="00851001"/>
    <w:rsid w:val="00851168"/>
    <w:rsid w:val="008511C7"/>
    <w:rsid w:val="008516E9"/>
    <w:rsid w:val="0085172C"/>
    <w:rsid w:val="008517CE"/>
    <w:rsid w:val="0085182D"/>
    <w:rsid w:val="00851854"/>
    <w:rsid w:val="00851C1A"/>
    <w:rsid w:val="00851C54"/>
    <w:rsid w:val="00851CD8"/>
    <w:rsid w:val="00851D1C"/>
    <w:rsid w:val="00851D2F"/>
    <w:rsid w:val="00851E87"/>
    <w:rsid w:val="008520EC"/>
    <w:rsid w:val="00852365"/>
    <w:rsid w:val="008525CF"/>
    <w:rsid w:val="0085260A"/>
    <w:rsid w:val="0085297D"/>
    <w:rsid w:val="00852AED"/>
    <w:rsid w:val="00852CBE"/>
    <w:rsid w:val="00853219"/>
    <w:rsid w:val="00853265"/>
    <w:rsid w:val="008533E6"/>
    <w:rsid w:val="00853662"/>
    <w:rsid w:val="008537CE"/>
    <w:rsid w:val="00853DC5"/>
    <w:rsid w:val="00853F5E"/>
    <w:rsid w:val="008541C8"/>
    <w:rsid w:val="008547D6"/>
    <w:rsid w:val="008547D7"/>
    <w:rsid w:val="00854F76"/>
    <w:rsid w:val="008554FB"/>
    <w:rsid w:val="00855717"/>
    <w:rsid w:val="008557AB"/>
    <w:rsid w:val="00855A6F"/>
    <w:rsid w:val="00855BCD"/>
    <w:rsid w:val="008561F6"/>
    <w:rsid w:val="0085665E"/>
    <w:rsid w:val="00856F7B"/>
    <w:rsid w:val="0085717D"/>
    <w:rsid w:val="0085750B"/>
    <w:rsid w:val="0085774A"/>
    <w:rsid w:val="00857B9E"/>
    <w:rsid w:val="00857BB0"/>
    <w:rsid w:val="00857E7A"/>
    <w:rsid w:val="008606A2"/>
    <w:rsid w:val="008608E7"/>
    <w:rsid w:val="0086094D"/>
    <w:rsid w:val="00860A3F"/>
    <w:rsid w:val="0086105F"/>
    <w:rsid w:val="00861119"/>
    <w:rsid w:val="008615EB"/>
    <w:rsid w:val="00861804"/>
    <w:rsid w:val="00861DA7"/>
    <w:rsid w:val="008620D7"/>
    <w:rsid w:val="0086223C"/>
    <w:rsid w:val="008623B8"/>
    <w:rsid w:val="008623B9"/>
    <w:rsid w:val="008626D1"/>
    <w:rsid w:val="008627F4"/>
    <w:rsid w:val="00862C18"/>
    <w:rsid w:val="00862D32"/>
    <w:rsid w:val="0086353D"/>
    <w:rsid w:val="00863638"/>
    <w:rsid w:val="00863830"/>
    <w:rsid w:val="00863989"/>
    <w:rsid w:val="00863AC7"/>
    <w:rsid w:val="00863EB0"/>
    <w:rsid w:val="00864164"/>
    <w:rsid w:val="008641D1"/>
    <w:rsid w:val="008642B0"/>
    <w:rsid w:val="00864361"/>
    <w:rsid w:val="008647F6"/>
    <w:rsid w:val="00864989"/>
    <w:rsid w:val="00864C34"/>
    <w:rsid w:val="00865078"/>
    <w:rsid w:val="00865177"/>
    <w:rsid w:val="0086575B"/>
    <w:rsid w:val="00865A18"/>
    <w:rsid w:val="00865CBA"/>
    <w:rsid w:val="00865D0E"/>
    <w:rsid w:val="00865DB3"/>
    <w:rsid w:val="00865DDE"/>
    <w:rsid w:val="0086615D"/>
    <w:rsid w:val="00866184"/>
    <w:rsid w:val="0086677C"/>
    <w:rsid w:val="00866D10"/>
    <w:rsid w:val="0086716B"/>
    <w:rsid w:val="00867647"/>
    <w:rsid w:val="008676E9"/>
    <w:rsid w:val="00867989"/>
    <w:rsid w:val="008679EE"/>
    <w:rsid w:val="00867D48"/>
    <w:rsid w:val="008701CF"/>
    <w:rsid w:val="0087060D"/>
    <w:rsid w:val="0087076B"/>
    <w:rsid w:val="00870A8F"/>
    <w:rsid w:val="00870B03"/>
    <w:rsid w:val="00870BFC"/>
    <w:rsid w:val="00870C7E"/>
    <w:rsid w:val="00870CDA"/>
    <w:rsid w:val="00870D1A"/>
    <w:rsid w:val="008711E4"/>
    <w:rsid w:val="0087135F"/>
    <w:rsid w:val="00871565"/>
    <w:rsid w:val="00871847"/>
    <w:rsid w:val="008718BA"/>
    <w:rsid w:val="00871AAD"/>
    <w:rsid w:val="00871B03"/>
    <w:rsid w:val="00871B33"/>
    <w:rsid w:val="00871EC2"/>
    <w:rsid w:val="0087210E"/>
    <w:rsid w:val="00872269"/>
    <w:rsid w:val="00872556"/>
    <w:rsid w:val="00872912"/>
    <w:rsid w:val="00872A89"/>
    <w:rsid w:val="00872B6D"/>
    <w:rsid w:val="00872D94"/>
    <w:rsid w:val="0087305E"/>
    <w:rsid w:val="00873142"/>
    <w:rsid w:val="008734C4"/>
    <w:rsid w:val="008734CB"/>
    <w:rsid w:val="008734E3"/>
    <w:rsid w:val="008738BA"/>
    <w:rsid w:val="008739E9"/>
    <w:rsid w:val="00874229"/>
    <w:rsid w:val="00874544"/>
    <w:rsid w:val="00874660"/>
    <w:rsid w:val="0087474F"/>
    <w:rsid w:val="008747D8"/>
    <w:rsid w:val="0087488A"/>
    <w:rsid w:val="00874E9B"/>
    <w:rsid w:val="00874FFB"/>
    <w:rsid w:val="0087563F"/>
    <w:rsid w:val="00875760"/>
    <w:rsid w:val="00875E8F"/>
    <w:rsid w:val="0087659D"/>
    <w:rsid w:val="008768F4"/>
    <w:rsid w:val="0087715F"/>
    <w:rsid w:val="0087722A"/>
    <w:rsid w:val="008774A3"/>
    <w:rsid w:val="008775B1"/>
    <w:rsid w:val="00877B72"/>
    <w:rsid w:val="00877BB7"/>
    <w:rsid w:val="00877D6A"/>
    <w:rsid w:val="00877F77"/>
    <w:rsid w:val="00880364"/>
    <w:rsid w:val="0088044A"/>
    <w:rsid w:val="00880461"/>
    <w:rsid w:val="00880575"/>
    <w:rsid w:val="0088076F"/>
    <w:rsid w:val="008809EE"/>
    <w:rsid w:val="0088113F"/>
    <w:rsid w:val="00881230"/>
    <w:rsid w:val="008815BB"/>
    <w:rsid w:val="008816E5"/>
    <w:rsid w:val="0088182B"/>
    <w:rsid w:val="00881EFA"/>
    <w:rsid w:val="00882C3B"/>
    <w:rsid w:val="00882CBA"/>
    <w:rsid w:val="00883198"/>
    <w:rsid w:val="008831B1"/>
    <w:rsid w:val="008832BE"/>
    <w:rsid w:val="00883B79"/>
    <w:rsid w:val="00883D1A"/>
    <w:rsid w:val="00883FDB"/>
    <w:rsid w:val="00884177"/>
    <w:rsid w:val="008842E9"/>
    <w:rsid w:val="008847BE"/>
    <w:rsid w:val="00884E8A"/>
    <w:rsid w:val="00884F60"/>
    <w:rsid w:val="00884FD5"/>
    <w:rsid w:val="00884FDE"/>
    <w:rsid w:val="0088529F"/>
    <w:rsid w:val="00885817"/>
    <w:rsid w:val="00885BA8"/>
    <w:rsid w:val="00885C53"/>
    <w:rsid w:val="00885C56"/>
    <w:rsid w:val="00885D98"/>
    <w:rsid w:val="00885FB8"/>
    <w:rsid w:val="008863F9"/>
    <w:rsid w:val="00886A94"/>
    <w:rsid w:val="00886BBF"/>
    <w:rsid w:val="00886DFF"/>
    <w:rsid w:val="00887197"/>
    <w:rsid w:val="008871D8"/>
    <w:rsid w:val="0088736E"/>
    <w:rsid w:val="008873D5"/>
    <w:rsid w:val="00887983"/>
    <w:rsid w:val="00887B13"/>
    <w:rsid w:val="00887D0E"/>
    <w:rsid w:val="00890656"/>
    <w:rsid w:val="008906D6"/>
    <w:rsid w:val="0089088F"/>
    <w:rsid w:val="00890911"/>
    <w:rsid w:val="00890E71"/>
    <w:rsid w:val="00890ECB"/>
    <w:rsid w:val="00890F4C"/>
    <w:rsid w:val="008910F4"/>
    <w:rsid w:val="00891592"/>
    <w:rsid w:val="0089161B"/>
    <w:rsid w:val="0089177A"/>
    <w:rsid w:val="0089184E"/>
    <w:rsid w:val="00891A4E"/>
    <w:rsid w:val="00891DBA"/>
    <w:rsid w:val="00891E9E"/>
    <w:rsid w:val="00891EF4"/>
    <w:rsid w:val="00891FC9"/>
    <w:rsid w:val="00892288"/>
    <w:rsid w:val="00892389"/>
    <w:rsid w:val="008923A1"/>
    <w:rsid w:val="008924AE"/>
    <w:rsid w:val="0089271D"/>
    <w:rsid w:val="0089315D"/>
    <w:rsid w:val="00893855"/>
    <w:rsid w:val="0089398D"/>
    <w:rsid w:val="00893F27"/>
    <w:rsid w:val="00894A48"/>
    <w:rsid w:val="00894A53"/>
    <w:rsid w:val="00895348"/>
    <w:rsid w:val="008953DD"/>
    <w:rsid w:val="008953EA"/>
    <w:rsid w:val="00895604"/>
    <w:rsid w:val="00895667"/>
    <w:rsid w:val="00895A15"/>
    <w:rsid w:val="00895B4B"/>
    <w:rsid w:val="00895C25"/>
    <w:rsid w:val="00895E20"/>
    <w:rsid w:val="008961F6"/>
    <w:rsid w:val="00896271"/>
    <w:rsid w:val="00896570"/>
    <w:rsid w:val="00896858"/>
    <w:rsid w:val="00896AA0"/>
    <w:rsid w:val="00896D30"/>
    <w:rsid w:val="008971D4"/>
    <w:rsid w:val="0089723F"/>
    <w:rsid w:val="008976C9"/>
    <w:rsid w:val="00897742"/>
    <w:rsid w:val="008977DA"/>
    <w:rsid w:val="00897807"/>
    <w:rsid w:val="00897D52"/>
    <w:rsid w:val="00897DEE"/>
    <w:rsid w:val="008A04FB"/>
    <w:rsid w:val="008A0555"/>
    <w:rsid w:val="008A05D3"/>
    <w:rsid w:val="008A0CAC"/>
    <w:rsid w:val="008A0D78"/>
    <w:rsid w:val="008A108A"/>
    <w:rsid w:val="008A1347"/>
    <w:rsid w:val="008A19E2"/>
    <w:rsid w:val="008A1E0D"/>
    <w:rsid w:val="008A2140"/>
    <w:rsid w:val="008A2187"/>
    <w:rsid w:val="008A2339"/>
    <w:rsid w:val="008A236C"/>
    <w:rsid w:val="008A262C"/>
    <w:rsid w:val="008A2911"/>
    <w:rsid w:val="008A2968"/>
    <w:rsid w:val="008A2BB3"/>
    <w:rsid w:val="008A2E70"/>
    <w:rsid w:val="008A2EA9"/>
    <w:rsid w:val="008A2F68"/>
    <w:rsid w:val="008A3367"/>
    <w:rsid w:val="008A33D5"/>
    <w:rsid w:val="008A37D2"/>
    <w:rsid w:val="008A3AD5"/>
    <w:rsid w:val="008A3EBC"/>
    <w:rsid w:val="008A4108"/>
    <w:rsid w:val="008A43DD"/>
    <w:rsid w:val="008A45FD"/>
    <w:rsid w:val="008A4753"/>
    <w:rsid w:val="008A47C7"/>
    <w:rsid w:val="008A48A5"/>
    <w:rsid w:val="008A490D"/>
    <w:rsid w:val="008A4D5C"/>
    <w:rsid w:val="008A5527"/>
    <w:rsid w:val="008A578E"/>
    <w:rsid w:val="008A5A40"/>
    <w:rsid w:val="008A5C69"/>
    <w:rsid w:val="008A5EF6"/>
    <w:rsid w:val="008A6065"/>
    <w:rsid w:val="008A606C"/>
    <w:rsid w:val="008A612D"/>
    <w:rsid w:val="008A6158"/>
    <w:rsid w:val="008A633E"/>
    <w:rsid w:val="008A6402"/>
    <w:rsid w:val="008A6442"/>
    <w:rsid w:val="008A64EF"/>
    <w:rsid w:val="008A6535"/>
    <w:rsid w:val="008A6929"/>
    <w:rsid w:val="008A6FCB"/>
    <w:rsid w:val="008A740C"/>
    <w:rsid w:val="008A7821"/>
    <w:rsid w:val="008A7A0D"/>
    <w:rsid w:val="008B0085"/>
    <w:rsid w:val="008B0106"/>
    <w:rsid w:val="008B01CD"/>
    <w:rsid w:val="008B0DBB"/>
    <w:rsid w:val="008B0E8B"/>
    <w:rsid w:val="008B0FFA"/>
    <w:rsid w:val="008B10B5"/>
    <w:rsid w:val="008B128D"/>
    <w:rsid w:val="008B1447"/>
    <w:rsid w:val="008B18F0"/>
    <w:rsid w:val="008B1B3F"/>
    <w:rsid w:val="008B1D22"/>
    <w:rsid w:val="008B20A4"/>
    <w:rsid w:val="008B2191"/>
    <w:rsid w:val="008B21C7"/>
    <w:rsid w:val="008B2306"/>
    <w:rsid w:val="008B2313"/>
    <w:rsid w:val="008B233E"/>
    <w:rsid w:val="008B258A"/>
    <w:rsid w:val="008B2BA7"/>
    <w:rsid w:val="008B2E5A"/>
    <w:rsid w:val="008B2E66"/>
    <w:rsid w:val="008B315E"/>
    <w:rsid w:val="008B3178"/>
    <w:rsid w:val="008B32BE"/>
    <w:rsid w:val="008B3638"/>
    <w:rsid w:val="008B38F9"/>
    <w:rsid w:val="008B3C52"/>
    <w:rsid w:val="008B42A8"/>
    <w:rsid w:val="008B43EB"/>
    <w:rsid w:val="008B4954"/>
    <w:rsid w:val="008B49D9"/>
    <w:rsid w:val="008B4BAC"/>
    <w:rsid w:val="008B4F22"/>
    <w:rsid w:val="008B4FA6"/>
    <w:rsid w:val="008B5183"/>
    <w:rsid w:val="008B5230"/>
    <w:rsid w:val="008B5282"/>
    <w:rsid w:val="008B528E"/>
    <w:rsid w:val="008B57DE"/>
    <w:rsid w:val="008B5D2C"/>
    <w:rsid w:val="008B6530"/>
    <w:rsid w:val="008B6655"/>
    <w:rsid w:val="008B66F7"/>
    <w:rsid w:val="008B68B1"/>
    <w:rsid w:val="008B6972"/>
    <w:rsid w:val="008B6A7E"/>
    <w:rsid w:val="008B6E34"/>
    <w:rsid w:val="008B7010"/>
    <w:rsid w:val="008B722E"/>
    <w:rsid w:val="008B72AE"/>
    <w:rsid w:val="008B74A0"/>
    <w:rsid w:val="008B783A"/>
    <w:rsid w:val="008B7C17"/>
    <w:rsid w:val="008B7C6D"/>
    <w:rsid w:val="008B7EB9"/>
    <w:rsid w:val="008B7F30"/>
    <w:rsid w:val="008C00A6"/>
    <w:rsid w:val="008C036E"/>
    <w:rsid w:val="008C055F"/>
    <w:rsid w:val="008C0918"/>
    <w:rsid w:val="008C0C3B"/>
    <w:rsid w:val="008C0F8A"/>
    <w:rsid w:val="008C1125"/>
    <w:rsid w:val="008C1542"/>
    <w:rsid w:val="008C1728"/>
    <w:rsid w:val="008C1903"/>
    <w:rsid w:val="008C1B0B"/>
    <w:rsid w:val="008C1C6C"/>
    <w:rsid w:val="008C1CCD"/>
    <w:rsid w:val="008C1F2C"/>
    <w:rsid w:val="008C1FAE"/>
    <w:rsid w:val="008C20EB"/>
    <w:rsid w:val="008C2269"/>
    <w:rsid w:val="008C27BD"/>
    <w:rsid w:val="008C28A4"/>
    <w:rsid w:val="008C2B3A"/>
    <w:rsid w:val="008C2C71"/>
    <w:rsid w:val="008C2D01"/>
    <w:rsid w:val="008C2D6E"/>
    <w:rsid w:val="008C2E92"/>
    <w:rsid w:val="008C306D"/>
    <w:rsid w:val="008C32F9"/>
    <w:rsid w:val="008C3374"/>
    <w:rsid w:val="008C3441"/>
    <w:rsid w:val="008C3443"/>
    <w:rsid w:val="008C3AEE"/>
    <w:rsid w:val="008C3CB8"/>
    <w:rsid w:val="008C40E6"/>
    <w:rsid w:val="008C4694"/>
    <w:rsid w:val="008C4B8C"/>
    <w:rsid w:val="008C50D7"/>
    <w:rsid w:val="008C5105"/>
    <w:rsid w:val="008C5829"/>
    <w:rsid w:val="008C5845"/>
    <w:rsid w:val="008C5E6A"/>
    <w:rsid w:val="008C647F"/>
    <w:rsid w:val="008C67F5"/>
    <w:rsid w:val="008C68F8"/>
    <w:rsid w:val="008C6A1A"/>
    <w:rsid w:val="008C6B21"/>
    <w:rsid w:val="008C6F61"/>
    <w:rsid w:val="008C73AC"/>
    <w:rsid w:val="008C75C0"/>
    <w:rsid w:val="008C75F3"/>
    <w:rsid w:val="008C7685"/>
    <w:rsid w:val="008C77D5"/>
    <w:rsid w:val="008C7836"/>
    <w:rsid w:val="008C7C7D"/>
    <w:rsid w:val="008C7F4F"/>
    <w:rsid w:val="008D077F"/>
    <w:rsid w:val="008D0C7C"/>
    <w:rsid w:val="008D0C9A"/>
    <w:rsid w:val="008D0E91"/>
    <w:rsid w:val="008D0F7A"/>
    <w:rsid w:val="008D1294"/>
    <w:rsid w:val="008D19D1"/>
    <w:rsid w:val="008D1A0C"/>
    <w:rsid w:val="008D1BA2"/>
    <w:rsid w:val="008D22DE"/>
    <w:rsid w:val="008D251E"/>
    <w:rsid w:val="008D2A3A"/>
    <w:rsid w:val="008D2A8D"/>
    <w:rsid w:val="008D2C2D"/>
    <w:rsid w:val="008D2E6A"/>
    <w:rsid w:val="008D30FE"/>
    <w:rsid w:val="008D3436"/>
    <w:rsid w:val="008D3588"/>
    <w:rsid w:val="008D38E9"/>
    <w:rsid w:val="008D3A3C"/>
    <w:rsid w:val="008D4009"/>
    <w:rsid w:val="008D493C"/>
    <w:rsid w:val="008D4D5A"/>
    <w:rsid w:val="008D4EDE"/>
    <w:rsid w:val="008D5016"/>
    <w:rsid w:val="008D51CC"/>
    <w:rsid w:val="008D539E"/>
    <w:rsid w:val="008D54AE"/>
    <w:rsid w:val="008D56D9"/>
    <w:rsid w:val="008D5ACF"/>
    <w:rsid w:val="008D5C4C"/>
    <w:rsid w:val="008D6313"/>
    <w:rsid w:val="008D66B2"/>
    <w:rsid w:val="008D68E4"/>
    <w:rsid w:val="008D6962"/>
    <w:rsid w:val="008D6A10"/>
    <w:rsid w:val="008D6BBA"/>
    <w:rsid w:val="008D6C43"/>
    <w:rsid w:val="008D6E5E"/>
    <w:rsid w:val="008D6F9D"/>
    <w:rsid w:val="008D71E4"/>
    <w:rsid w:val="008D76B8"/>
    <w:rsid w:val="008D7719"/>
    <w:rsid w:val="008D7F9D"/>
    <w:rsid w:val="008E003A"/>
    <w:rsid w:val="008E0155"/>
    <w:rsid w:val="008E0506"/>
    <w:rsid w:val="008E0879"/>
    <w:rsid w:val="008E08CF"/>
    <w:rsid w:val="008E0A46"/>
    <w:rsid w:val="008E0A74"/>
    <w:rsid w:val="008E0B37"/>
    <w:rsid w:val="008E0BC6"/>
    <w:rsid w:val="008E0CFF"/>
    <w:rsid w:val="008E0F1C"/>
    <w:rsid w:val="008E11C9"/>
    <w:rsid w:val="008E11EB"/>
    <w:rsid w:val="008E1215"/>
    <w:rsid w:val="008E1591"/>
    <w:rsid w:val="008E1929"/>
    <w:rsid w:val="008E1B36"/>
    <w:rsid w:val="008E231B"/>
    <w:rsid w:val="008E238C"/>
    <w:rsid w:val="008E23C0"/>
    <w:rsid w:val="008E2522"/>
    <w:rsid w:val="008E271B"/>
    <w:rsid w:val="008E2CAA"/>
    <w:rsid w:val="008E2EEA"/>
    <w:rsid w:val="008E3585"/>
    <w:rsid w:val="008E39C2"/>
    <w:rsid w:val="008E3E27"/>
    <w:rsid w:val="008E40AA"/>
    <w:rsid w:val="008E410D"/>
    <w:rsid w:val="008E4273"/>
    <w:rsid w:val="008E43A2"/>
    <w:rsid w:val="008E4617"/>
    <w:rsid w:val="008E4772"/>
    <w:rsid w:val="008E4B43"/>
    <w:rsid w:val="008E4C0B"/>
    <w:rsid w:val="008E4CCC"/>
    <w:rsid w:val="008E4E8C"/>
    <w:rsid w:val="008E50A0"/>
    <w:rsid w:val="008E53A4"/>
    <w:rsid w:val="008E5993"/>
    <w:rsid w:val="008E5D6B"/>
    <w:rsid w:val="008E5F0F"/>
    <w:rsid w:val="008E6208"/>
    <w:rsid w:val="008E6393"/>
    <w:rsid w:val="008E6424"/>
    <w:rsid w:val="008E65EC"/>
    <w:rsid w:val="008E67AF"/>
    <w:rsid w:val="008E6D73"/>
    <w:rsid w:val="008E6DCA"/>
    <w:rsid w:val="008E7344"/>
    <w:rsid w:val="008E7370"/>
    <w:rsid w:val="008E7454"/>
    <w:rsid w:val="008E76F0"/>
    <w:rsid w:val="008E7707"/>
    <w:rsid w:val="008E7C8C"/>
    <w:rsid w:val="008E7EC0"/>
    <w:rsid w:val="008E7F4E"/>
    <w:rsid w:val="008F033C"/>
    <w:rsid w:val="008F07C2"/>
    <w:rsid w:val="008F0FAD"/>
    <w:rsid w:val="008F1393"/>
    <w:rsid w:val="008F15FE"/>
    <w:rsid w:val="008F1CD3"/>
    <w:rsid w:val="008F1DAD"/>
    <w:rsid w:val="008F1F83"/>
    <w:rsid w:val="008F1F9A"/>
    <w:rsid w:val="008F2260"/>
    <w:rsid w:val="008F2362"/>
    <w:rsid w:val="008F2425"/>
    <w:rsid w:val="008F255C"/>
    <w:rsid w:val="008F25D5"/>
    <w:rsid w:val="008F28F8"/>
    <w:rsid w:val="008F2A5A"/>
    <w:rsid w:val="008F2A8F"/>
    <w:rsid w:val="008F2D29"/>
    <w:rsid w:val="008F308E"/>
    <w:rsid w:val="008F3158"/>
    <w:rsid w:val="008F32BD"/>
    <w:rsid w:val="008F3457"/>
    <w:rsid w:val="008F3570"/>
    <w:rsid w:val="008F37E0"/>
    <w:rsid w:val="008F3D5E"/>
    <w:rsid w:val="008F4095"/>
    <w:rsid w:val="008F43E8"/>
    <w:rsid w:val="008F46DF"/>
    <w:rsid w:val="008F47D8"/>
    <w:rsid w:val="008F48DD"/>
    <w:rsid w:val="008F48E1"/>
    <w:rsid w:val="008F4BC0"/>
    <w:rsid w:val="008F4D34"/>
    <w:rsid w:val="008F4D55"/>
    <w:rsid w:val="008F4E03"/>
    <w:rsid w:val="008F4E15"/>
    <w:rsid w:val="008F4E7E"/>
    <w:rsid w:val="008F5047"/>
    <w:rsid w:val="008F5187"/>
    <w:rsid w:val="008F5565"/>
    <w:rsid w:val="008F575A"/>
    <w:rsid w:val="008F5F48"/>
    <w:rsid w:val="008F60D8"/>
    <w:rsid w:val="008F60E0"/>
    <w:rsid w:val="008F6910"/>
    <w:rsid w:val="008F6B62"/>
    <w:rsid w:val="008F6D10"/>
    <w:rsid w:val="008F6E4F"/>
    <w:rsid w:val="008F6F45"/>
    <w:rsid w:val="008F70AA"/>
    <w:rsid w:val="008F75B0"/>
    <w:rsid w:val="008F75BF"/>
    <w:rsid w:val="008F7AAF"/>
    <w:rsid w:val="008F7F8E"/>
    <w:rsid w:val="009002EA"/>
    <w:rsid w:val="009004BB"/>
    <w:rsid w:val="00900552"/>
    <w:rsid w:val="009005C8"/>
    <w:rsid w:val="0090061E"/>
    <w:rsid w:val="00900AA1"/>
    <w:rsid w:val="00900F81"/>
    <w:rsid w:val="00900FB7"/>
    <w:rsid w:val="00900FC7"/>
    <w:rsid w:val="00901063"/>
    <w:rsid w:val="009010FE"/>
    <w:rsid w:val="0090126E"/>
    <w:rsid w:val="009015FE"/>
    <w:rsid w:val="0090181C"/>
    <w:rsid w:val="009018FF"/>
    <w:rsid w:val="00901C1A"/>
    <w:rsid w:val="00901EFE"/>
    <w:rsid w:val="009020C3"/>
    <w:rsid w:val="0090214E"/>
    <w:rsid w:val="00902534"/>
    <w:rsid w:val="00902600"/>
    <w:rsid w:val="00902727"/>
    <w:rsid w:val="009029A5"/>
    <w:rsid w:val="00902C02"/>
    <w:rsid w:val="0090312B"/>
    <w:rsid w:val="0090323A"/>
    <w:rsid w:val="009033E1"/>
    <w:rsid w:val="00903478"/>
    <w:rsid w:val="0090355B"/>
    <w:rsid w:val="009039D8"/>
    <w:rsid w:val="00903B93"/>
    <w:rsid w:val="009041AE"/>
    <w:rsid w:val="00904261"/>
    <w:rsid w:val="009042C8"/>
    <w:rsid w:val="00904305"/>
    <w:rsid w:val="009048E5"/>
    <w:rsid w:val="00904CAD"/>
    <w:rsid w:val="0090557A"/>
    <w:rsid w:val="0090582B"/>
    <w:rsid w:val="00905D71"/>
    <w:rsid w:val="00906609"/>
    <w:rsid w:val="00906915"/>
    <w:rsid w:val="00906EF4"/>
    <w:rsid w:val="00906F61"/>
    <w:rsid w:val="00907595"/>
    <w:rsid w:val="0090762E"/>
    <w:rsid w:val="00907791"/>
    <w:rsid w:val="00907923"/>
    <w:rsid w:val="00907BDE"/>
    <w:rsid w:val="00907C17"/>
    <w:rsid w:val="00907C22"/>
    <w:rsid w:val="0091024D"/>
    <w:rsid w:val="009103C9"/>
    <w:rsid w:val="0091044F"/>
    <w:rsid w:val="0091045B"/>
    <w:rsid w:val="009107FA"/>
    <w:rsid w:val="00910A22"/>
    <w:rsid w:val="00910A77"/>
    <w:rsid w:val="0091145A"/>
    <w:rsid w:val="0091147B"/>
    <w:rsid w:val="00911665"/>
    <w:rsid w:val="00911919"/>
    <w:rsid w:val="00911923"/>
    <w:rsid w:val="0091194B"/>
    <w:rsid w:val="009121EB"/>
    <w:rsid w:val="0091255E"/>
    <w:rsid w:val="009125E1"/>
    <w:rsid w:val="00912A91"/>
    <w:rsid w:val="00912AFC"/>
    <w:rsid w:val="00912D9F"/>
    <w:rsid w:val="0091308D"/>
    <w:rsid w:val="009134D8"/>
    <w:rsid w:val="009136D5"/>
    <w:rsid w:val="009138B1"/>
    <w:rsid w:val="00913B1C"/>
    <w:rsid w:val="00913C37"/>
    <w:rsid w:val="00914232"/>
    <w:rsid w:val="00915270"/>
    <w:rsid w:val="009154DC"/>
    <w:rsid w:val="00915CB5"/>
    <w:rsid w:val="00915DC2"/>
    <w:rsid w:val="00915DFE"/>
    <w:rsid w:val="00916431"/>
    <w:rsid w:val="00916524"/>
    <w:rsid w:val="0091692D"/>
    <w:rsid w:val="00916A93"/>
    <w:rsid w:val="00916E10"/>
    <w:rsid w:val="00916F45"/>
    <w:rsid w:val="00916FD0"/>
    <w:rsid w:val="00916FDD"/>
    <w:rsid w:val="0091736D"/>
    <w:rsid w:val="0091759F"/>
    <w:rsid w:val="00917B43"/>
    <w:rsid w:val="00917F1D"/>
    <w:rsid w:val="00920019"/>
    <w:rsid w:val="00920025"/>
    <w:rsid w:val="009202B2"/>
    <w:rsid w:val="00920374"/>
    <w:rsid w:val="009203EA"/>
    <w:rsid w:val="00920A67"/>
    <w:rsid w:val="00920EAB"/>
    <w:rsid w:val="0092120D"/>
    <w:rsid w:val="00921884"/>
    <w:rsid w:val="00921EF4"/>
    <w:rsid w:val="009222B5"/>
    <w:rsid w:val="00922682"/>
    <w:rsid w:val="00922854"/>
    <w:rsid w:val="00922D73"/>
    <w:rsid w:val="00922E63"/>
    <w:rsid w:val="00922F08"/>
    <w:rsid w:val="00922F63"/>
    <w:rsid w:val="00922F8E"/>
    <w:rsid w:val="0092338E"/>
    <w:rsid w:val="0092360C"/>
    <w:rsid w:val="00923764"/>
    <w:rsid w:val="00923775"/>
    <w:rsid w:val="0092394E"/>
    <w:rsid w:val="00923958"/>
    <w:rsid w:val="009243ED"/>
    <w:rsid w:val="00924761"/>
    <w:rsid w:val="0092477E"/>
    <w:rsid w:val="009248E7"/>
    <w:rsid w:val="009250B7"/>
    <w:rsid w:val="009250F4"/>
    <w:rsid w:val="00925217"/>
    <w:rsid w:val="0092526E"/>
    <w:rsid w:val="00925443"/>
    <w:rsid w:val="009254B5"/>
    <w:rsid w:val="00925689"/>
    <w:rsid w:val="00926074"/>
    <w:rsid w:val="00926291"/>
    <w:rsid w:val="00926659"/>
    <w:rsid w:val="00926CA3"/>
    <w:rsid w:val="0092710B"/>
    <w:rsid w:val="009271D1"/>
    <w:rsid w:val="00927485"/>
    <w:rsid w:val="009274C5"/>
    <w:rsid w:val="009274DF"/>
    <w:rsid w:val="009277F8"/>
    <w:rsid w:val="00927C44"/>
    <w:rsid w:val="00927CFF"/>
    <w:rsid w:val="00927DB4"/>
    <w:rsid w:val="00927E87"/>
    <w:rsid w:val="00927FFA"/>
    <w:rsid w:val="00930200"/>
    <w:rsid w:val="0093037A"/>
    <w:rsid w:val="00930B13"/>
    <w:rsid w:val="00930B48"/>
    <w:rsid w:val="00930BFA"/>
    <w:rsid w:val="00930C1C"/>
    <w:rsid w:val="00930C36"/>
    <w:rsid w:val="00930FD2"/>
    <w:rsid w:val="009311EA"/>
    <w:rsid w:val="0093133F"/>
    <w:rsid w:val="00931347"/>
    <w:rsid w:val="0093163D"/>
    <w:rsid w:val="00931A87"/>
    <w:rsid w:val="00932139"/>
    <w:rsid w:val="00932A13"/>
    <w:rsid w:val="00932C77"/>
    <w:rsid w:val="00932CB5"/>
    <w:rsid w:val="00932EFA"/>
    <w:rsid w:val="00932F5B"/>
    <w:rsid w:val="0093322B"/>
    <w:rsid w:val="00933235"/>
    <w:rsid w:val="009332E3"/>
    <w:rsid w:val="009333D3"/>
    <w:rsid w:val="009334ED"/>
    <w:rsid w:val="00933536"/>
    <w:rsid w:val="00933625"/>
    <w:rsid w:val="00933955"/>
    <w:rsid w:val="00933E1D"/>
    <w:rsid w:val="00933E27"/>
    <w:rsid w:val="009341E1"/>
    <w:rsid w:val="009342F5"/>
    <w:rsid w:val="0093441E"/>
    <w:rsid w:val="009348AF"/>
    <w:rsid w:val="0093496A"/>
    <w:rsid w:val="00934EEE"/>
    <w:rsid w:val="0093508D"/>
    <w:rsid w:val="009350D4"/>
    <w:rsid w:val="009351D0"/>
    <w:rsid w:val="009351D7"/>
    <w:rsid w:val="009353EF"/>
    <w:rsid w:val="00935489"/>
    <w:rsid w:val="00935B5E"/>
    <w:rsid w:val="00935E0E"/>
    <w:rsid w:val="00935E98"/>
    <w:rsid w:val="00935FB5"/>
    <w:rsid w:val="00936366"/>
    <w:rsid w:val="0093669E"/>
    <w:rsid w:val="0093693E"/>
    <w:rsid w:val="00936982"/>
    <w:rsid w:val="00936B30"/>
    <w:rsid w:val="00936DF6"/>
    <w:rsid w:val="0093704D"/>
    <w:rsid w:val="0093743A"/>
    <w:rsid w:val="009377C1"/>
    <w:rsid w:val="00937842"/>
    <w:rsid w:val="00937A48"/>
    <w:rsid w:val="00937DC2"/>
    <w:rsid w:val="009405DE"/>
    <w:rsid w:val="00940662"/>
    <w:rsid w:val="00940782"/>
    <w:rsid w:val="009407AE"/>
    <w:rsid w:val="00940912"/>
    <w:rsid w:val="0094095E"/>
    <w:rsid w:val="0094103B"/>
    <w:rsid w:val="009411FF"/>
    <w:rsid w:val="0094124D"/>
    <w:rsid w:val="0094133C"/>
    <w:rsid w:val="0094154D"/>
    <w:rsid w:val="0094169D"/>
    <w:rsid w:val="009423D3"/>
    <w:rsid w:val="0094283A"/>
    <w:rsid w:val="0094293B"/>
    <w:rsid w:val="0094296B"/>
    <w:rsid w:val="00942DA6"/>
    <w:rsid w:val="0094303D"/>
    <w:rsid w:val="00943394"/>
    <w:rsid w:val="0094353A"/>
    <w:rsid w:val="009436D9"/>
    <w:rsid w:val="00943B36"/>
    <w:rsid w:val="00943D27"/>
    <w:rsid w:val="00943E78"/>
    <w:rsid w:val="00944077"/>
    <w:rsid w:val="009440F6"/>
    <w:rsid w:val="00944154"/>
    <w:rsid w:val="00944570"/>
    <w:rsid w:val="00944C60"/>
    <w:rsid w:val="00944DC6"/>
    <w:rsid w:val="0094514F"/>
    <w:rsid w:val="00945196"/>
    <w:rsid w:val="0094520D"/>
    <w:rsid w:val="009452C5"/>
    <w:rsid w:val="00945551"/>
    <w:rsid w:val="00945567"/>
    <w:rsid w:val="00945B95"/>
    <w:rsid w:val="00945BC7"/>
    <w:rsid w:val="00945C56"/>
    <w:rsid w:val="00945E20"/>
    <w:rsid w:val="00945E5E"/>
    <w:rsid w:val="0094627A"/>
    <w:rsid w:val="009462FC"/>
    <w:rsid w:val="00946314"/>
    <w:rsid w:val="00946843"/>
    <w:rsid w:val="0094686D"/>
    <w:rsid w:val="009468A5"/>
    <w:rsid w:val="009468B8"/>
    <w:rsid w:val="00946BD0"/>
    <w:rsid w:val="00946CC5"/>
    <w:rsid w:val="00946FB4"/>
    <w:rsid w:val="00947050"/>
    <w:rsid w:val="0094709B"/>
    <w:rsid w:val="0094711F"/>
    <w:rsid w:val="00947355"/>
    <w:rsid w:val="00947730"/>
    <w:rsid w:val="00947BD8"/>
    <w:rsid w:val="00947ED7"/>
    <w:rsid w:val="00947F2C"/>
    <w:rsid w:val="00947F45"/>
    <w:rsid w:val="009500DF"/>
    <w:rsid w:val="0095019F"/>
    <w:rsid w:val="009502CE"/>
    <w:rsid w:val="009504B7"/>
    <w:rsid w:val="009508BF"/>
    <w:rsid w:val="009509DE"/>
    <w:rsid w:val="00950D6A"/>
    <w:rsid w:val="00951147"/>
    <w:rsid w:val="0095151E"/>
    <w:rsid w:val="0095155F"/>
    <w:rsid w:val="00951853"/>
    <w:rsid w:val="00951BC4"/>
    <w:rsid w:val="00951C16"/>
    <w:rsid w:val="0095221B"/>
    <w:rsid w:val="00952227"/>
    <w:rsid w:val="00952361"/>
    <w:rsid w:val="00952601"/>
    <w:rsid w:val="00952933"/>
    <w:rsid w:val="009529DD"/>
    <w:rsid w:val="00952D1C"/>
    <w:rsid w:val="0095341F"/>
    <w:rsid w:val="0095368C"/>
    <w:rsid w:val="00953736"/>
    <w:rsid w:val="00953809"/>
    <w:rsid w:val="00953848"/>
    <w:rsid w:val="0095399A"/>
    <w:rsid w:val="00954278"/>
    <w:rsid w:val="00954429"/>
    <w:rsid w:val="0095451B"/>
    <w:rsid w:val="009546EF"/>
    <w:rsid w:val="00954E51"/>
    <w:rsid w:val="009550F7"/>
    <w:rsid w:val="009551B9"/>
    <w:rsid w:val="00955481"/>
    <w:rsid w:val="0095554C"/>
    <w:rsid w:val="00955984"/>
    <w:rsid w:val="00955993"/>
    <w:rsid w:val="0095605A"/>
    <w:rsid w:val="00956168"/>
    <w:rsid w:val="0095616C"/>
    <w:rsid w:val="009563CE"/>
    <w:rsid w:val="00956518"/>
    <w:rsid w:val="00956548"/>
    <w:rsid w:val="00956680"/>
    <w:rsid w:val="009567FD"/>
    <w:rsid w:val="009568F9"/>
    <w:rsid w:val="00956BF5"/>
    <w:rsid w:val="00957055"/>
    <w:rsid w:val="0095783E"/>
    <w:rsid w:val="00957C17"/>
    <w:rsid w:val="00957F8B"/>
    <w:rsid w:val="00960125"/>
    <w:rsid w:val="00960186"/>
    <w:rsid w:val="009605DB"/>
    <w:rsid w:val="00960848"/>
    <w:rsid w:val="0096088B"/>
    <w:rsid w:val="009608CD"/>
    <w:rsid w:val="00960B7B"/>
    <w:rsid w:val="00960C37"/>
    <w:rsid w:val="00960D07"/>
    <w:rsid w:val="00960EEF"/>
    <w:rsid w:val="00961750"/>
    <w:rsid w:val="00961837"/>
    <w:rsid w:val="00961840"/>
    <w:rsid w:val="009618F0"/>
    <w:rsid w:val="00961A98"/>
    <w:rsid w:val="00961DB3"/>
    <w:rsid w:val="00961E90"/>
    <w:rsid w:val="00961EE4"/>
    <w:rsid w:val="009622CB"/>
    <w:rsid w:val="009623D8"/>
    <w:rsid w:val="00962A15"/>
    <w:rsid w:val="00962C14"/>
    <w:rsid w:val="00962EE6"/>
    <w:rsid w:val="00963368"/>
    <w:rsid w:val="009634AC"/>
    <w:rsid w:val="00963572"/>
    <w:rsid w:val="009635C8"/>
    <w:rsid w:val="009638ED"/>
    <w:rsid w:val="00963935"/>
    <w:rsid w:val="00963CA2"/>
    <w:rsid w:val="00963E0B"/>
    <w:rsid w:val="00964CC3"/>
    <w:rsid w:val="009655D2"/>
    <w:rsid w:val="00966093"/>
    <w:rsid w:val="009660BE"/>
    <w:rsid w:val="009662D5"/>
    <w:rsid w:val="0096638B"/>
    <w:rsid w:val="00966394"/>
    <w:rsid w:val="009663F0"/>
    <w:rsid w:val="009669E2"/>
    <w:rsid w:val="00966E2A"/>
    <w:rsid w:val="00966E49"/>
    <w:rsid w:val="0096714F"/>
    <w:rsid w:val="00967472"/>
    <w:rsid w:val="0096752D"/>
    <w:rsid w:val="009677D7"/>
    <w:rsid w:val="00967869"/>
    <w:rsid w:val="009678FF"/>
    <w:rsid w:val="00967964"/>
    <w:rsid w:val="0096799E"/>
    <w:rsid w:val="00967C0B"/>
    <w:rsid w:val="00967EC2"/>
    <w:rsid w:val="009701AA"/>
    <w:rsid w:val="00970201"/>
    <w:rsid w:val="009703E5"/>
    <w:rsid w:val="00970A3D"/>
    <w:rsid w:val="00970ED3"/>
    <w:rsid w:val="00971084"/>
    <w:rsid w:val="00971F51"/>
    <w:rsid w:val="00972013"/>
    <w:rsid w:val="009720B3"/>
    <w:rsid w:val="009722CB"/>
    <w:rsid w:val="00972581"/>
    <w:rsid w:val="00972874"/>
    <w:rsid w:val="00972FF3"/>
    <w:rsid w:val="00973242"/>
    <w:rsid w:val="00973452"/>
    <w:rsid w:val="00973D6A"/>
    <w:rsid w:val="00974082"/>
    <w:rsid w:val="00974366"/>
    <w:rsid w:val="009743CB"/>
    <w:rsid w:val="009743DC"/>
    <w:rsid w:val="009745DE"/>
    <w:rsid w:val="00974C80"/>
    <w:rsid w:val="00975417"/>
    <w:rsid w:val="00975781"/>
    <w:rsid w:val="00975899"/>
    <w:rsid w:val="00976252"/>
    <w:rsid w:val="00976328"/>
    <w:rsid w:val="009763B5"/>
    <w:rsid w:val="00976738"/>
    <w:rsid w:val="0097680D"/>
    <w:rsid w:val="00976A74"/>
    <w:rsid w:val="00976C27"/>
    <w:rsid w:val="00976D71"/>
    <w:rsid w:val="00976DA6"/>
    <w:rsid w:val="00976EFF"/>
    <w:rsid w:val="009776D6"/>
    <w:rsid w:val="00977968"/>
    <w:rsid w:val="00977EA5"/>
    <w:rsid w:val="0098012D"/>
    <w:rsid w:val="009804DD"/>
    <w:rsid w:val="009805D6"/>
    <w:rsid w:val="00980668"/>
    <w:rsid w:val="00980A4F"/>
    <w:rsid w:val="009815A6"/>
    <w:rsid w:val="009816F7"/>
    <w:rsid w:val="00981746"/>
    <w:rsid w:val="00981B31"/>
    <w:rsid w:val="00981D5C"/>
    <w:rsid w:val="00982121"/>
    <w:rsid w:val="00982438"/>
    <w:rsid w:val="0098260E"/>
    <w:rsid w:val="009829EC"/>
    <w:rsid w:val="00983176"/>
    <w:rsid w:val="00983445"/>
    <w:rsid w:val="0098361C"/>
    <w:rsid w:val="0098366F"/>
    <w:rsid w:val="00983EC5"/>
    <w:rsid w:val="00983F51"/>
    <w:rsid w:val="0098404C"/>
    <w:rsid w:val="0098428E"/>
    <w:rsid w:val="0098496B"/>
    <w:rsid w:val="00984A63"/>
    <w:rsid w:val="00984AB7"/>
    <w:rsid w:val="00984ABE"/>
    <w:rsid w:val="00984AE5"/>
    <w:rsid w:val="00984D70"/>
    <w:rsid w:val="009850DE"/>
    <w:rsid w:val="009851D5"/>
    <w:rsid w:val="00985283"/>
    <w:rsid w:val="00985CFB"/>
    <w:rsid w:val="00986343"/>
    <w:rsid w:val="00986537"/>
    <w:rsid w:val="0098682B"/>
    <w:rsid w:val="009868FE"/>
    <w:rsid w:val="00986CB3"/>
    <w:rsid w:val="00986D95"/>
    <w:rsid w:val="00987096"/>
    <w:rsid w:val="0098725C"/>
    <w:rsid w:val="00987487"/>
    <w:rsid w:val="0098779D"/>
    <w:rsid w:val="00987926"/>
    <w:rsid w:val="00987CEF"/>
    <w:rsid w:val="00987D4D"/>
    <w:rsid w:val="00987FD3"/>
    <w:rsid w:val="00990238"/>
    <w:rsid w:val="00990580"/>
    <w:rsid w:val="00990708"/>
    <w:rsid w:val="0099074B"/>
    <w:rsid w:val="00990FF0"/>
    <w:rsid w:val="00991087"/>
    <w:rsid w:val="0099151F"/>
    <w:rsid w:val="009917FF"/>
    <w:rsid w:val="009918AA"/>
    <w:rsid w:val="00991F66"/>
    <w:rsid w:val="00992014"/>
    <w:rsid w:val="00992054"/>
    <w:rsid w:val="009922CE"/>
    <w:rsid w:val="00992EBF"/>
    <w:rsid w:val="009930B9"/>
    <w:rsid w:val="00993659"/>
    <w:rsid w:val="00993837"/>
    <w:rsid w:val="00993D7D"/>
    <w:rsid w:val="00993E15"/>
    <w:rsid w:val="00993F4A"/>
    <w:rsid w:val="00994A54"/>
    <w:rsid w:val="00994E05"/>
    <w:rsid w:val="00995093"/>
    <w:rsid w:val="009950C3"/>
    <w:rsid w:val="0099520F"/>
    <w:rsid w:val="0099527B"/>
    <w:rsid w:val="00995477"/>
    <w:rsid w:val="009956BF"/>
    <w:rsid w:val="00995749"/>
    <w:rsid w:val="00995992"/>
    <w:rsid w:val="00995A60"/>
    <w:rsid w:val="00995AD4"/>
    <w:rsid w:val="00995F28"/>
    <w:rsid w:val="00995FD1"/>
    <w:rsid w:val="0099605B"/>
    <w:rsid w:val="00996231"/>
    <w:rsid w:val="00996295"/>
    <w:rsid w:val="009964A1"/>
    <w:rsid w:val="00996519"/>
    <w:rsid w:val="009965A2"/>
    <w:rsid w:val="009966B8"/>
    <w:rsid w:val="00996A5C"/>
    <w:rsid w:val="00996CDA"/>
    <w:rsid w:val="00997666"/>
    <w:rsid w:val="009977FF"/>
    <w:rsid w:val="00997A71"/>
    <w:rsid w:val="00997B8D"/>
    <w:rsid w:val="009A03E5"/>
    <w:rsid w:val="009A085C"/>
    <w:rsid w:val="009A0A56"/>
    <w:rsid w:val="009A0A90"/>
    <w:rsid w:val="009A0C46"/>
    <w:rsid w:val="009A0F3B"/>
    <w:rsid w:val="009A0F79"/>
    <w:rsid w:val="009A108C"/>
    <w:rsid w:val="009A11B9"/>
    <w:rsid w:val="009A1209"/>
    <w:rsid w:val="009A1369"/>
    <w:rsid w:val="009A1506"/>
    <w:rsid w:val="009A1548"/>
    <w:rsid w:val="009A16E9"/>
    <w:rsid w:val="009A18DB"/>
    <w:rsid w:val="009A19E8"/>
    <w:rsid w:val="009A1A2D"/>
    <w:rsid w:val="009A1AE1"/>
    <w:rsid w:val="009A1BB4"/>
    <w:rsid w:val="009A1E56"/>
    <w:rsid w:val="009A1FB8"/>
    <w:rsid w:val="009A20C1"/>
    <w:rsid w:val="009A2625"/>
    <w:rsid w:val="009A2628"/>
    <w:rsid w:val="009A27D8"/>
    <w:rsid w:val="009A2BD5"/>
    <w:rsid w:val="009A2CA8"/>
    <w:rsid w:val="009A3200"/>
    <w:rsid w:val="009A3233"/>
    <w:rsid w:val="009A3295"/>
    <w:rsid w:val="009A32B0"/>
    <w:rsid w:val="009A32CF"/>
    <w:rsid w:val="009A3517"/>
    <w:rsid w:val="009A364D"/>
    <w:rsid w:val="009A36E3"/>
    <w:rsid w:val="009A386B"/>
    <w:rsid w:val="009A3C30"/>
    <w:rsid w:val="009A3DF4"/>
    <w:rsid w:val="009A3E5F"/>
    <w:rsid w:val="009A3F44"/>
    <w:rsid w:val="009A3FC7"/>
    <w:rsid w:val="009A4040"/>
    <w:rsid w:val="009A462A"/>
    <w:rsid w:val="009A47AD"/>
    <w:rsid w:val="009A4921"/>
    <w:rsid w:val="009A4B36"/>
    <w:rsid w:val="009A4E5C"/>
    <w:rsid w:val="009A518A"/>
    <w:rsid w:val="009A524F"/>
    <w:rsid w:val="009A556A"/>
    <w:rsid w:val="009A5640"/>
    <w:rsid w:val="009A580D"/>
    <w:rsid w:val="009A589C"/>
    <w:rsid w:val="009A58A2"/>
    <w:rsid w:val="009A5F1D"/>
    <w:rsid w:val="009A6023"/>
    <w:rsid w:val="009A6176"/>
    <w:rsid w:val="009A64A7"/>
    <w:rsid w:val="009A664E"/>
    <w:rsid w:val="009A6815"/>
    <w:rsid w:val="009A6C0F"/>
    <w:rsid w:val="009A6C57"/>
    <w:rsid w:val="009A70C4"/>
    <w:rsid w:val="009A7104"/>
    <w:rsid w:val="009A7265"/>
    <w:rsid w:val="009A72CA"/>
    <w:rsid w:val="009A72E3"/>
    <w:rsid w:val="009A7846"/>
    <w:rsid w:val="009A7BF2"/>
    <w:rsid w:val="009A7D93"/>
    <w:rsid w:val="009B007B"/>
    <w:rsid w:val="009B03E6"/>
    <w:rsid w:val="009B07A1"/>
    <w:rsid w:val="009B0897"/>
    <w:rsid w:val="009B0ABB"/>
    <w:rsid w:val="009B0F1E"/>
    <w:rsid w:val="009B11B2"/>
    <w:rsid w:val="009B1330"/>
    <w:rsid w:val="009B143F"/>
    <w:rsid w:val="009B16FA"/>
    <w:rsid w:val="009B1B6D"/>
    <w:rsid w:val="009B1D26"/>
    <w:rsid w:val="009B2095"/>
    <w:rsid w:val="009B2153"/>
    <w:rsid w:val="009B21E0"/>
    <w:rsid w:val="009B22EB"/>
    <w:rsid w:val="009B24F0"/>
    <w:rsid w:val="009B2669"/>
    <w:rsid w:val="009B29EA"/>
    <w:rsid w:val="009B3033"/>
    <w:rsid w:val="009B30F4"/>
    <w:rsid w:val="009B3199"/>
    <w:rsid w:val="009B31B5"/>
    <w:rsid w:val="009B3406"/>
    <w:rsid w:val="009B3835"/>
    <w:rsid w:val="009B3C5C"/>
    <w:rsid w:val="009B417F"/>
    <w:rsid w:val="009B4684"/>
    <w:rsid w:val="009B4749"/>
    <w:rsid w:val="009B4925"/>
    <w:rsid w:val="009B4DB8"/>
    <w:rsid w:val="009B519C"/>
    <w:rsid w:val="009B56D2"/>
    <w:rsid w:val="009B5980"/>
    <w:rsid w:val="009B5D01"/>
    <w:rsid w:val="009B5D87"/>
    <w:rsid w:val="009B6350"/>
    <w:rsid w:val="009B63AB"/>
    <w:rsid w:val="009B654C"/>
    <w:rsid w:val="009B6906"/>
    <w:rsid w:val="009B6A6D"/>
    <w:rsid w:val="009B70A5"/>
    <w:rsid w:val="009B713A"/>
    <w:rsid w:val="009B71FF"/>
    <w:rsid w:val="009B7346"/>
    <w:rsid w:val="009B753C"/>
    <w:rsid w:val="009B7BB1"/>
    <w:rsid w:val="009B7BD9"/>
    <w:rsid w:val="009B7CC8"/>
    <w:rsid w:val="009B7D8C"/>
    <w:rsid w:val="009C005F"/>
    <w:rsid w:val="009C0092"/>
    <w:rsid w:val="009C02FD"/>
    <w:rsid w:val="009C0526"/>
    <w:rsid w:val="009C0596"/>
    <w:rsid w:val="009C076B"/>
    <w:rsid w:val="009C08A2"/>
    <w:rsid w:val="009C119B"/>
    <w:rsid w:val="009C1477"/>
    <w:rsid w:val="009C180F"/>
    <w:rsid w:val="009C1BE5"/>
    <w:rsid w:val="009C1DA2"/>
    <w:rsid w:val="009C1DF6"/>
    <w:rsid w:val="009C1E08"/>
    <w:rsid w:val="009C1FF5"/>
    <w:rsid w:val="009C2025"/>
    <w:rsid w:val="009C214A"/>
    <w:rsid w:val="009C24CE"/>
    <w:rsid w:val="009C31A0"/>
    <w:rsid w:val="009C355A"/>
    <w:rsid w:val="009C3811"/>
    <w:rsid w:val="009C3858"/>
    <w:rsid w:val="009C3CEF"/>
    <w:rsid w:val="009C3E65"/>
    <w:rsid w:val="009C4067"/>
    <w:rsid w:val="009C4268"/>
    <w:rsid w:val="009C44BF"/>
    <w:rsid w:val="009C48A1"/>
    <w:rsid w:val="009C48D9"/>
    <w:rsid w:val="009C49B4"/>
    <w:rsid w:val="009C49B7"/>
    <w:rsid w:val="009C4C1B"/>
    <w:rsid w:val="009C4E60"/>
    <w:rsid w:val="009C51ED"/>
    <w:rsid w:val="009C5476"/>
    <w:rsid w:val="009C552F"/>
    <w:rsid w:val="009C584D"/>
    <w:rsid w:val="009C5CD2"/>
    <w:rsid w:val="009C5CDA"/>
    <w:rsid w:val="009C5CEE"/>
    <w:rsid w:val="009C612A"/>
    <w:rsid w:val="009C61FB"/>
    <w:rsid w:val="009C6494"/>
    <w:rsid w:val="009C64AC"/>
    <w:rsid w:val="009C65C8"/>
    <w:rsid w:val="009C665C"/>
    <w:rsid w:val="009C6745"/>
    <w:rsid w:val="009C6910"/>
    <w:rsid w:val="009C6B8D"/>
    <w:rsid w:val="009C6BCF"/>
    <w:rsid w:val="009C6DBD"/>
    <w:rsid w:val="009C7207"/>
    <w:rsid w:val="009C7DD5"/>
    <w:rsid w:val="009D0D93"/>
    <w:rsid w:val="009D0DEE"/>
    <w:rsid w:val="009D0F57"/>
    <w:rsid w:val="009D11D8"/>
    <w:rsid w:val="009D19EE"/>
    <w:rsid w:val="009D1A4A"/>
    <w:rsid w:val="009D2194"/>
    <w:rsid w:val="009D22DF"/>
    <w:rsid w:val="009D2593"/>
    <w:rsid w:val="009D29A8"/>
    <w:rsid w:val="009D2A7F"/>
    <w:rsid w:val="009D2D95"/>
    <w:rsid w:val="009D2F7E"/>
    <w:rsid w:val="009D3201"/>
    <w:rsid w:val="009D3525"/>
    <w:rsid w:val="009D3582"/>
    <w:rsid w:val="009D38C0"/>
    <w:rsid w:val="009D390E"/>
    <w:rsid w:val="009D3A84"/>
    <w:rsid w:val="009D3D74"/>
    <w:rsid w:val="009D426E"/>
    <w:rsid w:val="009D443D"/>
    <w:rsid w:val="009D47FF"/>
    <w:rsid w:val="009D4CD3"/>
    <w:rsid w:val="009D4D35"/>
    <w:rsid w:val="009D52F6"/>
    <w:rsid w:val="009D5714"/>
    <w:rsid w:val="009D5968"/>
    <w:rsid w:val="009D5B51"/>
    <w:rsid w:val="009D5B73"/>
    <w:rsid w:val="009D5BA3"/>
    <w:rsid w:val="009D60CF"/>
    <w:rsid w:val="009D620A"/>
    <w:rsid w:val="009D638F"/>
    <w:rsid w:val="009D6527"/>
    <w:rsid w:val="009D68A3"/>
    <w:rsid w:val="009D69C0"/>
    <w:rsid w:val="009D6A64"/>
    <w:rsid w:val="009D6B82"/>
    <w:rsid w:val="009D6C88"/>
    <w:rsid w:val="009D6CA6"/>
    <w:rsid w:val="009D6CC4"/>
    <w:rsid w:val="009D6E30"/>
    <w:rsid w:val="009D74C4"/>
    <w:rsid w:val="009D7678"/>
    <w:rsid w:val="009D773C"/>
    <w:rsid w:val="009D78AC"/>
    <w:rsid w:val="009D798E"/>
    <w:rsid w:val="009D7AB7"/>
    <w:rsid w:val="009D7EEF"/>
    <w:rsid w:val="009E0322"/>
    <w:rsid w:val="009E1068"/>
    <w:rsid w:val="009E11E1"/>
    <w:rsid w:val="009E12A8"/>
    <w:rsid w:val="009E12F9"/>
    <w:rsid w:val="009E131C"/>
    <w:rsid w:val="009E1AAA"/>
    <w:rsid w:val="009E1D45"/>
    <w:rsid w:val="009E1D7B"/>
    <w:rsid w:val="009E1DFA"/>
    <w:rsid w:val="009E227D"/>
    <w:rsid w:val="009E2512"/>
    <w:rsid w:val="009E2960"/>
    <w:rsid w:val="009E2ABF"/>
    <w:rsid w:val="009E31F0"/>
    <w:rsid w:val="009E36DB"/>
    <w:rsid w:val="009E378D"/>
    <w:rsid w:val="009E38D1"/>
    <w:rsid w:val="009E3D55"/>
    <w:rsid w:val="009E41FA"/>
    <w:rsid w:val="009E426C"/>
    <w:rsid w:val="009E4A6F"/>
    <w:rsid w:val="009E4B2F"/>
    <w:rsid w:val="009E4D8F"/>
    <w:rsid w:val="009E5019"/>
    <w:rsid w:val="009E53A9"/>
    <w:rsid w:val="009E5440"/>
    <w:rsid w:val="009E5471"/>
    <w:rsid w:val="009E5588"/>
    <w:rsid w:val="009E5658"/>
    <w:rsid w:val="009E56DA"/>
    <w:rsid w:val="009E5820"/>
    <w:rsid w:val="009E61CA"/>
    <w:rsid w:val="009E682A"/>
    <w:rsid w:val="009E6844"/>
    <w:rsid w:val="009E6C21"/>
    <w:rsid w:val="009E6F57"/>
    <w:rsid w:val="009E6FA7"/>
    <w:rsid w:val="009E7038"/>
    <w:rsid w:val="009E7107"/>
    <w:rsid w:val="009E7491"/>
    <w:rsid w:val="009E7542"/>
    <w:rsid w:val="009E76C2"/>
    <w:rsid w:val="009E782C"/>
    <w:rsid w:val="009E79EC"/>
    <w:rsid w:val="009E7B66"/>
    <w:rsid w:val="009E7C00"/>
    <w:rsid w:val="009E7C3E"/>
    <w:rsid w:val="009E7EA9"/>
    <w:rsid w:val="009F0056"/>
    <w:rsid w:val="009F009C"/>
    <w:rsid w:val="009F01B5"/>
    <w:rsid w:val="009F02A0"/>
    <w:rsid w:val="009F0540"/>
    <w:rsid w:val="009F05C1"/>
    <w:rsid w:val="009F0861"/>
    <w:rsid w:val="009F0C36"/>
    <w:rsid w:val="009F0D17"/>
    <w:rsid w:val="009F10C4"/>
    <w:rsid w:val="009F1162"/>
    <w:rsid w:val="009F16D7"/>
    <w:rsid w:val="009F19B6"/>
    <w:rsid w:val="009F22F5"/>
    <w:rsid w:val="009F256E"/>
    <w:rsid w:val="009F27F3"/>
    <w:rsid w:val="009F29D4"/>
    <w:rsid w:val="009F2A74"/>
    <w:rsid w:val="009F2A83"/>
    <w:rsid w:val="009F2D83"/>
    <w:rsid w:val="009F2ED5"/>
    <w:rsid w:val="009F3091"/>
    <w:rsid w:val="009F340B"/>
    <w:rsid w:val="009F3464"/>
    <w:rsid w:val="009F3542"/>
    <w:rsid w:val="009F3AF7"/>
    <w:rsid w:val="009F4096"/>
    <w:rsid w:val="009F4129"/>
    <w:rsid w:val="009F4453"/>
    <w:rsid w:val="009F4515"/>
    <w:rsid w:val="009F459A"/>
    <w:rsid w:val="009F46D3"/>
    <w:rsid w:val="009F4BF2"/>
    <w:rsid w:val="009F4CB7"/>
    <w:rsid w:val="009F502A"/>
    <w:rsid w:val="009F559C"/>
    <w:rsid w:val="009F5A48"/>
    <w:rsid w:val="009F5CD1"/>
    <w:rsid w:val="009F6155"/>
    <w:rsid w:val="009F6372"/>
    <w:rsid w:val="009F648B"/>
    <w:rsid w:val="009F693A"/>
    <w:rsid w:val="009F6C86"/>
    <w:rsid w:val="009F6CE6"/>
    <w:rsid w:val="009F6D20"/>
    <w:rsid w:val="009F70BD"/>
    <w:rsid w:val="009F727E"/>
    <w:rsid w:val="009F7412"/>
    <w:rsid w:val="009F7489"/>
    <w:rsid w:val="009F7566"/>
    <w:rsid w:val="009F77C0"/>
    <w:rsid w:val="009F7B05"/>
    <w:rsid w:val="009F7B78"/>
    <w:rsid w:val="009F7C31"/>
    <w:rsid w:val="00A00004"/>
    <w:rsid w:val="00A00190"/>
    <w:rsid w:val="00A001F6"/>
    <w:rsid w:val="00A0043A"/>
    <w:rsid w:val="00A0065D"/>
    <w:rsid w:val="00A0095B"/>
    <w:rsid w:val="00A00A82"/>
    <w:rsid w:val="00A00C18"/>
    <w:rsid w:val="00A00DD3"/>
    <w:rsid w:val="00A00E1C"/>
    <w:rsid w:val="00A011CE"/>
    <w:rsid w:val="00A012F2"/>
    <w:rsid w:val="00A017CF"/>
    <w:rsid w:val="00A01859"/>
    <w:rsid w:val="00A018A3"/>
    <w:rsid w:val="00A01B88"/>
    <w:rsid w:val="00A01CA0"/>
    <w:rsid w:val="00A01EC6"/>
    <w:rsid w:val="00A02349"/>
    <w:rsid w:val="00A026EE"/>
    <w:rsid w:val="00A029A3"/>
    <w:rsid w:val="00A02AC5"/>
    <w:rsid w:val="00A02B59"/>
    <w:rsid w:val="00A02DF2"/>
    <w:rsid w:val="00A035E5"/>
    <w:rsid w:val="00A0360A"/>
    <w:rsid w:val="00A037AD"/>
    <w:rsid w:val="00A03A08"/>
    <w:rsid w:val="00A03BC4"/>
    <w:rsid w:val="00A03F2D"/>
    <w:rsid w:val="00A04026"/>
    <w:rsid w:val="00A040AB"/>
    <w:rsid w:val="00A04161"/>
    <w:rsid w:val="00A04664"/>
    <w:rsid w:val="00A0476C"/>
    <w:rsid w:val="00A04862"/>
    <w:rsid w:val="00A0489A"/>
    <w:rsid w:val="00A04E47"/>
    <w:rsid w:val="00A04F1B"/>
    <w:rsid w:val="00A0501B"/>
    <w:rsid w:val="00A0504F"/>
    <w:rsid w:val="00A054D6"/>
    <w:rsid w:val="00A05926"/>
    <w:rsid w:val="00A05C52"/>
    <w:rsid w:val="00A05E2E"/>
    <w:rsid w:val="00A060D1"/>
    <w:rsid w:val="00A06197"/>
    <w:rsid w:val="00A06482"/>
    <w:rsid w:val="00A0686E"/>
    <w:rsid w:val="00A06AF0"/>
    <w:rsid w:val="00A06BE1"/>
    <w:rsid w:val="00A07029"/>
    <w:rsid w:val="00A070E6"/>
    <w:rsid w:val="00A07274"/>
    <w:rsid w:val="00A072DC"/>
    <w:rsid w:val="00A07805"/>
    <w:rsid w:val="00A07C95"/>
    <w:rsid w:val="00A106CC"/>
    <w:rsid w:val="00A108C0"/>
    <w:rsid w:val="00A10CA2"/>
    <w:rsid w:val="00A10E87"/>
    <w:rsid w:val="00A11113"/>
    <w:rsid w:val="00A117C0"/>
    <w:rsid w:val="00A11E5C"/>
    <w:rsid w:val="00A12178"/>
    <w:rsid w:val="00A121BD"/>
    <w:rsid w:val="00A121F4"/>
    <w:rsid w:val="00A124FE"/>
    <w:rsid w:val="00A1284C"/>
    <w:rsid w:val="00A12E1C"/>
    <w:rsid w:val="00A130A3"/>
    <w:rsid w:val="00A13269"/>
    <w:rsid w:val="00A13784"/>
    <w:rsid w:val="00A139F4"/>
    <w:rsid w:val="00A13A6E"/>
    <w:rsid w:val="00A13ACC"/>
    <w:rsid w:val="00A13B7E"/>
    <w:rsid w:val="00A13D8A"/>
    <w:rsid w:val="00A13E84"/>
    <w:rsid w:val="00A140E4"/>
    <w:rsid w:val="00A1429F"/>
    <w:rsid w:val="00A146E4"/>
    <w:rsid w:val="00A1489D"/>
    <w:rsid w:val="00A14947"/>
    <w:rsid w:val="00A15127"/>
    <w:rsid w:val="00A1552A"/>
    <w:rsid w:val="00A15785"/>
    <w:rsid w:val="00A15B6D"/>
    <w:rsid w:val="00A16124"/>
    <w:rsid w:val="00A161C8"/>
    <w:rsid w:val="00A1681D"/>
    <w:rsid w:val="00A169C4"/>
    <w:rsid w:val="00A16A0D"/>
    <w:rsid w:val="00A16AB0"/>
    <w:rsid w:val="00A16B01"/>
    <w:rsid w:val="00A16C48"/>
    <w:rsid w:val="00A173C3"/>
    <w:rsid w:val="00A17661"/>
    <w:rsid w:val="00A17941"/>
    <w:rsid w:val="00A17BD2"/>
    <w:rsid w:val="00A17E7F"/>
    <w:rsid w:val="00A200F7"/>
    <w:rsid w:val="00A201F6"/>
    <w:rsid w:val="00A202C6"/>
    <w:rsid w:val="00A20334"/>
    <w:rsid w:val="00A203D9"/>
    <w:rsid w:val="00A209BA"/>
    <w:rsid w:val="00A20E23"/>
    <w:rsid w:val="00A2106F"/>
    <w:rsid w:val="00A21129"/>
    <w:rsid w:val="00A2113C"/>
    <w:rsid w:val="00A212D3"/>
    <w:rsid w:val="00A2153F"/>
    <w:rsid w:val="00A2173C"/>
    <w:rsid w:val="00A21838"/>
    <w:rsid w:val="00A219AD"/>
    <w:rsid w:val="00A219EC"/>
    <w:rsid w:val="00A21B2A"/>
    <w:rsid w:val="00A21D87"/>
    <w:rsid w:val="00A22385"/>
    <w:rsid w:val="00A2256D"/>
    <w:rsid w:val="00A225E0"/>
    <w:rsid w:val="00A22847"/>
    <w:rsid w:val="00A229A6"/>
    <w:rsid w:val="00A229FA"/>
    <w:rsid w:val="00A22D2C"/>
    <w:rsid w:val="00A22E72"/>
    <w:rsid w:val="00A2315E"/>
    <w:rsid w:val="00A23203"/>
    <w:rsid w:val="00A2339E"/>
    <w:rsid w:val="00A2383D"/>
    <w:rsid w:val="00A23FD1"/>
    <w:rsid w:val="00A240D8"/>
    <w:rsid w:val="00A2437D"/>
    <w:rsid w:val="00A24402"/>
    <w:rsid w:val="00A24622"/>
    <w:rsid w:val="00A24652"/>
    <w:rsid w:val="00A24A7C"/>
    <w:rsid w:val="00A24F5F"/>
    <w:rsid w:val="00A2506A"/>
    <w:rsid w:val="00A2516F"/>
    <w:rsid w:val="00A2564B"/>
    <w:rsid w:val="00A257AC"/>
    <w:rsid w:val="00A2597E"/>
    <w:rsid w:val="00A26000"/>
    <w:rsid w:val="00A26260"/>
    <w:rsid w:val="00A2675A"/>
    <w:rsid w:val="00A268CF"/>
    <w:rsid w:val="00A26A83"/>
    <w:rsid w:val="00A26B29"/>
    <w:rsid w:val="00A26B5B"/>
    <w:rsid w:val="00A26EBE"/>
    <w:rsid w:val="00A27195"/>
    <w:rsid w:val="00A2758D"/>
    <w:rsid w:val="00A27C31"/>
    <w:rsid w:val="00A30513"/>
    <w:rsid w:val="00A30A55"/>
    <w:rsid w:val="00A3115B"/>
    <w:rsid w:val="00A3141B"/>
    <w:rsid w:val="00A3146E"/>
    <w:rsid w:val="00A314EE"/>
    <w:rsid w:val="00A31E7C"/>
    <w:rsid w:val="00A31ED2"/>
    <w:rsid w:val="00A321A7"/>
    <w:rsid w:val="00A32479"/>
    <w:rsid w:val="00A324AC"/>
    <w:rsid w:val="00A324B9"/>
    <w:rsid w:val="00A3276D"/>
    <w:rsid w:val="00A32A83"/>
    <w:rsid w:val="00A32A9C"/>
    <w:rsid w:val="00A3369F"/>
    <w:rsid w:val="00A33956"/>
    <w:rsid w:val="00A339F4"/>
    <w:rsid w:val="00A33AEA"/>
    <w:rsid w:val="00A340E5"/>
    <w:rsid w:val="00A345E7"/>
    <w:rsid w:val="00A34643"/>
    <w:rsid w:val="00A34C28"/>
    <w:rsid w:val="00A34C54"/>
    <w:rsid w:val="00A34C80"/>
    <w:rsid w:val="00A34CF2"/>
    <w:rsid w:val="00A3501D"/>
    <w:rsid w:val="00A35275"/>
    <w:rsid w:val="00A355D1"/>
    <w:rsid w:val="00A35D65"/>
    <w:rsid w:val="00A35FE6"/>
    <w:rsid w:val="00A35FFC"/>
    <w:rsid w:val="00A3605B"/>
    <w:rsid w:val="00A3628E"/>
    <w:rsid w:val="00A362F6"/>
    <w:rsid w:val="00A36332"/>
    <w:rsid w:val="00A36457"/>
    <w:rsid w:val="00A36745"/>
    <w:rsid w:val="00A368DB"/>
    <w:rsid w:val="00A36E91"/>
    <w:rsid w:val="00A36F75"/>
    <w:rsid w:val="00A3710D"/>
    <w:rsid w:val="00A3749C"/>
    <w:rsid w:val="00A37AB5"/>
    <w:rsid w:val="00A37E8D"/>
    <w:rsid w:val="00A401A7"/>
    <w:rsid w:val="00A402A4"/>
    <w:rsid w:val="00A4057E"/>
    <w:rsid w:val="00A407D3"/>
    <w:rsid w:val="00A40AFD"/>
    <w:rsid w:val="00A40C10"/>
    <w:rsid w:val="00A41219"/>
    <w:rsid w:val="00A4191C"/>
    <w:rsid w:val="00A419AC"/>
    <w:rsid w:val="00A41E84"/>
    <w:rsid w:val="00A422CE"/>
    <w:rsid w:val="00A423AA"/>
    <w:rsid w:val="00A42499"/>
    <w:rsid w:val="00A4278A"/>
    <w:rsid w:val="00A428C4"/>
    <w:rsid w:val="00A42984"/>
    <w:rsid w:val="00A42BB7"/>
    <w:rsid w:val="00A42CF2"/>
    <w:rsid w:val="00A43058"/>
    <w:rsid w:val="00A43242"/>
    <w:rsid w:val="00A432E5"/>
    <w:rsid w:val="00A4368C"/>
    <w:rsid w:val="00A438D5"/>
    <w:rsid w:val="00A43F71"/>
    <w:rsid w:val="00A44287"/>
    <w:rsid w:val="00A443B0"/>
    <w:rsid w:val="00A446D8"/>
    <w:rsid w:val="00A44AB7"/>
    <w:rsid w:val="00A44D98"/>
    <w:rsid w:val="00A44F9D"/>
    <w:rsid w:val="00A45256"/>
    <w:rsid w:val="00A452F3"/>
    <w:rsid w:val="00A45475"/>
    <w:rsid w:val="00A45721"/>
    <w:rsid w:val="00A4576D"/>
    <w:rsid w:val="00A457DE"/>
    <w:rsid w:val="00A45824"/>
    <w:rsid w:val="00A45C69"/>
    <w:rsid w:val="00A45C86"/>
    <w:rsid w:val="00A461DF"/>
    <w:rsid w:val="00A467E3"/>
    <w:rsid w:val="00A4687B"/>
    <w:rsid w:val="00A468D0"/>
    <w:rsid w:val="00A46C08"/>
    <w:rsid w:val="00A46C23"/>
    <w:rsid w:val="00A4756D"/>
    <w:rsid w:val="00A47E79"/>
    <w:rsid w:val="00A50177"/>
    <w:rsid w:val="00A5051E"/>
    <w:rsid w:val="00A50B2E"/>
    <w:rsid w:val="00A50C16"/>
    <w:rsid w:val="00A50CB6"/>
    <w:rsid w:val="00A50E52"/>
    <w:rsid w:val="00A50F5D"/>
    <w:rsid w:val="00A50FD0"/>
    <w:rsid w:val="00A51423"/>
    <w:rsid w:val="00A514CD"/>
    <w:rsid w:val="00A51943"/>
    <w:rsid w:val="00A51A0B"/>
    <w:rsid w:val="00A51B09"/>
    <w:rsid w:val="00A52001"/>
    <w:rsid w:val="00A522BC"/>
    <w:rsid w:val="00A525A6"/>
    <w:rsid w:val="00A5265D"/>
    <w:rsid w:val="00A5269A"/>
    <w:rsid w:val="00A526ED"/>
    <w:rsid w:val="00A52ADA"/>
    <w:rsid w:val="00A52B42"/>
    <w:rsid w:val="00A52F54"/>
    <w:rsid w:val="00A52F97"/>
    <w:rsid w:val="00A53E9B"/>
    <w:rsid w:val="00A53EC6"/>
    <w:rsid w:val="00A54017"/>
    <w:rsid w:val="00A54F29"/>
    <w:rsid w:val="00A54F80"/>
    <w:rsid w:val="00A5559A"/>
    <w:rsid w:val="00A5589E"/>
    <w:rsid w:val="00A55AD6"/>
    <w:rsid w:val="00A55C0F"/>
    <w:rsid w:val="00A55E8F"/>
    <w:rsid w:val="00A55EA8"/>
    <w:rsid w:val="00A561EB"/>
    <w:rsid w:val="00A561EE"/>
    <w:rsid w:val="00A5670A"/>
    <w:rsid w:val="00A56AF6"/>
    <w:rsid w:val="00A56E46"/>
    <w:rsid w:val="00A571B5"/>
    <w:rsid w:val="00A574B1"/>
    <w:rsid w:val="00A575AC"/>
    <w:rsid w:val="00A575D0"/>
    <w:rsid w:val="00A57644"/>
    <w:rsid w:val="00A57784"/>
    <w:rsid w:val="00A57843"/>
    <w:rsid w:val="00A578DC"/>
    <w:rsid w:val="00A57989"/>
    <w:rsid w:val="00A57AD6"/>
    <w:rsid w:val="00A57FE8"/>
    <w:rsid w:val="00A600A6"/>
    <w:rsid w:val="00A6040E"/>
    <w:rsid w:val="00A609A8"/>
    <w:rsid w:val="00A60AC0"/>
    <w:rsid w:val="00A60AFE"/>
    <w:rsid w:val="00A60DC5"/>
    <w:rsid w:val="00A61562"/>
    <w:rsid w:val="00A616BC"/>
    <w:rsid w:val="00A616E6"/>
    <w:rsid w:val="00A617C8"/>
    <w:rsid w:val="00A61B76"/>
    <w:rsid w:val="00A61C43"/>
    <w:rsid w:val="00A62304"/>
    <w:rsid w:val="00A62554"/>
    <w:rsid w:val="00A62740"/>
    <w:rsid w:val="00A62CC0"/>
    <w:rsid w:val="00A63568"/>
    <w:rsid w:val="00A639BC"/>
    <w:rsid w:val="00A63CAB"/>
    <w:rsid w:val="00A64097"/>
    <w:rsid w:val="00A644BB"/>
    <w:rsid w:val="00A644DA"/>
    <w:rsid w:val="00A64A40"/>
    <w:rsid w:val="00A64FEB"/>
    <w:rsid w:val="00A65B99"/>
    <w:rsid w:val="00A65D3C"/>
    <w:rsid w:val="00A65EA9"/>
    <w:rsid w:val="00A6633B"/>
    <w:rsid w:val="00A66855"/>
    <w:rsid w:val="00A672B9"/>
    <w:rsid w:val="00A674A4"/>
    <w:rsid w:val="00A677D0"/>
    <w:rsid w:val="00A67C27"/>
    <w:rsid w:val="00A67CEF"/>
    <w:rsid w:val="00A67D13"/>
    <w:rsid w:val="00A67E2F"/>
    <w:rsid w:val="00A67E45"/>
    <w:rsid w:val="00A67ED2"/>
    <w:rsid w:val="00A70156"/>
    <w:rsid w:val="00A7027A"/>
    <w:rsid w:val="00A70A3B"/>
    <w:rsid w:val="00A70D46"/>
    <w:rsid w:val="00A70D9E"/>
    <w:rsid w:val="00A71994"/>
    <w:rsid w:val="00A71D47"/>
    <w:rsid w:val="00A72519"/>
    <w:rsid w:val="00A72561"/>
    <w:rsid w:val="00A72814"/>
    <w:rsid w:val="00A729B6"/>
    <w:rsid w:val="00A72D81"/>
    <w:rsid w:val="00A730F2"/>
    <w:rsid w:val="00A73284"/>
    <w:rsid w:val="00A73538"/>
    <w:rsid w:val="00A735C0"/>
    <w:rsid w:val="00A7365A"/>
    <w:rsid w:val="00A73BB1"/>
    <w:rsid w:val="00A73DB3"/>
    <w:rsid w:val="00A742AB"/>
    <w:rsid w:val="00A744F2"/>
    <w:rsid w:val="00A74B3B"/>
    <w:rsid w:val="00A75959"/>
    <w:rsid w:val="00A75D1B"/>
    <w:rsid w:val="00A75D59"/>
    <w:rsid w:val="00A762E4"/>
    <w:rsid w:val="00A763A6"/>
    <w:rsid w:val="00A763FE"/>
    <w:rsid w:val="00A76454"/>
    <w:rsid w:val="00A777EE"/>
    <w:rsid w:val="00A77CD0"/>
    <w:rsid w:val="00A77D9F"/>
    <w:rsid w:val="00A8066F"/>
    <w:rsid w:val="00A80690"/>
    <w:rsid w:val="00A807B9"/>
    <w:rsid w:val="00A80A5F"/>
    <w:rsid w:val="00A80C4C"/>
    <w:rsid w:val="00A80C5A"/>
    <w:rsid w:val="00A80C5C"/>
    <w:rsid w:val="00A80C87"/>
    <w:rsid w:val="00A80D24"/>
    <w:rsid w:val="00A80D4B"/>
    <w:rsid w:val="00A8109A"/>
    <w:rsid w:val="00A810BF"/>
    <w:rsid w:val="00A81459"/>
    <w:rsid w:val="00A81479"/>
    <w:rsid w:val="00A814D2"/>
    <w:rsid w:val="00A81B65"/>
    <w:rsid w:val="00A81C7B"/>
    <w:rsid w:val="00A81E1F"/>
    <w:rsid w:val="00A81F7A"/>
    <w:rsid w:val="00A8289F"/>
    <w:rsid w:val="00A82B0D"/>
    <w:rsid w:val="00A82BDC"/>
    <w:rsid w:val="00A8338E"/>
    <w:rsid w:val="00A8357C"/>
    <w:rsid w:val="00A83987"/>
    <w:rsid w:val="00A83B8B"/>
    <w:rsid w:val="00A83BF6"/>
    <w:rsid w:val="00A83C2F"/>
    <w:rsid w:val="00A83EA9"/>
    <w:rsid w:val="00A849B7"/>
    <w:rsid w:val="00A84DBB"/>
    <w:rsid w:val="00A85450"/>
    <w:rsid w:val="00A8594D"/>
    <w:rsid w:val="00A85A23"/>
    <w:rsid w:val="00A865CA"/>
    <w:rsid w:val="00A867A8"/>
    <w:rsid w:val="00A86AD9"/>
    <w:rsid w:val="00A86C51"/>
    <w:rsid w:val="00A86FF2"/>
    <w:rsid w:val="00A8713F"/>
    <w:rsid w:val="00A87467"/>
    <w:rsid w:val="00A87548"/>
    <w:rsid w:val="00A87566"/>
    <w:rsid w:val="00A875FE"/>
    <w:rsid w:val="00A877C9"/>
    <w:rsid w:val="00A87A44"/>
    <w:rsid w:val="00A87A58"/>
    <w:rsid w:val="00A87A73"/>
    <w:rsid w:val="00A87B25"/>
    <w:rsid w:val="00A87D52"/>
    <w:rsid w:val="00A87D92"/>
    <w:rsid w:val="00A87E90"/>
    <w:rsid w:val="00A87F1E"/>
    <w:rsid w:val="00A9041C"/>
    <w:rsid w:val="00A905FA"/>
    <w:rsid w:val="00A90609"/>
    <w:rsid w:val="00A90923"/>
    <w:rsid w:val="00A90BA1"/>
    <w:rsid w:val="00A90E99"/>
    <w:rsid w:val="00A90F1D"/>
    <w:rsid w:val="00A910A0"/>
    <w:rsid w:val="00A911A9"/>
    <w:rsid w:val="00A9127E"/>
    <w:rsid w:val="00A912BA"/>
    <w:rsid w:val="00A91447"/>
    <w:rsid w:val="00A91483"/>
    <w:rsid w:val="00A91BE2"/>
    <w:rsid w:val="00A91F00"/>
    <w:rsid w:val="00A91F5A"/>
    <w:rsid w:val="00A91FD2"/>
    <w:rsid w:val="00A92693"/>
    <w:rsid w:val="00A927BC"/>
    <w:rsid w:val="00A92828"/>
    <w:rsid w:val="00A92B0B"/>
    <w:rsid w:val="00A93308"/>
    <w:rsid w:val="00A93362"/>
    <w:rsid w:val="00A933F8"/>
    <w:rsid w:val="00A94115"/>
    <w:rsid w:val="00A942F1"/>
    <w:rsid w:val="00A9477D"/>
    <w:rsid w:val="00A9485B"/>
    <w:rsid w:val="00A94905"/>
    <w:rsid w:val="00A94DFD"/>
    <w:rsid w:val="00A94FA8"/>
    <w:rsid w:val="00A95212"/>
    <w:rsid w:val="00A957A1"/>
    <w:rsid w:val="00A959BF"/>
    <w:rsid w:val="00A95F5E"/>
    <w:rsid w:val="00A95FED"/>
    <w:rsid w:val="00A961CB"/>
    <w:rsid w:val="00A962D9"/>
    <w:rsid w:val="00A967AA"/>
    <w:rsid w:val="00A96832"/>
    <w:rsid w:val="00A96B8D"/>
    <w:rsid w:val="00A96D78"/>
    <w:rsid w:val="00A96EF6"/>
    <w:rsid w:val="00A97455"/>
    <w:rsid w:val="00A975B3"/>
    <w:rsid w:val="00A975CE"/>
    <w:rsid w:val="00A97752"/>
    <w:rsid w:val="00A978B2"/>
    <w:rsid w:val="00A979AA"/>
    <w:rsid w:val="00A979CB"/>
    <w:rsid w:val="00A97A9A"/>
    <w:rsid w:val="00A97A9F"/>
    <w:rsid w:val="00A97BBC"/>
    <w:rsid w:val="00A97EA3"/>
    <w:rsid w:val="00A97F55"/>
    <w:rsid w:val="00AA008A"/>
    <w:rsid w:val="00AA0671"/>
    <w:rsid w:val="00AA0708"/>
    <w:rsid w:val="00AA08A1"/>
    <w:rsid w:val="00AA098E"/>
    <w:rsid w:val="00AA099F"/>
    <w:rsid w:val="00AA0B14"/>
    <w:rsid w:val="00AA0D52"/>
    <w:rsid w:val="00AA1242"/>
    <w:rsid w:val="00AA1849"/>
    <w:rsid w:val="00AA1B91"/>
    <w:rsid w:val="00AA1F81"/>
    <w:rsid w:val="00AA2531"/>
    <w:rsid w:val="00AA261C"/>
    <w:rsid w:val="00AA2730"/>
    <w:rsid w:val="00AA2831"/>
    <w:rsid w:val="00AA2948"/>
    <w:rsid w:val="00AA2D29"/>
    <w:rsid w:val="00AA2FA0"/>
    <w:rsid w:val="00AA3271"/>
    <w:rsid w:val="00AA36D0"/>
    <w:rsid w:val="00AA3A65"/>
    <w:rsid w:val="00AA3FF0"/>
    <w:rsid w:val="00AA4083"/>
    <w:rsid w:val="00AA42F1"/>
    <w:rsid w:val="00AA432B"/>
    <w:rsid w:val="00AA433B"/>
    <w:rsid w:val="00AA47D9"/>
    <w:rsid w:val="00AA4967"/>
    <w:rsid w:val="00AA4AF8"/>
    <w:rsid w:val="00AA4C12"/>
    <w:rsid w:val="00AA4D47"/>
    <w:rsid w:val="00AA4DCE"/>
    <w:rsid w:val="00AA4E56"/>
    <w:rsid w:val="00AA50F4"/>
    <w:rsid w:val="00AA571D"/>
    <w:rsid w:val="00AA5870"/>
    <w:rsid w:val="00AA5919"/>
    <w:rsid w:val="00AA5E77"/>
    <w:rsid w:val="00AA620A"/>
    <w:rsid w:val="00AA6275"/>
    <w:rsid w:val="00AA66A5"/>
    <w:rsid w:val="00AA699F"/>
    <w:rsid w:val="00AA7198"/>
    <w:rsid w:val="00AA7633"/>
    <w:rsid w:val="00AA7688"/>
    <w:rsid w:val="00AA7987"/>
    <w:rsid w:val="00AA7A21"/>
    <w:rsid w:val="00AA7F32"/>
    <w:rsid w:val="00AA7FA1"/>
    <w:rsid w:val="00AB035A"/>
    <w:rsid w:val="00AB0648"/>
    <w:rsid w:val="00AB076F"/>
    <w:rsid w:val="00AB0947"/>
    <w:rsid w:val="00AB0B17"/>
    <w:rsid w:val="00AB0ECC"/>
    <w:rsid w:val="00AB10C4"/>
    <w:rsid w:val="00AB13B6"/>
    <w:rsid w:val="00AB13DF"/>
    <w:rsid w:val="00AB1579"/>
    <w:rsid w:val="00AB1978"/>
    <w:rsid w:val="00AB19F7"/>
    <w:rsid w:val="00AB1AF2"/>
    <w:rsid w:val="00AB1E09"/>
    <w:rsid w:val="00AB23CC"/>
    <w:rsid w:val="00AB28F7"/>
    <w:rsid w:val="00AB2C97"/>
    <w:rsid w:val="00AB2D26"/>
    <w:rsid w:val="00AB3579"/>
    <w:rsid w:val="00AB42AB"/>
    <w:rsid w:val="00AB44DD"/>
    <w:rsid w:val="00AB46BF"/>
    <w:rsid w:val="00AB49D4"/>
    <w:rsid w:val="00AB4BF0"/>
    <w:rsid w:val="00AB4E03"/>
    <w:rsid w:val="00AB5275"/>
    <w:rsid w:val="00AB527D"/>
    <w:rsid w:val="00AB52FD"/>
    <w:rsid w:val="00AB5330"/>
    <w:rsid w:val="00AB535C"/>
    <w:rsid w:val="00AB54FD"/>
    <w:rsid w:val="00AB55AE"/>
    <w:rsid w:val="00AB56B8"/>
    <w:rsid w:val="00AB5767"/>
    <w:rsid w:val="00AB57E4"/>
    <w:rsid w:val="00AB5C77"/>
    <w:rsid w:val="00AB61B6"/>
    <w:rsid w:val="00AB64B3"/>
    <w:rsid w:val="00AB651A"/>
    <w:rsid w:val="00AB6843"/>
    <w:rsid w:val="00AB68C4"/>
    <w:rsid w:val="00AB6975"/>
    <w:rsid w:val="00AB6C16"/>
    <w:rsid w:val="00AB6C71"/>
    <w:rsid w:val="00AB71DB"/>
    <w:rsid w:val="00AB7345"/>
    <w:rsid w:val="00AB7664"/>
    <w:rsid w:val="00AB76AA"/>
    <w:rsid w:val="00AB76D4"/>
    <w:rsid w:val="00AB770D"/>
    <w:rsid w:val="00AB7747"/>
    <w:rsid w:val="00AB77EC"/>
    <w:rsid w:val="00AB7D11"/>
    <w:rsid w:val="00AB7FED"/>
    <w:rsid w:val="00AC00E2"/>
    <w:rsid w:val="00AC02FB"/>
    <w:rsid w:val="00AC034A"/>
    <w:rsid w:val="00AC034E"/>
    <w:rsid w:val="00AC0649"/>
    <w:rsid w:val="00AC075C"/>
    <w:rsid w:val="00AC0770"/>
    <w:rsid w:val="00AC09E8"/>
    <w:rsid w:val="00AC0C27"/>
    <w:rsid w:val="00AC0D2D"/>
    <w:rsid w:val="00AC0E0D"/>
    <w:rsid w:val="00AC1191"/>
    <w:rsid w:val="00AC12B8"/>
    <w:rsid w:val="00AC14CE"/>
    <w:rsid w:val="00AC1640"/>
    <w:rsid w:val="00AC26D1"/>
    <w:rsid w:val="00AC27DB"/>
    <w:rsid w:val="00AC2A56"/>
    <w:rsid w:val="00AC2E68"/>
    <w:rsid w:val="00AC357C"/>
    <w:rsid w:val="00AC3812"/>
    <w:rsid w:val="00AC3864"/>
    <w:rsid w:val="00AC3CD6"/>
    <w:rsid w:val="00AC3D1B"/>
    <w:rsid w:val="00AC3F2B"/>
    <w:rsid w:val="00AC4517"/>
    <w:rsid w:val="00AC4649"/>
    <w:rsid w:val="00AC482C"/>
    <w:rsid w:val="00AC4BD5"/>
    <w:rsid w:val="00AC4C92"/>
    <w:rsid w:val="00AC4C9A"/>
    <w:rsid w:val="00AC4DF0"/>
    <w:rsid w:val="00AC4E46"/>
    <w:rsid w:val="00AC4F76"/>
    <w:rsid w:val="00AC52CC"/>
    <w:rsid w:val="00AC52D4"/>
    <w:rsid w:val="00AC5735"/>
    <w:rsid w:val="00AC5948"/>
    <w:rsid w:val="00AC5E0F"/>
    <w:rsid w:val="00AC61A3"/>
    <w:rsid w:val="00AC63A1"/>
    <w:rsid w:val="00AC6805"/>
    <w:rsid w:val="00AC6EE1"/>
    <w:rsid w:val="00AC6F51"/>
    <w:rsid w:val="00AC7238"/>
    <w:rsid w:val="00AC73C6"/>
    <w:rsid w:val="00AC770F"/>
    <w:rsid w:val="00AC7A44"/>
    <w:rsid w:val="00AD0326"/>
    <w:rsid w:val="00AD055E"/>
    <w:rsid w:val="00AD062E"/>
    <w:rsid w:val="00AD06FE"/>
    <w:rsid w:val="00AD08D6"/>
    <w:rsid w:val="00AD0CB5"/>
    <w:rsid w:val="00AD0D48"/>
    <w:rsid w:val="00AD0FE5"/>
    <w:rsid w:val="00AD1014"/>
    <w:rsid w:val="00AD11A7"/>
    <w:rsid w:val="00AD1456"/>
    <w:rsid w:val="00AD167B"/>
    <w:rsid w:val="00AD18B8"/>
    <w:rsid w:val="00AD1DAB"/>
    <w:rsid w:val="00AD2303"/>
    <w:rsid w:val="00AD2423"/>
    <w:rsid w:val="00AD2491"/>
    <w:rsid w:val="00AD2525"/>
    <w:rsid w:val="00AD253A"/>
    <w:rsid w:val="00AD2545"/>
    <w:rsid w:val="00AD2606"/>
    <w:rsid w:val="00AD2AEE"/>
    <w:rsid w:val="00AD2AF0"/>
    <w:rsid w:val="00AD3473"/>
    <w:rsid w:val="00AD357A"/>
    <w:rsid w:val="00AD3627"/>
    <w:rsid w:val="00AD3AF4"/>
    <w:rsid w:val="00AD3C83"/>
    <w:rsid w:val="00AD422C"/>
    <w:rsid w:val="00AD46A7"/>
    <w:rsid w:val="00AD47A7"/>
    <w:rsid w:val="00AD48A8"/>
    <w:rsid w:val="00AD516F"/>
    <w:rsid w:val="00AD5287"/>
    <w:rsid w:val="00AD57BF"/>
    <w:rsid w:val="00AD5D51"/>
    <w:rsid w:val="00AD5D93"/>
    <w:rsid w:val="00AD5DCB"/>
    <w:rsid w:val="00AD5FC3"/>
    <w:rsid w:val="00AD6732"/>
    <w:rsid w:val="00AD674B"/>
    <w:rsid w:val="00AD6B7A"/>
    <w:rsid w:val="00AD6E67"/>
    <w:rsid w:val="00AD70DA"/>
    <w:rsid w:val="00AD7171"/>
    <w:rsid w:val="00AD74AE"/>
    <w:rsid w:val="00AD7521"/>
    <w:rsid w:val="00AD7725"/>
    <w:rsid w:val="00AD7B67"/>
    <w:rsid w:val="00AE007C"/>
    <w:rsid w:val="00AE0216"/>
    <w:rsid w:val="00AE054C"/>
    <w:rsid w:val="00AE072B"/>
    <w:rsid w:val="00AE073E"/>
    <w:rsid w:val="00AE091F"/>
    <w:rsid w:val="00AE09CD"/>
    <w:rsid w:val="00AE0A54"/>
    <w:rsid w:val="00AE0B73"/>
    <w:rsid w:val="00AE0CFD"/>
    <w:rsid w:val="00AE0E16"/>
    <w:rsid w:val="00AE11C8"/>
    <w:rsid w:val="00AE12C7"/>
    <w:rsid w:val="00AE14F0"/>
    <w:rsid w:val="00AE16C8"/>
    <w:rsid w:val="00AE178D"/>
    <w:rsid w:val="00AE17B5"/>
    <w:rsid w:val="00AE1C4E"/>
    <w:rsid w:val="00AE1D86"/>
    <w:rsid w:val="00AE1FF1"/>
    <w:rsid w:val="00AE2181"/>
    <w:rsid w:val="00AE2280"/>
    <w:rsid w:val="00AE25B2"/>
    <w:rsid w:val="00AE25B6"/>
    <w:rsid w:val="00AE2790"/>
    <w:rsid w:val="00AE27D0"/>
    <w:rsid w:val="00AE2804"/>
    <w:rsid w:val="00AE2828"/>
    <w:rsid w:val="00AE2BC5"/>
    <w:rsid w:val="00AE3044"/>
    <w:rsid w:val="00AE33D3"/>
    <w:rsid w:val="00AE3441"/>
    <w:rsid w:val="00AE37B8"/>
    <w:rsid w:val="00AE41EC"/>
    <w:rsid w:val="00AE425A"/>
    <w:rsid w:val="00AE437A"/>
    <w:rsid w:val="00AE4486"/>
    <w:rsid w:val="00AE4556"/>
    <w:rsid w:val="00AE4951"/>
    <w:rsid w:val="00AE4961"/>
    <w:rsid w:val="00AE4FF3"/>
    <w:rsid w:val="00AE53E3"/>
    <w:rsid w:val="00AE5482"/>
    <w:rsid w:val="00AE5894"/>
    <w:rsid w:val="00AE5D87"/>
    <w:rsid w:val="00AE61A8"/>
    <w:rsid w:val="00AE63C6"/>
    <w:rsid w:val="00AE6816"/>
    <w:rsid w:val="00AE6AC6"/>
    <w:rsid w:val="00AE6BC1"/>
    <w:rsid w:val="00AE7A0F"/>
    <w:rsid w:val="00AE7B38"/>
    <w:rsid w:val="00AE7B66"/>
    <w:rsid w:val="00AF01FB"/>
    <w:rsid w:val="00AF0497"/>
    <w:rsid w:val="00AF0575"/>
    <w:rsid w:val="00AF0BEE"/>
    <w:rsid w:val="00AF0CBF"/>
    <w:rsid w:val="00AF0D02"/>
    <w:rsid w:val="00AF0F17"/>
    <w:rsid w:val="00AF0F71"/>
    <w:rsid w:val="00AF103B"/>
    <w:rsid w:val="00AF1400"/>
    <w:rsid w:val="00AF1E0D"/>
    <w:rsid w:val="00AF2024"/>
    <w:rsid w:val="00AF2254"/>
    <w:rsid w:val="00AF23D8"/>
    <w:rsid w:val="00AF23DB"/>
    <w:rsid w:val="00AF257F"/>
    <w:rsid w:val="00AF27C9"/>
    <w:rsid w:val="00AF2F44"/>
    <w:rsid w:val="00AF2FA6"/>
    <w:rsid w:val="00AF33CF"/>
    <w:rsid w:val="00AF389A"/>
    <w:rsid w:val="00AF3B0C"/>
    <w:rsid w:val="00AF3E21"/>
    <w:rsid w:val="00AF3F9E"/>
    <w:rsid w:val="00AF4101"/>
    <w:rsid w:val="00AF41A9"/>
    <w:rsid w:val="00AF421A"/>
    <w:rsid w:val="00AF4283"/>
    <w:rsid w:val="00AF437C"/>
    <w:rsid w:val="00AF4385"/>
    <w:rsid w:val="00AF44FE"/>
    <w:rsid w:val="00AF458D"/>
    <w:rsid w:val="00AF4671"/>
    <w:rsid w:val="00AF46B3"/>
    <w:rsid w:val="00AF4761"/>
    <w:rsid w:val="00AF4D50"/>
    <w:rsid w:val="00AF4EBA"/>
    <w:rsid w:val="00AF51B4"/>
    <w:rsid w:val="00AF54D8"/>
    <w:rsid w:val="00AF5966"/>
    <w:rsid w:val="00AF5BF8"/>
    <w:rsid w:val="00AF6179"/>
    <w:rsid w:val="00AF61E3"/>
    <w:rsid w:val="00AF62CC"/>
    <w:rsid w:val="00AF6712"/>
    <w:rsid w:val="00AF69C5"/>
    <w:rsid w:val="00AF6B54"/>
    <w:rsid w:val="00AF6C82"/>
    <w:rsid w:val="00AF6CB1"/>
    <w:rsid w:val="00AF6DF8"/>
    <w:rsid w:val="00AF7153"/>
    <w:rsid w:val="00AF7460"/>
    <w:rsid w:val="00AF782F"/>
    <w:rsid w:val="00AF787B"/>
    <w:rsid w:val="00AF7CB1"/>
    <w:rsid w:val="00AF7DD3"/>
    <w:rsid w:val="00AF7FEC"/>
    <w:rsid w:val="00B01114"/>
    <w:rsid w:val="00B01262"/>
    <w:rsid w:val="00B0148A"/>
    <w:rsid w:val="00B016CE"/>
    <w:rsid w:val="00B0178F"/>
    <w:rsid w:val="00B01FE6"/>
    <w:rsid w:val="00B021A9"/>
    <w:rsid w:val="00B0236A"/>
    <w:rsid w:val="00B023D1"/>
    <w:rsid w:val="00B02BB1"/>
    <w:rsid w:val="00B02D38"/>
    <w:rsid w:val="00B02D8B"/>
    <w:rsid w:val="00B02F34"/>
    <w:rsid w:val="00B0335C"/>
    <w:rsid w:val="00B03497"/>
    <w:rsid w:val="00B036A8"/>
    <w:rsid w:val="00B0399E"/>
    <w:rsid w:val="00B03D26"/>
    <w:rsid w:val="00B048EE"/>
    <w:rsid w:val="00B0491B"/>
    <w:rsid w:val="00B04A2A"/>
    <w:rsid w:val="00B04A2E"/>
    <w:rsid w:val="00B04DC7"/>
    <w:rsid w:val="00B050F1"/>
    <w:rsid w:val="00B05165"/>
    <w:rsid w:val="00B05172"/>
    <w:rsid w:val="00B05499"/>
    <w:rsid w:val="00B059F0"/>
    <w:rsid w:val="00B05C88"/>
    <w:rsid w:val="00B0600D"/>
    <w:rsid w:val="00B060B2"/>
    <w:rsid w:val="00B062BA"/>
    <w:rsid w:val="00B062BC"/>
    <w:rsid w:val="00B06423"/>
    <w:rsid w:val="00B06575"/>
    <w:rsid w:val="00B065F6"/>
    <w:rsid w:val="00B06E19"/>
    <w:rsid w:val="00B072B5"/>
    <w:rsid w:val="00B07402"/>
    <w:rsid w:val="00B074F5"/>
    <w:rsid w:val="00B078F4"/>
    <w:rsid w:val="00B07ABC"/>
    <w:rsid w:val="00B07B15"/>
    <w:rsid w:val="00B101FB"/>
    <w:rsid w:val="00B10531"/>
    <w:rsid w:val="00B10864"/>
    <w:rsid w:val="00B10F7C"/>
    <w:rsid w:val="00B10F91"/>
    <w:rsid w:val="00B11177"/>
    <w:rsid w:val="00B1130F"/>
    <w:rsid w:val="00B116D6"/>
    <w:rsid w:val="00B116FB"/>
    <w:rsid w:val="00B118DF"/>
    <w:rsid w:val="00B11BFC"/>
    <w:rsid w:val="00B11D90"/>
    <w:rsid w:val="00B11E2D"/>
    <w:rsid w:val="00B11F7C"/>
    <w:rsid w:val="00B12361"/>
    <w:rsid w:val="00B12562"/>
    <w:rsid w:val="00B12575"/>
    <w:rsid w:val="00B1295A"/>
    <w:rsid w:val="00B129C9"/>
    <w:rsid w:val="00B12AFC"/>
    <w:rsid w:val="00B12ED6"/>
    <w:rsid w:val="00B1304F"/>
    <w:rsid w:val="00B131AD"/>
    <w:rsid w:val="00B13725"/>
    <w:rsid w:val="00B13808"/>
    <w:rsid w:val="00B138B0"/>
    <w:rsid w:val="00B139D1"/>
    <w:rsid w:val="00B13AAC"/>
    <w:rsid w:val="00B13B6E"/>
    <w:rsid w:val="00B13F7E"/>
    <w:rsid w:val="00B14397"/>
    <w:rsid w:val="00B145B1"/>
    <w:rsid w:val="00B1460B"/>
    <w:rsid w:val="00B14980"/>
    <w:rsid w:val="00B14B82"/>
    <w:rsid w:val="00B14F3B"/>
    <w:rsid w:val="00B15393"/>
    <w:rsid w:val="00B153A8"/>
    <w:rsid w:val="00B1571C"/>
    <w:rsid w:val="00B15B21"/>
    <w:rsid w:val="00B15C0E"/>
    <w:rsid w:val="00B15D65"/>
    <w:rsid w:val="00B15EF4"/>
    <w:rsid w:val="00B16113"/>
    <w:rsid w:val="00B16118"/>
    <w:rsid w:val="00B16892"/>
    <w:rsid w:val="00B16BE8"/>
    <w:rsid w:val="00B16FF7"/>
    <w:rsid w:val="00B17D32"/>
    <w:rsid w:val="00B20226"/>
    <w:rsid w:val="00B20400"/>
    <w:rsid w:val="00B2055C"/>
    <w:rsid w:val="00B2059B"/>
    <w:rsid w:val="00B205DF"/>
    <w:rsid w:val="00B20642"/>
    <w:rsid w:val="00B20A45"/>
    <w:rsid w:val="00B20BF6"/>
    <w:rsid w:val="00B20CA2"/>
    <w:rsid w:val="00B20EF0"/>
    <w:rsid w:val="00B211F3"/>
    <w:rsid w:val="00B215D3"/>
    <w:rsid w:val="00B22575"/>
    <w:rsid w:val="00B225A4"/>
    <w:rsid w:val="00B225CA"/>
    <w:rsid w:val="00B226FC"/>
    <w:rsid w:val="00B227A0"/>
    <w:rsid w:val="00B22C5C"/>
    <w:rsid w:val="00B22DC1"/>
    <w:rsid w:val="00B23360"/>
    <w:rsid w:val="00B23770"/>
    <w:rsid w:val="00B23787"/>
    <w:rsid w:val="00B238D9"/>
    <w:rsid w:val="00B23C5E"/>
    <w:rsid w:val="00B249F0"/>
    <w:rsid w:val="00B24AEC"/>
    <w:rsid w:val="00B24C69"/>
    <w:rsid w:val="00B24CFD"/>
    <w:rsid w:val="00B24F30"/>
    <w:rsid w:val="00B25469"/>
    <w:rsid w:val="00B25976"/>
    <w:rsid w:val="00B25C85"/>
    <w:rsid w:val="00B25F2B"/>
    <w:rsid w:val="00B26301"/>
    <w:rsid w:val="00B2660D"/>
    <w:rsid w:val="00B269C0"/>
    <w:rsid w:val="00B26CF8"/>
    <w:rsid w:val="00B26F3A"/>
    <w:rsid w:val="00B272BB"/>
    <w:rsid w:val="00B27317"/>
    <w:rsid w:val="00B2795D"/>
    <w:rsid w:val="00B27985"/>
    <w:rsid w:val="00B27DB1"/>
    <w:rsid w:val="00B27ED5"/>
    <w:rsid w:val="00B3047E"/>
    <w:rsid w:val="00B30508"/>
    <w:rsid w:val="00B305DF"/>
    <w:rsid w:val="00B30740"/>
    <w:rsid w:val="00B30D38"/>
    <w:rsid w:val="00B3139B"/>
    <w:rsid w:val="00B313E3"/>
    <w:rsid w:val="00B316D5"/>
    <w:rsid w:val="00B3174D"/>
    <w:rsid w:val="00B3198E"/>
    <w:rsid w:val="00B31ABF"/>
    <w:rsid w:val="00B31C52"/>
    <w:rsid w:val="00B31E42"/>
    <w:rsid w:val="00B320D8"/>
    <w:rsid w:val="00B32201"/>
    <w:rsid w:val="00B32359"/>
    <w:rsid w:val="00B32B41"/>
    <w:rsid w:val="00B32C6E"/>
    <w:rsid w:val="00B32CB1"/>
    <w:rsid w:val="00B33294"/>
    <w:rsid w:val="00B333ED"/>
    <w:rsid w:val="00B3366E"/>
    <w:rsid w:val="00B33BE3"/>
    <w:rsid w:val="00B33F0B"/>
    <w:rsid w:val="00B33F7E"/>
    <w:rsid w:val="00B34436"/>
    <w:rsid w:val="00B34C53"/>
    <w:rsid w:val="00B34D7C"/>
    <w:rsid w:val="00B3558A"/>
    <w:rsid w:val="00B35874"/>
    <w:rsid w:val="00B35A19"/>
    <w:rsid w:val="00B35AC9"/>
    <w:rsid w:val="00B35C3A"/>
    <w:rsid w:val="00B35DB9"/>
    <w:rsid w:val="00B36057"/>
    <w:rsid w:val="00B3622F"/>
    <w:rsid w:val="00B365F0"/>
    <w:rsid w:val="00B36C86"/>
    <w:rsid w:val="00B37039"/>
    <w:rsid w:val="00B3728A"/>
    <w:rsid w:val="00B37518"/>
    <w:rsid w:val="00B37AF0"/>
    <w:rsid w:val="00B37C20"/>
    <w:rsid w:val="00B37D5C"/>
    <w:rsid w:val="00B37D81"/>
    <w:rsid w:val="00B4006B"/>
    <w:rsid w:val="00B4026E"/>
    <w:rsid w:val="00B402C7"/>
    <w:rsid w:val="00B4074A"/>
    <w:rsid w:val="00B4099A"/>
    <w:rsid w:val="00B40B3D"/>
    <w:rsid w:val="00B40BA4"/>
    <w:rsid w:val="00B40E44"/>
    <w:rsid w:val="00B40F8D"/>
    <w:rsid w:val="00B41022"/>
    <w:rsid w:val="00B41442"/>
    <w:rsid w:val="00B4179E"/>
    <w:rsid w:val="00B41B2D"/>
    <w:rsid w:val="00B41C72"/>
    <w:rsid w:val="00B41C81"/>
    <w:rsid w:val="00B41D53"/>
    <w:rsid w:val="00B41DD2"/>
    <w:rsid w:val="00B41E84"/>
    <w:rsid w:val="00B41EE3"/>
    <w:rsid w:val="00B41FA8"/>
    <w:rsid w:val="00B420DA"/>
    <w:rsid w:val="00B4244C"/>
    <w:rsid w:val="00B425AB"/>
    <w:rsid w:val="00B42883"/>
    <w:rsid w:val="00B4292E"/>
    <w:rsid w:val="00B4299F"/>
    <w:rsid w:val="00B42BE8"/>
    <w:rsid w:val="00B42E27"/>
    <w:rsid w:val="00B42ED0"/>
    <w:rsid w:val="00B4300F"/>
    <w:rsid w:val="00B432D5"/>
    <w:rsid w:val="00B4335F"/>
    <w:rsid w:val="00B43377"/>
    <w:rsid w:val="00B43AB2"/>
    <w:rsid w:val="00B43C1D"/>
    <w:rsid w:val="00B4408A"/>
    <w:rsid w:val="00B44279"/>
    <w:rsid w:val="00B442CA"/>
    <w:rsid w:val="00B4432D"/>
    <w:rsid w:val="00B44535"/>
    <w:rsid w:val="00B445A5"/>
    <w:rsid w:val="00B448F0"/>
    <w:rsid w:val="00B44AFB"/>
    <w:rsid w:val="00B44ECC"/>
    <w:rsid w:val="00B44F96"/>
    <w:rsid w:val="00B452A5"/>
    <w:rsid w:val="00B45742"/>
    <w:rsid w:val="00B45C72"/>
    <w:rsid w:val="00B45D28"/>
    <w:rsid w:val="00B463EF"/>
    <w:rsid w:val="00B46524"/>
    <w:rsid w:val="00B46915"/>
    <w:rsid w:val="00B4698A"/>
    <w:rsid w:val="00B46A16"/>
    <w:rsid w:val="00B46D76"/>
    <w:rsid w:val="00B46E48"/>
    <w:rsid w:val="00B47172"/>
    <w:rsid w:val="00B4740B"/>
    <w:rsid w:val="00B4743A"/>
    <w:rsid w:val="00B47724"/>
    <w:rsid w:val="00B47AA2"/>
    <w:rsid w:val="00B47C15"/>
    <w:rsid w:val="00B47E33"/>
    <w:rsid w:val="00B50286"/>
    <w:rsid w:val="00B505A6"/>
    <w:rsid w:val="00B50764"/>
    <w:rsid w:val="00B50994"/>
    <w:rsid w:val="00B509A9"/>
    <w:rsid w:val="00B50B5F"/>
    <w:rsid w:val="00B50C9A"/>
    <w:rsid w:val="00B50FA4"/>
    <w:rsid w:val="00B5119C"/>
    <w:rsid w:val="00B513A7"/>
    <w:rsid w:val="00B51428"/>
    <w:rsid w:val="00B5148A"/>
    <w:rsid w:val="00B5151E"/>
    <w:rsid w:val="00B51630"/>
    <w:rsid w:val="00B5170F"/>
    <w:rsid w:val="00B51841"/>
    <w:rsid w:val="00B51CEB"/>
    <w:rsid w:val="00B51DFB"/>
    <w:rsid w:val="00B51EF3"/>
    <w:rsid w:val="00B524BE"/>
    <w:rsid w:val="00B528C9"/>
    <w:rsid w:val="00B52943"/>
    <w:rsid w:val="00B52BD4"/>
    <w:rsid w:val="00B52F75"/>
    <w:rsid w:val="00B532CF"/>
    <w:rsid w:val="00B532D9"/>
    <w:rsid w:val="00B53535"/>
    <w:rsid w:val="00B537D3"/>
    <w:rsid w:val="00B5381D"/>
    <w:rsid w:val="00B53859"/>
    <w:rsid w:val="00B53B5D"/>
    <w:rsid w:val="00B54434"/>
    <w:rsid w:val="00B54539"/>
    <w:rsid w:val="00B545F6"/>
    <w:rsid w:val="00B54718"/>
    <w:rsid w:val="00B547C6"/>
    <w:rsid w:val="00B552C8"/>
    <w:rsid w:val="00B55364"/>
    <w:rsid w:val="00B553DD"/>
    <w:rsid w:val="00B5589E"/>
    <w:rsid w:val="00B55F49"/>
    <w:rsid w:val="00B56557"/>
    <w:rsid w:val="00B5679C"/>
    <w:rsid w:val="00B5681E"/>
    <w:rsid w:val="00B56849"/>
    <w:rsid w:val="00B56A61"/>
    <w:rsid w:val="00B56C0F"/>
    <w:rsid w:val="00B5733C"/>
    <w:rsid w:val="00B5754F"/>
    <w:rsid w:val="00B57569"/>
    <w:rsid w:val="00B575F6"/>
    <w:rsid w:val="00B57644"/>
    <w:rsid w:val="00B57DB8"/>
    <w:rsid w:val="00B60173"/>
    <w:rsid w:val="00B6017D"/>
    <w:rsid w:val="00B602DF"/>
    <w:rsid w:val="00B603CD"/>
    <w:rsid w:val="00B604F4"/>
    <w:rsid w:val="00B6055E"/>
    <w:rsid w:val="00B60AE7"/>
    <w:rsid w:val="00B60C67"/>
    <w:rsid w:val="00B60DD5"/>
    <w:rsid w:val="00B6110D"/>
    <w:rsid w:val="00B613CC"/>
    <w:rsid w:val="00B613E6"/>
    <w:rsid w:val="00B6170E"/>
    <w:rsid w:val="00B617BF"/>
    <w:rsid w:val="00B61C99"/>
    <w:rsid w:val="00B61DD3"/>
    <w:rsid w:val="00B61F63"/>
    <w:rsid w:val="00B61FF2"/>
    <w:rsid w:val="00B62217"/>
    <w:rsid w:val="00B6239C"/>
    <w:rsid w:val="00B62421"/>
    <w:rsid w:val="00B62521"/>
    <w:rsid w:val="00B62642"/>
    <w:rsid w:val="00B62967"/>
    <w:rsid w:val="00B62A07"/>
    <w:rsid w:val="00B62A9B"/>
    <w:rsid w:val="00B62C32"/>
    <w:rsid w:val="00B62F3A"/>
    <w:rsid w:val="00B63000"/>
    <w:rsid w:val="00B6317D"/>
    <w:rsid w:val="00B6358E"/>
    <w:rsid w:val="00B635ED"/>
    <w:rsid w:val="00B6369B"/>
    <w:rsid w:val="00B637B6"/>
    <w:rsid w:val="00B639AF"/>
    <w:rsid w:val="00B63A2C"/>
    <w:rsid w:val="00B64094"/>
    <w:rsid w:val="00B640F1"/>
    <w:rsid w:val="00B6440E"/>
    <w:rsid w:val="00B647E0"/>
    <w:rsid w:val="00B64DEA"/>
    <w:rsid w:val="00B65100"/>
    <w:rsid w:val="00B65894"/>
    <w:rsid w:val="00B659C1"/>
    <w:rsid w:val="00B659C8"/>
    <w:rsid w:val="00B65A5A"/>
    <w:rsid w:val="00B6642F"/>
    <w:rsid w:val="00B6670A"/>
    <w:rsid w:val="00B667C9"/>
    <w:rsid w:val="00B66854"/>
    <w:rsid w:val="00B669AA"/>
    <w:rsid w:val="00B66C81"/>
    <w:rsid w:val="00B66DF6"/>
    <w:rsid w:val="00B6704D"/>
    <w:rsid w:val="00B671B6"/>
    <w:rsid w:val="00B674DF"/>
    <w:rsid w:val="00B67676"/>
    <w:rsid w:val="00B67786"/>
    <w:rsid w:val="00B67B8D"/>
    <w:rsid w:val="00B67D51"/>
    <w:rsid w:val="00B67D76"/>
    <w:rsid w:val="00B67D90"/>
    <w:rsid w:val="00B70167"/>
    <w:rsid w:val="00B701AC"/>
    <w:rsid w:val="00B70667"/>
    <w:rsid w:val="00B70B6A"/>
    <w:rsid w:val="00B70C53"/>
    <w:rsid w:val="00B70EDF"/>
    <w:rsid w:val="00B710EB"/>
    <w:rsid w:val="00B711D8"/>
    <w:rsid w:val="00B71968"/>
    <w:rsid w:val="00B71AEC"/>
    <w:rsid w:val="00B71FA1"/>
    <w:rsid w:val="00B71FF2"/>
    <w:rsid w:val="00B7215E"/>
    <w:rsid w:val="00B7226C"/>
    <w:rsid w:val="00B7229B"/>
    <w:rsid w:val="00B722BC"/>
    <w:rsid w:val="00B72688"/>
    <w:rsid w:val="00B72D1A"/>
    <w:rsid w:val="00B72D3A"/>
    <w:rsid w:val="00B73039"/>
    <w:rsid w:val="00B73174"/>
    <w:rsid w:val="00B73584"/>
    <w:rsid w:val="00B7384D"/>
    <w:rsid w:val="00B73E8C"/>
    <w:rsid w:val="00B744FE"/>
    <w:rsid w:val="00B7450B"/>
    <w:rsid w:val="00B7492A"/>
    <w:rsid w:val="00B74D21"/>
    <w:rsid w:val="00B75490"/>
    <w:rsid w:val="00B75568"/>
    <w:rsid w:val="00B75CC1"/>
    <w:rsid w:val="00B76189"/>
    <w:rsid w:val="00B7623B"/>
    <w:rsid w:val="00B76840"/>
    <w:rsid w:val="00B76E07"/>
    <w:rsid w:val="00B76F27"/>
    <w:rsid w:val="00B7723F"/>
    <w:rsid w:val="00B7749F"/>
    <w:rsid w:val="00B7757C"/>
    <w:rsid w:val="00B775B3"/>
    <w:rsid w:val="00B77625"/>
    <w:rsid w:val="00B776B4"/>
    <w:rsid w:val="00B77725"/>
    <w:rsid w:val="00B778BE"/>
    <w:rsid w:val="00B7799B"/>
    <w:rsid w:val="00B77B9B"/>
    <w:rsid w:val="00B77C1C"/>
    <w:rsid w:val="00B77D53"/>
    <w:rsid w:val="00B77E9B"/>
    <w:rsid w:val="00B8011C"/>
    <w:rsid w:val="00B80534"/>
    <w:rsid w:val="00B8055C"/>
    <w:rsid w:val="00B8065E"/>
    <w:rsid w:val="00B806F6"/>
    <w:rsid w:val="00B80A39"/>
    <w:rsid w:val="00B80BDA"/>
    <w:rsid w:val="00B80F0A"/>
    <w:rsid w:val="00B81C9C"/>
    <w:rsid w:val="00B8210D"/>
    <w:rsid w:val="00B821F9"/>
    <w:rsid w:val="00B826D6"/>
    <w:rsid w:val="00B82F7E"/>
    <w:rsid w:val="00B82F82"/>
    <w:rsid w:val="00B83274"/>
    <w:rsid w:val="00B83319"/>
    <w:rsid w:val="00B8343B"/>
    <w:rsid w:val="00B83ECC"/>
    <w:rsid w:val="00B840BA"/>
    <w:rsid w:val="00B841CF"/>
    <w:rsid w:val="00B8433C"/>
    <w:rsid w:val="00B8492E"/>
    <w:rsid w:val="00B8496A"/>
    <w:rsid w:val="00B84AF2"/>
    <w:rsid w:val="00B84E90"/>
    <w:rsid w:val="00B85892"/>
    <w:rsid w:val="00B8589B"/>
    <w:rsid w:val="00B85902"/>
    <w:rsid w:val="00B85E29"/>
    <w:rsid w:val="00B86023"/>
    <w:rsid w:val="00B86333"/>
    <w:rsid w:val="00B86702"/>
    <w:rsid w:val="00B867D0"/>
    <w:rsid w:val="00B86805"/>
    <w:rsid w:val="00B868F8"/>
    <w:rsid w:val="00B86A42"/>
    <w:rsid w:val="00B86A49"/>
    <w:rsid w:val="00B86D56"/>
    <w:rsid w:val="00B86D80"/>
    <w:rsid w:val="00B86E39"/>
    <w:rsid w:val="00B870F5"/>
    <w:rsid w:val="00B8717A"/>
    <w:rsid w:val="00B873F8"/>
    <w:rsid w:val="00B87491"/>
    <w:rsid w:val="00B87519"/>
    <w:rsid w:val="00B87583"/>
    <w:rsid w:val="00B87BF0"/>
    <w:rsid w:val="00B87C1A"/>
    <w:rsid w:val="00B87FCD"/>
    <w:rsid w:val="00B87FCF"/>
    <w:rsid w:val="00B9019E"/>
    <w:rsid w:val="00B908BF"/>
    <w:rsid w:val="00B90B50"/>
    <w:rsid w:val="00B90C68"/>
    <w:rsid w:val="00B90EE9"/>
    <w:rsid w:val="00B91B3B"/>
    <w:rsid w:val="00B91E08"/>
    <w:rsid w:val="00B91E49"/>
    <w:rsid w:val="00B91FA3"/>
    <w:rsid w:val="00B9203C"/>
    <w:rsid w:val="00B9263E"/>
    <w:rsid w:val="00B926B1"/>
    <w:rsid w:val="00B92B50"/>
    <w:rsid w:val="00B92CB5"/>
    <w:rsid w:val="00B92EBE"/>
    <w:rsid w:val="00B92EED"/>
    <w:rsid w:val="00B92FDF"/>
    <w:rsid w:val="00B933F9"/>
    <w:rsid w:val="00B93501"/>
    <w:rsid w:val="00B93661"/>
    <w:rsid w:val="00B937A1"/>
    <w:rsid w:val="00B93811"/>
    <w:rsid w:val="00B9394D"/>
    <w:rsid w:val="00B93A35"/>
    <w:rsid w:val="00B93A49"/>
    <w:rsid w:val="00B93AF5"/>
    <w:rsid w:val="00B93BA9"/>
    <w:rsid w:val="00B93DB8"/>
    <w:rsid w:val="00B93EDA"/>
    <w:rsid w:val="00B945BE"/>
    <w:rsid w:val="00B94846"/>
    <w:rsid w:val="00B9486F"/>
    <w:rsid w:val="00B94A88"/>
    <w:rsid w:val="00B94E8F"/>
    <w:rsid w:val="00B94FCB"/>
    <w:rsid w:val="00B95031"/>
    <w:rsid w:val="00B950DD"/>
    <w:rsid w:val="00B9512E"/>
    <w:rsid w:val="00B95396"/>
    <w:rsid w:val="00B953C9"/>
    <w:rsid w:val="00B954B3"/>
    <w:rsid w:val="00B95639"/>
    <w:rsid w:val="00B956AD"/>
    <w:rsid w:val="00B9587F"/>
    <w:rsid w:val="00B95D09"/>
    <w:rsid w:val="00B96741"/>
    <w:rsid w:val="00B96855"/>
    <w:rsid w:val="00B968A4"/>
    <w:rsid w:val="00B96F42"/>
    <w:rsid w:val="00B972E4"/>
    <w:rsid w:val="00B97412"/>
    <w:rsid w:val="00B9741A"/>
    <w:rsid w:val="00B97795"/>
    <w:rsid w:val="00B977C4"/>
    <w:rsid w:val="00B97997"/>
    <w:rsid w:val="00B97AC8"/>
    <w:rsid w:val="00B97BB3"/>
    <w:rsid w:val="00BA041C"/>
    <w:rsid w:val="00BA0465"/>
    <w:rsid w:val="00BA0811"/>
    <w:rsid w:val="00BA0833"/>
    <w:rsid w:val="00BA0B0B"/>
    <w:rsid w:val="00BA0C5C"/>
    <w:rsid w:val="00BA0CF9"/>
    <w:rsid w:val="00BA0D25"/>
    <w:rsid w:val="00BA1225"/>
    <w:rsid w:val="00BA132B"/>
    <w:rsid w:val="00BA1DD4"/>
    <w:rsid w:val="00BA29E9"/>
    <w:rsid w:val="00BA2D51"/>
    <w:rsid w:val="00BA30BD"/>
    <w:rsid w:val="00BA333F"/>
    <w:rsid w:val="00BA359C"/>
    <w:rsid w:val="00BA3944"/>
    <w:rsid w:val="00BA3A3C"/>
    <w:rsid w:val="00BA418C"/>
    <w:rsid w:val="00BA460A"/>
    <w:rsid w:val="00BA4694"/>
    <w:rsid w:val="00BA49BD"/>
    <w:rsid w:val="00BA4C80"/>
    <w:rsid w:val="00BA4CB1"/>
    <w:rsid w:val="00BA4EA3"/>
    <w:rsid w:val="00BA5311"/>
    <w:rsid w:val="00BA538C"/>
    <w:rsid w:val="00BA54C4"/>
    <w:rsid w:val="00BA5592"/>
    <w:rsid w:val="00BA5A78"/>
    <w:rsid w:val="00BA5C85"/>
    <w:rsid w:val="00BA616B"/>
    <w:rsid w:val="00BA642B"/>
    <w:rsid w:val="00BA6612"/>
    <w:rsid w:val="00BA6BA5"/>
    <w:rsid w:val="00BA6C28"/>
    <w:rsid w:val="00BA6F89"/>
    <w:rsid w:val="00BA7142"/>
    <w:rsid w:val="00BA71B0"/>
    <w:rsid w:val="00BA7381"/>
    <w:rsid w:val="00BA749F"/>
    <w:rsid w:val="00BA74DC"/>
    <w:rsid w:val="00BA78C4"/>
    <w:rsid w:val="00BA7BAB"/>
    <w:rsid w:val="00BA7F86"/>
    <w:rsid w:val="00BB00DD"/>
    <w:rsid w:val="00BB0808"/>
    <w:rsid w:val="00BB0939"/>
    <w:rsid w:val="00BB0A1F"/>
    <w:rsid w:val="00BB0A65"/>
    <w:rsid w:val="00BB0A93"/>
    <w:rsid w:val="00BB0C07"/>
    <w:rsid w:val="00BB0DA8"/>
    <w:rsid w:val="00BB140F"/>
    <w:rsid w:val="00BB1737"/>
    <w:rsid w:val="00BB17F3"/>
    <w:rsid w:val="00BB1D11"/>
    <w:rsid w:val="00BB1D7E"/>
    <w:rsid w:val="00BB1E31"/>
    <w:rsid w:val="00BB204D"/>
    <w:rsid w:val="00BB237C"/>
    <w:rsid w:val="00BB251C"/>
    <w:rsid w:val="00BB268B"/>
    <w:rsid w:val="00BB277E"/>
    <w:rsid w:val="00BB283E"/>
    <w:rsid w:val="00BB2863"/>
    <w:rsid w:val="00BB291E"/>
    <w:rsid w:val="00BB2C11"/>
    <w:rsid w:val="00BB2E53"/>
    <w:rsid w:val="00BB2EF9"/>
    <w:rsid w:val="00BB2F35"/>
    <w:rsid w:val="00BB34E0"/>
    <w:rsid w:val="00BB3735"/>
    <w:rsid w:val="00BB379D"/>
    <w:rsid w:val="00BB3EEF"/>
    <w:rsid w:val="00BB41A3"/>
    <w:rsid w:val="00BB42C1"/>
    <w:rsid w:val="00BB4455"/>
    <w:rsid w:val="00BB488E"/>
    <w:rsid w:val="00BB50DB"/>
    <w:rsid w:val="00BB5266"/>
    <w:rsid w:val="00BB59E3"/>
    <w:rsid w:val="00BB5A75"/>
    <w:rsid w:val="00BB5EE7"/>
    <w:rsid w:val="00BB6197"/>
    <w:rsid w:val="00BB6343"/>
    <w:rsid w:val="00BB6374"/>
    <w:rsid w:val="00BB6744"/>
    <w:rsid w:val="00BB6951"/>
    <w:rsid w:val="00BB6989"/>
    <w:rsid w:val="00BB6B64"/>
    <w:rsid w:val="00BB6C1B"/>
    <w:rsid w:val="00BB6FD2"/>
    <w:rsid w:val="00BB7117"/>
    <w:rsid w:val="00BB7456"/>
    <w:rsid w:val="00BB7529"/>
    <w:rsid w:val="00BB76AC"/>
    <w:rsid w:val="00BB7B75"/>
    <w:rsid w:val="00BC00A9"/>
    <w:rsid w:val="00BC00E5"/>
    <w:rsid w:val="00BC0433"/>
    <w:rsid w:val="00BC04F1"/>
    <w:rsid w:val="00BC0871"/>
    <w:rsid w:val="00BC0C63"/>
    <w:rsid w:val="00BC131D"/>
    <w:rsid w:val="00BC1422"/>
    <w:rsid w:val="00BC16A3"/>
    <w:rsid w:val="00BC1939"/>
    <w:rsid w:val="00BC1AD4"/>
    <w:rsid w:val="00BC1D3A"/>
    <w:rsid w:val="00BC1D43"/>
    <w:rsid w:val="00BC1DAB"/>
    <w:rsid w:val="00BC20BB"/>
    <w:rsid w:val="00BC21D8"/>
    <w:rsid w:val="00BC245D"/>
    <w:rsid w:val="00BC2554"/>
    <w:rsid w:val="00BC2560"/>
    <w:rsid w:val="00BC256F"/>
    <w:rsid w:val="00BC263A"/>
    <w:rsid w:val="00BC2A66"/>
    <w:rsid w:val="00BC2AF4"/>
    <w:rsid w:val="00BC2C1B"/>
    <w:rsid w:val="00BC2DFF"/>
    <w:rsid w:val="00BC3228"/>
    <w:rsid w:val="00BC3233"/>
    <w:rsid w:val="00BC32DC"/>
    <w:rsid w:val="00BC3428"/>
    <w:rsid w:val="00BC34F6"/>
    <w:rsid w:val="00BC35A7"/>
    <w:rsid w:val="00BC35B6"/>
    <w:rsid w:val="00BC35DF"/>
    <w:rsid w:val="00BC36BC"/>
    <w:rsid w:val="00BC38D3"/>
    <w:rsid w:val="00BC3A4A"/>
    <w:rsid w:val="00BC4323"/>
    <w:rsid w:val="00BC44E8"/>
    <w:rsid w:val="00BC4F18"/>
    <w:rsid w:val="00BC50C7"/>
    <w:rsid w:val="00BC51E6"/>
    <w:rsid w:val="00BC5848"/>
    <w:rsid w:val="00BC586D"/>
    <w:rsid w:val="00BC5998"/>
    <w:rsid w:val="00BC5BEB"/>
    <w:rsid w:val="00BC5D8A"/>
    <w:rsid w:val="00BC5E99"/>
    <w:rsid w:val="00BC5F03"/>
    <w:rsid w:val="00BC6394"/>
    <w:rsid w:val="00BC6668"/>
    <w:rsid w:val="00BC6FE4"/>
    <w:rsid w:val="00BC71F9"/>
    <w:rsid w:val="00BC74DA"/>
    <w:rsid w:val="00BC74FE"/>
    <w:rsid w:val="00BC754A"/>
    <w:rsid w:val="00BC7597"/>
    <w:rsid w:val="00BC7743"/>
    <w:rsid w:val="00BC778A"/>
    <w:rsid w:val="00BC7B1F"/>
    <w:rsid w:val="00BC7E65"/>
    <w:rsid w:val="00BD0B50"/>
    <w:rsid w:val="00BD11AD"/>
    <w:rsid w:val="00BD11B4"/>
    <w:rsid w:val="00BD15E1"/>
    <w:rsid w:val="00BD178A"/>
    <w:rsid w:val="00BD17A8"/>
    <w:rsid w:val="00BD17D9"/>
    <w:rsid w:val="00BD1807"/>
    <w:rsid w:val="00BD1B51"/>
    <w:rsid w:val="00BD1B53"/>
    <w:rsid w:val="00BD20CB"/>
    <w:rsid w:val="00BD21E7"/>
    <w:rsid w:val="00BD22E3"/>
    <w:rsid w:val="00BD2EC7"/>
    <w:rsid w:val="00BD2EE7"/>
    <w:rsid w:val="00BD30A8"/>
    <w:rsid w:val="00BD3174"/>
    <w:rsid w:val="00BD32AC"/>
    <w:rsid w:val="00BD34F7"/>
    <w:rsid w:val="00BD3671"/>
    <w:rsid w:val="00BD390C"/>
    <w:rsid w:val="00BD3D0F"/>
    <w:rsid w:val="00BD3E4B"/>
    <w:rsid w:val="00BD4097"/>
    <w:rsid w:val="00BD40E6"/>
    <w:rsid w:val="00BD41EE"/>
    <w:rsid w:val="00BD4596"/>
    <w:rsid w:val="00BD45DD"/>
    <w:rsid w:val="00BD576A"/>
    <w:rsid w:val="00BD57E5"/>
    <w:rsid w:val="00BD58B9"/>
    <w:rsid w:val="00BD5DFC"/>
    <w:rsid w:val="00BD5E3E"/>
    <w:rsid w:val="00BD6772"/>
    <w:rsid w:val="00BD6E7B"/>
    <w:rsid w:val="00BD7840"/>
    <w:rsid w:val="00BD78BF"/>
    <w:rsid w:val="00BD78C0"/>
    <w:rsid w:val="00BD79D1"/>
    <w:rsid w:val="00BD7C01"/>
    <w:rsid w:val="00BD7D9D"/>
    <w:rsid w:val="00BD7E96"/>
    <w:rsid w:val="00BD7F52"/>
    <w:rsid w:val="00BE00C2"/>
    <w:rsid w:val="00BE0673"/>
    <w:rsid w:val="00BE07CB"/>
    <w:rsid w:val="00BE0841"/>
    <w:rsid w:val="00BE0AA4"/>
    <w:rsid w:val="00BE0C07"/>
    <w:rsid w:val="00BE0DAE"/>
    <w:rsid w:val="00BE0F32"/>
    <w:rsid w:val="00BE12B9"/>
    <w:rsid w:val="00BE1405"/>
    <w:rsid w:val="00BE15F2"/>
    <w:rsid w:val="00BE1637"/>
    <w:rsid w:val="00BE16B1"/>
    <w:rsid w:val="00BE1ACF"/>
    <w:rsid w:val="00BE21C8"/>
    <w:rsid w:val="00BE27AF"/>
    <w:rsid w:val="00BE2A5C"/>
    <w:rsid w:val="00BE2EC7"/>
    <w:rsid w:val="00BE3012"/>
    <w:rsid w:val="00BE312D"/>
    <w:rsid w:val="00BE317A"/>
    <w:rsid w:val="00BE344F"/>
    <w:rsid w:val="00BE3726"/>
    <w:rsid w:val="00BE3E1E"/>
    <w:rsid w:val="00BE41E1"/>
    <w:rsid w:val="00BE4314"/>
    <w:rsid w:val="00BE43C2"/>
    <w:rsid w:val="00BE53A6"/>
    <w:rsid w:val="00BE54DD"/>
    <w:rsid w:val="00BE5551"/>
    <w:rsid w:val="00BE614B"/>
    <w:rsid w:val="00BE647E"/>
    <w:rsid w:val="00BE68B9"/>
    <w:rsid w:val="00BE6F37"/>
    <w:rsid w:val="00BE7344"/>
    <w:rsid w:val="00BE73AA"/>
    <w:rsid w:val="00BE7579"/>
    <w:rsid w:val="00BF068A"/>
    <w:rsid w:val="00BF0D7E"/>
    <w:rsid w:val="00BF0E51"/>
    <w:rsid w:val="00BF0EF8"/>
    <w:rsid w:val="00BF0F5B"/>
    <w:rsid w:val="00BF168A"/>
    <w:rsid w:val="00BF18AA"/>
    <w:rsid w:val="00BF1AA9"/>
    <w:rsid w:val="00BF1C20"/>
    <w:rsid w:val="00BF1C6D"/>
    <w:rsid w:val="00BF1E52"/>
    <w:rsid w:val="00BF1FD3"/>
    <w:rsid w:val="00BF2047"/>
    <w:rsid w:val="00BF20FC"/>
    <w:rsid w:val="00BF246A"/>
    <w:rsid w:val="00BF251E"/>
    <w:rsid w:val="00BF340B"/>
    <w:rsid w:val="00BF36D9"/>
    <w:rsid w:val="00BF3722"/>
    <w:rsid w:val="00BF3857"/>
    <w:rsid w:val="00BF3B69"/>
    <w:rsid w:val="00BF3E66"/>
    <w:rsid w:val="00BF3F35"/>
    <w:rsid w:val="00BF46C0"/>
    <w:rsid w:val="00BF49AA"/>
    <w:rsid w:val="00BF4A33"/>
    <w:rsid w:val="00BF4B51"/>
    <w:rsid w:val="00BF4C4C"/>
    <w:rsid w:val="00BF4E0C"/>
    <w:rsid w:val="00BF5288"/>
    <w:rsid w:val="00BF5517"/>
    <w:rsid w:val="00BF5779"/>
    <w:rsid w:val="00BF57F1"/>
    <w:rsid w:val="00BF583E"/>
    <w:rsid w:val="00BF5842"/>
    <w:rsid w:val="00BF5886"/>
    <w:rsid w:val="00BF5AE7"/>
    <w:rsid w:val="00BF5B6D"/>
    <w:rsid w:val="00BF5BC4"/>
    <w:rsid w:val="00BF5C9E"/>
    <w:rsid w:val="00BF62F1"/>
    <w:rsid w:val="00BF6451"/>
    <w:rsid w:val="00BF653C"/>
    <w:rsid w:val="00BF6721"/>
    <w:rsid w:val="00BF681D"/>
    <w:rsid w:val="00BF6AB2"/>
    <w:rsid w:val="00BF704B"/>
    <w:rsid w:val="00BF77EF"/>
    <w:rsid w:val="00BF783A"/>
    <w:rsid w:val="00BF7AE9"/>
    <w:rsid w:val="00BF7CB2"/>
    <w:rsid w:val="00BF7F28"/>
    <w:rsid w:val="00BF7F38"/>
    <w:rsid w:val="00C0049E"/>
    <w:rsid w:val="00C00E53"/>
    <w:rsid w:val="00C00FF2"/>
    <w:rsid w:val="00C01165"/>
    <w:rsid w:val="00C012EA"/>
    <w:rsid w:val="00C014CE"/>
    <w:rsid w:val="00C016AF"/>
    <w:rsid w:val="00C01747"/>
    <w:rsid w:val="00C01B86"/>
    <w:rsid w:val="00C01F99"/>
    <w:rsid w:val="00C021BF"/>
    <w:rsid w:val="00C021FC"/>
    <w:rsid w:val="00C02213"/>
    <w:rsid w:val="00C022E4"/>
    <w:rsid w:val="00C0230D"/>
    <w:rsid w:val="00C027D9"/>
    <w:rsid w:val="00C029A9"/>
    <w:rsid w:val="00C02A6E"/>
    <w:rsid w:val="00C02B1C"/>
    <w:rsid w:val="00C02D2B"/>
    <w:rsid w:val="00C02DEA"/>
    <w:rsid w:val="00C031EE"/>
    <w:rsid w:val="00C03355"/>
    <w:rsid w:val="00C03686"/>
    <w:rsid w:val="00C039CC"/>
    <w:rsid w:val="00C03A19"/>
    <w:rsid w:val="00C03EA8"/>
    <w:rsid w:val="00C042EA"/>
    <w:rsid w:val="00C043D2"/>
    <w:rsid w:val="00C0441C"/>
    <w:rsid w:val="00C04A3A"/>
    <w:rsid w:val="00C04EA3"/>
    <w:rsid w:val="00C04F04"/>
    <w:rsid w:val="00C052B0"/>
    <w:rsid w:val="00C052BC"/>
    <w:rsid w:val="00C052DB"/>
    <w:rsid w:val="00C053F7"/>
    <w:rsid w:val="00C05588"/>
    <w:rsid w:val="00C055AC"/>
    <w:rsid w:val="00C05B2C"/>
    <w:rsid w:val="00C05E35"/>
    <w:rsid w:val="00C05EED"/>
    <w:rsid w:val="00C06040"/>
    <w:rsid w:val="00C0604E"/>
    <w:rsid w:val="00C06545"/>
    <w:rsid w:val="00C0696F"/>
    <w:rsid w:val="00C069EC"/>
    <w:rsid w:val="00C07DF9"/>
    <w:rsid w:val="00C10049"/>
    <w:rsid w:val="00C10578"/>
    <w:rsid w:val="00C105AD"/>
    <w:rsid w:val="00C1095E"/>
    <w:rsid w:val="00C109F5"/>
    <w:rsid w:val="00C10BED"/>
    <w:rsid w:val="00C10CCB"/>
    <w:rsid w:val="00C10D7E"/>
    <w:rsid w:val="00C10ED2"/>
    <w:rsid w:val="00C110AE"/>
    <w:rsid w:val="00C11152"/>
    <w:rsid w:val="00C111EF"/>
    <w:rsid w:val="00C112BB"/>
    <w:rsid w:val="00C1181D"/>
    <w:rsid w:val="00C11855"/>
    <w:rsid w:val="00C11D4A"/>
    <w:rsid w:val="00C11D9E"/>
    <w:rsid w:val="00C124D9"/>
    <w:rsid w:val="00C12557"/>
    <w:rsid w:val="00C128D7"/>
    <w:rsid w:val="00C128D9"/>
    <w:rsid w:val="00C12DAB"/>
    <w:rsid w:val="00C12DEF"/>
    <w:rsid w:val="00C12ECE"/>
    <w:rsid w:val="00C13021"/>
    <w:rsid w:val="00C1337A"/>
    <w:rsid w:val="00C135BC"/>
    <w:rsid w:val="00C13A02"/>
    <w:rsid w:val="00C13EA9"/>
    <w:rsid w:val="00C14B6D"/>
    <w:rsid w:val="00C14FA9"/>
    <w:rsid w:val="00C15172"/>
    <w:rsid w:val="00C1527A"/>
    <w:rsid w:val="00C15421"/>
    <w:rsid w:val="00C157B8"/>
    <w:rsid w:val="00C158A3"/>
    <w:rsid w:val="00C158E4"/>
    <w:rsid w:val="00C15C95"/>
    <w:rsid w:val="00C16022"/>
    <w:rsid w:val="00C1642F"/>
    <w:rsid w:val="00C16848"/>
    <w:rsid w:val="00C174F0"/>
    <w:rsid w:val="00C17505"/>
    <w:rsid w:val="00C1781C"/>
    <w:rsid w:val="00C17E3A"/>
    <w:rsid w:val="00C17F17"/>
    <w:rsid w:val="00C17F74"/>
    <w:rsid w:val="00C20124"/>
    <w:rsid w:val="00C20159"/>
    <w:rsid w:val="00C20471"/>
    <w:rsid w:val="00C204DD"/>
    <w:rsid w:val="00C2078D"/>
    <w:rsid w:val="00C2096B"/>
    <w:rsid w:val="00C20EDD"/>
    <w:rsid w:val="00C21282"/>
    <w:rsid w:val="00C21363"/>
    <w:rsid w:val="00C21369"/>
    <w:rsid w:val="00C21686"/>
    <w:rsid w:val="00C21853"/>
    <w:rsid w:val="00C21B24"/>
    <w:rsid w:val="00C21EF1"/>
    <w:rsid w:val="00C2241E"/>
    <w:rsid w:val="00C2263F"/>
    <w:rsid w:val="00C22893"/>
    <w:rsid w:val="00C22A44"/>
    <w:rsid w:val="00C22A5A"/>
    <w:rsid w:val="00C2308A"/>
    <w:rsid w:val="00C2319B"/>
    <w:rsid w:val="00C2370E"/>
    <w:rsid w:val="00C23936"/>
    <w:rsid w:val="00C23B10"/>
    <w:rsid w:val="00C23C33"/>
    <w:rsid w:val="00C23D63"/>
    <w:rsid w:val="00C2433F"/>
    <w:rsid w:val="00C248EA"/>
    <w:rsid w:val="00C2530C"/>
    <w:rsid w:val="00C253B1"/>
    <w:rsid w:val="00C253ED"/>
    <w:rsid w:val="00C254BD"/>
    <w:rsid w:val="00C2568C"/>
    <w:rsid w:val="00C2584D"/>
    <w:rsid w:val="00C2596A"/>
    <w:rsid w:val="00C25B85"/>
    <w:rsid w:val="00C25D3C"/>
    <w:rsid w:val="00C25D6C"/>
    <w:rsid w:val="00C25DF8"/>
    <w:rsid w:val="00C26661"/>
    <w:rsid w:val="00C26876"/>
    <w:rsid w:val="00C26A39"/>
    <w:rsid w:val="00C26AAE"/>
    <w:rsid w:val="00C26C22"/>
    <w:rsid w:val="00C26C80"/>
    <w:rsid w:val="00C26E6E"/>
    <w:rsid w:val="00C26E97"/>
    <w:rsid w:val="00C27537"/>
    <w:rsid w:val="00C275D7"/>
    <w:rsid w:val="00C27D4E"/>
    <w:rsid w:val="00C27D7A"/>
    <w:rsid w:val="00C3094C"/>
    <w:rsid w:val="00C30A35"/>
    <w:rsid w:val="00C30C25"/>
    <w:rsid w:val="00C30DF7"/>
    <w:rsid w:val="00C30E3A"/>
    <w:rsid w:val="00C30FFC"/>
    <w:rsid w:val="00C317A3"/>
    <w:rsid w:val="00C319DF"/>
    <w:rsid w:val="00C31B52"/>
    <w:rsid w:val="00C31B62"/>
    <w:rsid w:val="00C31B91"/>
    <w:rsid w:val="00C31E92"/>
    <w:rsid w:val="00C328FE"/>
    <w:rsid w:val="00C32962"/>
    <w:rsid w:val="00C32F07"/>
    <w:rsid w:val="00C331E4"/>
    <w:rsid w:val="00C33507"/>
    <w:rsid w:val="00C3372D"/>
    <w:rsid w:val="00C33F43"/>
    <w:rsid w:val="00C34345"/>
    <w:rsid w:val="00C34E9E"/>
    <w:rsid w:val="00C35313"/>
    <w:rsid w:val="00C355C8"/>
    <w:rsid w:val="00C35E61"/>
    <w:rsid w:val="00C362DC"/>
    <w:rsid w:val="00C36454"/>
    <w:rsid w:val="00C3647C"/>
    <w:rsid w:val="00C3679C"/>
    <w:rsid w:val="00C3686E"/>
    <w:rsid w:val="00C36ED4"/>
    <w:rsid w:val="00C36F6C"/>
    <w:rsid w:val="00C36FC5"/>
    <w:rsid w:val="00C370C1"/>
    <w:rsid w:val="00C370F8"/>
    <w:rsid w:val="00C371AD"/>
    <w:rsid w:val="00C37312"/>
    <w:rsid w:val="00C3742B"/>
    <w:rsid w:val="00C37491"/>
    <w:rsid w:val="00C37861"/>
    <w:rsid w:val="00C3796C"/>
    <w:rsid w:val="00C37970"/>
    <w:rsid w:val="00C37C81"/>
    <w:rsid w:val="00C37C89"/>
    <w:rsid w:val="00C37CEF"/>
    <w:rsid w:val="00C37FA1"/>
    <w:rsid w:val="00C4002D"/>
    <w:rsid w:val="00C4003E"/>
    <w:rsid w:val="00C40251"/>
    <w:rsid w:val="00C40318"/>
    <w:rsid w:val="00C4032A"/>
    <w:rsid w:val="00C404D3"/>
    <w:rsid w:val="00C404D9"/>
    <w:rsid w:val="00C404EA"/>
    <w:rsid w:val="00C406FC"/>
    <w:rsid w:val="00C40778"/>
    <w:rsid w:val="00C40D1F"/>
    <w:rsid w:val="00C412EA"/>
    <w:rsid w:val="00C41548"/>
    <w:rsid w:val="00C4175A"/>
    <w:rsid w:val="00C4181F"/>
    <w:rsid w:val="00C41C57"/>
    <w:rsid w:val="00C41EBC"/>
    <w:rsid w:val="00C42333"/>
    <w:rsid w:val="00C426EF"/>
    <w:rsid w:val="00C42A0D"/>
    <w:rsid w:val="00C42A5E"/>
    <w:rsid w:val="00C42A6C"/>
    <w:rsid w:val="00C4316F"/>
    <w:rsid w:val="00C431F0"/>
    <w:rsid w:val="00C43281"/>
    <w:rsid w:val="00C432FA"/>
    <w:rsid w:val="00C43334"/>
    <w:rsid w:val="00C43493"/>
    <w:rsid w:val="00C4374C"/>
    <w:rsid w:val="00C437AF"/>
    <w:rsid w:val="00C4398B"/>
    <w:rsid w:val="00C4409D"/>
    <w:rsid w:val="00C441B1"/>
    <w:rsid w:val="00C443C8"/>
    <w:rsid w:val="00C44954"/>
    <w:rsid w:val="00C44DA5"/>
    <w:rsid w:val="00C44E72"/>
    <w:rsid w:val="00C450B7"/>
    <w:rsid w:val="00C45103"/>
    <w:rsid w:val="00C45274"/>
    <w:rsid w:val="00C45720"/>
    <w:rsid w:val="00C45948"/>
    <w:rsid w:val="00C45A06"/>
    <w:rsid w:val="00C45DAB"/>
    <w:rsid w:val="00C45FD7"/>
    <w:rsid w:val="00C45FE8"/>
    <w:rsid w:val="00C46371"/>
    <w:rsid w:val="00C46A89"/>
    <w:rsid w:val="00C4744D"/>
    <w:rsid w:val="00C474F7"/>
    <w:rsid w:val="00C475FE"/>
    <w:rsid w:val="00C47962"/>
    <w:rsid w:val="00C47B75"/>
    <w:rsid w:val="00C47B96"/>
    <w:rsid w:val="00C47D77"/>
    <w:rsid w:val="00C47E5B"/>
    <w:rsid w:val="00C50079"/>
    <w:rsid w:val="00C50255"/>
    <w:rsid w:val="00C50360"/>
    <w:rsid w:val="00C5060B"/>
    <w:rsid w:val="00C50B1C"/>
    <w:rsid w:val="00C50DEF"/>
    <w:rsid w:val="00C50FA5"/>
    <w:rsid w:val="00C51D9C"/>
    <w:rsid w:val="00C51FBD"/>
    <w:rsid w:val="00C52372"/>
    <w:rsid w:val="00C528A3"/>
    <w:rsid w:val="00C52959"/>
    <w:rsid w:val="00C52F85"/>
    <w:rsid w:val="00C5301B"/>
    <w:rsid w:val="00C53269"/>
    <w:rsid w:val="00C53463"/>
    <w:rsid w:val="00C5374A"/>
    <w:rsid w:val="00C53A51"/>
    <w:rsid w:val="00C54184"/>
    <w:rsid w:val="00C541AB"/>
    <w:rsid w:val="00C541E8"/>
    <w:rsid w:val="00C54490"/>
    <w:rsid w:val="00C5461F"/>
    <w:rsid w:val="00C54694"/>
    <w:rsid w:val="00C548D9"/>
    <w:rsid w:val="00C54FB2"/>
    <w:rsid w:val="00C55506"/>
    <w:rsid w:val="00C555E4"/>
    <w:rsid w:val="00C55704"/>
    <w:rsid w:val="00C56074"/>
    <w:rsid w:val="00C568D6"/>
    <w:rsid w:val="00C56C2D"/>
    <w:rsid w:val="00C56DBE"/>
    <w:rsid w:val="00C572BD"/>
    <w:rsid w:val="00C5749F"/>
    <w:rsid w:val="00C5762C"/>
    <w:rsid w:val="00C576B2"/>
    <w:rsid w:val="00C57AF2"/>
    <w:rsid w:val="00C57F31"/>
    <w:rsid w:val="00C6033C"/>
    <w:rsid w:val="00C607F2"/>
    <w:rsid w:val="00C60C11"/>
    <w:rsid w:val="00C6156C"/>
    <w:rsid w:val="00C615ED"/>
    <w:rsid w:val="00C61691"/>
    <w:rsid w:val="00C617CC"/>
    <w:rsid w:val="00C61850"/>
    <w:rsid w:val="00C61C0F"/>
    <w:rsid w:val="00C61CF6"/>
    <w:rsid w:val="00C61E4B"/>
    <w:rsid w:val="00C624B2"/>
    <w:rsid w:val="00C625C7"/>
    <w:rsid w:val="00C62874"/>
    <w:rsid w:val="00C6297C"/>
    <w:rsid w:val="00C62AEB"/>
    <w:rsid w:val="00C62B2F"/>
    <w:rsid w:val="00C62BDE"/>
    <w:rsid w:val="00C62D19"/>
    <w:rsid w:val="00C62EC8"/>
    <w:rsid w:val="00C6322A"/>
    <w:rsid w:val="00C63320"/>
    <w:rsid w:val="00C6382F"/>
    <w:rsid w:val="00C63E06"/>
    <w:rsid w:val="00C64355"/>
    <w:rsid w:val="00C646FB"/>
    <w:rsid w:val="00C64BFF"/>
    <w:rsid w:val="00C64EF5"/>
    <w:rsid w:val="00C655A3"/>
    <w:rsid w:val="00C655FA"/>
    <w:rsid w:val="00C656FD"/>
    <w:rsid w:val="00C6594D"/>
    <w:rsid w:val="00C65BC6"/>
    <w:rsid w:val="00C65C70"/>
    <w:rsid w:val="00C65D4D"/>
    <w:rsid w:val="00C65E5B"/>
    <w:rsid w:val="00C65F37"/>
    <w:rsid w:val="00C66304"/>
    <w:rsid w:val="00C66396"/>
    <w:rsid w:val="00C666F0"/>
    <w:rsid w:val="00C6675D"/>
    <w:rsid w:val="00C66E03"/>
    <w:rsid w:val="00C66FC3"/>
    <w:rsid w:val="00C6716B"/>
    <w:rsid w:val="00C67412"/>
    <w:rsid w:val="00C6742D"/>
    <w:rsid w:val="00C675C7"/>
    <w:rsid w:val="00C678A5"/>
    <w:rsid w:val="00C67953"/>
    <w:rsid w:val="00C67B49"/>
    <w:rsid w:val="00C67D84"/>
    <w:rsid w:val="00C67E7B"/>
    <w:rsid w:val="00C70219"/>
    <w:rsid w:val="00C70242"/>
    <w:rsid w:val="00C70258"/>
    <w:rsid w:val="00C703A8"/>
    <w:rsid w:val="00C703F3"/>
    <w:rsid w:val="00C70456"/>
    <w:rsid w:val="00C704E9"/>
    <w:rsid w:val="00C70941"/>
    <w:rsid w:val="00C709A5"/>
    <w:rsid w:val="00C70C0E"/>
    <w:rsid w:val="00C70CF2"/>
    <w:rsid w:val="00C710AE"/>
    <w:rsid w:val="00C71419"/>
    <w:rsid w:val="00C71455"/>
    <w:rsid w:val="00C71D0B"/>
    <w:rsid w:val="00C71D6D"/>
    <w:rsid w:val="00C71F7F"/>
    <w:rsid w:val="00C7218A"/>
    <w:rsid w:val="00C7273B"/>
    <w:rsid w:val="00C72B5D"/>
    <w:rsid w:val="00C72C8B"/>
    <w:rsid w:val="00C72DED"/>
    <w:rsid w:val="00C72ED9"/>
    <w:rsid w:val="00C733BE"/>
    <w:rsid w:val="00C736DF"/>
    <w:rsid w:val="00C73BD2"/>
    <w:rsid w:val="00C73CB3"/>
    <w:rsid w:val="00C73CB8"/>
    <w:rsid w:val="00C73E6C"/>
    <w:rsid w:val="00C7464B"/>
    <w:rsid w:val="00C74723"/>
    <w:rsid w:val="00C747CB"/>
    <w:rsid w:val="00C74A76"/>
    <w:rsid w:val="00C74A9F"/>
    <w:rsid w:val="00C74B7A"/>
    <w:rsid w:val="00C74D25"/>
    <w:rsid w:val="00C750BA"/>
    <w:rsid w:val="00C7520C"/>
    <w:rsid w:val="00C755D4"/>
    <w:rsid w:val="00C75D6C"/>
    <w:rsid w:val="00C763C9"/>
    <w:rsid w:val="00C7641A"/>
    <w:rsid w:val="00C764B9"/>
    <w:rsid w:val="00C76554"/>
    <w:rsid w:val="00C76697"/>
    <w:rsid w:val="00C76EA1"/>
    <w:rsid w:val="00C76EB2"/>
    <w:rsid w:val="00C76F41"/>
    <w:rsid w:val="00C7714E"/>
    <w:rsid w:val="00C77232"/>
    <w:rsid w:val="00C77798"/>
    <w:rsid w:val="00C77C55"/>
    <w:rsid w:val="00C80057"/>
    <w:rsid w:val="00C80159"/>
    <w:rsid w:val="00C80265"/>
    <w:rsid w:val="00C80334"/>
    <w:rsid w:val="00C805D6"/>
    <w:rsid w:val="00C8089F"/>
    <w:rsid w:val="00C80960"/>
    <w:rsid w:val="00C80ABF"/>
    <w:rsid w:val="00C80EC5"/>
    <w:rsid w:val="00C80FC9"/>
    <w:rsid w:val="00C810EB"/>
    <w:rsid w:val="00C81837"/>
    <w:rsid w:val="00C81DEE"/>
    <w:rsid w:val="00C82232"/>
    <w:rsid w:val="00C82349"/>
    <w:rsid w:val="00C824A5"/>
    <w:rsid w:val="00C826BC"/>
    <w:rsid w:val="00C828E1"/>
    <w:rsid w:val="00C82913"/>
    <w:rsid w:val="00C82A9F"/>
    <w:rsid w:val="00C82D26"/>
    <w:rsid w:val="00C82F2C"/>
    <w:rsid w:val="00C82F6E"/>
    <w:rsid w:val="00C83290"/>
    <w:rsid w:val="00C83694"/>
    <w:rsid w:val="00C836B2"/>
    <w:rsid w:val="00C8377D"/>
    <w:rsid w:val="00C84900"/>
    <w:rsid w:val="00C8522C"/>
    <w:rsid w:val="00C852CB"/>
    <w:rsid w:val="00C852D0"/>
    <w:rsid w:val="00C854DE"/>
    <w:rsid w:val="00C85840"/>
    <w:rsid w:val="00C85A58"/>
    <w:rsid w:val="00C85B1B"/>
    <w:rsid w:val="00C86322"/>
    <w:rsid w:val="00C8636B"/>
    <w:rsid w:val="00C863E0"/>
    <w:rsid w:val="00C86693"/>
    <w:rsid w:val="00C86A33"/>
    <w:rsid w:val="00C86E3E"/>
    <w:rsid w:val="00C8722E"/>
    <w:rsid w:val="00C87978"/>
    <w:rsid w:val="00C87A11"/>
    <w:rsid w:val="00C9019A"/>
    <w:rsid w:val="00C90768"/>
    <w:rsid w:val="00C907EA"/>
    <w:rsid w:val="00C9082A"/>
    <w:rsid w:val="00C90873"/>
    <w:rsid w:val="00C90898"/>
    <w:rsid w:val="00C9094B"/>
    <w:rsid w:val="00C90A38"/>
    <w:rsid w:val="00C90A4A"/>
    <w:rsid w:val="00C91506"/>
    <w:rsid w:val="00C916DC"/>
    <w:rsid w:val="00C9177F"/>
    <w:rsid w:val="00C918CD"/>
    <w:rsid w:val="00C91A6F"/>
    <w:rsid w:val="00C91E92"/>
    <w:rsid w:val="00C9201E"/>
    <w:rsid w:val="00C920C5"/>
    <w:rsid w:val="00C92352"/>
    <w:rsid w:val="00C923EF"/>
    <w:rsid w:val="00C926A3"/>
    <w:rsid w:val="00C926EA"/>
    <w:rsid w:val="00C9289E"/>
    <w:rsid w:val="00C928CC"/>
    <w:rsid w:val="00C92D29"/>
    <w:rsid w:val="00C92FC6"/>
    <w:rsid w:val="00C931FD"/>
    <w:rsid w:val="00C933B9"/>
    <w:rsid w:val="00C939B8"/>
    <w:rsid w:val="00C93A0E"/>
    <w:rsid w:val="00C948E5"/>
    <w:rsid w:val="00C94A69"/>
    <w:rsid w:val="00C94B09"/>
    <w:rsid w:val="00C94E49"/>
    <w:rsid w:val="00C950B7"/>
    <w:rsid w:val="00C956E1"/>
    <w:rsid w:val="00C957BA"/>
    <w:rsid w:val="00C95958"/>
    <w:rsid w:val="00C95E51"/>
    <w:rsid w:val="00C96266"/>
    <w:rsid w:val="00C965E1"/>
    <w:rsid w:val="00C966EE"/>
    <w:rsid w:val="00C9670C"/>
    <w:rsid w:val="00C96FB7"/>
    <w:rsid w:val="00C972B1"/>
    <w:rsid w:val="00C9749B"/>
    <w:rsid w:val="00C97706"/>
    <w:rsid w:val="00C97713"/>
    <w:rsid w:val="00C97756"/>
    <w:rsid w:val="00C97842"/>
    <w:rsid w:val="00C97A14"/>
    <w:rsid w:val="00C97F5B"/>
    <w:rsid w:val="00CA00C6"/>
    <w:rsid w:val="00CA01E6"/>
    <w:rsid w:val="00CA0332"/>
    <w:rsid w:val="00CA0766"/>
    <w:rsid w:val="00CA0791"/>
    <w:rsid w:val="00CA08CB"/>
    <w:rsid w:val="00CA0D61"/>
    <w:rsid w:val="00CA1171"/>
    <w:rsid w:val="00CA131C"/>
    <w:rsid w:val="00CA1372"/>
    <w:rsid w:val="00CA1715"/>
    <w:rsid w:val="00CA17CE"/>
    <w:rsid w:val="00CA1C79"/>
    <w:rsid w:val="00CA1CBC"/>
    <w:rsid w:val="00CA238B"/>
    <w:rsid w:val="00CA2983"/>
    <w:rsid w:val="00CA2CCE"/>
    <w:rsid w:val="00CA2D78"/>
    <w:rsid w:val="00CA2FDB"/>
    <w:rsid w:val="00CA30B9"/>
    <w:rsid w:val="00CA3250"/>
    <w:rsid w:val="00CA33F1"/>
    <w:rsid w:val="00CA38CC"/>
    <w:rsid w:val="00CA3983"/>
    <w:rsid w:val="00CA3F04"/>
    <w:rsid w:val="00CA3FEA"/>
    <w:rsid w:val="00CA43FD"/>
    <w:rsid w:val="00CA4874"/>
    <w:rsid w:val="00CA4E4E"/>
    <w:rsid w:val="00CA50F4"/>
    <w:rsid w:val="00CA533A"/>
    <w:rsid w:val="00CA5699"/>
    <w:rsid w:val="00CA5B5C"/>
    <w:rsid w:val="00CA5C4A"/>
    <w:rsid w:val="00CA5F8E"/>
    <w:rsid w:val="00CA6047"/>
    <w:rsid w:val="00CA6128"/>
    <w:rsid w:val="00CA62F3"/>
    <w:rsid w:val="00CA66AF"/>
    <w:rsid w:val="00CA66D8"/>
    <w:rsid w:val="00CA6704"/>
    <w:rsid w:val="00CA6ABC"/>
    <w:rsid w:val="00CA6E14"/>
    <w:rsid w:val="00CA758D"/>
    <w:rsid w:val="00CA75A9"/>
    <w:rsid w:val="00CA7A4B"/>
    <w:rsid w:val="00CA7C8A"/>
    <w:rsid w:val="00CA7EF8"/>
    <w:rsid w:val="00CB01A5"/>
    <w:rsid w:val="00CB0694"/>
    <w:rsid w:val="00CB0718"/>
    <w:rsid w:val="00CB08E8"/>
    <w:rsid w:val="00CB0921"/>
    <w:rsid w:val="00CB0B2D"/>
    <w:rsid w:val="00CB0DA1"/>
    <w:rsid w:val="00CB12E6"/>
    <w:rsid w:val="00CB1384"/>
    <w:rsid w:val="00CB1954"/>
    <w:rsid w:val="00CB23E4"/>
    <w:rsid w:val="00CB2647"/>
    <w:rsid w:val="00CB27D2"/>
    <w:rsid w:val="00CB2A0D"/>
    <w:rsid w:val="00CB306E"/>
    <w:rsid w:val="00CB30E9"/>
    <w:rsid w:val="00CB36A3"/>
    <w:rsid w:val="00CB3803"/>
    <w:rsid w:val="00CB3839"/>
    <w:rsid w:val="00CB39F9"/>
    <w:rsid w:val="00CB3A24"/>
    <w:rsid w:val="00CB3BC4"/>
    <w:rsid w:val="00CB3E8D"/>
    <w:rsid w:val="00CB3F9D"/>
    <w:rsid w:val="00CB3FDE"/>
    <w:rsid w:val="00CB40AC"/>
    <w:rsid w:val="00CB4375"/>
    <w:rsid w:val="00CB43D0"/>
    <w:rsid w:val="00CB4967"/>
    <w:rsid w:val="00CB4AF4"/>
    <w:rsid w:val="00CB4EE7"/>
    <w:rsid w:val="00CB4F98"/>
    <w:rsid w:val="00CB5303"/>
    <w:rsid w:val="00CB5339"/>
    <w:rsid w:val="00CB54F0"/>
    <w:rsid w:val="00CB57CA"/>
    <w:rsid w:val="00CB5848"/>
    <w:rsid w:val="00CB5A80"/>
    <w:rsid w:val="00CB5B0C"/>
    <w:rsid w:val="00CB5C84"/>
    <w:rsid w:val="00CB5D16"/>
    <w:rsid w:val="00CB5DA1"/>
    <w:rsid w:val="00CB5E44"/>
    <w:rsid w:val="00CB5FCE"/>
    <w:rsid w:val="00CB6033"/>
    <w:rsid w:val="00CB61B0"/>
    <w:rsid w:val="00CB636D"/>
    <w:rsid w:val="00CB63C4"/>
    <w:rsid w:val="00CB676F"/>
    <w:rsid w:val="00CB6BA0"/>
    <w:rsid w:val="00CB6D04"/>
    <w:rsid w:val="00CB6F84"/>
    <w:rsid w:val="00CB6F97"/>
    <w:rsid w:val="00CB71AB"/>
    <w:rsid w:val="00CB723F"/>
    <w:rsid w:val="00CB756A"/>
    <w:rsid w:val="00CB76D0"/>
    <w:rsid w:val="00CB78C2"/>
    <w:rsid w:val="00CB79E2"/>
    <w:rsid w:val="00CB7A3B"/>
    <w:rsid w:val="00CB7C25"/>
    <w:rsid w:val="00CB7CF7"/>
    <w:rsid w:val="00CC02B9"/>
    <w:rsid w:val="00CC0636"/>
    <w:rsid w:val="00CC0A8C"/>
    <w:rsid w:val="00CC0C56"/>
    <w:rsid w:val="00CC1076"/>
    <w:rsid w:val="00CC14A9"/>
    <w:rsid w:val="00CC161F"/>
    <w:rsid w:val="00CC1620"/>
    <w:rsid w:val="00CC1B68"/>
    <w:rsid w:val="00CC1CE7"/>
    <w:rsid w:val="00CC1D9F"/>
    <w:rsid w:val="00CC2116"/>
    <w:rsid w:val="00CC22C7"/>
    <w:rsid w:val="00CC2A20"/>
    <w:rsid w:val="00CC2E5E"/>
    <w:rsid w:val="00CC2E6D"/>
    <w:rsid w:val="00CC2F62"/>
    <w:rsid w:val="00CC302D"/>
    <w:rsid w:val="00CC3843"/>
    <w:rsid w:val="00CC385D"/>
    <w:rsid w:val="00CC43A1"/>
    <w:rsid w:val="00CC46E2"/>
    <w:rsid w:val="00CC489B"/>
    <w:rsid w:val="00CC48F9"/>
    <w:rsid w:val="00CC4910"/>
    <w:rsid w:val="00CC49AE"/>
    <w:rsid w:val="00CC4AD3"/>
    <w:rsid w:val="00CC4B36"/>
    <w:rsid w:val="00CC4BFE"/>
    <w:rsid w:val="00CC4CD8"/>
    <w:rsid w:val="00CC4D20"/>
    <w:rsid w:val="00CC4E17"/>
    <w:rsid w:val="00CC4E28"/>
    <w:rsid w:val="00CC4F48"/>
    <w:rsid w:val="00CC4FCA"/>
    <w:rsid w:val="00CC51B5"/>
    <w:rsid w:val="00CC58A1"/>
    <w:rsid w:val="00CC5AD0"/>
    <w:rsid w:val="00CC5BA4"/>
    <w:rsid w:val="00CC602D"/>
    <w:rsid w:val="00CC665C"/>
    <w:rsid w:val="00CC67A1"/>
    <w:rsid w:val="00CC69B6"/>
    <w:rsid w:val="00CC6C22"/>
    <w:rsid w:val="00CC6E7B"/>
    <w:rsid w:val="00CC71E6"/>
    <w:rsid w:val="00CC7616"/>
    <w:rsid w:val="00CC76CE"/>
    <w:rsid w:val="00CC7DDA"/>
    <w:rsid w:val="00CC7EC6"/>
    <w:rsid w:val="00CC7ECC"/>
    <w:rsid w:val="00CD01C3"/>
    <w:rsid w:val="00CD01F1"/>
    <w:rsid w:val="00CD0878"/>
    <w:rsid w:val="00CD0B12"/>
    <w:rsid w:val="00CD14D6"/>
    <w:rsid w:val="00CD1617"/>
    <w:rsid w:val="00CD166B"/>
    <w:rsid w:val="00CD1BD6"/>
    <w:rsid w:val="00CD22DA"/>
    <w:rsid w:val="00CD2503"/>
    <w:rsid w:val="00CD25CA"/>
    <w:rsid w:val="00CD2BCD"/>
    <w:rsid w:val="00CD2E38"/>
    <w:rsid w:val="00CD308C"/>
    <w:rsid w:val="00CD3361"/>
    <w:rsid w:val="00CD3546"/>
    <w:rsid w:val="00CD359F"/>
    <w:rsid w:val="00CD36FB"/>
    <w:rsid w:val="00CD3A4C"/>
    <w:rsid w:val="00CD3D66"/>
    <w:rsid w:val="00CD3E16"/>
    <w:rsid w:val="00CD3FEF"/>
    <w:rsid w:val="00CD4055"/>
    <w:rsid w:val="00CD435A"/>
    <w:rsid w:val="00CD45D8"/>
    <w:rsid w:val="00CD464F"/>
    <w:rsid w:val="00CD48EE"/>
    <w:rsid w:val="00CD4985"/>
    <w:rsid w:val="00CD49EF"/>
    <w:rsid w:val="00CD4F37"/>
    <w:rsid w:val="00CD50C7"/>
    <w:rsid w:val="00CD53A4"/>
    <w:rsid w:val="00CD5495"/>
    <w:rsid w:val="00CD572E"/>
    <w:rsid w:val="00CD5D61"/>
    <w:rsid w:val="00CD60CC"/>
    <w:rsid w:val="00CD613F"/>
    <w:rsid w:val="00CD6463"/>
    <w:rsid w:val="00CD65F7"/>
    <w:rsid w:val="00CD6863"/>
    <w:rsid w:val="00CD6A0C"/>
    <w:rsid w:val="00CD6F4C"/>
    <w:rsid w:val="00CD6F9C"/>
    <w:rsid w:val="00CD7138"/>
    <w:rsid w:val="00CD7480"/>
    <w:rsid w:val="00CD768A"/>
    <w:rsid w:val="00CD780B"/>
    <w:rsid w:val="00CD7AFB"/>
    <w:rsid w:val="00CD7D0B"/>
    <w:rsid w:val="00CD7D38"/>
    <w:rsid w:val="00CE0134"/>
    <w:rsid w:val="00CE078F"/>
    <w:rsid w:val="00CE08A4"/>
    <w:rsid w:val="00CE0CA1"/>
    <w:rsid w:val="00CE1061"/>
    <w:rsid w:val="00CE10E9"/>
    <w:rsid w:val="00CE11C8"/>
    <w:rsid w:val="00CE1238"/>
    <w:rsid w:val="00CE18E6"/>
    <w:rsid w:val="00CE196A"/>
    <w:rsid w:val="00CE1FD8"/>
    <w:rsid w:val="00CE27B9"/>
    <w:rsid w:val="00CE2910"/>
    <w:rsid w:val="00CE2995"/>
    <w:rsid w:val="00CE29AF"/>
    <w:rsid w:val="00CE2CBD"/>
    <w:rsid w:val="00CE2D33"/>
    <w:rsid w:val="00CE2DD6"/>
    <w:rsid w:val="00CE31E3"/>
    <w:rsid w:val="00CE35E1"/>
    <w:rsid w:val="00CE3A9A"/>
    <w:rsid w:val="00CE3C3B"/>
    <w:rsid w:val="00CE42D1"/>
    <w:rsid w:val="00CE4778"/>
    <w:rsid w:val="00CE4AED"/>
    <w:rsid w:val="00CE4B1E"/>
    <w:rsid w:val="00CE4BD1"/>
    <w:rsid w:val="00CE5082"/>
    <w:rsid w:val="00CE50AE"/>
    <w:rsid w:val="00CE51EC"/>
    <w:rsid w:val="00CE5393"/>
    <w:rsid w:val="00CE54DA"/>
    <w:rsid w:val="00CE558F"/>
    <w:rsid w:val="00CE5945"/>
    <w:rsid w:val="00CE59CC"/>
    <w:rsid w:val="00CE5A03"/>
    <w:rsid w:val="00CE5E79"/>
    <w:rsid w:val="00CE5F39"/>
    <w:rsid w:val="00CE6025"/>
    <w:rsid w:val="00CE612A"/>
    <w:rsid w:val="00CE640F"/>
    <w:rsid w:val="00CE653B"/>
    <w:rsid w:val="00CE65B2"/>
    <w:rsid w:val="00CE6BA2"/>
    <w:rsid w:val="00CE6BE9"/>
    <w:rsid w:val="00CE6C9B"/>
    <w:rsid w:val="00CE6F6A"/>
    <w:rsid w:val="00CE721E"/>
    <w:rsid w:val="00CE748C"/>
    <w:rsid w:val="00CE752A"/>
    <w:rsid w:val="00CE7683"/>
    <w:rsid w:val="00CE7820"/>
    <w:rsid w:val="00CE7AB1"/>
    <w:rsid w:val="00CE7C11"/>
    <w:rsid w:val="00CE7C9A"/>
    <w:rsid w:val="00CE7E56"/>
    <w:rsid w:val="00CF0156"/>
    <w:rsid w:val="00CF01F1"/>
    <w:rsid w:val="00CF025F"/>
    <w:rsid w:val="00CF05AA"/>
    <w:rsid w:val="00CF0610"/>
    <w:rsid w:val="00CF0B30"/>
    <w:rsid w:val="00CF0C14"/>
    <w:rsid w:val="00CF0DB4"/>
    <w:rsid w:val="00CF0FC9"/>
    <w:rsid w:val="00CF1294"/>
    <w:rsid w:val="00CF12FF"/>
    <w:rsid w:val="00CF1396"/>
    <w:rsid w:val="00CF1447"/>
    <w:rsid w:val="00CF1C7C"/>
    <w:rsid w:val="00CF1DAD"/>
    <w:rsid w:val="00CF1F92"/>
    <w:rsid w:val="00CF202C"/>
    <w:rsid w:val="00CF2600"/>
    <w:rsid w:val="00CF2673"/>
    <w:rsid w:val="00CF26F8"/>
    <w:rsid w:val="00CF2EC7"/>
    <w:rsid w:val="00CF3098"/>
    <w:rsid w:val="00CF3228"/>
    <w:rsid w:val="00CF36AA"/>
    <w:rsid w:val="00CF36BE"/>
    <w:rsid w:val="00CF3C68"/>
    <w:rsid w:val="00CF3F8D"/>
    <w:rsid w:val="00CF3FBC"/>
    <w:rsid w:val="00CF42BC"/>
    <w:rsid w:val="00CF4B55"/>
    <w:rsid w:val="00CF4BD7"/>
    <w:rsid w:val="00CF4F18"/>
    <w:rsid w:val="00CF52B6"/>
    <w:rsid w:val="00CF5979"/>
    <w:rsid w:val="00CF5A0D"/>
    <w:rsid w:val="00CF5ECC"/>
    <w:rsid w:val="00CF6000"/>
    <w:rsid w:val="00CF6241"/>
    <w:rsid w:val="00CF65AC"/>
    <w:rsid w:val="00CF661A"/>
    <w:rsid w:val="00CF68A2"/>
    <w:rsid w:val="00CF7053"/>
    <w:rsid w:val="00CF73CA"/>
    <w:rsid w:val="00CF7785"/>
    <w:rsid w:val="00CF77CC"/>
    <w:rsid w:val="00CF793B"/>
    <w:rsid w:val="00CF7B76"/>
    <w:rsid w:val="00CF7C91"/>
    <w:rsid w:val="00CF7D22"/>
    <w:rsid w:val="00CF7E1F"/>
    <w:rsid w:val="00CF7F45"/>
    <w:rsid w:val="00CF7FC8"/>
    <w:rsid w:val="00D000AC"/>
    <w:rsid w:val="00D0030D"/>
    <w:rsid w:val="00D003F3"/>
    <w:rsid w:val="00D004A3"/>
    <w:rsid w:val="00D00A28"/>
    <w:rsid w:val="00D00BA6"/>
    <w:rsid w:val="00D00C5F"/>
    <w:rsid w:val="00D00EE8"/>
    <w:rsid w:val="00D00F60"/>
    <w:rsid w:val="00D01038"/>
    <w:rsid w:val="00D01495"/>
    <w:rsid w:val="00D01C1B"/>
    <w:rsid w:val="00D01CCB"/>
    <w:rsid w:val="00D01D84"/>
    <w:rsid w:val="00D0273F"/>
    <w:rsid w:val="00D0296F"/>
    <w:rsid w:val="00D02B90"/>
    <w:rsid w:val="00D02E31"/>
    <w:rsid w:val="00D0335B"/>
    <w:rsid w:val="00D0338D"/>
    <w:rsid w:val="00D0339E"/>
    <w:rsid w:val="00D0364F"/>
    <w:rsid w:val="00D036B4"/>
    <w:rsid w:val="00D037CE"/>
    <w:rsid w:val="00D037E9"/>
    <w:rsid w:val="00D03BE6"/>
    <w:rsid w:val="00D03C2C"/>
    <w:rsid w:val="00D03D41"/>
    <w:rsid w:val="00D03E38"/>
    <w:rsid w:val="00D041E7"/>
    <w:rsid w:val="00D04303"/>
    <w:rsid w:val="00D0436F"/>
    <w:rsid w:val="00D04393"/>
    <w:rsid w:val="00D04AF7"/>
    <w:rsid w:val="00D04DFC"/>
    <w:rsid w:val="00D05881"/>
    <w:rsid w:val="00D058F7"/>
    <w:rsid w:val="00D059A0"/>
    <w:rsid w:val="00D05B16"/>
    <w:rsid w:val="00D05C24"/>
    <w:rsid w:val="00D05E62"/>
    <w:rsid w:val="00D06834"/>
    <w:rsid w:val="00D06835"/>
    <w:rsid w:val="00D068B7"/>
    <w:rsid w:val="00D06919"/>
    <w:rsid w:val="00D06D1C"/>
    <w:rsid w:val="00D06D28"/>
    <w:rsid w:val="00D06F8F"/>
    <w:rsid w:val="00D07379"/>
    <w:rsid w:val="00D0760C"/>
    <w:rsid w:val="00D0782D"/>
    <w:rsid w:val="00D07880"/>
    <w:rsid w:val="00D07920"/>
    <w:rsid w:val="00D07D1A"/>
    <w:rsid w:val="00D07D4D"/>
    <w:rsid w:val="00D100E1"/>
    <w:rsid w:val="00D10C12"/>
    <w:rsid w:val="00D10D0A"/>
    <w:rsid w:val="00D10D37"/>
    <w:rsid w:val="00D10FC7"/>
    <w:rsid w:val="00D1108C"/>
    <w:rsid w:val="00D110E9"/>
    <w:rsid w:val="00D11150"/>
    <w:rsid w:val="00D111F3"/>
    <w:rsid w:val="00D117AD"/>
    <w:rsid w:val="00D11904"/>
    <w:rsid w:val="00D11AB2"/>
    <w:rsid w:val="00D11D5E"/>
    <w:rsid w:val="00D1215A"/>
    <w:rsid w:val="00D12391"/>
    <w:rsid w:val="00D123AA"/>
    <w:rsid w:val="00D123E9"/>
    <w:rsid w:val="00D126CF"/>
    <w:rsid w:val="00D129F7"/>
    <w:rsid w:val="00D13243"/>
    <w:rsid w:val="00D134C9"/>
    <w:rsid w:val="00D135DA"/>
    <w:rsid w:val="00D13B5D"/>
    <w:rsid w:val="00D13BE3"/>
    <w:rsid w:val="00D14626"/>
    <w:rsid w:val="00D146BA"/>
    <w:rsid w:val="00D148DA"/>
    <w:rsid w:val="00D14A6B"/>
    <w:rsid w:val="00D14AE6"/>
    <w:rsid w:val="00D14C22"/>
    <w:rsid w:val="00D14C99"/>
    <w:rsid w:val="00D14D74"/>
    <w:rsid w:val="00D15097"/>
    <w:rsid w:val="00D150B5"/>
    <w:rsid w:val="00D1513F"/>
    <w:rsid w:val="00D15225"/>
    <w:rsid w:val="00D1549B"/>
    <w:rsid w:val="00D15532"/>
    <w:rsid w:val="00D156AD"/>
    <w:rsid w:val="00D15A7C"/>
    <w:rsid w:val="00D16227"/>
    <w:rsid w:val="00D16ABC"/>
    <w:rsid w:val="00D16E4F"/>
    <w:rsid w:val="00D17347"/>
    <w:rsid w:val="00D17DA2"/>
    <w:rsid w:val="00D17FEE"/>
    <w:rsid w:val="00D2014D"/>
    <w:rsid w:val="00D20544"/>
    <w:rsid w:val="00D2078D"/>
    <w:rsid w:val="00D2081E"/>
    <w:rsid w:val="00D20B11"/>
    <w:rsid w:val="00D20B51"/>
    <w:rsid w:val="00D215BB"/>
    <w:rsid w:val="00D21639"/>
    <w:rsid w:val="00D21B7C"/>
    <w:rsid w:val="00D21CBB"/>
    <w:rsid w:val="00D21EBC"/>
    <w:rsid w:val="00D223EC"/>
    <w:rsid w:val="00D22413"/>
    <w:rsid w:val="00D22630"/>
    <w:rsid w:val="00D2286A"/>
    <w:rsid w:val="00D22A93"/>
    <w:rsid w:val="00D23299"/>
    <w:rsid w:val="00D23562"/>
    <w:rsid w:val="00D235A3"/>
    <w:rsid w:val="00D239D3"/>
    <w:rsid w:val="00D24320"/>
    <w:rsid w:val="00D2432A"/>
    <w:rsid w:val="00D24332"/>
    <w:rsid w:val="00D24D4E"/>
    <w:rsid w:val="00D250DF"/>
    <w:rsid w:val="00D251CC"/>
    <w:rsid w:val="00D252C6"/>
    <w:rsid w:val="00D254AD"/>
    <w:rsid w:val="00D2555B"/>
    <w:rsid w:val="00D25955"/>
    <w:rsid w:val="00D25C20"/>
    <w:rsid w:val="00D25C2D"/>
    <w:rsid w:val="00D25C41"/>
    <w:rsid w:val="00D25DD9"/>
    <w:rsid w:val="00D25E17"/>
    <w:rsid w:val="00D25EA7"/>
    <w:rsid w:val="00D25EFD"/>
    <w:rsid w:val="00D25FFE"/>
    <w:rsid w:val="00D260D1"/>
    <w:rsid w:val="00D26538"/>
    <w:rsid w:val="00D265EA"/>
    <w:rsid w:val="00D26AF6"/>
    <w:rsid w:val="00D273C2"/>
    <w:rsid w:val="00D2749E"/>
    <w:rsid w:val="00D274EE"/>
    <w:rsid w:val="00D27BD8"/>
    <w:rsid w:val="00D27DEE"/>
    <w:rsid w:val="00D27E86"/>
    <w:rsid w:val="00D27E88"/>
    <w:rsid w:val="00D3019C"/>
    <w:rsid w:val="00D3021E"/>
    <w:rsid w:val="00D303EE"/>
    <w:rsid w:val="00D304DB"/>
    <w:rsid w:val="00D308ED"/>
    <w:rsid w:val="00D31641"/>
    <w:rsid w:val="00D3175B"/>
    <w:rsid w:val="00D31802"/>
    <w:rsid w:val="00D31866"/>
    <w:rsid w:val="00D31A9F"/>
    <w:rsid w:val="00D31B5A"/>
    <w:rsid w:val="00D31BBA"/>
    <w:rsid w:val="00D31C53"/>
    <w:rsid w:val="00D31E7C"/>
    <w:rsid w:val="00D3243F"/>
    <w:rsid w:val="00D32543"/>
    <w:rsid w:val="00D32E7F"/>
    <w:rsid w:val="00D32F06"/>
    <w:rsid w:val="00D32FF8"/>
    <w:rsid w:val="00D33024"/>
    <w:rsid w:val="00D330AB"/>
    <w:rsid w:val="00D33A60"/>
    <w:rsid w:val="00D33A86"/>
    <w:rsid w:val="00D33A9F"/>
    <w:rsid w:val="00D33CBB"/>
    <w:rsid w:val="00D33DEB"/>
    <w:rsid w:val="00D33E3C"/>
    <w:rsid w:val="00D34AED"/>
    <w:rsid w:val="00D34C8A"/>
    <w:rsid w:val="00D34C8B"/>
    <w:rsid w:val="00D34CA2"/>
    <w:rsid w:val="00D357DF"/>
    <w:rsid w:val="00D35EA9"/>
    <w:rsid w:val="00D35F7F"/>
    <w:rsid w:val="00D36188"/>
    <w:rsid w:val="00D3625C"/>
    <w:rsid w:val="00D3650E"/>
    <w:rsid w:val="00D36537"/>
    <w:rsid w:val="00D36A8F"/>
    <w:rsid w:val="00D36D86"/>
    <w:rsid w:val="00D36E08"/>
    <w:rsid w:val="00D37398"/>
    <w:rsid w:val="00D37641"/>
    <w:rsid w:val="00D3787F"/>
    <w:rsid w:val="00D378F6"/>
    <w:rsid w:val="00D40372"/>
    <w:rsid w:val="00D40376"/>
    <w:rsid w:val="00D40A39"/>
    <w:rsid w:val="00D40A86"/>
    <w:rsid w:val="00D41161"/>
    <w:rsid w:val="00D4120C"/>
    <w:rsid w:val="00D4142C"/>
    <w:rsid w:val="00D419B3"/>
    <w:rsid w:val="00D41C3B"/>
    <w:rsid w:val="00D41DF6"/>
    <w:rsid w:val="00D41E1A"/>
    <w:rsid w:val="00D41E99"/>
    <w:rsid w:val="00D4252C"/>
    <w:rsid w:val="00D428AA"/>
    <w:rsid w:val="00D4318F"/>
    <w:rsid w:val="00D4367E"/>
    <w:rsid w:val="00D44029"/>
    <w:rsid w:val="00D441BD"/>
    <w:rsid w:val="00D44233"/>
    <w:rsid w:val="00D4446B"/>
    <w:rsid w:val="00D44D61"/>
    <w:rsid w:val="00D4521B"/>
    <w:rsid w:val="00D452EF"/>
    <w:rsid w:val="00D456F5"/>
    <w:rsid w:val="00D45956"/>
    <w:rsid w:val="00D45BF3"/>
    <w:rsid w:val="00D45C0C"/>
    <w:rsid w:val="00D45DFE"/>
    <w:rsid w:val="00D45F76"/>
    <w:rsid w:val="00D46219"/>
    <w:rsid w:val="00D462E6"/>
    <w:rsid w:val="00D46730"/>
    <w:rsid w:val="00D468DA"/>
    <w:rsid w:val="00D46C68"/>
    <w:rsid w:val="00D46DFF"/>
    <w:rsid w:val="00D46EC1"/>
    <w:rsid w:val="00D470F2"/>
    <w:rsid w:val="00D47589"/>
    <w:rsid w:val="00D47823"/>
    <w:rsid w:val="00D47860"/>
    <w:rsid w:val="00D503AB"/>
    <w:rsid w:val="00D5056D"/>
    <w:rsid w:val="00D50580"/>
    <w:rsid w:val="00D505D9"/>
    <w:rsid w:val="00D50A29"/>
    <w:rsid w:val="00D50A34"/>
    <w:rsid w:val="00D50A97"/>
    <w:rsid w:val="00D50DB6"/>
    <w:rsid w:val="00D50E6D"/>
    <w:rsid w:val="00D512F4"/>
    <w:rsid w:val="00D51376"/>
    <w:rsid w:val="00D515E3"/>
    <w:rsid w:val="00D5163D"/>
    <w:rsid w:val="00D51F34"/>
    <w:rsid w:val="00D52398"/>
    <w:rsid w:val="00D52412"/>
    <w:rsid w:val="00D524E7"/>
    <w:rsid w:val="00D52546"/>
    <w:rsid w:val="00D5296D"/>
    <w:rsid w:val="00D52F46"/>
    <w:rsid w:val="00D52F9E"/>
    <w:rsid w:val="00D531E8"/>
    <w:rsid w:val="00D5320E"/>
    <w:rsid w:val="00D537B4"/>
    <w:rsid w:val="00D53B6C"/>
    <w:rsid w:val="00D53EFA"/>
    <w:rsid w:val="00D542C7"/>
    <w:rsid w:val="00D54378"/>
    <w:rsid w:val="00D543B1"/>
    <w:rsid w:val="00D5473A"/>
    <w:rsid w:val="00D54780"/>
    <w:rsid w:val="00D5491A"/>
    <w:rsid w:val="00D549F0"/>
    <w:rsid w:val="00D54A0C"/>
    <w:rsid w:val="00D54A70"/>
    <w:rsid w:val="00D54ABE"/>
    <w:rsid w:val="00D54C85"/>
    <w:rsid w:val="00D54E82"/>
    <w:rsid w:val="00D551BE"/>
    <w:rsid w:val="00D5538A"/>
    <w:rsid w:val="00D55928"/>
    <w:rsid w:val="00D55DC2"/>
    <w:rsid w:val="00D55E61"/>
    <w:rsid w:val="00D55E64"/>
    <w:rsid w:val="00D5619D"/>
    <w:rsid w:val="00D561FD"/>
    <w:rsid w:val="00D5690E"/>
    <w:rsid w:val="00D56B94"/>
    <w:rsid w:val="00D56BC3"/>
    <w:rsid w:val="00D56BE4"/>
    <w:rsid w:val="00D56CA3"/>
    <w:rsid w:val="00D56F6C"/>
    <w:rsid w:val="00D56F6E"/>
    <w:rsid w:val="00D570E0"/>
    <w:rsid w:val="00D571AC"/>
    <w:rsid w:val="00D574EE"/>
    <w:rsid w:val="00D574F1"/>
    <w:rsid w:val="00D57D5A"/>
    <w:rsid w:val="00D57DA5"/>
    <w:rsid w:val="00D600B3"/>
    <w:rsid w:val="00D60182"/>
    <w:rsid w:val="00D60467"/>
    <w:rsid w:val="00D60D0C"/>
    <w:rsid w:val="00D60D51"/>
    <w:rsid w:val="00D60E51"/>
    <w:rsid w:val="00D6104A"/>
    <w:rsid w:val="00D6114D"/>
    <w:rsid w:val="00D611DC"/>
    <w:rsid w:val="00D6121B"/>
    <w:rsid w:val="00D6152B"/>
    <w:rsid w:val="00D618FA"/>
    <w:rsid w:val="00D61C6D"/>
    <w:rsid w:val="00D61CE7"/>
    <w:rsid w:val="00D62541"/>
    <w:rsid w:val="00D62757"/>
    <w:rsid w:val="00D6290E"/>
    <w:rsid w:val="00D62965"/>
    <w:rsid w:val="00D62A10"/>
    <w:rsid w:val="00D633E7"/>
    <w:rsid w:val="00D634CA"/>
    <w:rsid w:val="00D635B5"/>
    <w:rsid w:val="00D63791"/>
    <w:rsid w:val="00D6391B"/>
    <w:rsid w:val="00D639AD"/>
    <w:rsid w:val="00D63CC4"/>
    <w:rsid w:val="00D64027"/>
    <w:rsid w:val="00D644AE"/>
    <w:rsid w:val="00D64721"/>
    <w:rsid w:val="00D647BC"/>
    <w:rsid w:val="00D64CA4"/>
    <w:rsid w:val="00D65EB9"/>
    <w:rsid w:val="00D66506"/>
    <w:rsid w:val="00D666AF"/>
    <w:rsid w:val="00D66876"/>
    <w:rsid w:val="00D669C8"/>
    <w:rsid w:val="00D66B0F"/>
    <w:rsid w:val="00D66C2E"/>
    <w:rsid w:val="00D66F38"/>
    <w:rsid w:val="00D67015"/>
    <w:rsid w:val="00D670B8"/>
    <w:rsid w:val="00D671D1"/>
    <w:rsid w:val="00D67448"/>
    <w:rsid w:val="00D67705"/>
    <w:rsid w:val="00D67C05"/>
    <w:rsid w:val="00D67C20"/>
    <w:rsid w:val="00D67F00"/>
    <w:rsid w:val="00D7019D"/>
    <w:rsid w:val="00D70455"/>
    <w:rsid w:val="00D70882"/>
    <w:rsid w:val="00D70978"/>
    <w:rsid w:val="00D70A55"/>
    <w:rsid w:val="00D70CF4"/>
    <w:rsid w:val="00D70EB9"/>
    <w:rsid w:val="00D70F06"/>
    <w:rsid w:val="00D713D4"/>
    <w:rsid w:val="00D718A1"/>
    <w:rsid w:val="00D720BE"/>
    <w:rsid w:val="00D72174"/>
    <w:rsid w:val="00D721C6"/>
    <w:rsid w:val="00D72443"/>
    <w:rsid w:val="00D72715"/>
    <w:rsid w:val="00D72985"/>
    <w:rsid w:val="00D72A0F"/>
    <w:rsid w:val="00D72AF3"/>
    <w:rsid w:val="00D72D00"/>
    <w:rsid w:val="00D72EDD"/>
    <w:rsid w:val="00D73105"/>
    <w:rsid w:val="00D732DB"/>
    <w:rsid w:val="00D734E5"/>
    <w:rsid w:val="00D735F5"/>
    <w:rsid w:val="00D736C2"/>
    <w:rsid w:val="00D7397B"/>
    <w:rsid w:val="00D73CAF"/>
    <w:rsid w:val="00D74514"/>
    <w:rsid w:val="00D74764"/>
    <w:rsid w:val="00D748DE"/>
    <w:rsid w:val="00D74966"/>
    <w:rsid w:val="00D749ED"/>
    <w:rsid w:val="00D74A62"/>
    <w:rsid w:val="00D74A6B"/>
    <w:rsid w:val="00D75145"/>
    <w:rsid w:val="00D754B6"/>
    <w:rsid w:val="00D75631"/>
    <w:rsid w:val="00D757B0"/>
    <w:rsid w:val="00D75C9E"/>
    <w:rsid w:val="00D75FC6"/>
    <w:rsid w:val="00D76002"/>
    <w:rsid w:val="00D76089"/>
    <w:rsid w:val="00D7650D"/>
    <w:rsid w:val="00D76565"/>
    <w:rsid w:val="00D76594"/>
    <w:rsid w:val="00D76AC2"/>
    <w:rsid w:val="00D76C3E"/>
    <w:rsid w:val="00D76D56"/>
    <w:rsid w:val="00D76F25"/>
    <w:rsid w:val="00D76F6A"/>
    <w:rsid w:val="00D771F8"/>
    <w:rsid w:val="00D77375"/>
    <w:rsid w:val="00D773C0"/>
    <w:rsid w:val="00D7768D"/>
    <w:rsid w:val="00D77BBA"/>
    <w:rsid w:val="00D77F8D"/>
    <w:rsid w:val="00D80081"/>
    <w:rsid w:val="00D800BF"/>
    <w:rsid w:val="00D80892"/>
    <w:rsid w:val="00D808C7"/>
    <w:rsid w:val="00D809BC"/>
    <w:rsid w:val="00D80E07"/>
    <w:rsid w:val="00D810BD"/>
    <w:rsid w:val="00D817A4"/>
    <w:rsid w:val="00D819AD"/>
    <w:rsid w:val="00D81E89"/>
    <w:rsid w:val="00D81F1C"/>
    <w:rsid w:val="00D81FA8"/>
    <w:rsid w:val="00D8209F"/>
    <w:rsid w:val="00D82488"/>
    <w:rsid w:val="00D8264E"/>
    <w:rsid w:val="00D829D1"/>
    <w:rsid w:val="00D82AE9"/>
    <w:rsid w:val="00D82AFA"/>
    <w:rsid w:val="00D82B02"/>
    <w:rsid w:val="00D82C6C"/>
    <w:rsid w:val="00D83689"/>
    <w:rsid w:val="00D83B1C"/>
    <w:rsid w:val="00D83C4B"/>
    <w:rsid w:val="00D83D55"/>
    <w:rsid w:val="00D83DC5"/>
    <w:rsid w:val="00D84170"/>
    <w:rsid w:val="00D84373"/>
    <w:rsid w:val="00D843BD"/>
    <w:rsid w:val="00D844F8"/>
    <w:rsid w:val="00D84B97"/>
    <w:rsid w:val="00D84E6B"/>
    <w:rsid w:val="00D85371"/>
    <w:rsid w:val="00D853D3"/>
    <w:rsid w:val="00D85413"/>
    <w:rsid w:val="00D85640"/>
    <w:rsid w:val="00D85FC0"/>
    <w:rsid w:val="00D86014"/>
    <w:rsid w:val="00D86330"/>
    <w:rsid w:val="00D86349"/>
    <w:rsid w:val="00D86B40"/>
    <w:rsid w:val="00D86F3B"/>
    <w:rsid w:val="00D86FBD"/>
    <w:rsid w:val="00D872A0"/>
    <w:rsid w:val="00D874F1"/>
    <w:rsid w:val="00D87929"/>
    <w:rsid w:val="00D87CDA"/>
    <w:rsid w:val="00D87FCA"/>
    <w:rsid w:val="00D90201"/>
    <w:rsid w:val="00D9050A"/>
    <w:rsid w:val="00D90712"/>
    <w:rsid w:val="00D907AF"/>
    <w:rsid w:val="00D90CA4"/>
    <w:rsid w:val="00D912B8"/>
    <w:rsid w:val="00D91624"/>
    <w:rsid w:val="00D9172E"/>
    <w:rsid w:val="00D91FAA"/>
    <w:rsid w:val="00D92302"/>
    <w:rsid w:val="00D92514"/>
    <w:rsid w:val="00D925EA"/>
    <w:rsid w:val="00D92B76"/>
    <w:rsid w:val="00D93027"/>
    <w:rsid w:val="00D93377"/>
    <w:rsid w:val="00D93702"/>
    <w:rsid w:val="00D937E1"/>
    <w:rsid w:val="00D93FDC"/>
    <w:rsid w:val="00D940CA"/>
    <w:rsid w:val="00D941E1"/>
    <w:rsid w:val="00D9426B"/>
    <w:rsid w:val="00D94428"/>
    <w:rsid w:val="00D94507"/>
    <w:rsid w:val="00D94527"/>
    <w:rsid w:val="00D945EE"/>
    <w:rsid w:val="00D94A7C"/>
    <w:rsid w:val="00D94D5C"/>
    <w:rsid w:val="00D95896"/>
    <w:rsid w:val="00D9591D"/>
    <w:rsid w:val="00D9592E"/>
    <w:rsid w:val="00D95A0E"/>
    <w:rsid w:val="00D95C9B"/>
    <w:rsid w:val="00D95EEA"/>
    <w:rsid w:val="00D963C4"/>
    <w:rsid w:val="00D966DB"/>
    <w:rsid w:val="00D96DA9"/>
    <w:rsid w:val="00D97305"/>
    <w:rsid w:val="00D974E5"/>
    <w:rsid w:val="00D97B20"/>
    <w:rsid w:val="00DA01DD"/>
    <w:rsid w:val="00DA0337"/>
    <w:rsid w:val="00DA0F1D"/>
    <w:rsid w:val="00DA1023"/>
    <w:rsid w:val="00DA1037"/>
    <w:rsid w:val="00DA1290"/>
    <w:rsid w:val="00DA1430"/>
    <w:rsid w:val="00DA155E"/>
    <w:rsid w:val="00DA159D"/>
    <w:rsid w:val="00DA1BAD"/>
    <w:rsid w:val="00DA1F68"/>
    <w:rsid w:val="00DA2059"/>
    <w:rsid w:val="00DA207B"/>
    <w:rsid w:val="00DA2489"/>
    <w:rsid w:val="00DA2958"/>
    <w:rsid w:val="00DA2E8E"/>
    <w:rsid w:val="00DA2F35"/>
    <w:rsid w:val="00DA305F"/>
    <w:rsid w:val="00DA3243"/>
    <w:rsid w:val="00DA331E"/>
    <w:rsid w:val="00DA3324"/>
    <w:rsid w:val="00DA34D6"/>
    <w:rsid w:val="00DA3A48"/>
    <w:rsid w:val="00DA3B5F"/>
    <w:rsid w:val="00DA3BC3"/>
    <w:rsid w:val="00DA3DF4"/>
    <w:rsid w:val="00DA3FCF"/>
    <w:rsid w:val="00DA4635"/>
    <w:rsid w:val="00DA4791"/>
    <w:rsid w:val="00DA48D7"/>
    <w:rsid w:val="00DA4A28"/>
    <w:rsid w:val="00DA4AE2"/>
    <w:rsid w:val="00DA4B57"/>
    <w:rsid w:val="00DA4B6F"/>
    <w:rsid w:val="00DA54FE"/>
    <w:rsid w:val="00DA56E1"/>
    <w:rsid w:val="00DA5CAD"/>
    <w:rsid w:val="00DA5D79"/>
    <w:rsid w:val="00DA6180"/>
    <w:rsid w:val="00DA618F"/>
    <w:rsid w:val="00DA630F"/>
    <w:rsid w:val="00DA6495"/>
    <w:rsid w:val="00DA64C9"/>
    <w:rsid w:val="00DA66D3"/>
    <w:rsid w:val="00DA6828"/>
    <w:rsid w:val="00DA6889"/>
    <w:rsid w:val="00DA6914"/>
    <w:rsid w:val="00DA6BB4"/>
    <w:rsid w:val="00DA6C0E"/>
    <w:rsid w:val="00DA6D7B"/>
    <w:rsid w:val="00DA6F14"/>
    <w:rsid w:val="00DA7B02"/>
    <w:rsid w:val="00DA7CCE"/>
    <w:rsid w:val="00DB006B"/>
    <w:rsid w:val="00DB0181"/>
    <w:rsid w:val="00DB087C"/>
    <w:rsid w:val="00DB089F"/>
    <w:rsid w:val="00DB0C9C"/>
    <w:rsid w:val="00DB0EFC"/>
    <w:rsid w:val="00DB0F16"/>
    <w:rsid w:val="00DB13BD"/>
    <w:rsid w:val="00DB13C6"/>
    <w:rsid w:val="00DB199E"/>
    <w:rsid w:val="00DB1B4D"/>
    <w:rsid w:val="00DB1D79"/>
    <w:rsid w:val="00DB1E86"/>
    <w:rsid w:val="00DB2164"/>
    <w:rsid w:val="00DB2207"/>
    <w:rsid w:val="00DB24D0"/>
    <w:rsid w:val="00DB25AA"/>
    <w:rsid w:val="00DB271E"/>
    <w:rsid w:val="00DB2948"/>
    <w:rsid w:val="00DB2983"/>
    <w:rsid w:val="00DB2BED"/>
    <w:rsid w:val="00DB2BFF"/>
    <w:rsid w:val="00DB2F40"/>
    <w:rsid w:val="00DB310F"/>
    <w:rsid w:val="00DB31E5"/>
    <w:rsid w:val="00DB32AC"/>
    <w:rsid w:val="00DB3386"/>
    <w:rsid w:val="00DB356F"/>
    <w:rsid w:val="00DB37A4"/>
    <w:rsid w:val="00DB3863"/>
    <w:rsid w:val="00DB4089"/>
    <w:rsid w:val="00DB4188"/>
    <w:rsid w:val="00DB418A"/>
    <w:rsid w:val="00DB4429"/>
    <w:rsid w:val="00DB46AF"/>
    <w:rsid w:val="00DB478C"/>
    <w:rsid w:val="00DB4813"/>
    <w:rsid w:val="00DB4CDC"/>
    <w:rsid w:val="00DB54DC"/>
    <w:rsid w:val="00DB54F6"/>
    <w:rsid w:val="00DB55A8"/>
    <w:rsid w:val="00DB56DC"/>
    <w:rsid w:val="00DB5777"/>
    <w:rsid w:val="00DB5906"/>
    <w:rsid w:val="00DB5A44"/>
    <w:rsid w:val="00DB6416"/>
    <w:rsid w:val="00DB64EB"/>
    <w:rsid w:val="00DB6629"/>
    <w:rsid w:val="00DB6689"/>
    <w:rsid w:val="00DB6A7B"/>
    <w:rsid w:val="00DB7303"/>
    <w:rsid w:val="00DB73D6"/>
    <w:rsid w:val="00DB746B"/>
    <w:rsid w:val="00DB7768"/>
    <w:rsid w:val="00DC0161"/>
    <w:rsid w:val="00DC0410"/>
    <w:rsid w:val="00DC0CD5"/>
    <w:rsid w:val="00DC0D60"/>
    <w:rsid w:val="00DC0DD2"/>
    <w:rsid w:val="00DC0EF8"/>
    <w:rsid w:val="00DC1257"/>
    <w:rsid w:val="00DC1402"/>
    <w:rsid w:val="00DC150A"/>
    <w:rsid w:val="00DC19C6"/>
    <w:rsid w:val="00DC1A9E"/>
    <w:rsid w:val="00DC1DA0"/>
    <w:rsid w:val="00DC1DDF"/>
    <w:rsid w:val="00DC20D0"/>
    <w:rsid w:val="00DC23E4"/>
    <w:rsid w:val="00DC243C"/>
    <w:rsid w:val="00DC24C8"/>
    <w:rsid w:val="00DC2519"/>
    <w:rsid w:val="00DC31CE"/>
    <w:rsid w:val="00DC337A"/>
    <w:rsid w:val="00DC35C2"/>
    <w:rsid w:val="00DC3BCD"/>
    <w:rsid w:val="00DC3DC0"/>
    <w:rsid w:val="00DC3DDD"/>
    <w:rsid w:val="00DC442F"/>
    <w:rsid w:val="00DC44AE"/>
    <w:rsid w:val="00DC4804"/>
    <w:rsid w:val="00DC4941"/>
    <w:rsid w:val="00DC4BF1"/>
    <w:rsid w:val="00DC4E15"/>
    <w:rsid w:val="00DC4E89"/>
    <w:rsid w:val="00DC55FE"/>
    <w:rsid w:val="00DC56CE"/>
    <w:rsid w:val="00DC56D9"/>
    <w:rsid w:val="00DC5761"/>
    <w:rsid w:val="00DC58DF"/>
    <w:rsid w:val="00DC5B2B"/>
    <w:rsid w:val="00DC60DC"/>
    <w:rsid w:val="00DC6A97"/>
    <w:rsid w:val="00DC6EC8"/>
    <w:rsid w:val="00DC6F0E"/>
    <w:rsid w:val="00DC7014"/>
    <w:rsid w:val="00DC7342"/>
    <w:rsid w:val="00DC7472"/>
    <w:rsid w:val="00DC74B7"/>
    <w:rsid w:val="00DC75ED"/>
    <w:rsid w:val="00DC78ED"/>
    <w:rsid w:val="00DC7904"/>
    <w:rsid w:val="00DC7ACE"/>
    <w:rsid w:val="00DC7B96"/>
    <w:rsid w:val="00DC7F12"/>
    <w:rsid w:val="00DD01E3"/>
    <w:rsid w:val="00DD01F2"/>
    <w:rsid w:val="00DD06DD"/>
    <w:rsid w:val="00DD06DF"/>
    <w:rsid w:val="00DD08B1"/>
    <w:rsid w:val="00DD0A32"/>
    <w:rsid w:val="00DD0A4F"/>
    <w:rsid w:val="00DD0BD4"/>
    <w:rsid w:val="00DD0E9C"/>
    <w:rsid w:val="00DD0EFB"/>
    <w:rsid w:val="00DD1365"/>
    <w:rsid w:val="00DD1577"/>
    <w:rsid w:val="00DD1737"/>
    <w:rsid w:val="00DD18DE"/>
    <w:rsid w:val="00DD19CC"/>
    <w:rsid w:val="00DD1AF1"/>
    <w:rsid w:val="00DD1B32"/>
    <w:rsid w:val="00DD1F11"/>
    <w:rsid w:val="00DD2029"/>
    <w:rsid w:val="00DD22ED"/>
    <w:rsid w:val="00DD253C"/>
    <w:rsid w:val="00DD27E1"/>
    <w:rsid w:val="00DD2BF4"/>
    <w:rsid w:val="00DD2C66"/>
    <w:rsid w:val="00DD2C93"/>
    <w:rsid w:val="00DD318D"/>
    <w:rsid w:val="00DD36C3"/>
    <w:rsid w:val="00DD3A53"/>
    <w:rsid w:val="00DD3B96"/>
    <w:rsid w:val="00DD3EE5"/>
    <w:rsid w:val="00DD3FF9"/>
    <w:rsid w:val="00DD42E1"/>
    <w:rsid w:val="00DD4382"/>
    <w:rsid w:val="00DD461C"/>
    <w:rsid w:val="00DD4D2C"/>
    <w:rsid w:val="00DD4DC0"/>
    <w:rsid w:val="00DD51BC"/>
    <w:rsid w:val="00DD59D8"/>
    <w:rsid w:val="00DD5ADD"/>
    <w:rsid w:val="00DD5BF5"/>
    <w:rsid w:val="00DD5D51"/>
    <w:rsid w:val="00DD5FE1"/>
    <w:rsid w:val="00DD602C"/>
    <w:rsid w:val="00DD6037"/>
    <w:rsid w:val="00DD66B9"/>
    <w:rsid w:val="00DD6772"/>
    <w:rsid w:val="00DD7039"/>
    <w:rsid w:val="00DD70BB"/>
    <w:rsid w:val="00DD7249"/>
    <w:rsid w:val="00DD7329"/>
    <w:rsid w:val="00DD7717"/>
    <w:rsid w:val="00DD7DA9"/>
    <w:rsid w:val="00DD7E9D"/>
    <w:rsid w:val="00DD7F98"/>
    <w:rsid w:val="00DE013D"/>
    <w:rsid w:val="00DE04EA"/>
    <w:rsid w:val="00DE061E"/>
    <w:rsid w:val="00DE082D"/>
    <w:rsid w:val="00DE0C78"/>
    <w:rsid w:val="00DE0C83"/>
    <w:rsid w:val="00DE0E1B"/>
    <w:rsid w:val="00DE120B"/>
    <w:rsid w:val="00DE1246"/>
    <w:rsid w:val="00DE1C74"/>
    <w:rsid w:val="00DE1D35"/>
    <w:rsid w:val="00DE2562"/>
    <w:rsid w:val="00DE2658"/>
    <w:rsid w:val="00DE27F0"/>
    <w:rsid w:val="00DE2B10"/>
    <w:rsid w:val="00DE313C"/>
    <w:rsid w:val="00DE32B7"/>
    <w:rsid w:val="00DE3305"/>
    <w:rsid w:val="00DE3467"/>
    <w:rsid w:val="00DE3882"/>
    <w:rsid w:val="00DE39C4"/>
    <w:rsid w:val="00DE3E8F"/>
    <w:rsid w:val="00DE3FF9"/>
    <w:rsid w:val="00DE41CA"/>
    <w:rsid w:val="00DE483B"/>
    <w:rsid w:val="00DE48F3"/>
    <w:rsid w:val="00DE4CA2"/>
    <w:rsid w:val="00DE4E1D"/>
    <w:rsid w:val="00DE527C"/>
    <w:rsid w:val="00DE541B"/>
    <w:rsid w:val="00DE590E"/>
    <w:rsid w:val="00DE6216"/>
    <w:rsid w:val="00DE6958"/>
    <w:rsid w:val="00DE6E7A"/>
    <w:rsid w:val="00DE6EB4"/>
    <w:rsid w:val="00DE7360"/>
    <w:rsid w:val="00DE7680"/>
    <w:rsid w:val="00DE79F7"/>
    <w:rsid w:val="00DF0190"/>
    <w:rsid w:val="00DF020F"/>
    <w:rsid w:val="00DF0B9F"/>
    <w:rsid w:val="00DF0E14"/>
    <w:rsid w:val="00DF0F4C"/>
    <w:rsid w:val="00DF1143"/>
    <w:rsid w:val="00DF1451"/>
    <w:rsid w:val="00DF1549"/>
    <w:rsid w:val="00DF165F"/>
    <w:rsid w:val="00DF16A2"/>
    <w:rsid w:val="00DF1768"/>
    <w:rsid w:val="00DF1A6F"/>
    <w:rsid w:val="00DF1EB1"/>
    <w:rsid w:val="00DF2068"/>
    <w:rsid w:val="00DF226F"/>
    <w:rsid w:val="00DF2DC6"/>
    <w:rsid w:val="00DF2E12"/>
    <w:rsid w:val="00DF2F87"/>
    <w:rsid w:val="00DF311E"/>
    <w:rsid w:val="00DF3B1E"/>
    <w:rsid w:val="00DF3BBB"/>
    <w:rsid w:val="00DF3EBE"/>
    <w:rsid w:val="00DF4163"/>
    <w:rsid w:val="00DF481E"/>
    <w:rsid w:val="00DF490B"/>
    <w:rsid w:val="00DF4C3D"/>
    <w:rsid w:val="00DF4DB6"/>
    <w:rsid w:val="00DF4FCD"/>
    <w:rsid w:val="00DF514A"/>
    <w:rsid w:val="00DF528C"/>
    <w:rsid w:val="00DF592D"/>
    <w:rsid w:val="00DF59D5"/>
    <w:rsid w:val="00DF64F3"/>
    <w:rsid w:val="00DF652F"/>
    <w:rsid w:val="00DF6690"/>
    <w:rsid w:val="00DF66D0"/>
    <w:rsid w:val="00DF6804"/>
    <w:rsid w:val="00DF6B0F"/>
    <w:rsid w:val="00DF6BA4"/>
    <w:rsid w:val="00DF6BDC"/>
    <w:rsid w:val="00DF71B0"/>
    <w:rsid w:val="00DF726F"/>
    <w:rsid w:val="00DF7C94"/>
    <w:rsid w:val="00DF7DF7"/>
    <w:rsid w:val="00E005C3"/>
    <w:rsid w:val="00E00605"/>
    <w:rsid w:val="00E00AFC"/>
    <w:rsid w:val="00E010DA"/>
    <w:rsid w:val="00E0140A"/>
    <w:rsid w:val="00E017E0"/>
    <w:rsid w:val="00E01C73"/>
    <w:rsid w:val="00E01E00"/>
    <w:rsid w:val="00E01EAD"/>
    <w:rsid w:val="00E02335"/>
    <w:rsid w:val="00E024D4"/>
    <w:rsid w:val="00E026CA"/>
    <w:rsid w:val="00E02AF1"/>
    <w:rsid w:val="00E02BB0"/>
    <w:rsid w:val="00E02CA5"/>
    <w:rsid w:val="00E02CEE"/>
    <w:rsid w:val="00E02DFD"/>
    <w:rsid w:val="00E030D5"/>
    <w:rsid w:val="00E032DC"/>
    <w:rsid w:val="00E0358D"/>
    <w:rsid w:val="00E036D8"/>
    <w:rsid w:val="00E03BD8"/>
    <w:rsid w:val="00E04323"/>
    <w:rsid w:val="00E04562"/>
    <w:rsid w:val="00E0457A"/>
    <w:rsid w:val="00E04FDA"/>
    <w:rsid w:val="00E05272"/>
    <w:rsid w:val="00E05384"/>
    <w:rsid w:val="00E05684"/>
    <w:rsid w:val="00E05B53"/>
    <w:rsid w:val="00E05D35"/>
    <w:rsid w:val="00E05D88"/>
    <w:rsid w:val="00E06152"/>
    <w:rsid w:val="00E06379"/>
    <w:rsid w:val="00E065B1"/>
    <w:rsid w:val="00E06635"/>
    <w:rsid w:val="00E06CA0"/>
    <w:rsid w:val="00E06EF5"/>
    <w:rsid w:val="00E07089"/>
    <w:rsid w:val="00E070A2"/>
    <w:rsid w:val="00E070AC"/>
    <w:rsid w:val="00E07108"/>
    <w:rsid w:val="00E07586"/>
    <w:rsid w:val="00E0765F"/>
    <w:rsid w:val="00E076C3"/>
    <w:rsid w:val="00E076F3"/>
    <w:rsid w:val="00E07852"/>
    <w:rsid w:val="00E079B6"/>
    <w:rsid w:val="00E07C75"/>
    <w:rsid w:val="00E07DE2"/>
    <w:rsid w:val="00E10273"/>
    <w:rsid w:val="00E10611"/>
    <w:rsid w:val="00E1069E"/>
    <w:rsid w:val="00E106AB"/>
    <w:rsid w:val="00E107E7"/>
    <w:rsid w:val="00E10A21"/>
    <w:rsid w:val="00E10D58"/>
    <w:rsid w:val="00E10FD5"/>
    <w:rsid w:val="00E1136A"/>
    <w:rsid w:val="00E1143E"/>
    <w:rsid w:val="00E11644"/>
    <w:rsid w:val="00E11981"/>
    <w:rsid w:val="00E11ABE"/>
    <w:rsid w:val="00E11AF0"/>
    <w:rsid w:val="00E11F84"/>
    <w:rsid w:val="00E11FC0"/>
    <w:rsid w:val="00E12046"/>
    <w:rsid w:val="00E12D78"/>
    <w:rsid w:val="00E12E6D"/>
    <w:rsid w:val="00E13074"/>
    <w:rsid w:val="00E13399"/>
    <w:rsid w:val="00E1366E"/>
    <w:rsid w:val="00E13DC2"/>
    <w:rsid w:val="00E13ED4"/>
    <w:rsid w:val="00E1406B"/>
    <w:rsid w:val="00E147E4"/>
    <w:rsid w:val="00E1484F"/>
    <w:rsid w:val="00E14BAD"/>
    <w:rsid w:val="00E14DC0"/>
    <w:rsid w:val="00E14FF5"/>
    <w:rsid w:val="00E15398"/>
    <w:rsid w:val="00E1544C"/>
    <w:rsid w:val="00E15867"/>
    <w:rsid w:val="00E15875"/>
    <w:rsid w:val="00E15D7A"/>
    <w:rsid w:val="00E15E9E"/>
    <w:rsid w:val="00E16299"/>
    <w:rsid w:val="00E167B0"/>
    <w:rsid w:val="00E16EB6"/>
    <w:rsid w:val="00E16ECC"/>
    <w:rsid w:val="00E16F5F"/>
    <w:rsid w:val="00E173C8"/>
    <w:rsid w:val="00E1752E"/>
    <w:rsid w:val="00E175A8"/>
    <w:rsid w:val="00E17610"/>
    <w:rsid w:val="00E17911"/>
    <w:rsid w:val="00E17CDD"/>
    <w:rsid w:val="00E202E8"/>
    <w:rsid w:val="00E203B8"/>
    <w:rsid w:val="00E2048B"/>
    <w:rsid w:val="00E20E41"/>
    <w:rsid w:val="00E20EFF"/>
    <w:rsid w:val="00E20FF9"/>
    <w:rsid w:val="00E2125C"/>
    <w:rsid w:val="00E21447"/>
    <w:rsid w:val="00E215DB"/>
    <w:rsid w:val="00E21661"/>
    <w:rsid w:val="00E21815"/>
    <w:rsid w:val="00E21C99"/>
    <w:rsid w:val="00E220BE"/>
    <w:rsid w:val="00E22286"/>
    <w:rsid w:val="00E222CA"/>
    <w:rsid w:val="00E22EAC"/>
    <w:rsid w:val="00E23274"/>
    <w:rsid w:val="00E23701"/>
    <w:rsid w:val="00E23709"/>
    <w:rsid w:val="00E23A3D"/>
    <w:rsid w:val="00E23D7C"/>
    <w:rsid w:val="00E240AB"/>
    <w:rsid w:val="00E241A4"/>
    <w:rsid w:val="00E241CD"/>
    <w:rsid w:val="00E24240"/>
    <w:rsid w:val="00E24748"/>
    <w:rsid w:val="00E24817"/>
    <w:rsid w:val="00E2482B"/>
    <w:rsid w:val="00E24A9B"/>
    <w:rsid w:val="00E24C51"/>
    <w:rsid w:val="00E24F3C"/>
    <w:rsid w:val="00E25011"/>
    <w:rsid w:val="00E2504F"/>
    <w:rsid w:val="00E250D3"/>
    <w:rsid w:val="00E252F0"/>
    <w:rsid w:val="00E25466"/>
    <w:rsid w:val="00E25475"/>
    <w:rsid w:val="00E25660"/>
    <w:rsid w:val="00E25A63"/>
    <w:rsid w:val="00E2656A"/>
    <w:rsid w:val="00E265EF"/>
    <w:rsid w:val="00E26735"/>
    <w:rsid w:val="00E26870"/>
    <w:rsid w:val="00E26906"/>
    <w:rsid w:val="00E26D09"/>
    <w:rsid w:val="00E26E4E"/>
    <w:rsid w:val="00E274A3"/>
    <w:rsid w:val="00E275E8"/>
    <w:rsid w:val="00E275FA"/>
    <w:rsid w:val="00E27632"/>
    <w:rsid w:val="00E2786F"/>
    <w:rsid w:val="00E27A26"/>
    <w:rsid w:val="00E27BE0"/>
    <w:rsid w:val="00E27C07"/>
    <w:rsid w:val="00E301F0"/>
    <w:rsid w:val="00E3054B"/>
    <w:rsid w:val="00E3091C"/>
    <w:rsid w:val="00E3099A"/>
    <w:rsid w:val="00E30B54"/>
    <w:rsid w:val="00E311EE"/>
    <w:rsid w:val="00E31298"/>
    <w:rsid w:val="00E31400"/>
    <w:rsid w:val="00E31431"/>
    <w:rsid w:val="00E319DC"/>
    <w:rsid w:val="00E319EF"/>
    <w:rsid w:val="00E31BF2"/>
    <w:rsid w:val="00E31E34"/>
    <w:rsid w:val="00E31EE6"/>
    <w:rsid w:val="00E31F22"/>
    <w:rsid w:val="00E32255"/>
    <w:rsid w:val="00E322D4"/>
    <w:rsid w:val="00E32403"/>
    <w:rsid w:val="00E325C5"/>
    <w:rsid w:val="00E3300C"/>
    <w:rsid w:val="00E330B9"/>
    <w:rsid w:val="00E331C3"/>
    <w:rsid w:val="00E33227"/>
    <w:rsid w:val="00E335C2"/>
    <w:rsid w:val="00E3383B"/>
    <w:rsid w:val="00E33CF9"/>
    <w:rsid w:val="00E33D10"/>
    <w:rsid w:val="00E33FD5"/>
    <w:rsid w:val="00E34082"/>
    <w:rsid w:val="00E34772"/>
    <w:rsid w:val="00E34A17"/>
    <w:rsid w:val="00E34A29"/>
    <w:rsid w:val="00E34BC7"/>
    <w:rsid w:val="00E34D18"/>
    <w:rsid w:val="00E34E4C"/>
    <w:rsid w:val="00E3529F"/>
    <w:rsid w:val="00E35303"/>
    <w:rsid w:val="00E3572A"/>
    <w:rsid w:val="00E3585B"/>
    <w:rsid w:val="00E35D77"/>
    <w:rsid w:val="00E35E1F"/>
    <w:rsid w:val="00E35FFE"/>
    <w:rsid w:val="00E363E3"/>
    <w:rsid w:val="00E365E6"/>
    <w:rsid w:val="00E36FA1"/>
    <w:rsid w:val="00E3700D"/>
    <w:rsid w:val="00E37073"/>
    <w:rsid w:val="00E37117"/>
    <w:rsid w:val="00E3743E"/>
    <w:rsid w:val="00E376C0"/>
    <w:rsid w:val="00E37B35"/>
    <w:rsid w:val="00E37BB2"/>
    <w:rsid w:val="00E404A3"/>
    <w:rsid w:val="00E407EB"/>
    <w:rsid w:val="00E40992"/>
    <w:rsid w:val="00E409B2"/>
    <w:rsid w:val="00E40D6C"/>
    <w:rsid w:val="00E40E57"/>
    <w:rsid w:val="00E40F57"/>
    <w:rsid w:val="00E4100D"/>
    <w:rsid w:val="00E41029"/>
    <w:rsid w:val="00E4114F"/>
    <w:rsid w:val="00E412D0"/>
    <w:rsid w:val="00E414AA"/>
    <w:rsid w:val="00E415EB"/>
    <w:rsid w:val="00E41715"/>
    <w:rsid w:val="00E420AD"/>
    <w:rsid w:val="00E42103"/>
    <w:rsid w:val="00E42108"/>
    <w:rsid w:val="00E4229E"/>
    <w:rsid w:val="00E422E9"/>
    <w:rsid w:val="00E4230A"/>
    <w:rsid w:val="00E425A4"/>
    <w:rsid w:val="00E426C8"/>
    <w:rsid w:val="00E42731"/>
    <w:rsid w:val="00E4277D"/>
    <w:rsid w:val="00E428A0"/>
    <w:rsid w:val="00E42BC6"/>
    <w:rsid w:val="00E42C5C"/>
    <w:rsid w:val="00E433EE"/>
    <w:rsid w:val="00E435E5"/>
    <w:rsid w:val="00E43751"/>
    <w:rsid w:val="00E439E9"/>
    <w:rsid w:val="00E43B6F"/>
    <w:rsid w:val="00E43E9C"/>
    <w:rsid w:val="00E4415A"/>
    <w:rsid w:val="00E4432B"/>
    <w:rsid w:val="00E449C6"/>
    <w:rsid w:val="00E44AA4"/>
    <w:rsid w:val="00E44F97"/>
    <w:rsid w:val="00E4548F"/>
    <w:rsid w:val="00E45C9B"/>
    <w:rsid w:val="00E45D15"/>
    <w:rsid w:val="00E460D7"/>
    <w:rsid w:val="00E46191"/>
    <w:rsid w:val="00E467DF"/>
    <w:rsid w:val="00E4688E"/>
    <w:rsid w:val="00E4696A"/>
    <w:rsid w:val="00E46BC6"/>
    <w:rsid w:val="00E470D8"/>
    <w:rsid w:val="00E4712E"/>
    <w:rsid w:val="00E47318"/>
    <w:rsid w:val="00E47A4C"/>
    <w:rsid w:val="00E50993"/>
    <w:rsid w:val="00E50D2D"/>
    <w:rsid w:val="00E50EC7"/>
    <w:rsid w:val="00E51001"/>
    <w:rsid w:val="00E5107E"/>
    <w:rsid w:val="00E51128"/>
    <w:rsid w:val="00E512CD"/>
    <w:rsid w:val="00E51400"/>
    <w:rsid w:val="00E519A5"/>
    <w:rsid w:val="00E51B41"/>
    <w:rsid w:val="00E51C4F"/>
    <w:rsid w:val="00E51CCE"/>
    <w:rsid w:val="00E51E38"/>
    <w:rsid w:val="00E51E46"/>
    <w:rsid w:val="00E5200D"/>
    <w:rsid w:val="00E5210D"/>
    <w:rsid w:val="00E526E1"/>
    <w:rsid w:val="00E53208"/>
    <w:rsid w:val="00E5387A"/>
    <w:rsid w:val="00E53A93"/>
    <w:rsid w:val="00E53C29"/>
    <w:rsid w:val="00E53D4D"/>
    <w:rsid w:val="00E54347"/>
    <w:rsid w:val="00E5482B"/>
    <w:rsid w:val="00E54958"/>
    <w:rsid w:val="00E54967"/>
    <w:rsid w:val="00E54FBE"/>
    <w:rsid w:val="00E55167"/>
    <w:rsid w:val="00E55582"/>
    <w:rsid w:val="00E55705"/>
    <w:rsid w:val="00E55885"/>
    <w:rsid w:val="00E558BD"/>
    <w:rsid w:val="00E55962"/>
    <w:rsid w:val="00E55C2A"/>
    <w:rsid w:val="00E55D10"/>
    <w:rsid w:val="00E55E5A"/>
    <w:rsid w:val="00E55E77"/>
    <w:rsid w:val="00E561F6"/>
    <w:rsid w:val="00E56322"/>
    <w:rsid w:val="00E564DF"/>
    <w:rsid w:val="00E56515"/>
    <w:rsid w:val="00E56569"/>
    <w:rsid w:val="00E5693F"/>
    <w:rsid w:val="00E56A7A"/>
    <w:rsid w:val="00E56C16"/>
    <w:rsid w:val="00E56F4E"/>
    <w:rsid w:val="00E571CE"/>
    <w:rsid w:val="00E5735D"/>
    <w:rsid w:val="00E574E5"/>
    <w:rsid w:val="00E575EB"/>
    <w:rsid w:val="00E5773A"/>
    <w:rsid w:val="00E5789D"/>
    <w:rsid w:val="00E57C53"/>
    <w:rsid w:val="00E57D05"/>
    <w:rsid w:val="00E6007B"/>
    <w:rsid w:val="00E601C2"/>
    <w:rsid w:val="00E608B5"/>
    <w:rsid w:val="00E60982"/>
    <w:rsid w:val="00E60A53"/>
    <w:rsid w:val="00E60C16"/>
    <w:rsid w:val="00E610D5"/>
    <w:rsid w:val="00E611A8"/>
    <w:rsid w:val="00E61287"/>
    <w:rsid w:val="00E6130D"/>
    <w:rsid w:val="00E61604"/>
    <w:rsid w:val="00E616E8"/>
    <w:rsid w:val="00E617E0"/>
    <w:rsid w:val="00E61800"/>
    <w:rsid w:val="00E61B1C"/>
    <w:rsid w:val="00E621DB"/>
    <w:rsid w:val="00E62467"/>
    <w:rsid w:val="00E6297B"/>
    <w:rsid w:val="00E629CF"/>
    <w:rsid w:val="00E62C62"/>
    <w:rsid w:val="00E630E0"/>
    <w:rsid w:val="00E634A2"/>
    <w:rsid w:val="00E634F5"/>
    <w:rsid w:val="00E63608"/>
    <w:rsid w:val="00E63906"/>
    <w:rsid w:val="00E63BCF"/>
    <w:rsid w:val="00E63C74"/>
    <w:rsid w:val="00E643C5"/>
    <w:rsid w:val="00E646A1"/>
    <w:rsid w:val="00E64721"/>
    <w:rsid w:val="00E648C6"/>
    <w:rsid w:val="00E64B2E"/>
    <w:rsid w:val="00E64BE6"/>
    <w:rsid w:val="00E64BFF"/>
    <w:rsid w:val="00E64D40"/>
    <w:rsid w:val="00E650CE"/>
    <w:rsid w:val="00E653D9"/>
    <w:rsid w:val="00E6546B"/>
    <w:rsid w:val="00E654C1"/>
    <w:rsid w:val="00E655F2"/>
    <w:rsid w:val="00E65D97"/>
    <w:rsid w:val="00E661ED"/>
    <w:rsid w:val="00E66241"/>
    <w:rsid w:val="00E666FB"/>
    <w:rsid w:val="00E6673F"/>
    <w:rsid w:val="00E66786"/>
    <w:rsid w:val="00E66C08"/>
    <w:rsid w:val="00E67557"/>
    <w:rsid w:val="00E67602"/>
    <w:rsid w:val="00E67DA0"/>
    <w:rsid w:val="00E70115"/>
    <w:rsid w:val="00E701EF"/>
    <w:rsid w:val="00E702BB"/>
    <w:rsid w:val="00E703C3"/>
    <w:rsid w:val="00E70711"/>
    <w:rsid w:val="00E70749"/>
    <w:rsid w:val="00E70781"/>
    <w:rsid w:val="00E708B1"/>
    <w:rsid w:val="00E70959"/>
    <w:rsid w:val="00E709B0"/>
    <w:rsid w:val="00E70CDF"/>
    <w:rsid w:val="00E70D7A"/>
    <w:rsid w:val="00E70DFB"/>
    <w:rsid w:val="00E71075"/>
    <w:rsid w:val="00E712B2"/>
    <w:rsid w:val="00E71381"/>
    <w:rsid w:val="00E714B0"/>
    <w:rsid w:val="00E71D1C"/>
    <w:rsid w:val="00E71EA1"/>
    <w:rsid w:val="00E72100"/>
    <w:rsid w:val="00E72122"/>
    <w:rsid w:val="00E72125"/>
    <w:rsid w:val="00E7226C"/>
    <w:rsid w:val="00E72340"/>
    <w:rsid w:val="00E72A5A"/>
    <w:rsid w:val="00E72B94"/>
    <w:rsid w:val="00E72FA0"/>
    <w:rsid w:val="00E73354"/>
    <w:rsid w:val="00E738CD"/>
    <w:rsid w:val="00E739E3"/>
    <w:rsid w:val="00E74387"/>
    <w:rsid w:val="00E74622"/>
    <w:rsid w:val="00E746DC"/>
    <w:rsid w:val="00E74796"/>
    <w:rsid w:val="00E74A55"/>
    <w:rsid w:val="00E74E86"/>
    <w:rsid w:val="00E74E8C"/>
    <w:rsid w:val="00E75227"/>
    <w:rsid w:val="00E75525"/>
    <w:rsid w:val="00E75658"/>
    <w:rsid w:val="00E75A82"/>
    <w:rsid w:val="00E75E3A"/>
    <w:rsid w:val="00E76237"/>
    <w:rsid w:val="00E76404"/>
    <w:rsid w:val="00E76997"/>
    <w:rsid w:val="00E76B30"/>
    <w:rsid w:val="00E76EC1"/>
    <w:rsid w:val="00E76F2C"/>
    <w:rsid w:val="00E76F81"/>
    <w:rsid w:val="00E77085"/>
    <w:rsid w:val="00E776C3"/>
    <w:rsid w:val="00E7779D"/>
    <w:rsid w:val="00E77D57"/>
    <w:rsid w:val="00E77FF5"/>
    <w:rsid w:val="00E8022D"/>
    <w:rsid w:val="00E809B8"/>
    <w:rsid w:val="00E80EEC"/>
    <w:rsid w:val="00E80FED"/>
    <w:rsid w:val="00E8124A"/>
    <w:rsid w:val="00E81827"/>
    <w:rsid w:val="00E819A7"/>
    <w:rsid w:val="00E821A0"/>
    <w:rsid w:val="00E823C9"/>
    <w:rsid w:val="00E8272F"/>
    <w:rsid w:val="00E82AF5"/>
    <w:rsid w:val="00E82CBE"/>
    <w:rsid w:val="00E82CF9"/>
    <w:rsid w:val="00E82D1F"/>
    <w:rsid w:val="00E82F92"/>
    <w:rsid w:val="00E83166"/>
    <w:rsid w:val="00E832A5"/>
    <w:rsid w:val="00E83625"/>
    <w:rsid w:val="00E838AB"/>
    <w:rsid w:val="00E838FA"/>
    <w:rsid w:val="00E83C12"/>
    <w:rsid w:val="00E83E8B"/>
    <w:rsid w:val="00E8406F"/>
    <w:rsid w:val="00E8455B"/>
    <w:rsid w:val="00E84568"/>
    <w:rsid w:val="00E845F4"/>
    <w:rsid w:val="00E84682"/>
    <w:rsid w:val="00E848F3"/>
    <w:rsid w:val="00E84C1F"/>
    <w:rsid w:val="00E84CF1"/>
    <w:rsid w:val="00E84D78"/>
    <w:rsid w:val="00E84EB3"/>
    <w:rsid w:val="00E84F81"/>
    <w:rsid w:val="00E84FA1"/>
    <w:rsid w:val="00E8509C"/>
    <w:rsid w:val="00E850AC"/>
    <w:rsid w:val="00E859B1"/>
    <w:rsid w:val="00E859D2"/>
    <w:rsid w:val="00E85D29"/>
    <w:rsid w:val="00E85D5D"/>
    <w:rsid w:val="00E85E63"/>
    <w:rsid w:val="00E86050"/>
    <w:rsid w:val="00E860C4"/>
    <w:rsid w:val="00E8643B"/>
    <w:rsid w:val="00E8667E"/>
    <w:rsid w:val="00E868B1"/>
    <w:rsid w:val="00E8696E"/>
    <w:rsid w:val="00E86F18"/>
    <w:rsid w:val="00E86F78"/>
    <w:rsid w:val="00E8731A"/>
    <w:rsid w:val="00E87342"/>
    <w:rsid w:val="00E873AE"/>
    <w:rsid w:val="00E87622"/>
    <w:rsid w:val="00E87C18"/>
    <w:rsid w:val="00E87E55"/>
    <w:rsid w:val="00E87F09"/>
    <w:rsid w:val="00E9002A"/>
    <w:rsid w:val="00E9024A"/>
    <w:rsid w:val="00E90488"/>
    <w:rsid w:val="00E904FE"/>
    <w:rsid w:val="00E90A6C"/>
    <w:rsid w:val="00E90B0B"/>
    <w:rsid w:val="00E91196"/>
    <w:rsid w:val="00E91886"/>
    <w:rsid w:val="00E919B0"/>
    <w:rsid w:val="00E91B6F"/>
    <w:rsid w:val="00E91BB6"/>
    <w:rsid w:val="00E91D83"/>
    <w:rsid w:val="00E91EC6"/>
    <w:rsid w:val="00E91F64"/>
    <w:rsid w:val="00E92211"/>
    <w:rsid w:val="00E92319"/>
    <w:rsid w:val="00E9242D"/>
    <w:rsid w:val="00E92469"/>
    <w:rsid w:val="00E92FB8"/>
    <w:rsid w:val="00E934E5"/>
    <w:rsid w:val="00E93CB6"/>
    <w:rsid w:val="00E93E62"/>
    <w:rsid w:val="00E94352"/>
    <w:rsid w:val="00E94458"/>
    <w:rsid w:val="00E94844"/>
    <w:rsid w:val="00E94B9B"/>
    <w:rsid w:val="00E94E8D"/>
    <w:rsid w:val="00E95009"/>
    <w:rsid w:val="00E954C8"/>
    <w:rsid w:val="00E957BC"/>
    <w:rsid w:val="00E95929"/>
    <w:rsid w:val="00E95C01"/>
    <w:rsid w:val="00E95DBC"/>
    <w:rsid w:val="00E96107"/>
    <w:rsid w:val="00E961DD"/>
    <w:rsid w:val="00E962D7"/>
    <w:rsid w:val="00E96697"/>
    <w:rsid w:val="00E9683D"/>
    <w:rsid w:val="00E96D52"/>
    <w:rsid w:val="00E9717C"/>
    <w:rsid w:val="00E974D9"/>
    <w:rsid w:val="00E9765B"/>
    <w:rsid w:val="00E979AD"/>
    <w:rsid w:val="00E97CAA"/>
    <w:rsid w:val="00E97F30"/>
    <w:rsid w:val="00EA0213"/>
    <w:rsid w:val="00EA0265"/>
    <w:rsid w:val="00EA0466"/>
    <w:rsid w:val="00EA05F4"/>
    <w:rsid w:val="00EA0645"/>
    <w:rsid w:val="00EA0A15"/>
    <w:rsid w:val="00EA0BEC"/>
    <w:rsid w:val="00EA0C9B"/>
    <w:rsid w:val="00EA1566"/>
    <w:rsid w:val="00EA16DF"/>
    <w:rsid w:val="00EA1872"/>
    <w:rsid w:val="00EA1B23"/>
    <w:rsid w:val="00EA1C92"/>
    <w:rsid w:val="00EA1FD4"/>
    <w:rsid w:val="00EA2010"/>
    <w:rsid w:val="00EA201F"/>
    <w:rsid w:val="00EA2265"/>
    <w:rsid w:val="00EA22D6"/>
    <w:rsid w:val="00EA2992"/>
    <w:rsid w:val="00EA2A9A"/>
    <w:rsid w:val="00EA2E19"/>
    <w:rsid w:val="00EA3276"/>
    <w:rsid w:val="00EA32C2"/>
    <w:rsid w:val="00EA3666"/>
    <w:rsid w:val="00EA3680"/>
    <w:rsid w:val="00EA3725"/>
    <w:rsid w:val="00EA37DB"/>
    <w:rsid w:val="00EA3898"/>
    <w:rsid w:val="00EA392A"/>
    <w:rsid w:val="00EA3962"/>
    <w:rsid w:val="00EA3984"/>
    <w:rsid w:val="00EA3C01"/>
    <w:rsid w:val="00EA3E6F"/>
    <w:rsid w:val="00EA4413"/>
    <w:rsid w:val="00EA4C2E"/>
    <w:rsid w:val="00EA50F3"/>
    <w:rsid w:val="00EA5231"/>
    <w:rsid w:val="00EA55C1"/>
    <w:rsid w:val="00EA5792"/>
    <w:rsid w:val="00EA6305"/>
    <w:rsid w:val="00EA637B"/>
    <w:rsid w:val="00EA656C"/>
    <w:rsid w:val="00EA658E"/>
    <w:rsid w:val="00EA6789"/>
    <w:rsid w:val="00EA678A"/>
    <w:rsid w:val="00EA681A"/>
    <w:rsid w:val="00EA6836"/>
    <w:rsid w:val="00EA68BB"/>
    <w:rsid w:val="00EA6A4F"/>
    <w:rsid w:val="00EA6B3C"/>
    <w:rsid w:val="00EA6C07"/>
    <w:rsid w:val="00EA6F4C"/>
    <w:rsid w:val="00EA7036"/>
    <w:rsid w:val="00EA70A9"/>
    <w:rsid w:val="00EA7287"/>
    <w:rsid w:val="00EA7AF5"/>
    <w:rsid w:val="00EA7AFA"/>
    <w:rsid w:val="00EA7BC2"/>
    <w:rsid w:val="00EA7C59"/>
    <w:rsid w:val="00EA7F28"/>
    <w:rsid w:val="00EB01E9"/>
    <w:rsid w:val="00EB0303"/>
    <w:rsid w:val="00EB098F"/>
    <w:rsid w:val="00EB09E3"/>
    <w:rsid w:val="00EB0D23"/>
    <w:rsid w:val="00EB1666"/>
    <w:rsid w:val="00EB17F4"/>
    <w:rsid w:val="00EB1B59"/>
    <w:rsid w:val="00EB21D4"/>
    <w:rsid w:val="00EB2234"/>
    <w:rsid w:val="00EB24E8"/>
    <w:rsid w:val="00EB29D1"/>
    <w:rsid w:val="00EB2B4A"/>
    <w:rsid w:val="00EB2BC6"/>
    <w:rsid w:val="00EB2BC9"/>
    <w:rsid w:val="00EB2C70"/>
    <w:rsid w:val="00EB2E98"/>
    <w:rsid w:val="00EB2FB2"/>
    <w:rsid w:val="00EB3721"/>
    <w:rsid w:val="00EB3732"/>
    <w:rsid w:val="00EB38C5"/>
    <w:rsid w:val="00EB39B3"/>
    <w:rsid w:val="00EB3AA5"/>
    <w:rsid w:val="00EB3AEE"/>
    <w:rsid w:val="00EB3E8A"/>
    <w:rsid w:val="00EB3F63"/>
    <w:rsid w:val="00EB4418"/>
    <w:rsid w:val="00EB4503"/>
    <w:rsid w:val="00EB463E"/>
    <w:rsid w:val="00EB4780"/>
    <w:rsid w:val="00EB4AB7"/>
    <w:rsid w:val="00EB4D14"/>
    <w:rsid w:val="00EB4D67"/>
    <w:rsid w:val="00EB4F0E"/>
    <w:rsid w:val="00EB5255"/>
    <w:rsid w:val="00EB5659"/>
    <w:rsid w:val="00EB596C"/>
    <w:rsid w:val="00EB59E0"/>
    <w:rsid w:val="00EB5C47"/>
    <w:rsid w:val="00EB5CFA"/>
    <w:rsid w:val="00EB5E5E"/>
    <w:rsid w:val="00EB5EA4"/>
    <w:rsid w:val="00EB60D7"/>
    <w:rsid w:val="00EB63F8"/>
    <w:rsid w:val="00EB64A7"/>
    <w:rsid w:val="00EB6526"/>
    <w:rsid w:val="00EB71E7"/>
    <w:rsid w:val="00EB72D9"/>
    <w:rsid w:val="00EC02F0"/>
    <w:rsid w:val="00EC04EA"/>
    <w:rsid w:val="00EC0619"/>
    <w:rsid w:val="00EC08B2"/>
    <w:rsid w:val="00EC0E46"/>
    <w:rsid w:val="00EC1288"/>
    <w:rsid w:val="00EC13DC"/>
    <w:rsid w:val="00EC1A72"/>
    <w:rsid w:val="00EC1AE1"/>
    <w:rsid w:val="00EC1EDB"/>
    <w:rsid w:val="00EC2089"/>
    <w:rsid w:val="00EC237F"/>
    <w:rsid w:val="00EC245C"/>
    <w:rsid w:val="00EC25CF"/>
    <w:rsid w:val="00EC260D"/>
    <w:rsid w:val="00EC26BB"/>
    <w:rsid w:val="00EC275D"/>
    <w:rsid w:val="00EC29E9"/>
    <w:rsid w:val="00EC2B1A"/>
    <w:rsid w:val="00EC309C"/>
    <w:rsid w:val="00EC3751"/>
    <w:rsid w:val="00EC3A2A"/>
    <w:rsid w:val="00EC3DC7"/>
    <w:rsid w:val="00EC4390"/>
    <w:rsid w:val="00EC45FE"/>
    <w:rsid w:val="00EC46C7"/>
    <w:rsid w:val="00EC46E3"/>
    <w:rsid w:val="00EC4A10"/>
    <w:rsid w:val="00EC4AAA"/>
    <w:rsid w:val="00EC4F76"/>
    <w:rsid w:val="00EC5206"/>
    <w:rsid w:val="00EC5C03"/>
    <w:rsid w:val="00EC5CDE"/>
    <w:rsid w:val="00EC64FF"/>
    <w:rsid w:val="00EC6625"/>
    <w:rsid w:val="00EC6696"/>
    <w:rsid w:val="00EC6792"/>
    <w:rsid w:val="00EC6870"/>
    <w:rsid w:val="00EC6B87"/>
    <w:rsid w:val="00EC6CB4"/>
    <w:rsid w:val="00EC704F"/>
    <w:rsid w:val="00EC7575"/>
    <w:rsid w:val="00EC7655"/>
    <w:rsid w:val="00EC785F"/>
    <w:rsid w:val="00EC7B2B"/>
    <w:rsid w:val="00EC7CF5"/>
    <w:rsid w:val="00EC7E60"/>
    <w:rsid w:val="00ED007E"/>
    <w:rsid w:val="00ED00AD"/>
    <w:rsid w:val="00ED04A2"/>
    <w:rsid w:val="00ED0639"/>
    <w:rsid w:val="00ED0984"/>
    <w:rsid w:val="00ED0DEC"/>
    <w:rsid w:val="00ED0EB4"/>
    <w:rsid w:val="00ED0FB1"/>
    <w:rsid w:val="00ED11ED"/>
    <w:rsid w:val="00ED1703"/>
    <w:rsid w:val="00ED1C3B"/>
    <w:rsid w:val="00ED2819"/>
    <w:rsid w:val="00ED289D"/>
    <w:rsid w:val="00ED2958"/>
    <w:rsid w:val="00ED2983"/>
    <w:rsid w:val="00ED2D68"/>
    <w:rsid w:val="00ED31F8"/>
    <w:rsid w:val="00ED3302"/>
    <w:rsid w:val="00ED3418"/>
    <w:rsid w:val="00ED3453"/>
    <w:rsid w:val="00ED34F8"/>
    <w:rsid w:val="00ED35CB"/>
    <w:rsid w:val="00ED3E6E"/>
    <w:rsid w:val="00ED3FDD"/>
    <w:rsid w:val="00ED4049"/>
    <w:rsid w:val="00ED4096"/>
    <w:rsid w:val="00ED45C7"/>
    <w:rsid w:val="00ED4896"/>
    <w:rsid w:val="00ED4B96"/>
    <w:rsid w:val="00ED4DF1"/>
    <w:rsid w:val="00ED4F7E"/>
    <w:rsid w:val="00ED4FA4"/>
    <w:rsid w:val="00ED51FF"/>
    <w:rsid w:val="00ED54DF"/>
    <w:rsid w:val="00ED56D8"/>
    <w:rsid w:val="00ED58D0"/>
    <w:rsid w:val="00ED5B9B"/>
    <w:rsid w:val="00ED5D6C"/>
    <w:rsid w:val="00ED6035"/>
    <w:rsid w:val="00ED68A1"/>
    <w:rsid w:val="00ED68B9"/>
    <w:rsid w:val="00ED6DAB"/>
    <w:rsid w:val="00ED6DE6"/>
    <w:rsid w:val="00ED6EBA"/>
    <w:rsid w:val="00ED7066"/>
    <w:rsid w:val="00ED7286"/>
    <w:rsid w:val="00ED7698"/>
    <w:rsid w:val="00ED78B4"/>
    <w:rsid w:val="00ED7BF4"/>
    <w:rsid w:val="00ED7C1B"/>
    <w:rsid w:val="00ED7CF4"/>
    <w:rsid w:val="00ED7FDF"/>
    <w:rsid w:val="00EE034D"/>
    <w:rsid w:val="00EE03F6"/>
    <w:rsid w:val="00EE04C1"/>
    <w:rsid w:val="00EE05BA"/>
    <w:rsid w:val="00EE0814"/>
    <w:rsid w:val="00EE083C"/>
    <w:rsid w:val="00EE09A1"/>
    <w:rsid w:val="00EE0A65"/>
    <w:rsid w:val="00EE0C88"/>
    <w:rsid w:val="00EE10A0"/>
    <w:rsid w:val="00EE10B1"/>
    <w:rsid w:val="00EE14B1"/>
    <w:rsid w:val="00EE1644"/>
    <w:rsid w:val="00EE17BF"/>
    <w:rsid w:val="00EE18B2"/>
    <w:rsid w:val="00EE18F1"/>
    <w:rsid w:val="00EE1D10"/>
    <w:rsid w:val="00EE2134"/>
    <w:rsid w:val="00EE2176"/>
    <w:rsid w:val="00EE2214"/>
    <w:rsid w:val="00EE271A"/>
    <w:rsid w:val="00EE2A4F"/>
    <w:rsid w:val="00EE2C95"/>
    <w:rsid w:val="00EE2D9A"/>
    <w:rsid w:val="00EE2DBB"/>
    <w:rsid w:val="00EE2F30"/>
    <w:rsid w:val="00EE2F52"/>
    <w:rsid w:val="00EE2F5B"/>
    <w:rsid w:val="00EE32BD"/>
    <w:rsid w:val="00EE3CBF"/>
    <w:rsid w:val="00EE3D95"/>
    <w:rsid w:val="00EE3DA5"/>
    <w:rsid w:val="00EE42E5"/>
    <w:rsid w:val="00EE437E"/>
    <w:rsid w:val="00EE4441"/>
    <w:rsid w:val="00EE46A5"/>
    <w:rsid w:val="00EE4B2C"/>
    <w:rsid w:val="00EE4C8B"/>
    <w:rsid w:val="00EE515B"/>
    <w:rsid w:val="00EE535A"/>
    <w:rsid w:val="00EE5401"/>
    <w:rsid w:val="00EE54F2"/>
    <w:rsid w:val="00EE56B6"/>
    <w:rsid w:val="00EE5881"/>
    <w:rsid w:val="00EE5892"/>
    <w:rsid w:val="00EE5AE1"/>
    <w:rsid w:val="00EE5CA9"/>
    <w:rsid w:val="00EE613B"/>
    <w:rsid w:val="00EE6400"/>
    <w:rsid w:val="00EE6D09"/>
    <w:rsid w:val="00EE6F5E"/>
    <w:rsid w:val="00EE7014"/>
    <w:rsid w:val="00EE704C"/>
    <w:rsid w:val="00EE708D"/>
    <w:rsid w:val="00EE757D"/>
    <w:rsid w:val="00EE7ACF"/>
    <w:rsid w:val="00EE7C6F"/>
    <w:rsid w:val="00EE7CA9"/>
    <w:rsid w:val="00EE7D72"/>
    <w:rsid w:val="00EF00B2"/>
    <w:rsid w:val="00EF0118"/>
    <w:rsid w:val="00EF04FA"/>
    <w:rsid w:val="00EF0547"/>
    <w:rsid w:val="00EF05AD"/>
    <w:rsid w:val="00EF08EB"/>
    <w:rsid w:val="00EF0CB5"/>
    <w:rsid w:val="00EF0D6E"/>
    <w:rsid w:val="00EF0F78"/>
    <w:rsid w:val="00EF1425"/>
    <w:rsid w:val="00EF1793"/>
    <w:rsid w:val="00EF1986"/>
    <w:rsid w:val="00EF1BCD"/>
    <w:rsid w:val="00EF1CB1"/>
    <w:rsid w:val="00EF1D54"/>
    <w:rsid w:val="00EF1EF1"/>
    <w:rsid w:val="00EF1FD1"/>
    <w:rsid w:val="00EF21D9"/>
    <w:rsid w:val="00EF23AB"/>
    <w:rsid w:val="00EF2B36"/>
    <w:rsid w:val="00EF2BE7"/>
    <w:rsid w:val="00EF2F2A"/>
    <w:rsid w:val="00EF3143"/>
    <w:rsid w:val="00EF31C9"/>
    <w:rsid w:val="00EF3374"/>
    <w:rsid w:val="00EF37F0"/>
    <w:rsid w:val="00EF3892"/>
    <w:rsid w:val="00EF39AA"/>
    <w:rsid w:val="00EF3B05"/>
    <w:rsid w:val="00EF4063"/>
    <w:rsid w:val="00EF418F"/>
    <w:rsid w:val="00EF46DF"/>
    <w:rsid w:val="00EF4755"/>
    <w:rsid w:val="00EF4D67"/>
    <w:rsid w:val="00EF4E99"/>
    <w:rsid w:val="00EF4F6D"/>
    <w:rsid w:val="00EF4FC1"/>
    <w:rsid w:val="00EF53AF"/>
    <w:rsid w:val="00EF567B"/>
    <w:rsid w:val="00EF576E"/>
    <w:rsid w:val="00EF57A4"/>
    <w:rsid w:val="00EF5CB7"/>
    <w:rsid w:val="00EF5E31"/>
    <w:rsid w:val="00EF6333"/>
    <w:rsid w:val="00EF6718"/>
    <w:rsid w:val="00EF68BB"/>
    <w:rsid w:val="00EF6A25"/>
    <w:rsid w:val="00EF6FFD"/>
    <w:rsid w:val="00EF70BA"/>
    <w:rsid w:val="00EF7135"/>
    <w:rsid w:val="00EF725F"/>
    <w:rsid w:val="00EF781F"/>
    <w:rsid w:val="00EF7C90"/>
    <w:rsid w:val="00EF7D2F"/>
    <w:rsid w:val="00F008A3"/>
    <w:rsid w:val="00F0097D"/>
    <w:rsid w:val="00F00A3F"/>
    <w:rsid w:val="00F010C7"/>
    <w:rsid w:val="00F01336"/>
    <w:rsid w:val="00F01367"/>
    <w:rsid w:val="00F01439"/>
    <w:rsid w:val="00F01612"/>
    <w:rsid w:val="00F0183B"/>
    <w:rsid w:val="00F01B72"/>
    <w:rsid w:val="00F01DAA"/>
    <w:rsid w:val="00F020EF"/>
    <w:rsid w:val="00F022C9"/>
    <w:rsid w:val="00F0255F"/>
    <w:rsid w:val="00F027DB"/>
    <w:rsid w:val="00F02A8B"/>
    <w:rsid w:val="00F02AC4"/>
    <w:rsid w:val="00F02B1A"/>
    <w:rsid w:val="00F02C9E"/>
    <w:rsid w:val="00F0314E"/>
    <w:rsid w:val="00F04030"/>
    <w:rsid w:val="00F040BC"/>
    <w:rsid w:val="00F0449C"/>
    <w:rsid w:val="00F045DA"/>
    <w:rsid w:val="00F04719"/>
    <w:rsid w:val="00F04E98"/>
    <w:rsid w:val="00F05035"/>
    <w:rsid w:val="00F05436"/>
    <w:rsid w:val="00F05935"/>
    <w:rsid w:val="00F0596C"/>
    <w:rsid w:val="00F05AD1"/>
    <w:rsid w:val="00F05C31"/>
    <w:rsid w:val="00F05FE4"/>
    <w:rsid w:val="00F06D43"/>
    <w:rsid w:val="00F06EB8"/>
    <w:rsid w:val="00F070CC"/>
    <w:rsid w:val="00F074F3"/>
    <w:rsid w:val="00F07671"/>
    <w:rsid w:val="00F07719"/>
    <w:rsid w:val="00F0776D"/>
    <w:rsid w:val="00F078A8"/>
    <w:rsid w:val="00F078AE"/>
    <w:rsid w:val="00F07C6D"/>
    <w:rsid w:val="00F07FFB"/>
    <w:rsid w:val="00F1022B"/>
    <w:rsid w:val="00F10292"/>
    <w:rsid w:val="00F103E5"/>
    <w:rsid w:val="00F107A0"/>
    <w:rsid w:val="00F10EDF"/>
    <w:rsid w:val="00F11105"/>
    <w:rsid w:val="00F11504"/>
    <w:rsid w:val="00F11596"/>
    <w:rsid w:val="00F115C1"/>
    <w:rsid w:val="00F115F3"/>
    <w:rsid w:val="00F11B65"/>
    <w:rsid w:val="00F11CC4"/>
    <w:rsid w:val="00F11D0E"/>
    <w:rsid w:val="00F11DF9"/>
    <w:rsid w:val="00F12389"/>
    <w:rsid w:val="00F126D7"/>
    <w:rsid w:val="00F12DFB"/>
    <w:rsid w:val="00F12ED1"/>
    <w:rsid w:val="00F133DC"/>
    <w:rsid w:val="00F13803"/>
    <w:rsid w:val="00F13AA6"/>
    <w:rsid w:val="00F13BC0"/>
    <w:rsid w:val="00F13D32"/>
    <w:rsid w:val="00F13E4A"/>
    <w:rsid w:val="00F13F91"/>
    <w:rsid w:val="00F146F1"/>
    <w:rsid w:val="00F14A50"/>
    <w:rsid w:val="00F14A7A"/>
    <w:rsid w:val="00F14BF5"/>
    <w:rsid w:val="00F15017"/>
    <w:rsid w:val="00F15103"/>
    <w:rsid w:val="00F15459"/>
    <w:rsid w:val="00F156C0"/>
    <w:rsid w:val="00F159A0"/>
    <w:rsid w:val="00F15BA5"/>
    <w:rsid w:val="00F15BEE"/>
    <w:rsid w:val="00F15C57"/>
    <w:rsid w:val="00F15E96"/>
    <w:rsid w:val="00F15FE8"/>
    <w:rsid w:val="00F161CB"/>
    <w:rsid w:val="00F168B4"/>
    <w:rsid w:val="00F16B23"/>
    <w:rsid w:val="00F16BA3"/>
    <w:rsid w:val="00F16BC9"/>
    <w:rsid w:val="00F17300"/>
    <w:rsid w:val="00F178B8"/>
    <w:rsid w:val="00F20270"/>
    <w:rsid w:val="00F20676"/>
    <w:rsid w:val="00F20972"/>
    <w:rsid w:val="00F20D9D"/>
    <w:rsid w:val="00F20F37"/>
    <w:rsid w:val="00F21433"/>
    <w:rsid w:val="00F21516"/>
    <w:rsid w:val="00F2154E"/>
    <w:rsid w:val="00F21888"/>
    <w:rsid w:val="00F21A21"/>
    <w:rsid w:val="00F21CE9"/>
    <w:rsid w:val="00F21DC1"/>
    <w:rsid w:val="00F21DDD"/>
    <w:rsid w:val="00F2221E"/>
    <w:rsid w:val="00F22985"/>
    <w:rsid w:val="00F22A73"/>
    <w:rsid w:val="00F22ADC"/>
    <w:rsid w:val="00F22E89"/>
    <w:rsid w:val="00F239C7"/>
    <w:rsid w:val="00F23C63"/>
    <w:rsid w:val="00F23E8E"/>
    <w:rsid w:val="00F2421B"/>
    <w:rsid w:val="00F245FE"/>
    <w:rsid w:val="00F24679"/>
    <w:rsid w:val="00F24728"/>
    <w:rsid w:val="00F24DF2"/>
    <w:rsid w:val="00F24FB1"/>
    <w:rsid w:val="00F2537E"/>
    <w:rsid w:val="00F254E7"/>
    <w:rsid w:val="00F25767"/>
    <w:rsid w:val="00F25848"/>
    <w:rsid w:val="00F25BDF"/>
    <w:rsid w:val="00F25EA8"/>
    <w:rsid w:val="00F2605D"/>
    <w:rsid w:val="00F2644C"/>
    <w:rsid w:val="00F2680B"/>
    <w:rsid w:val="00F26A5C"/>
    <w:rsid w:val="00F26D9D"/>
    <w:rsid w:val="00F26E36"/>
    <w:rsid w:val="00F2727F"/>
    <w:rsid w:val="00F279AF"/>
    <w:rsid w:val="00F27AA7"/>
    <w:rsid w:val="00F27B87"/>
    <w:rsid w:val="00F30066"/>
    <w:rsid w:val="00F30200"/>
    <w:rsid w:val="00F3029E"/>
    <w:rsid w:val="00F303A7"/>
    <w:rsid w:val="00F30829"/>
    <w:rsid w:val="00F30A12"/>
    <w:rsid w:val="00F30B58"/>
    <w:rsid w:val="00F30BDB"/>
    <w:rsid w:val="00F30CCB"/>
    <w:rsid w:val="00F31125"/>
    <w:rsid w:val="00F312AC"/>
    <w:rsid w:val="00F31662"/>
    <w:rsid w:val="00F31665"/>
    <w:rsid w:val="00F3196C"/>
    <w:rsid w:val="00F31AF8"/>
    <w:rsid w:val="00F31B09"/>
    <w:rsid w:val="00F31B14"/>
    <w:rsid w:val="00F31B85"/>
    <w:rsid w:val="00F31EEF"/>
    <w:rsid w:val="00F31FA3"/>
    <w:rsid w:val="00F320AC"/>
    <w:rsid w:val="00F32107"/>
    <w:rsid w:val="00F3242F"/>
    <w:rsid w:val="00F32D88"/>
    <w:rsid w:val="00F32DA5"/>
    <w:rsid w:val="00F32E53"/>
    <w:rsid w:val="00F32EDC"/>
    <w:rsid w:val="00F33062"/>
    <w:rsid w:val="00F33130"/>
    <w:rsid w:val="00F3314C"/>
    <w:rsid w:val="00F334C8"/>
    <w:rsid w:val="00F3372C"/>
    <w:rsid w:val="00F337EB"/>
    <w:rsid w:val="00F3383E"/>
    <w:rsid w:val="00F33AC3"/>
    <w:rsid w:val="00F33B38"/>
    <w:rsid w:val="00F33F30"/>
    <w:rsid w:val="00F3413C"/>
    <w:rsid w:val="00F34187"/>
    <w:rsid w:val="00F34208"/>
    <w:rsid w:val="00F343F5"/>
    <w:rsid w:val="00F3453B"/>
    <w:rsid w:val="00F34600"/>
    <w:rsid w:val="00F34648"/>
    <w:rsid w:val="00F347E9"/>
    <w:rsid w:val="00F34935"/>
    <w:rsid w:val="00F34A08"/>
    <w:rsid w:val="00F34F7D"/>
    <w:rsid w:val="00F351B7"/>
    <w:rsid w:val="00F35521"/>
    <w:rsid w:val="00F356C5"/>
    <w:rsid w:val="00F35908"/>
    <w:rsid w:val="00F35C14"/>
    <w:rsid w:val="00F35C56"/>
    <w:rsid w:val="00F35FC9"/>
    <w:rsid w:val="00F35FDA"/>
    <w:rsid w:val="00F36407"/>
    <w:rsid w:val="00F36994"/>
    <w:rsid w:val="00F369FA"/>
    <w:rsid w:val="00F36D61"/>
    <w:rsid w:val="00F36D66"/>
    <w:rsid w:val="00F3710A"/>
    <w:rsid w:val="00F371DA"/>
    <w:rsid w:val="00F3766C"/>
    <w:rsid w:val="00F3783B"/>
    <w:rsid w:val="00F3787F"/>
    <w:rsid w:val="00F37A17"/>
    <w:rsid w:val="00F37C74"/>
    <w:rsid w:val="00F37F3D"/>
    <w:rsid w:val="00F401E7"/>
    <w:rsid w:val="00F402BC"/>
    <w:rsid w:val="00F403ED"/>
    <w:rsid w:val="00F40532"/>
    <w:rsid w:val="00F40711"/>
    <w:rsid w:val="00F40C0F"/>
    <w:rsid w:val="00F40E71"/>
    <w:rsid w:val="00F40FFE"/>
    <w:rsid w:val="00F41088"/>
    <w:rsid w:val="00F417B8"/>
    <w:rsid w:val="00F417D8"/>
    <w:rsid w:val="00F41926"/>
    <w:rsid w:val="00F41A7C"/>
    <w:rsid w:val="00F41F4F"/>
    <w:rsid w:val="00F41FAA"/>
    <w:rsid w:val="00F4216D"/>
    <w:rsid w:val="00F424EA"/>
    <w:rsid w:val="00F428A0"/>
    <w:rsid w:val="00F42A6A"/>
    <w:rsid w:val="00F42B0C"/>
    <w:rsid w:val="00F42E32"/>
    <w:rsid w:val="00F42EAE"/>
    <w:rsid w:val="00F4321C"/>
    <w:rsid w:val="00F43255"/>
    <w:rsid w:val="00F4329F"/>
    <w:rsid w:val="00F439C0"/>
    <w:rsid w:val="00F43CE9"/>
    <w:rsid w:val="00F44400"/>
    <w:rsid w:val="00F44749"/>
    <w:rsid w:val="00F44AB5"/>
    <w:rsid w:val="00F44E13"/>
    <w:rsid w:val="00F44EAD"/>
    <w:rsid w:val="00F45078"/>
    <w:rsid w:val="00F452C1"/>
    <w:rsid w:val="00F45EFB"/>
    <w:rsid w:val="00F460AC"/>
    <w:rsid w:val="00F461E8"/>
    <w:rsid w:val="00F462B4"/>
    <w:rsid w:val="00F46360"/>
    <w:rsid w:val="00F465A7"/>
    <w:rsid w:val="00F4679D"/>
    <w:rsid w:val="00F46A72"/>
    <w:rsid w:val="00F46B5F"/>
    <w:rsid w:val="00F46D04"/>
    <w:rsid w:val="00F46D7E"/>
    <w:rsid w:val="00F46DE4"/>
    <w:rsid w:val="00F46F2C"/>
    <w:rsid w:val="00F47510"/>
    <w:rsid w:val="00F476E2"/>
    <w:rsid w:val="00F47714"/>
    <w:rsid w:val="00F50139"/>
    <w:rsid w:val="00F50311"/>
    <w:rsid w:val="00F507DC"/>
    <w:rsid w:val="00F508D6"/>
    <w:rsid w:val="00F5091A"/>
    <w:rsid w:val="00F50951"/>
    <w:rsid w:val="00F50B7C"/>
    <w:rsid w:val="00F50C5F"/>
    <w:rsid w:val="00F50D8E"/>
    <w:rsid w:val="00F50F65"/>
    <w:rsid w:val="00F51064"/>
    <w:rsid w:val="00F51270"/>
    <w:rsid w:val="00F5149D"/>
    <w:rsid w:val="00F51533"/>
    <w:rsid w:val="00F51833"/>
    <w:rsid w:val="00F51A6F"/>
    <w:rsid w:val="00F52166"/>
    <w:rsid w:val="00F522DB"/>
    <w:rsid w:val="00F5233B"/>
    <w:rsid w:val="00F52441"/>
    <w:rsid w:val="00F5277E"/>
    <w:rsid w:val="00F52814"/>
    <w:rsid w:val="00F52E79"/>
    <w:rsid w:val="00F52FB8"/>
    <w:rsid w:val="00F53077"/>
    <w:rsid w:val="00F53152"/>
    <w:rsid w:val="00F5335B"/>
    <w:rsid w:val="00F534C4"/>
    <w:rsid w:val="00F5391D"/>
    <w:rsid w:val="00F53B82"/>
    <w:rsid w:val="00F54470"/>
    <w:rsid w:val="00F544C2"/>
    <w:rsid w:val="00F545A7"/>
    <w:rsid w:val="00F549D1"/>
    <w:rsid w:val="00F54B7F"/>
    <w:rsid w:val="00F54C9B"/>
    <w:rsid w:val="00F54CF4"/>
    <w:rsid w:val="00F54E74"/>
    <w:rsid w:val="00F54F96"/>
    <w:rsid w:val="00F550E6"/>
    <w:rsid w:val="00F552AB"/>
    <w:rsid w:val="00F554AC"/>
    <w:rsid w:val="00F556EC"/>
    <w:rsid w:val="00F5579E"/>
    <w:rsid w:val="00F55B4A"/>
    <w:rsid w:val="00F55BF2"/>
    <w:rsid w:val="00F55C04"/>
    <w:rsid w:val="00F55C77"/>
    <w:rsid w:val="00F55D26"/>
    <w:rsid w:val="00F55FB6"/>
    <w:rsid w:val="00F56A92"/>
    <w:rsid w:val="00F56C89"/>
    <w:rsid w:val="00F56F99"/>
    <w:rsid w:val="00F5712F"/>
    <w:rsid w:val="00F5722E"/>
    <w:rsid w:val="00F578D6"/>
    <w:rsid w:val="00F57A6D"/>
    <w:rsid w:val="00F57B36"/>
    <w:rsid w:val="00F57CEF"/>
    <w:rsid w:val="00F57EA3"/>
    <w:rsid w:val="00F602AF"/>
    <w:rsid w:val="00F605EB"/>
    <w:rsid w:val="00F60615"/>
    <w:rsid w:val="00F60765"/>
    <w:rsid w:val="00F608E6"/>
    <w:rsid w:val="00F6093A"/>
    <w:rsid w:val="00F60A02"/>
    <w:rsid w:val="00F60A7D"/>
    <w:rsid w:val="00F60BF6"/>
    <w:rsid w:val="00F60C21"/>
    <w:rsid w:val="00F60DBF"/>
    <w:rsid w:val="00F60EBB"/>
    <w:rsid w:val="00F60F8E"/>
    <w:rsid w:val="00F610C5"/>
    <w:rsid w:val="00F611A0"/>
    <w:rsid w:val="00F61298"/>
    <w:rsid w:val="00F61328"/>
    <w:rsid w:val="00F613A0"/>
    <w:rsid w:val="00F6146C"/>
    <w:rsid w:val="00F615D0"/>
    <w:rsid w:val="00F615ED"/>
    <w:rsid w:val="00F61724"/>
    <w:rsid w:val="00F61FBE"/>
    <w:rsid w:val="00F622F1"/>
    <w:rsid w:val="00F627D3"/>
    <w:rsid w:val="00F62B93"/>
    <w:rsid w:val="00F62BDC"/>
    <w:rsid w:val="00F62D19"/>
    <w:rsid w:val="00F63217"/>
    <w:rsid w:val="00F632B0"/>
    <w:rsid w:val="00F634A0"/>
    <w:rsid w:val="00F634FA"/>
    <w:rsid w:val="00F635ED"/>
    <w:rsid w:val="00F6376E"/>
    <w:rsid w:val="00F6382D"/>
    <w:rsid w:val="00F63A8A"/>
    <w:rsid w:val="00F6432A"/>
    <w:rsid w:val="00F6453C"/>
    <w:rsid w:val="00F645F7"/>
    <w:rsid w:val="00F647C6"/>
    <w:rsid w:val="00F649E5"/>
    <w:rsid w:val="00F65204"/>
    <w:rsid w:val="00F6583F"/>
    <w:rsid w:val="00F658EC"/>
    <w:rsid w:val="00F6593F"/>
    <w:rsid w:val="00F65C02"/>
    <w:rsid w:val="00F65EBB"/>
    <w:rsid w:val="00F66143"/>
    <w:rsid w:val="00F663B6"/>
    <w:rsid w:val="00F6654B"/>
    <w:rsid w:val="00F667FF"/>
    <w:rsid w:val="00F66C0C"/>
    <w:rsid w:val="00F66C63"/>
    <w:rsid w:val="00F66D75"/>
    <w:rsid w:val="00F67609"/>
    <w:rsid w:val="00F676DF"/>
    <w:rsid w:val="00F676F1"/>
    <w:rsid w:val="00F6775C"/>
    <w:rsid w:val="00F678F1"/>
    <w:rsid w:val="00F67A57"/>
    <w:rsid w:val="00F67ACD"/>
    <w:rsid w:val="00F67C38"/>
    <w:rsid w:val="00F67D94"/>
    <w:rsid w:val="00F70305"/>
    <w:rsid w:val="00F7033F"/>
    <w:rsid w:val="00F7056A"/>
    <w:rsid w:val="00F707F3"/>
    <w:rsid w:val="00F708B2"/>
    <w:rsid w:val="00F70A63"/>
    <w:rsid w:val="00F70E96"/>
    <w:rsid w:val="00F70F08"/>
    <w:rsid w:val="00F7176D"/>
    <w:rsid w:val="00F71823"/>
    <w:rsid w:val="00F71840"/>
    <w:rsid w:val="00F71BE4"/>
    <w:rsid w:val="00F71E26"/>
    <w:rsid w:val="00F71F3D"/>
    <w:rsid w:val="00F72350"/>
    <w:rsid w:val="00F724F1"/>
    <w:rsid w:val="00F7256C"/>
    <w:rsid w:val="00F726CD"/>
    <w:rsid w:val="00F72CAF"/>
    <w:rsid w:val="00F72CB2"/>
    <w:rsid w:val="00F72F9C"/>
    <w:rsid w:val="00F732D1"/>
    <w:rsid w:val="00F733EE"/>
    <w:rsid w:val="00F73711"/>
    <w:rsid w:val="00F73EB5"/>
    <w:rsid w:val="00F73EC1"/>
    <w:rsid w:val="00F7402C"/>
    <w:rsid w:val="00F74106"/>
    <w:rsid w:val="00F74229"/>
    <w:rsid w:val="00F74277"/>
    <w:rsid w:val="00F74345"/>
    <w:rsid w:val="00F744AE"/>
    <w:rsid w:val="00F744E7"/>
    <w:rsid w:val="00F746C2"/>
    <w:rsid w:val="00F75193"/>
    <w:rsid w:val="00F75A8B"/>
    <w:rsid w:val="00F75B11"/>
    <w:rsid w:val="00F75D9F"/>
    <w:rsid w:val="00F7605C"/>
    <w:rsid w:val="00F76357"/>
    <w:rsid w:val="00F76851"/>
    <w:rsid w:val="00F76F49"/>
    <w:rsid w:val="00F7754A"/>
    <w:rsid w:val="00F775F5"/>
    <w:rsid w:val="00F77748"/>
    <w:rsid w:val="00F778EA"/>
    <w:rsid w:val="00F77C98"/>
    <w:rsid w:val="00F77D8A"/>
    <w:rsid w:val="00F77E11"/>
    <w:rsid w:val="00F80009"/>
    <w:rsid w:val="00F8018C"/>
    <w:rsid w:val="00F8083B"/>
    <w:rsid w:val="00F8097F"/>
    <w:rsid w:val="00F80A0A"/>
    <w:rsid w:val="00F80DBB"/>
    <w:rsid w:val="00F8111B"/>
    <w:rsid w:val="00F8115E"/>
    <w:rsid w:val="00F81539"/>
    <w:rsid w:val="00F81815"/>
    <w:rsid w:val="00F818CA"/>
    <w:rsid w:val="00F81982"/>
    <w:rsid w:val="00F8198E"/>
    <w:rsid w:val="00F81E3B"/>
    <w:rsid w:val="00F81E43"/>
    <w:rsid w:val="00F82039"/>
    <w:rsid w:val="00F822CF"/>
    <w:rsid w:val="00F82579"/>
    <w:rsid w:val="00F825D9"/>
    <w:rsid w:val="00F82853"/>
    <w:rsid w:val="00F82946"/>
    <w:rsid w:val="00F82963"/>
    <w:rsid w:val="00F82A4F"/>
    <w:rsid w:val="00F82B19"/>
    <w:rsid w:val="00F82B50"/>
    <w:rsid w:val="00F82B67"/>
    <w:rsid w:val="00F82F89"/>
    <w:rsid w:val="00F8310C"/>
    <w:rsid w:val="00F833C0"/>
    <w:rsid w:val="00F834BF"/>
    <w:rsid w:val="00F83510"/>
    <w:rsid w:val="00F83522"/>
    <w:rsid w:val="00F8393E"/>
    <w:rsid w:val="00F83B1F"/>
    <w:rsid w:val="00F83E05"/>
    <w:rsid w:val="00F83E28"/>
    <w:rsid w:val="00F843D8"/>
    <w:rsid w:val="00F844EA"/>
    <w:rsid w:val="00F845C3"/>
    <w:rsid w:val="00F84915"/>
    <w:rsid w:val="00F84C48"/>
    <w:rsid w:val="00F84CB6"/>
    <w:rsid w:val="00F85128"/>
    <w:rsid w:val="00F85174"/>
    <w:rsid w:val="00F851EE"/>
    <w:rsid w:val="00F85369"/>
    <w:rsid w:val="00F85407"/>
    <w:rsid w:val="00F85763"/>
    <w:rsid w:val="00F8578B"/>
    <w:rsid w:val="00F859F3"/>
    <w:rsid w:val="00F85A5D"/>
    <w:rsid w:val="00F863C4"/>
    <w:rsid w:val="00F8691B"/>
    <w:rsid w:val="00F86C88"/>
    <w:rsid w:val="00F86EF4"/>
    <w:rsid w:val="00F86F37"/>
    <w:rsid w:val="00F87277"/>
    <w:rsid w:val="00F876C5"/>
    <w:rsid w:val="00F87A1C"/>
    <w:rsid w:val="00F87D50"/>
    <w:rsid w:val="00F87FB2"/>
    <w:rsid w:val="00F9069D"/>
    <w:rsid w:val="00F9080F"/>
    <w:rsid w:val="00F90857"/>
    <w:rsid w:val="00F90972"/>
    <w:rsid w:val="00F90B99"/>
    <w:rsid w:val="00F90F64"/>
    <w:rsid w:val="00F91489"/>
    <w:rsid w:val="00F915D4"/>
    <w:rsid w:val="00F91758"/>
    <w:rsid w:val="00F91A3C"/>
    <w:rsid w:val="00F91AA6"/>
    <w:rsid w:val="00F91C59"/>
    <w:rsid w:val="00F91DC0"/>
    <w:rsid w:val="00F92001"/>
    <w:rsid w:val="00F920ED"/>
    <w:rsid w:val="00F9212D"/>
    <w:rsid w:val="00F92164"/>
    <w:rsid w:val="00F92381"/>
    <w:rsid w:val="00F929C4"/>
    <w:rsid w:val="00F92EF1"/>
    <w:rsid w:val="00F930E5"/>
    <w:rsid w:val="00F9317F"/>
    <w:rsid w:val="00F93276"/>
    <w:rsid w:val="00F93640"/>
    <w:rsid w:val="00F93C8A"/>
    <w:rsid w:val="00F93DEA"/>
    <w:rsid w:val="00F93E80"/>
    <w:rsid w:val="00F9419C"/>
    <w:rsid w:val="00F941C8"/>
    <w:rsid w:val="00F941EB"/>
    <w:rsid w:val="00F94930"/>
    <w:rsid w:val="00F94F91"/>
    <w:rsid w:val="00F954C1"/>
    <w:rsid w:val="00F95548"/>
    <w:rsid w:val="00F95617"/>
    <w:rsid w:val="00F95ACD"/>
    <w:rsid w:val="00F95D5C"/>
    <w:rsid w:val="00F9639F"/>
    <w:rsid w:val="00F965DA"/>
    <w:rsid w:val="00F96640"/>
    <w:rsid w:val="00F96672"/>
    <w:rsid w:val="00F96C8F"/>
    <w:rsid w:val="00F97035"/>
    <w:rsid w:val="00F97044"/>
    <w:rsid w:val="00F9783B"/>
    <w:rsid w:val="00F97C1F"/>
    <w:rsid w:val="00F97CED"/>
    <w:rsid w:val="00F97E69"/>
    <w:rsid w:val="00FA004C"/>
    <w:rsid w:val="00FA0293"/>
    <w:rsid w:val="00FA06D1"/>
    <w:rsid w:val="00FA0886"/>
    <w:rsid w:val="00FA0BBE"/>
    <w:rsid w:val="00FA0EB0"/>
    <w:rsid w:val="00FA131E"/>
    <w:rsid w:val="00FA13EC"/>
    <w:rsid w:val="00FA1845"/>
    <w:rsid w:val="00FA1DD2"/>
    <w:rsid w:val="00FA217F"/>
    <w:rsid w:val="00FA2422"/>
    <w:rsid w:val="00FA24BA"/>
    <w:rsid w:val="00FA283A"/>
    <w:rsid w:val="00FA2897"/>
    <w:rsid w:val="00FA28F4"/>
    <w:rsid w:val="00FA2A17"/>
    <w:rsid w:val="00FA2D1D"/>
    <w:rsid w:val="00FA3334"/>
    <w:rsid w:val="00FA3732"/>
    <w:rsid w:val="00FA3DED"/>
    <w:rsid w:val="00FA3E9E"/>
    <w:rsid w:val="00FA406A"/>
    <w:rsid w:val="00FA40D8"/>
    <w:rsid w:val="00FA4245"/>
    <w:rsid w:val="00FA4933"/>
    <w:rsid w:val="00FA5133"/>
    <w:rsid w:val="00FA54AE"/>
    <w:rsid w:val="00FA55AF"/>
    <w:rsid w:val="00FA5810"/>
    <w:rsid w:val="00FA5A8E"/>
    <w:rsid w:val="00FA5AFD"/>
    <w:rsid w:val="00FA5D4B"/>
    <w:rsid w:val="00FA5DFA"/>
    <w:rsid w:val="00FA6113"/>
    <w:rsid w:val="00FA6137"/>
    <w:rsid w:val="00FA66A7"/>
    <w:rsid w:val="00FA66DD"/>
    <w:rsid w:val="00FA67F8"/>
    <w:rsid w:val="00FA6B01"/>
    <w:rsid w:val="00FA6B1A"/>
    <w:rsid w:val="00FA6F02"/>
    <w:rsid w:val="00FA71DF"/>
    <w:rsid w:val="00FA78F9"/>
    <w:rsid w:val="00FA7C8C"/>
    <w:rsid w:val="00FA7C97"/>
    <w:rsid w:val="00FA7D7C"/>
    <w:rsid w:val="00FA7EC9"/>
    <w:rsid w:val="00FA7FA1"/>
    <w:rsid w:val="00FB02D7"/>
    <w:rsid w:val="00FB0770"/>
    <w:rsid w:val="00FB07AF"/>
    <w:rsid w:val="00FB0966"/>
    <w:rsid w:val="00FB09D5"/>
    <w:rsid w:val="00FB0C19"/>
    <w:rsid w:val="00FB0C20"/>
    <w:rsid w:val="00FB0C96"/>
    <w:rsid w:val="00FB0DA6"/>
    <w:rsid w:val="00FB0DC9"/>
    <w:rsid w:val="00FB106A"/>
    <w:rsid w:val="00FB13AB"/>
    <w:rsid w:val="00FB145F"/>
    <w:rsid w:val="00FB184A"/>
    <w:rsid w:val="00FB1AD9"/>
    <w:rsid w:val="00FB2047"/>
    <w:rsid w:val="00FB213C"/>
    <w:rsid w:val="00FB239E"/>
    <w:rsid w:val="00FB23E7"/>
    <w:rsid w:val="00FB2600"/>
    <w:rsid w:val="00FB2841"/>
    <w:rsid w:val="00FB2A59"/>
    <w:rsid w:val="00FB2CBF"/>
    <w:rsid w:val="00FB32A5"/>
    <w:rsid w:val="00FB3445"/>
    <w:rsid w:val="00FB390F"/>
    <w:rsid w:val="00FB3C30"/>
    <w:rsid w:val="00FB3D11"/>
    <w:rsid w:val="00FB4135"/>
    <w:rsid w:val="00FB4256"/>
    <w:rsid w:val="00FB43F8"/>
    <w:rsid w:val="00FB475D"/>
    <w:rsid w:val="00FB47A0"/>
    <w:rsid w:val="00FB4900"/>
    <w:rsid w:val="00FB4989"/>
    <w:rsid w:val="00FB4B8A"/>
    <w:rsid w:val="00FB4BCA"/>
    <w:rsid w:val="00FB4BDF"/>
    <w:rsid w:val="00FB4F84"/>
    <w:rsid w:val="00FB503A"/>
    <w:rsid w:val="00FB516C"/>
    <w:rsid w:val="00FB5307"/>
    <w:rsid w:val="00FB5495"/>
    <w:rsid w:val="00FB598C"/>
    <w:rsid w:val="00FB5DDD"/>
    <w:rsid w:val="00FB600E"/>
    <w:rsid w:val="00FB6025"/>
    <w:rsid w:val="00FB60BB"/>
    <w:rsid w:val="00FB61AD"/>
    <w:rsid w:val="00FB6592"/>
    <w:rsid w:val="00FB6679"/>
    <w:rsid w:val="00FB6869"/>
    <w:rsid w:val="00FB6A09"/>
    <w:rsid w:val="00FB6A28"/>
    <w:rsid w:val="00FB6A83"/>
    <w:rsid w:val="00FB6F8C"/>
    <w:rsid w:val="00FB6FDE"/>
    <w:rsid w:val="00FB7165"/>
    <w:rsid w:val="00FB7660"/>
    <w:rsid w:val="00FB768B"/>
    <w:rsid w:val="00FB7E55"/>
    <w:rsid w:val="00FC01A4"/>
    <w:rsid w:val="00FC03D3"/>
    <w:rsid w:val="00FC0429"/>
    <w:rsid w:val="00FC043F"/>
    <w:rsid w:val="00FC0750"/>
    <w:rsid w:val="00FC0D92"/>
    <w:rsid w:val="00FC1389"/>
    <w:rsid w:val="00FC1500"/>
    <w:rsid w:val="00FC18BB"/>
    <w:rsid w:val="00FC19A0"/>
    <w:rsid w:val="00FC1B22"/>
    <w:rsid w:val="00FC1F35"/>
    <w:rsid w:val="00FC1FC0"/>
    <w:rsid w:val="00FC200D"/>
    <w:rsid w:val="00FC2011"/>
    <w:rsid w:val="00FC2508"/>
    <w:rsid w:val="00FC2682"/>
    <w:rsid w:val="00FC2723"/>
    <w:rsid w:val="00FC2C0B"/>
    <w:rsid w:val="00FC2C7C"/>
    <w:rsid w:val="00FC2DA2"/>
    <w:rsid w:val="00FC3644"/>
    <w:rsid w:val="00FC38DA"/>
    <w:rsid w:val="00FC39C9"/>
    <w:rsid w:val="00FC3E84"/>
    <w:rsid w:val="00FC3E99"/>
    <w:rsid w:val="00FC3F82"/>
    <w:rsid w:val="00FC420B"/>
    <w:rsid w:val="00FC4993"/>
    <w:rsid w:val="00FC4CEF"/>
    <w:rsid w:val="00FC4F40"/>
    <w:rsid w:val="00FC502F"/>
    <w:rsid w:val="00FC5757"/>
    <w:rsid w:val="00FC5789"/>
    <w:rsid w:val="00FC5D4C"/>
    <w:rsid w:val="00FC5F93"/>
    <w:rsid w:val="00FC6171"/>
    <w:rsid w:val="00FC710D"/>
    <w:rsid w:val="00FC77E8"/>
    <w:rsid w:val="00FC7CB2"/>
    <w:rsid w:val="00FC7F74"/>
    <w:rsid w:val="00FD0236"/>
    <w:rsid w:val="00FD0262"/>
    <w:rsid w:val="00FD079E"/>
    <w:rsid w:val="00FD0DC0"/>
    <w:rsid w:val="00FD125C"/>
    <w:rsid w:val="00FD1630"/>
    <w:rsid w:val="00FD18F4"/>
    <w:rsid w:val="00FD1B67"/>
    <w:rsid w:val="00FD1D34"/>
    <w:rsid w:val="00FD1D3D"/>
    <w:rsid w:val="00FD1FB5"/>
    <w:rsid w:val="00FD236E"/>
    <w:rsid w:val="00FD262E"/>
    <w:rsid w:val="00FD2B15"/>
    <w:rsid w:val="00FD2B3A"/>
    <w:rsid w:val="00FD2D37"/>
    <w:rsid w:val="00FD3103"/>
    <w:rsid w:val="00FD33C9"/>
    <w:rsid w:val="00FD3A3E"/>
    <w:rsid w:val="00FD3BA0"/>
    <w:rsid w:val="00FD3C00"/>
    <w:rsid w:val="00FD3E90"/>
    <w:rsid w:val="00FD417F"/>
    <w:rsid w:val="00FD4233"/>
    <w:rsid w:val="00FD42F1"/>
    <w:rsid w:val="00FD459B"/>
    <w:rsid w:val="00FD45FD"/>
    <w:rsid w:val="00FD4855"/>
    <w:rsid w:val="00FD48B3"/>
    <w:rsid w:val="00FD4F0B"/>
    <w:rsid w:val="00FD5430"/>
    <w:rsid w:val="00FD54DB"/>
    <w:rsid w:val="00FD5500"/>
    <w:rsid w:val="00FD5D1D"/>
    <w:rsid w:val="00FD5D9B"/>
    <w:rsid w:val="00FD5DBB"/>
    <w:rsid w:val="00FD6014"/>
    <w:rsid w:val="00FD6190"/>
    <w:rsid w:val="00FD619F"/>
    <w:rsid w:val="00FD6426"/>
    <w:rsid w:val="00FD6446"/>
    <w:rsid w:val="00FD698B"/>
    <w:rsid w:val="00FD69E9"/>
    <w:rsid w:val="00FD6E23"/>
    <w:rsid w:val="00FD740B"/>
    <w:rsid w:val="00FD78BE"/>
    <w:rsid w:val="00FD7AA3"/>
    <w:rsid w:val="00FD7B01"/>
    <w:rsid w:val="00FD7E89"/>
    <w:rsid w:val="00FD7EBE"/>
    <w:rsid w:val="00FE0026"/>
    <w:rsid w:val="00FE0402"/>
    <w:rsid w:val="00FE0556"/>
    <w:rsid w:val="00FE0719"/>
    <w:rsid w:val="00FE07A8"/>
    <w:rsid w:val="00FE07FF"/>
    <w:rsid w:val="00FE0A2B"/>
    <w:rsid w:val="00FE0E49"/>
    <w:rsid w:val="00FE0E81"/>
    <w:rsid w:val="00FE0F0D"/>
    <w:rsid w:val="00FE0FBA"/>
    <w:rsid w:val="00FE1627"/>
    <w:rsid w:val="00FE177C"/>
    <w:rsid w:val="00FE1860"/>
    <w:rsid w:val="00FE24C9"/>
    <w:rsid w:val="00FE25AA"/>
    <w:rsid w:val="00FE2BBD"/>
    <w:rsid w:val="00FE2E03"/>
    <w:rsid w:val="00FE3103"/>
    <w:rsid w:val="00FE33DB"/>
    <w:rsid w:val="00FE36ED"/>
    <w:rsid w:val="00FE3754"/>
    <w:rsid w:val="00FE3C5D"/>
    <w:rsid w:val="00FE3D3F"/>
    <w:rsid w:val="00FE3E96"/>
    <w:rsid w:val="00FE3F48"/>
    <w:rsid w:val="00FE41F6"/>
    <w:rsid w:val="00FE4202"/>
    <w:rsid w:val="00FE4270"/>
    <w:rsid w:val="00FE4626"/>
    <w:rsid w:val="00FE484A"/>
    <w:rsid w:val="00FE4B8A"/>
    <w:rsid w:val="00FE4F9C"/>
    <w:rsid w:val="00FE502E"/>
    <w:rsid w:val="00FE524F"/>
    <w:rsid w:val="00FE5314"/>
    <w:rsid w:val="00FE5904"/>
    <w:rsid w:val="00FE5B9F"/>
    <w:rsid w:val="00FE5C24"/>
    <w:rsid w:val="00FE5D2C"/>
    <w:rsid w:val="00FE5D71"/>
    <w:rsid w:val="00FE5D9D"/>
    <w:rsid w:val="00FE685E"/>
    <w:rsid w:val="00FE6976"/>
    <w:rsid w:val="00FE6DF4"/>
    <w:rsid w:val="00FE6E3A"/>
    <w:rsid w:val="00FE6E4B"/>
    <w:rsid w:val="00FE71A7"/>
    <w:rsid w:val="00FE71ED"/>
    <w:rsid w:val="00FE7497"/>
    <w:rsid w:val="00FE7820"/>
    <w:rsid w:val="00FE78CA"/>
    <w:rsid w:val="00FE7C8B"/>
    <w:rsid w:val="00FE7FE7"/>
    <w:rsid w:val="00FF004B"/>
    <w:rsid w:val="00FF0503"/>
    <w:rsid w:val="00FF0573"/>
    <w:rsid w:val="00FF0603"/>
    <w:rsid w:val="00FF07F6"/>
    <w:rsid w:val="00FF08E2"/>
    <w:rsid w:val="00FF1206"/>
    <w:rsid w:val="00FF1319"/>
    <w:rsid w:val="00FF14E2"/>
    <w:rsid w:val="00FF1623"/>
    <w:rsid w:val="00FF1637"/>
    <w:rsid w:val="00FF1D9A"/>
    <w:rsid w:val="00FF1DB8"/>
    <w:rsid w:val="00FF1DE1"/>
    <w:rsid w:val="00FF2287"/>
    <w:rsid w:val="00FF2351"/>
    <w:rsid w:val="00FF2423"/>
    <w:rsid w:val="00FF24E8"/>
    <w:rsid w:val="00FF252C"/>
    <w:rsid w:val="00FF280A"/>
    <w:rsid w:val="00FF29CB"/>
    <w:rsid w:val="00FF2A59"/>
    <w:rsid w:val="00FF2D11"/>
    <w:rsid w:val="00FF2DB6"/>
    <w:rsid w:val="00FF2E71"/>
    <w:rsid w:val="00FF2ECB"/>
    <w:rsid w:val="00FF34B7"/>
    <w:rsid w:val="00FF39B1"/>
    <w:rsid w:val="00FF3A9B"/>
    <w:rsid w:val="00FF3E03"/>
    <w:rsid w:val="00FF459B"/>
    <w:rsid w:val="00FF47F4"/>
    <w:rsid w:val="00FF4AC8"/>
    <w:rsid w:val="00FF4BC2"/>
    <w:rsid w:val="00FF4E12"/>
    <w:rsid w:val="00FF4F75"/>
    <w:rsid w:val="00FF5154"/>
    <w:rsid w:val="00FF516D"/>
    <w:rsid w:val="00FF527B"/>
    <w:rsid w:val="00FF52FE"/>
    <w:rsid w:val="00FF53FA"/>
    <w:rsid w:val="00FF5427"/>
    <w:rsid w:val="00FF61E2"/>
    <w:rsid w:val="00FF6633"/>
    <w:rsid w:val="00FF6C66"/>
    <w:rsid w:val="00FF6DD0"/>
    <w:rsid w:val="00FF6F0B"/>
    <w:rsid w:val="00FF6F0C"/>
    <w:rsid w:val="00FF6F3E"/>
    <w:rsid w:val="00FF7004"/>
    <w:rsid w:val="00FF70B5"/>
    <w:rsid w:val="01290F7E"/>
    <w:rsid w:val="015D1E09"/>
    <w:rsid w:val="02062D4E"/>
    <w:rsid w:val="02697903"/>
    <w:rsid w:val="02F96569"/>
    <w:rsid w:val="03EA7B21"/>
    <w:rsid w:val="05F83EAE"/>
    <w:rsid w:val="063E7D85"/>
    <w:rsid w:val="07293586"/>
    <w:rsid w:val="07295285"/>
    <w:rsid w:val="07636392"/>
    <w:rsid w:val="07770C56"/>
    <w:rsid w:val="092217DD"/>
    <w:rsid w:val="093A7294"/>
    <w:rsid w:val="0A263993"/>
    <w:rsid w:val="0A2D3AC2"/>
    <w:rsid w:val="0AA755DF"/>
    <w:rsid w:val="0AEE5C8D"/>
    <w:rsid w:val="0B120D44"/>
    <w:rsid w:val="0BD27BF6"/>
    <w:rsid w:val="0C3B3C7D"/>
    <w:rsid w:val="0CAB2EAE"/>
    <w:rsid w:val="0D621C7D"/>
    <w:rsid w:val="0E73034D"/>
    <w:rsid w:val="0F13775A"/>
    <w:rsid w:val="0F5F45FE"/>
    <w:rsid w:val="0F9A112B"/>
    <w:rsid w:val="106D2F64"/>
    <w:rsid w:val="10B63710"/>
    <w:rsid w:val="10F10820"/>
    <w:rsid w:val="111C2F7A"/>
    <w:rsid w:val="11665CA1"/>
    <w:rsid w:val="13802033"/>
    <w:rsid w:val="13951726"/>
    <w:rsid w:val="14396509"/>
    <w:rsid w:val="14DD2C3C"/>
    <w:rsid w:val="16087E1D"/>
    <w:rsid w:val="17701D14"/>
    <w:rsid w:val="17735226"/>
    <w:rsid w:val="177B1BA8"/>
    <w:rsid w:val="18265021"/>
    <w:rsid w:val="189F624C"/>
    <w:rsid w:val="1A1C66C0"/>
    <w:rsid w:val="1A42393B"/>
    <w:rsid w:val="1AAD45DE"/>
    <w:rsid w:val="1B046F80"/>
    <w:rsid w:val="1B3267B5"/>
    <w:rsid w:val="1B40161D"/>
    <w:rsid w:val="1B441859"/>
    <w:rsid w:val="1B6606B1"/>
    <w:rsid w:val="1C5E7925"/>
    <w:rsid w:val="1CFD070F"/>
    <w:rsid w:val="1D5F6196"/>
    <w:rsid w:val="1D6132A5"/>
    <w:rsid w:val="1D8E56D5"/>
    <w:rsid w:val="1E0A0B58"/>
    <w:rsid w:val="1E7A43DA"/>
    <w:rsid w:val="1FE7539E"/>
    <w:rsid w:val="20671BE0"/>
    <w:rsid w:val="20963CB8"/>
    <w:rsid w:val="20A81A1B"/>
    <w:rsid w:val="20B07FB6"/>
    <w:rsid w:val="20B646FB"/>
    <w:rsid w:val="213B74B1"/>
    <w:rsid w:val="215A2310"/>
    <w:rsid w:val="21DE318A"/>
    <w:rsid w:val="21EF5B80"/>
    <w:rsid w:val="22576990"/>
    <w:rsid w:val="22F47480"/>
    <w:rsid w:val="23DE1C48"/>
    <w:rsid w:val="240210CD"/>
    <w:rsid w:val="24BF09F7"/>
    <w:rsid w:val="252D53FE"/>
    <w:rsid w:val="2581614A"/>
    <w:rsid w:val="25EC2D81"/>
    <w:rsid w:val="277057A2"/>
    <w:rsid w:val="29206EB8"/>
    <w:rsid w:val="29595666"/>
    <w:rsid w:val="29874881"/>
    <w:rsid w:val="29A163D5"/>
    <w:rsid w:val="29E325E0"/>
    <w:rsid w:val="2A452503"/>
    <w:rsid w:val="2BA936A8"/>
    <w:rsid w:val="2C315A5A"/>
    <w:rsid w:val="2C4B1C25"/>
    <w:rsid w:val="2D9E56F5"/>
    <w:rsid w:val="2E667F96"/>
    <w:rsid w:val="2E8226AB"/>
    <w:rsid w:val="2FD065E6"/>
    <w:rsid w:val="2FD96870"/>
    <w:rsid w:val="30580BC9"/>
    <w:rsid w:val="311E2ED7"/>
    <w:rsid w:val="315619EE"/>
    <w:rsid w:val="315C449C"/>
    <w:rsid w:val="31B82709"/>
    <w:rsid w:val="31D05482"/>
    <w:rsid w:val="32400B34"/>
    <w:rsid w:val="329E6876"/>
    <w:rsid w:val="333015F2"/>
    <w:rsid w:val="334B6320"/>
    <w:rsid w:val="33D934D4"/>
    <w:rsid w:val="33FE2F6A"/>
    <w:rsid w:val="340E07E5"/>
    <w:rsid w:val="34235BF7"/>
    <w:rsid w:val="358C5FA8"/>
    <w:rsid w:val="35C15DF1"/>
    <w:rsid w:val="36074A7F"/>
    <w:rsid w:val="36923549"/>
    <w:rsid w:val="36B75FBF"/>
    <w:rsid w:val="36BD0C45"/>
    <w:rsid w:val="37E00298"/>
    <w:rsid w:val="38B302F9"/>
    <w:rsid w:val="38F12CD3"/>
    <w:rsid w:val="38F94775"/>
    <w:rsid w:val="392971ED"/>
    <w:rsid w:val="39325651"/>
    <w:rsid w:val="39986357"/>
    <w:rsid w:val="3A872856"/>
    <w:rsid w:val="3B3763D1"/>
    <w:rsid w:val="3C2F6E1E"/>
    <w:rsid w:val="3C4F64BA"/>
    <w:rsid w:val="3CDA245A"/>
    <w:rsid w:val="3D1E06B7"/>
    <w:rsid w:val="3EDA0523"/>
    <w:rsid w:val="407A6407"/>
    <w:rsid w:val="4200449D"/>
    <w:rsid w:val="423A3BCC"/>
    <w:rsid w:val="424E57D2"/>
    <w:rsid w:val="42B26C49"/>
    <w:rsid w:val="433A6FE6"/>
    <w:rsid w:val="43480868"/>
    <w:rsid w:val="4350713C"/>
    <w:rsid w:val="436653E0"/>
    <w:rsid w:val="43C4431A"/>
    <w:rsid w:val="44B951CC"/>
    <w:rsid w:val="44CD14E0"/>
    <w:rsid w:val="44F20B0B"/>
    <w:rsid w:val="452E5F4C"/>
    <w:rsid w:val="45612018"/>
    <w:rsid w:val="458946E9"/>
    <w:rsid w:val="45A47C0E"/>
    <w:rsid w:val="46577FD6"/>
    <w:rsid w:val="46D955A7"/>
    <w:rsid w:val="47133957"/>
    <w:rsid w:val="47A07E0C"/>
    <w:rsid w:val="4870272E"/>
    <w:rsid w:val="49DC7715"/>
    <w:rsid w:val="4A023139"/>
    <w:rsid w:val="4A7B576F"/>
    <w:rsid w:val="4AD86434"/>
    <w:rsid w:val="4AF561A9"/>
    <w:rsid w:val="4C4A0649"/>
    <w:rsid w:val="4C7E5ECA"/>
    <w:rsid w:val="4C876AA5"/>
    <w:rsid w:val="4D0E00FB"/>
    <w:rsid w:val="4D176606"/>
    <w:rsid w:val="4DEC4FB0"/>
    <w:rsid w:val="4E075D8A"/>
    <w:rsid w:val="4EC00FAD"/>
    <w:rsid w:val="4F9843DC"/>
    <w:rsid w:val="4FC62A8C"/>
    <w:rsid w:val="4FE20F0D"/>
    <w:rsid w:val="4FE51552"/>
    <w:rsid w:val="50504C4B"/>
    <w:rsid w:val="509C6E7C"/>
    <w:rsid w:val="5162104E"/>
    <w:rsid w:val="53A039CC"/>
    <w:rsid w:val="53A1505A"/>
    <w:rsid w:val="54063E08"/>
    <w:rsid w:val="543437E8"/>
    <w:rsid w:val="54F73313"/>
    <w:rsid w:val="54F80955"/>
    <w:rsid w:val="555170A7"/>
    <w:rsid w:val="55720E72"/>
    <w:rsid w:val="5587536D"/>
    <w:rsid w:val="559B174B"/>
    <w:rsid w:val="55CE0CF4"/>
    <w:rsid w:val="56B22A9C"/>
    <w:rsid w:val="57B72A76"/>
    <w:rsid w:val="57C3426C"/>
    <w:rsid w:val="57CE1F93"/>
    <w:rsid w:val="588743D1"/>
    <w:rsid w:val="5887701A"/>
    <w:rsid w:val="59C0439F"/>
    <w:rsid w:val="5A1F03A5"/>
    <w:rsid w:val="5ABE2233"/>
    <w:rsid w:val="5BDF5D95"/>
    <w:rsid w:val="5BFE7528"/>
    <w:rsid w:val="5C762A76"/>
    <w:rsid w:val="5E2467F1"/>
    <w:rsid w:val="5F1A2B43"/>
    <w:rsid w:val="5FB837BB"/>
    <w:rsid w:val="60CC405A"/>
    <w:rsid w:val="61E215D8"/>
    <w:rsid w:val="621B3775"/>
    <w:rsid w:val="62364782"/>
    <w:rsid w:val="6394356A"/>
    <w:rsid w:val="63C61B2C"/>
    <w:rsid w:val="63D40BE9"/>
    <w:rsid w:val="64102431"/>
    <w:rsid w:val="64A5243A"/>
    <w:rsid w:val="64F531DE"/>
    <w:rsid w:val="65373578"/>
    <w:rsid w:val="671F124A"/>
    <w:rsid w:val="677A33C6"/>
    <w:rsid w:val="681F6961"/>
    <w:rsid w:val="68610A2F"/>
    <w:rsid w:val="68805514"/>
    <w:rsid w:val="69316E2F"/>
    <w:rsid w:val="694E2071"/>
    <w:rsid w:val="69766163"/>
    <w:rsid w:val="697A3B33"/>
    <w:rsid w:val="69D44760"/>
    <w:rsid w:val="6A520EC7"/>
    <w:rsid w:val="6AF87E20"/>
    <w:rsid w:val="6B322639"/>
    <w:rsid w:val="6C636C38"/>
    <w:rsid w:val="6DB34098"/>
    <w:rsid w:val="6DB545B6"/>
    <w:rsid w:val="6DE02FB4"/>
    <w:rsid w:val="6E514CED"/>
    <w:rsid w:val="6EB563D5"/>
    <w:rsid w:val="6ED92677"/>
    <w:rsid w:val="6F225983"/>
    <w:rsid w:val="6FFC5590"/>
    <w:rsid w:val="70401052"/>
    <w:rsid w:val="706D1DD0"/>
    <w:rsid w:val="70856B87"/>
    <w:rsid w:val="70D527EE"/>
    <w:rsid w:val="71242765"/>
    <w:rsid w:val="715B5300"/>
    <w:rsid w:val="71D27F8A"/>
    <w:rsid w:val="72553024"/>
    <w:rsid w:val="73122968"/>
    <w:rsid w:val="731F5D5E"/>
    <w:rsid w:val="73C51AD5"/>
    <w:rsid w:val="73DB7B2E"/>
    <w:rsid w:val="741E793C"/>
    <w:rsid w:val="745E3944"/>
    <w:rsid w:val="7635099D"/>
    <w:rsid w:val="77762421"/>
    <w:rsid w:val="77B56B1F"/>
    <w:rsid w:val="780F09F4"/>
    <w:rsid w:val="78536114"/>
    <w:rsid w:val="78A90480"/>
    <w:rsid w:val="7A364017"/>
    <w:rsid w:val="7A8265E1"/>
    <w:rsid w:val="7B686D42"/>
    <w:rsid w:val="7B841746"/>
    <w:rsid w:val="7C6C5AC7"/>
    <w:rsid w:val="7CC6544B"/>
    <w:rsid w:val="7D0239FF"/>
    <w:rsid w:val="7D5E40CD"/>
    <w:rsid w:val="7DCD56F2"/>
    <w:rsid w:val="7F001CE7"/>
    <w:rsid w:val="7F7A1510"/>
    <w:rsid w:val="7FE47E5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iPriority="0" w:name="heading 2" w:locked="1"/>
    <w:lsdException w:qFormat="1" w:uiPriority="0"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ocked="1"/>
    <w:lsdException w:uiPriority="0" w:name="index 2" w:locked="1"/>
    <w:lsdException w:uiPriority="0" w:name="index 3" w:locked="1"/>
    <w:lsdException w:uiPriority="0" w:name="index 4" w:locked="1"/>
    <w:lsdException w:uiPriority="0" w:name="index 5" w:locked="1"/>
    <w:lsdException w:uiPriority="0" w:name="index 6" w:locked="1"/>
    <w:lsdException w:uiPriority="0" w:name="index 7" w:locked="1"/>
    <w:lsdException w:uiPriority="0" w:name="index 8" w:locked="1"/>
    <w:lsdException w:uiPriority="0" w:name="index 9" w:locked="1"/>
    <w:lsdException w:uiPriority="0" w:name="toc 1" w:locked="1"/>
    <w:lsdException w:qFormat="1" w:unhideWhenUsed="0" w:uiPriority="0" w:semiHidden="0" w:name="toc 2" w:locked="1"/>
    <w:lsdException w:uiPriority="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iPriority="0" w:semiHidden="0" w:name="Normal Indent" w:locked="1"/>
    <w:lsdException w:uiPriority="0" w:name="footnote text" w:locked="1"/>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ocked="1"/>
    <w:lsdException w:qFormat="1" w:uiPriority="0" w:semiHidden="0" w:name="caption" w:locked="1"/>
    <w:lsdException w:uiPriority="0" w:name="table of figures" w:locked="1"/>
    <w:lsdException w:uiPriority="0" w:name="envelope address" w:locked="1"/>
    <w:lsdException w:uiPriority="0" w:name="envelope return" w:locked="1"/>
    <w:lsdException w:uiPriority="0" w:name="footnote reference" w:locked="1"/>
    <w:lsdException w:qFormat="1" w:unhideWhenUsed="0" w:uiPriority="0" w:name="annotation reference"/>
    <w:lsdException w:uiPriority="0" w:name="line number" w:locked="1"/>
    <w:lsdException w:qFormat="1" w:unhideWhenUsed="0" w:uiPriority="0" w:semiHidden="0" w:name="page number" w:locked="1"/>
    <w:lsdException w:uiPriority="0" w:name="endnote reference" w:locked="1"/>
    <w:lsdException w:uiPriority="0" w:name="endnote text" w:locked="1"/>
    <w:lsdException w:uiPriority="0" w:name="table of authorities" w:locked="1"/>
    <w:lsdException w:uiPriority="0" w:name="macro" w:locked="1"/>
    <w:lsdException w:uiPriority="0" w:name="toa heading" w:locked="1"/>
    <w:lsdException w:qFormat="1" w:uiPriority="0" w:name="List" w:locked="1"/>
    <w:lsdException w:uiPriority="0" w:name="List Bullet" w:locked="1"/>
    <w:lsdException w:unhideWhenUsed="0" w:uiPriority="0" w:semiHidden="0" w:name="List Number" w:locked="1"/>
    <w:lsdException w:uiPriority="0" w:name="List 2" w:locked="1"/>
    <w:lsdException w:uiPriority="0" w:name="List 3" w:locked="1"/>
    <w:lsdException w:unhideWhenUsed="0" w:uiPriority="0" w:semiHidden="0" w:name="List 4" w:locked="1"/>
    <w:lsdException w:unhideWhenUsed="0" w:uiPriority="0" w:semiHidden="0" w:name="List 5" w:locked="1"/>
    <w:lsdException w:uiPriority="0" w:name="List Bullet 2" w:locked="1"/>
    <w:lsdException w:uiPriority="0" w:name="List Bullet 3" w:locked="1"/>
    <w:lsdException w:uiPriority="0" w:name="List Bullet 4" w:locked="1"/>
    <w:lsdException w:uiPriority="0" w:name="List Bullet 5" w:locked="1"/>
    <w:lsdException w:uiPriority="0" w:name="List Number 2" w:locked="1"/>
    <w:lsdException w:uiPriority="0" w:name="List Number 3" w:locked="1"/>
    <w:lsdException w:uiPriority="0" w:name="List Number 4" w:locked="1"/>
    <w:lsdException w:uiPriority="0" w:name="List Number 5" w:locked="1"/>
    <w:lsdException w:qFormat="1" w:unhideWhenUsed="0" w:uiPriority="0" w:semiHidden="0" w:name="Title" w:locked="1"/>
    <w:lsdException w:uiPriority="0" w:name="Closing" w:locked="1"/>
    <w:lsdException w:uiPriority="0" w:name="Signature" w:locked="1"/>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ocked="1"/>
    <w:lsdException w:uiPriority="0" w:name="List Continue 2" w:locked="1"/>
    <w:lsdException w:uiPriority="0" w:name="List Continue 3" w:locked="1"/>
    <w:lsdException w:uiPriority="0" w:name="List Continue 4" w:locked="1"/>
    <w:lsdException w:uiPriority="0" w:name="List Continue 5" w:locked="1"/>
    <w:lsdException w:uiPriority="0" w:name="Message Header" w:locked="1"/>
    <w:lsdException w:qFormat="1" w:unhideWhenUsed="0" w:uiPriority="0" w:semiHidden="0" w:name="Subtitle" w:locked="1"/>
    <w:lsdException w:unhideWhenUsed="0" w:uiPriority="0" w:semiHidden="0" w:name="Salutation" w:locked="1"/>
    <w:lsdException w:qFormat="1" w:unhideWhenUsed="0" w:uiPriority="0" w:semiHidden="0" w:name="Date"/>
    <w:lsdException w:qFormat="1" w:uiPriority="0" w:semiHidden="0" w:name="Body Text First Indent" w:locked="1"/>
    <w:lsdException w:qFormat="1" w:uiPriority="99" w:semiHidden="0" w:name="Body Text First Indent 2" w:locked="1"/>
    <w:lsdException w:qFormat="1" w:uiPriority="0" w:semiHidden="0" w:name="Note Heading" w:locked="1"/>
    <w:lsdException w:qFormat="1" w:uiPriority="0" w:semiHidden="0" w:name="Body Text 2" w:locked="1"/>
    <w:lsdException w:uiPriority="0" w:name="Body Text 3" w:locked="1"/>
    <w:lsdException w:uiPriority="0" w:name="Body Text Indent 2" w:locked="1"/>
    <w:lsdException w:uiPriority="0" w:name="Body Text Indent 3" w:locked="1"/>
    <w:lsdException w:qFormat="1" w:uiPriority="0" w:semiHidden="0" w:name="Block Text" w:locked="1"/>
    <w:lsdException w:qFormat="1" w:uiPriority="99" w:semiHidden="0" w:name="Hyperlink" w:locked="1"/>
    <w:lsdException w:uiPriority="99" w:name="FollowedHyperlink" w:locked="1"/>
    <w:lsdException w:qFormat="1" w:unhideWhenUsed="0" w:uiPriority="22" w:semiHidden="0" w:name="Strong" w:locked="1"/>
    <w:lsdException w:qFormat="1" w:unhideWhenUsed="0" w:uiPriority="0" w:semiHidden="0" w:name="Emphasis" w:locked="1"/>
    <w:lsdException w:qFormat="1" w:unhideWhenUsed="0" w:uiPriority="0" w:semiHidden="0" w:name="Document Map" w:locked="1"/>
    <w:lsdException w:qFormat="1" w:uiPriority="0" w:semiHidden="0" w:name="Plain Text" w:locked="1"/>
    <w:lsdException w:uiPriority="0" w:name="E-mail Signature" w:locked="1"/>
    <w:lsdException w:qFormat="1" w:unhideWhenUsed="0" w:uiPriority="0" w:semiHidden="0" w:name="Normal (Web)"/>
    <w:lsdException w:uiPriority="0" w:name="HTML Acronym" w:locked="1"/>
    <w:lsdException w:uiPriority="0" w:name="HTML Address" w:locked="1"/>
    <w:lsdException w:uiPriority="0" w:name="HTML Cite" w:locked="1"/>
    <w:lsdException w:uiPriority="0" w:name="HTML Code" w:locked="1"/>
    <w:lsdException w:uiPriority="0" w:name="HTML Definition" w:locked="1"/>
    <w:lsdException w:uiPriority="0" w:name="HTML Keyboard" w:locked="1"/>
    <w:lsdException w:uiPriority="0" w:name="HTML Preformatted" w:locked="1"/>
    <w:lsdException w:uiPriority="0" w:name="HTML Sample" w:locked="1"/>
    <w:lsdException w:uiPriority="0" w:name="HTML Typewriter" w:locked="1"/>
    <w:lsdException w:uiPriority="0" w:name="HTML Variable" w:locked="1"/>
    <w:lsdException w:qFormat="1" w:uiPriority="99" w:name="Normal Table"/>
    <w:lsdException w:qFormat="1" w:unhideWhenUsed="0" w:uiPriority="0"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0" w:name="Balloon Text"/>
    <w:lsdException w:qFormat="1" w:unhideWhenUsed="0" w:uiPriority="0" w:semiHidden="0" w:name="Table Grid"/>
    <w:lsdException w:uiPriority="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6"/>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2"/>
    <w:basedOn w:val="1"/>
    <w:next w:val="1"/>
    <w:link w:val="37"/>
    <w:semiHidden/>
    <w:unhideWhenUsed/>
    <w:qFormat/>
    <w:locked/>
    <w:uiPriority w:val="0"/>
    <w:pPr>
      <w:keepNext/>
      <w:keepLines/>
      <w:spacing w:before="120" w:after="120" w:line="520" w:lineRule="exact"/>
      <w:outlineLvl w:val="1"/>
    </w:pPr>
    <w:rPr>
      <w:b/>
      <w:sz w:val="30"/>
      <w:szCs w:val="28"/>
    </w:rPr>
  </w:style>
  <w:style w:type="paragraph" w:styleId="4">
    <w:name w:val="heading 3"/>
    <w:basedOn w:val="1"/>
    <w:next w:val="1"/>
    <w:link w:val="38"/>
    <w:unhideWhenUsed/>
    <w:qFormat/>
    <w:locked/>
    <w:uiPriority w:val="0"/>
    <w:pPr>
      <w:keepNext/>
      <w:keepLines/>
      <w:spacing w:before="120" w:after="120" w:line="520" w:lineRule="exact"/>
      <w:outlineLvl w:val="2"/>
    </w:pPr>
    <w:rPr>
      <w:b/>
      <w:sz w:val="28"/>
      <w:szCs w:val="28"/>
    </w:rPr>
  </w:style>
  <w:style w:type="paragraph" w:styleId="5">
    <w:name w:val="heading 4"/>
    <w:basedOn w:val="1"/>
    <w:next w:val="1"/>
    <w:link w:val="39"/>
    <w:semiHidden/>
    <w:unhideWhenUsed/>
    <w:qFormat/>
    <w:locked/>
    <w:uiPriority w:val="0"/>
    <w:pPr>
      <w:spacing w:line="520" w:lineRule="exact"/>
      <w:outlineLvl w:val="3"/>
    </w:pPr>
    <w:rPr>
      <w:sz w:val="24"/>
      <w:szCs w:val="28"/>
    </w:rPr>
  </w:style>
  <w:style w:type="paragraph" w:styleId="6">
    <w:name w:val="heading 5"/>
    <w:basedOn w:val="1"/>
    <w:next w:val="1"/>
    <w:link w:val="40"/>
    <w:semiHidden/>
    <w:unhideWhenUsed/>
    <w:qFormat/>
    <w:locked/>
    <w:uiPriority w:val="0"/>
    <w:pPr>
      <w:keepNext/>
      <w:keepLines/>
      <w:spacing w:before="280" w:after="290" w:line="372" w:lineRule="auto"/>
      <w:ind w:firstLine="723" w:firstLineChars="200"/>
      <w:outlineLvl w:val="4"/>
    </w:pPr>
    <w:rPr>
      <w:b/>
      <w:sz w:val="28"/>
      <w:szCs w:val="28"/>
    </w:rPr>
  </w:style>
  <w:style w:type="paragraph" w:styleId="7">
    <w:name w:val="heading 6"/>
    <w:basedOn w:val="1"/>
    <w:next w:val="1"/>
    <w:link w:val="41"/>
    <w:semiHidden/>
    <w:unhideWhenUsed/>
    <w:qFormat/>
    <w:locked/>
    <w:uiPriority w:val="0"/>
    <w:pPr>
      <w:keepNext/>
      <w:keepLines/>
      <w:spacing w:before="240" w:after="64" w:line="320" w:lineRule="atLeast"/>
      <w:ind w:firstLine="723" w:firstLineChars="200"/>
      <w:outlineLvl w:val="5"/>
    </w:pPr>
    <w:rPr>
      <w:rFonts w:ascii="Calibri Light" w:hAnsi="Calibri Light"/>
      <w:b/>
      <w:bCs/>
      <w:sz w:val="24"/>
    </w:rPr>
  </w:style>
  <w:style w:type="paragraph" w:styleId="8">
    <w:name w:val="heading 7"/>
    <w:basedOn w:val="1"/>
    <w:next w:val="1"/>
    <w:link w:val="42"/>
    <w:semiHidden/>
    <w:unhideWhenUsed/>
    <w:qFormat/>
    <w:locked/>
    <w:uiPriority w:val="0"/>
    <w:pPr>
      <w:keepNext/>
      <w:keepLines/>
      <w:spacing w:before="240" w:after="64" w:line="320" w:lineRule="atLeast"/>
      <w:ind w:firstLine="723" w:firstLineChars="200"/>
      <w:outlineLvl w:val="6"/>
    </w:pPr>
    <w:rPr>
      <w:b/>
      <w:bCs/>
      <w:sz w:val="24"/>
    </w:rPr>
  </w:style>
  <w:style w:type="paragraph" w:styleId="9">
    <w:name w:val="heading 9"/>
    <w:basedOn w:val="1"/>
    <w:next w:val="1"/>
    <w:link w:val="43"/>
    <w:semiHidden/>
    <w:unhideWhenUsed/>
    <w:qFormat/>
    <w:locked/>
    <w:uiPriority w:val="0"/>
    <w:pPr>
      <w:keepNext/>
      <w:keepLines/>
      <w:spacing w:before="240" w:after="64" w:line="320" w:lineRule="atLeast"/>
      <w:ind w:firstLine="723" w:firstLineChars="200"/>
      <w:outlineLvl w:val="8"/>
    </w:pPr>
    <w:rPr>
      <w:rFonts w:ascii="Calibri Light" w:hAnsi="Calibri Light"/>
      <w:szCs w:val="21"/>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0">
    <w:name w:val="Note Heading"/>
    <w:basedOn w:val="1"/>
    <w:next w:val="1"/>
    <w:link w:val="97"/>
    <w:unhideWhenUsed/>
    <w:qFormat/>
    <w:locked/>
    <w:uiPriority w:val="0"/>
    <w:pPr>
      <w:jc w:val="center"/>
    </w:pPr>
    <w:rPr>
      <w:szCs w:val="20"/>
    </w:rPr>
  </w:style>
  <w:style w:type="paragraph" w:styleId="11">
    <w:name w:val="Normal Indent"/>
    <w:basedOn w:val="1"/>
    <w:link w:val="65"/>
    <w:unhideWhenUsed/>
    <w:qFormat/>
    <w:locked/>
    <w:uiPriority w:val="0"/>
    <w:pPr>
      <w:ind w:firstLine="420" w:firstLineChars="200"/>
    </w:pPr>
    <w:rPr>
      <w:bCs/>
    </w:rPr>
  </w:style>
  <w:style w:type="paragraph" w:styleId="12">
    <w:name w:val="caption"/>
    <w:basedOn w:val="1"/>
    <w:next w:val="1"/>
    <w:link w:val="90"/>
    <w:unhideWhenUsed/>
    <w:qFormat/>
    <w:locked/>
    <w:uiPriority w:val="0"/>
    <w:pPr>
      <w:keepNext/>
      <w:spacing w:line="360" w:lineRule="auto"/>
      <w:contextualSpacing/>
      <w:jc w:val="center"/>
    </w:pPr>
    <w:rPr>
      <w:b/>
      <w:bCs/>
      <w:color w:val="000000"/>
      <w:kern w:val="0"/>
      <w:sz w:val="24"/>
      <w:szCs w:val="20"/>
    </w:rPr>
  </w:style>
  <w:style w:type="paragraph" w:styleId="13">
    <w:name w:val="Document Map"/>
    <w:basedOn w:val="1"/>
    <w:link w:val="81"/>
    <w:qFormat/>
    <w:locked/>
    <w:uiPriority w:val="0"/>
    <w:rPr>
      <w:rFonts w:ascii="宋体"/>
      <w:sz w:val="18"/>
      <w:szCs w:val="18"/>
    </w:rPr>
  </w:style>
  <w:style w:type="paragraph" w:styleId="14">
    <w:name w:val="annotation text"/>
    <w:basedOn w:val="1"/>
    <w:link w:val="44"/>
    <w:qFormat/>
    <w:uiPriority w:val="0"/>
    <w:pPr>
      <w:jc w:val="left"/>
    </w:pPr>
    <w:rPr>
      <w:kern w:val="0"/>
      <w:sz w:val="24"/>
      <w:szCs w:val="20"/>
    </w:rPr>
  </w:style>
  <w:style w:type="paragraph" w:styleId="15">
    <w:name w:val="Body Text"/>
    <w:basedOn w:val="1"/>
    <w:link w:val="45"/>
    <w:qFormat/>
    <w:uiPriority w:val="0"/>
    <w:pPr>
      <w:widowControl/>
      <w:snapToGrid w:val="0"/>
      <w:spacing w:before="60" w:after="160" w:line="259" w:lineRule="auto"/>
      <w:ind w:right="113"/>
    </w:pPr>
    <w:rPr>
      <w:kern w:val="0"/>
      <w:sz w:val="18"/>
      <w:szCs w:val="20"/>
    </w:rPr>
  </w:style>
  <w:style w:type="paragraph" w:styleId="16">
    <w:name w:val="Body Text Indent"/>
    <w:basedOn w:val="1"/>
    <w:link w:val="46"/>
    <w:qFormat/>
    <w:uiPriority w:val="0"/>
    <w:pPr>
      <w:spacing w:after="120"/>
      <w:ind w:left="420" w:leftChars="200"/>
    </w:pPr>
    <w:rPr>
      <w:kern w:val="0"/>
      <w:sz w:val="24"/>
      <w:szCs w:val="20"/>
    </w:rPr>
  </w:style>
  <w:style w:type="paragraph" w:styleId="17">
    <w:name w:val="Block Text"/>
    <w:basedOn w:val="1"/>
    <w:next w:val="1"/>
    <w:unhideWhenUsed/>
    <w:qFormat/>
    <w:locked/>
    <w:uiPriority w:val="0"/>
    <w:pPr>
      <w:ind w:left="113" w:right="113" w:firstLine="555"/>
      <w:jc w:val="left"/>
    </w:pPr>
    <w:rPr>
      <w:sz w:val="28"/>
    </w:rPr>
  </w:style>
  <w:style w:type="paragraph" w:styleId="18">
    <w:name w:val="Plain Text"/>
    <w:basedOn w:val="1"/>
    <w:link w:val="100"/>
    <w:unhideWhenUsed/>
    <w:qFormat/>
    <w:locked/>
    <w:uiPriority w:val="0"/>
    <w:rPr>
      <w:rFonts w:ascii="宋体" w:hAnsi="Courier New"/>
      <w:b/>
      <w:bCs/>
      <w:sz w:val="24"/>
      <w:szCs w:val="21"/>
    </w:rPr>
  </w:style>
  <w:style w:type="paragraph" w:styleId="19">
    <w:name w:val="Date"/>
    <w:basedOn w:val="1"/>
    <w:next w:val="1"/>
    <w:link w:val="47"/>
    <w:qFormat/>
    <w:uiPriority w:val="0"/>
    <w:pPr>
      <w:ind w:left="100" w:leftChars="2500"/>
    </w:pPr>
    <w:rPr>
      <w:kern w:val="0"/>
      <w:sz w:val="24"/>
      <w:szCs w:val="20"/>
    </w:rPr>
  </w:style>
  <w:style w:type="paragraph" w:styleId="20">
    <w:name w:val="Balloon Text"/>
    <w:basedOn w:val="1"/>
    <w:link w:val="48"/>
    <w:semiHidden/>
    <w:qFormat/>
    <w:uiPriority w:val="0"/>
    <w:rPr>
      <w:kern w:val="0"/>
      <w:sz w:val="18"/>
      <w:szCs w:val="20"/>
    </w:rPr>
  </w:style>
  <w:style w:type="paragraph" w:styleId="21">
    <w:name w:val="footer"/>
    <w:basedOn w:val="1"/>
    <w:link w:val="49"/>
    <w:qFormat/>
    <w:uiPriority w:val="99"/>
    <w:pPr>
      <w:tabs>
        <w:tab w:val="center" w:pos="4153"/>
        <w:tab w:val="right" w:pos="8306"/>
      </w:tabs>
      <w:snapToGrid w:val="0"/>
      <w:jc w:val="left"/>
    </w:pPr>
    <w:rPr>
      <w:kern w:val="0"/>
      <w:sz w:val="18"/>
      <w:szCs w:val="20"/>
    </w:rPr>
  </w:style>
  <w:style w:type="paragraph" w:styleId="22">
    <w:name w:val="header"/>
    <w:basedOn w:val="1"/>
    <w:link w:val="50"/>
    <w:qFormat/>
    <w:uiPriority w:val="0"/>
    <w:pPr>
      <w:pBdr>
        <w:bottom w:val="single" w:color="auto" w:sz="6" w:space="1"/>
      </w:pBdr>
      <w:tabs>
        <w:tab w:val="center" w:pos="4153"/>
        <w:tab w:val="right" w:pos="8306"/>
      </w:tabs>
      <w:snapToGrid w:val="0"/>
      <w:jc w:val="center"/>
    </w:pPr>
    <w:rPr>
      <w:kern w:val="0"/>
      <w:sz w:val="18"/>
      <w:szCs w:val="20"/>
    </w:rPr>
  </w:style>
  <w:style w:type="paragraph" w:styleId="23">
    <w:name w:val="toc 2"/>
    <w:basedOn w:val="1"/>
    <w:next w:val="1"/>
    <w:qFormat/>
    <w:locked/>
    <w:uiPriority w:val="0"/>
    <w:pPr>
      <w:ind w:left="210"/>
      <w:jc w:val="left"/>
    </w:pPr>
    <w:rPr>
      <w:bCs/>
      <w:smallCaps/>
      <w:sz w:val="20"/>
    </w:rPr>
  </w:style>
  <w:style w:type="paragraph" w:styleId="24">
    <w:name w:val="Body Text 2"/>
    <w:basedOn w:val="1"/>
    <w:link w:val="99"/>
    <w:unhideWhenUsed/>
    <w:qFormat/>
    <w:locked/>
    <w:uiPriority w:val="0"/>
    <w:pPr>
      <w:spacing w:after="120" w:line="480" w:lineRule="auto"/>
      <w:ind w:firstLine="723" w:firstLineChars="200"/>
    </w:pPr>
    <w:rPr>
      <w:sz w:val="24"/>
      <w:szCs w:val="28"/>
    </w:rPr>
  </w:style>
  <w:style w:type="paragraph" w:styleId="25">
    <w:name w:val="Normal (Web)"/>
    <w:basedOn w:val="1"/>
    <w:link w:val="51"/>
    <w:qFormat/>
    <w:uiPriority w:val="0"/>
    <w:pPr>
      <w:widowControl/>
      <w:spacing w:before="100" w:beforeAutospacing="1" w:after="100" w:afterAutospacing="1"/>
      <w:jc w:val="left"/>
    </w:pPr>
    <w:rPr>
      <w:rFonts w:ascii="宋体" w:hAnsi="宋体"/>
      <w:kern w:val="0"/>
      <w:sz w:val="24"/>
      <w:szCs w:val="20"/>
    </w:rPr>
  </w:style>
  <w:style w:type="paragraph" w:styleId="26">
    <w:name w:val="annotation subject"/>
    <w:basedOn w:val="14"/>
    <w:next w:val="14"/>
    <w:link w:val="52"/>
    <w:semiHidden/>
    <w:qFormat/>
    <w:uiPriority w:val="0"/>
    <w:rPr>
      <w:b/>
      <w:kern w:val="2"/>
    </w:rPr>
  </w:style>
  <w:style w:type="paragraph" w:styleId="27">
    <w:name w:val="Body Text First Indent"/>
    <w:basedOn w:val="15"/>
    <w:link w:val="94"/>
    <w:unhideWhenUsed/>
    <w:qFormat/>
    <w:locked/>
    <w:uiPriority w:val="0"/>
    <w:pPr>
      <w:widowControl w:val="0"/>
      <w:snapToGrid/>
      <w:spacing w:before="0" w:after="120" w:line="520" w:lineRule="exact"/>
      <w:ind w:right="0" w:firstLine="420" w:firstLineChars="100"/>
    </w:pPr>
    <w:rPr>
      <w:kern w:val="2"/>
      <w:sz w:val="21"/>
      <w:szCs w:val="24"/>
    </w:rPr>
  </w:style>
  <w:style w:type="paragraph" w:styleId="28">
    <w:name w:val="Body Text First Indent 2"/>
    <w:basedOn w:val="16"/>
    <w:link w:val="91"/>
    <w:unhideWhenUsed/>
    <w:qFormat/>
    <w:locked/>
    <w:uiPriority w:val="99"/>
    <w:pPr>
      <w:ind w:firstLine="420" w:firstLineChars="200"/>
    </w:pPr>
    <w:rPr>
      <w:kern w:val="2"/>
      <w:sz w:val="21"/>
      <w:szCs w:val="24"/>
    </w:rPr>
  </w:style>
  <w:style w:type="table" w:styleId="30">
    <w:name w:val="Table Grid"/>
    <w:basedOn w:val="2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basedOn w:val="31"/>
    <w:qFormat/>
    <w:locked/>
    <w:uiPriority w:val="22"/>
    <w:rPr>
      <w:b/>
      <w:bCs/>
    </w:rPr>
  </w:style>
  <w:style w:type="character" w:styleId="33">
    <w:name w:val="page number"/>
    <w:qFormat/>
    <w:locked/>
    <w:uiPriority w:val="0"/>
  </w:style>
  <w:style w:type="character" w:styleId="34">
    <w:name w:val="Hyperlink"/>
    <w:basedOn w:val="31"/>
    <w:unhideWhenUsed/>
    <w:qFormat/>
    <w:locked/>
    <w:uiPriority w:val="99"/>
    <w:rPr>
      <w:color w:val="0000FF"/>
      <w:u w:val="single"/>
    </w:rPr>
  </w:style>
  <w:style w:type="character" w:styleId="35">
    <w:name w:val="annotation reference"/>
    <w:semiHidden/>
    <w:qFormat/>
    <w:uiPriority w:val="0"/>
    <w:rPr>
      <w:sz w:val="21"/>
    </w:rPr>
  </w:style>
  <w:style w:type="character" w:customStyle="1" w:styleId="36">
    <w:name w:val="标题 1 字符1"/>
    <w:link w:val="2"/>
    <w:qFormat/>
    <w:uiPriority w:val="99"/>
    <w:rPr>
      <w:rFonts w:eastAsia="黑体"/>
      <w:b/>
      <w:bCs/>
      <w:color w:val="000000"/>
      <w:kern w:val="44"/>
      <w:sz w:val="30"/>
      <w:szCs w:val="30"/>
    </w:rPr>
  </w:style>
  <w:style w:type="character" w:customStyle="1" w:styleId="37">
    <w:name w:val="标题 2 字符"/>
    <w:link w:val="3"/>
    <w:semiHidden/>
    <w:qFormat/>
    <w:uiPriority w:val="0"/>
    <w:rPr>
      <w:b/>
      <w:kern w:val="2"/>
      <w:sz w:val="30"/>
      <w:szCs w:val="28"/>
    </w:rPr>
  </w:style>
  <w:style w:type="character" w:customStyle="1" w:styleId="38">
    <w:name w:val="标题 3 字符"/>
    <w:link w:val="4"/>
    <w:qFormat/>
    <w:uiPriority w:val="0"/>
    <w:rPr>
      <w:b/>
      <w:kern w:val="2"/>
      <w:sz w:val="28"/>
      <w:szCs w:val="28"/>
    </w:rPr>
  </w:style>
  <w:style w:type="character" w:customStyle="1" w:styleId="39">
    <w:name w:val="标题 4 字符"/>
    <w:link w:val="5"/>
    <w:semiHidden/>
    <w:qFormat/>
    <w:uiPriority w:val="0"/>
    <w:rPr>
      <w:kern w:val="2"/>
      <w:sz w:val="24"/>
      <w:szCs w:val="28"/>
    </w:rPr>
  </w:style>
  <w:style w:type="character" w:customStyle="1" w:styleId="40">
    <w:name w:val="标题 5 字符"/>
    <w:link w:val="6"/>
    <w:semiHidden/>
    <w:qFormat/>
    <w:uiPriority w:val="0"/>
    <w:rPr>
      <w:b/>
      <w:kern w:val="2"/>
      <w:sz w:val="28"/>
      <w:szCs w:val="28"/>
    </w:rPr>
  </w:style>
  <w:style w:type="character" w:customStyle="1" w:styleId="41">
    <w:name w:val="标题 6 字符"/>
    <w:link w:val="7"/>
    <w:semiHidden/>
    <w:qFormat/>
    <w:uiPriority w:val="0"/>
    <w:rPr>
      <w:rFonts w:ascii="Calibri Light" w:hAnsi="Calibri Light"/>
      <w:b/>
      <w:bCs/>
      <w:kern w:val="2"/>
      <w:sz w:val="24"/>
      <w:szCs w:val="24"/>
    </w:rPr>
  </w:style>
  <w:style w:type="character" w:customStyle="1" w:styleId="42">
    <w:name w:val="标题 7 字符"/>
    <w:link w:val="8"/>
    <w:semiHidden/>
    <w:qFormat/>
    <w:uiPriority w:val="0"/>
    <w:rPr>
      <w:b/>
      <w:bCs/>
      <w:kern w:val="2"/>
      <w:sz w:val="24"/>
      <w:szCs w:val="24"/>
    </w:rPr>
  </w:style>
  <w:style w:type="character" w:customStyle="1" w:styleId="43">
    <w:name w:val="标题 9 字符"/>
    <w:link w:val="9"/>
    <w:semiHidden/>
    <w:qFormat/>
    <w:uiPriority w:val="0"/>
    <w:rPr>
      <w:rFonts w:ascii="Calibri Light" w:hAnsi="Calibri Light"/>
      <w:kern w:val="2"/>
      <w:sz w:val="21"/>
      <w:szCs w:val="21"/>
    </w:rPr>
  </w:style>
  <w:style w:type="character" w:customStyle="1" w:styleId="44">
    <w:name w:val="批注文字 字符"/>
    <w:link w:val="14"/>
    <w:qFormat/>
    <w:locked/>
    <w:uiPriority w:val="0"/>
    <w:rPr>
      <w:rFonts w:ascii="Times New Roman" w:hAnsi="Times New Roman" w:eastAsia="宋体"/>
      <w:sz w:val="24"/>
    </w:rPr>
  </w:style>
  <w:style w:type="character" w:customStyle="1" w:styleId="45">
    <w:name w:val="正文文本 字符"/>
    <w:link w:val="15"/>
    <w:qFormat/>
    <w:locked/>
    <w:uiPriority w:val="0"/>
    <w:rPr>
      <w:sz w:val="18"/>
    </w:rPr>
  </w:style>
  <w:style w:type="character" w:customStyle="1" w:styleId="46">
    <w:name w:val="正文文本缩进 字符"/>
    <w:link w:val="16"/>
    <w:qFormat/>
    <w:locked/>
    <w:uiPriority w:val="0"/>
    <w:rPr>
      <w:rFonts w:ascii="Times New Roman" w:hAnsi="Times New Roman" w:eastAsia="宋体"/>
      <w:sz w:val="24"/>
    </w:rPr>
  </w:style>
  <w:style w:type="character" w:customStyle="1" w:styleId="47">
    <w:name w:val="日期 字符1"/>
    <w:link w:val="19"/>
    <w:qFormat/>
    <w:locked/>
    <w:uiPriority w:val="0"/>
    <w:rPr>
      <w:rFonts w:ascii="Times New Roman" w:hAnsi="Times New Roman" w:eastAsia="宋体"/>
      <w:sz w:val="24"/>
    </w:rPr>
  </w:style>
  <w:style w:type="character" w:customStyle="1" w:styleId="48">
    <w:name w:val="批注框文本 字符"/>
    <w:link w:val="20"/>
    <w:semiHidden/>
    <w:qFormat/>
    <w:locked/>
    <w:uiPriority w:val="0"/>
    <w:rPr>
      <w:rFonts w:ascii="Times New Roman" w:hAnsi="Times New Roman" w:eastAsia="宋体"/>
      <w:sz w:val="18"/>
    </w:rPr>
  </w:style>
  <w:style w:type="character" w:customStyle="1" w:styleId="49">
    <w:name w:val="页脚 字符1"/>
    <w:link w:val="21"/>
    <w:qFormat/>
    <w:locked/>
    <w:uiPriority w:val="99"/>
    <w:rPr>
      <w:sz w:val="18"/>
    </w:rPr>
  </w:style>
  <w:style w:type="character" w:customStyle="1" w:styleId="50">
    <w:name w:val="页眉 字符"/>
    <w:link w:val="22"/>
    <w:qFormat/>
    <w:locked/>
    <w:uiPriority w:val="0"/>
    <w:rPr>
      <w:sz w:val="18"/>
    </w:rPr>
  </w:style>
  <w:style w:type="character" w:customStyle="1" w:styleId="51">
    <w:name w:val="普通(网站) 字符"/>
    <w:link w:val="25"/>
    <w:qFormat/>
    <w:locked/>
    <w:uiPriority w:val="0"/>
    <w:rPr>
      <w:rFonts w:ascii="宋体" w:hAnsi="宋体" w:eastAsia="宋体"/>
      <w:sz w:val="24"/>
    </w:rPr>
  </w:style>
  <w:style w:type="character" w:customStyle="1" w:styleId="52">
    <w:name w:val="批注主题 字符"/>
    <w:link w:val="26"/>
    <w:semiHidden/>
    <w:qFormat/>
    <w:locked/>
    <w:uiPriority w:val="0"/>
    <w:rPr>
      <w:rFonts w:ascii="Times New Roman" w:hAnsi="Times New Roman" w:eastAsia="宋体"/>
      <w:b/>
      <w:kern w:val="2"/>
      <w:sz w:val="24"/>
    </w:rPr>
  </w:style>
  <w:style w:type="character" w:customStyle="1" w:styleId="53">
    <w:name w:val="页脚 字符"/>
    <w:qFormat/>
    <w:uiPriority w:val="99"/>
  </w:style>
  <w:style w:type="character" w:customStyle="1" w:styleId="54">
    <w:name w:val="正文文本 字符1"/>
    <w:semiHidden/>
    <w:qFormat/>
    <w:uiPriority w:val="0"/>
    <w:rPr>
      <w:rFonts w:ascii="Times New Roman" w:hAnsi="Times New Roman" w:eastAsia="宋体"/>
      <w:sz w:val="24"/>
    </w:rPr>
  </w:style>
  <w:style w:type="character" w:customStyle="1" w:styleId="55">
    <w:name w:val="表格 Char"/>
    <w:link w:val="56"/>
    <w:qFormat/>
    <w:locked/>
    <w:uiPriority w:val="0"/>
    <w:rPr>
      <w:rFonts w:ascii="宋体"/>
      <w:sz w:val="21"/>
    </w:rPr>
  </w:style>
  <w:style w:type="paragraph" w:customStyle="1" w:styleId="56">
    <w:name w:val="表格"/>
    <w:basedOn w:val="1"/>
    <w:next w:val="1"/>
    <w:link w:val="55"/>
    <w:qFormat/>
    <w:uiPriority w:val="0"/>
    <w:pPr>
      <w:adjustRightInd w:val="0"/>
      <w:snapToGrid w:val="0"/>
      <w:spacing w:beforeLines="10" w:afterLines="10" w:line="259" w:lineRule="auto"/>
      <w:jc w:val="center"/>
    </w:pPr>
    <w:rPr>
      <w:rFonts w:ascii="宋体"/>
      <w:kern w:val="0"/>
      <w:szCs w:val="20"/>
    </w:rPr>
  </w:style>
  <w:style w:type="character" w:customStyle="1" w:styleId="57">
    <w:name w:val="日期 字符"/>
    <w:semiHidden/>
    <w:qFormat/>
    <w:uiPriority w:val="0"/>
    <w:rPr>
      <w:rFonts w:ascii="Times New Roman" w:hAnsi="Times New Roman" w:eastAsia="宋体"/>
      <w:sz w:val="24"/>
    </w:rPr>
  </w:style>
  <w:style w:type="character" w:customStyle="1" w:styleId="58">
    <w:name w:val="批注文字 字符1"/>
    <w:semiHidden/>
    <w:qFormat/>
    <w:uiPriority w:val="0"/>
    <w:rPr>
      <w:rFonts w:ascii="Times New Roman" w:hAnsi="Times New Roman" w:eastAsia="宋体"/>
      <w:sz w:val="24"/>
    </w:rPr>
  </w:style>
  <w:style w:type="paragraph" w:customStyle="1" w:styleId="59">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0">
    <w:name w:val="普通(网站)2"/>
    <w:basedOn w:val="1"/>
    <w:qFormat/>
    <w:uiPriority w:val="0"/>
    <w:pPr>
      <w:widowControl/>
      <w:spacing w:before="100" w:beforeAutospacing="1" w:after="100" w:afterAutospacing="1"/>
      <w:jc w:val="left"/>
    </w:pPr>
    <w:rPr>
      <w:rFonts w:ascii="宋体" w:hAnsi="宋体"/>
      <w:sz w:val="24"/>
      <w:szCs w:val="20"/>
    </w:rPr>
  </w:style>
  <w:style w:type="paragraph" w:customStyle="1" w:styleId="61">
    <w:name w:val="表头"/>
    <w:basedOn w:val="1"/>
    <w:next w:val="1"/>
    <w:link w:val="62"/>
    <w:qFormat/>
    <w:uiPriority w:val="0"/>
    <w:pPr>
      <w:adjustRightInd w:val="0"/>
      <w:jc w:val="center"/>
    </w:pPr>
    <w:rPr>
      <w:rFonts w:eastAsia="黑体"/>
      <w:b/>
    </w:rPr>
  </w:style>
  <w:style w:type="character" w:customStyle="1" w:styleId="62">
    <w:name w:val="表头 Char"/>
    <w:link w:val="61"/>
    <w:qFormat/>
    <w:locked/>
    <w:uiPriority w:val="0"/>
    <w:rPr>
      <w:rFonts w:eastAsia="黑体"/>
      <w:b/>
      <w:kern w:val="2"/>
      <w:sz w:val="21"/>
      <w:szCs w:val="24"/>
    </w:rPr>
  </w:style>
  <w:style w:type="paragraph" w:customStyle="1" w:styleId="63">
    <w:name w:val="表格内容"/>
    <w:basedOn w:val="1"/>
    <w:next w:val="1"/>
    <w:link w:val="64"/>
    <w:qFormat/>
    <w:uiPriority w:val="0"/>
    <w:pPr>
      <w:jc w:val="center"/>
    </w:pPr>
  </w:style>
  <w:style w:type="character" w:customStyle="1" w:styleId="64">
    <w:name w:val="表格内容 Char"/>
    <w:link w:val="63"/>
    <w:qFormat/>
    <w:locked/>
    <w:uiPriority w:val="0"/>
    <w:rPr>
      <w:kern w:val="2"/>
      <w:sz w:val="21"/>
      <w:szCs w:val="24"/>
    </w:rPr>
  </w:style>
  <w:style w:type="character" w:customStyle="1" w:styleId="65">
    <w:name w:val="正文缩进 字符1"/>
    <w:link w:val="11"/>
    <w:qFormat/>
    <w:locked/>
    <w:uiPriority w:val="0"/>
    <w:rPr>
      <w:bCs/>
      <w:kern w:val="2"/>
      <w:sz w:val="21"/>
      <w:szCs w:val="24"/>
    </w:rPr>
  </w:style>
  <w:style w:type="paragraph" w:customStyle="1" w:styleId="6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67">
    <w:name w:val="正文文本缩进1"/>
    <w:basedOn w:val="1"/>
    <w:qFormat/>
    <w:uiPriority w:val="0"/>
    <w:pPr>
      <w:ind w:firstLine="560" w:firstLineChars="200"/>
    </w:pPr>
    <w:rPr>
      <w:sz w:val="28"/>
    </w:rPr>
  </w:style>
  <w:style w:type="character" w:customStyle="1" w:styleId="68">
    <w:name w:val="报告正文 Char"/>
    <w:link w:val="69"/>
    <w:qFormat/>
    <w:locked/>
    <w:uiPriority w:val="0"/>
    <w:rPr>
      <w:rFonts w:ascii="宋体" w:hAnsi="宋体"/>
      <w:kern w:val="2"/>
      <w:sz w:val="28"/>
    </w:rPr>
  </w:style>
  <w:style w:type="paragraph" w:customStyle="1" w:styleId="69">
    <w:name w:val="报告正文"/>
    <w:basedOn w:val="1"/>
    <w:link w:val="68"/>
    <w:qFormat/>
    <w:uiPriority w:val="0"/>
    <w:pPr>
      <w:snapToGrid w:val="0"/>
      <w:spacing w:line="360" w:lineRule="auto"/>
      <w:ind w:firstLine="200" w:firstLineChars="200"/>
    </w:pPr>
    <w:rPr>
      <w:rFonts w:ascii="宋体" w:hAnsi="宋体"/>
      <w:sz w:val="28"/>
      <w:szCs w:val="20"/>
    </w:rPr>
  </w:style>
  <w:style w:type="character" w:customStyle="1" w:styleId="70">
    <w:name w:val="正文东铝 Char"/>
    <w:link w:val="71"/>
    <w:qFormat/>
    <w:locked/>
    <w:uiPriority w:val="0"/>
    <w:rPr>
      <w:color w:val="000000"/>
      <w:kern w:val="2"/>
      <w:sz w:val="24"/>
      <w:szCs w:val="22"/>
    </w:rPr>
  </w:style>
  <w:style w:type="paragraph" w:customStyle="1" w:styleId="71">
    <w:name w:val="正文东铝"/>
    <w:basedOn w:val="1"/>
    <w:link w:val="70"/>
    <w:qFormat/>
    <w:uiPriority w:val="0"/>
    <w:pPr>
      <w:spacing w:line="520" w:lineRule="exact"/>
      <w:ind w:firstLine="200" w:firstLineChars="200"/>
      <w:jc w:val="left"/>
    </w:pPr>
    <w:rPr>
      <w:color w:val="000000"/>
      <w:sz w:val="24"/>
      <w:szCs w:val="22"/>
    </w:rPr>
  </w:style>
  <w:style w:type="character" w:customStyle="1" w:styleId="72">
    <w:name w:val="表格字体 Char"/>
    <w:link w:val="73"/>
    <w:qFormat/>
    <w:locked/>
    <w:uiPriority w:val="0"/>
    <w:rPr>
      <w:rFonts w:ascii="宋体" w:hAnsi="宋体"/>
      <w:color w:val="000000"/>
      <w:kern w:val="2"/>
      <w:sz w:val="18"/>
      <w:szCs w:val="24"/>
    </w:rPr>
  </w:style>
  <w:style w:type="paragraph" w:customStyle="1" w:styleId="73">
    <w:name w:val="表格字体"/>
    <w:basedOn w:val="1"/>
    <w:link w:val="72"/>
    <w:qFormat/>
    <w:uiPriority w:val="0"/>
    <w:pPr>
      <w:adjustRightInd w:val="0"/>
      <w:spacing w:line="300" w:lineRule="exact"/>
      <w:jc w:val="center"/>
    </w:pPr>
    <w:rPr>
      <w:rFonts w:ascii="宋体" w:hAnsi="宋体"/>
      <w:color w:val="000000"/>
      <w:sz w:val="18"/>
    </w:rPr>
  </w:style>
  <w:style w:type="paragraph" w:customStyle="1" w:styleId="74">
    <w:name w:val="样式 首行缩进:  0.99 厘米 行距: 固定值 21.5 磅"/>
    <w:basedOn w:val="1"/>
    <w:semiHidden/>
    <w:qFormat/>
    <w:uiPriority w:val="0"/>
    <w:pPr>
      <w:spacing w:line="480" w:lineRule="exact"/>
      <w:ind w:firstLine="561" w:firstLineChars="200"/>
    </w:pPr>
    <w:rPr>
      <w:bCs/>
      <w:sz w:val="24"/>
    </w:rPr>
  </w:style>
  <w:style w:type="character" w:customStyle="1" w:styleId="75">
    <w:name w:val="表内字 Char"/>
    <w:link w:val="76"/>
    <w:qFormat/>
    <w:locked/>
    <w:uiPriority w:val="0"/>
    <w:rPr>
      <w:szCs w:val="24"/>
    </w:rPr>
  </w:style>
  <w:style w:type="paragraph" w:customStyle="1" w:styleId="76">
    <w:name w:val="表内字"/>
    <w:basedOn w:val="1"/>
    <w:link w:val="75"/>
    <w:qFormat/>
    <w:uiPriority w:val="0"/>
    <w:pPr>
      <w:spacing w:line="360" w:lineRule="exact"/>
      <w:jc w:val="center"/>
    </w:pPr>
    <w:rPr>
      <w:kern w:val="0"/>
      <w:sz w:val="20"/>
    </w:rPr>
  </w:style>
  <w:style w:type="paragraph" w:customStyle="1" w:styleId="77">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78">
    <w:name w:val="0表头1"/>
    <w:basedOn w:val="1"/>
    <w:qFormat/>
    <w:uiPriority w:val="0"/>
    <w:pPr>
      <w:adjustRightInd w:val="0"/>
      <w:snapToGrid w:val="0"/>
      <w:spacing w:line="360" w:lineRule="auto"/>
      <w:jc w:val="center"/>
    </w:pPr>
    <w:rPr>
      <w:b/>
      <w:bCs/>
      <w:szCs w:val="21"/>
    </w:rPr>
  </w:style>
  <w:style w:type="paragraph" w:customStyle="1" w:styleId="79">
    <w:name w:val="正文11"/>
    <w:basedOn w:val="1"/>
    <w:next w:val="1"/>
    <w:qFormat/>
    <w:uiPriority w:val="0"/>
    <w:pPr>
      <w:adjustRightInd w:val="0"/>
      <w:snapToGrid w:val="0"/>
      <w:spacing w:line="300" w:lineRule="auto"/>
      <w:ind w:firstLine="560" w:firstLineChars="200"/>
      <w:jc w:val="left"/>
    </w:pPr>
    <w:rPr>
      <w:rFonts w:ascii="宋体" w:hAnsi="宋体" w:cs="宋体"/>
      <w:sz w:val="28"/>
      <w:szCs w:val="20"/>
    </w:rPr>
  </w:style>
  <w:style w:type="paragraph" w:customStyle="1" w:styleId="80">
    <w:name w:val="正文12"/>
    <w:qFormat/>
    <w:uiPriority w:val="0"/>
    <w:pPr>
      <w:jc w:val="both"/>
    </w:pPr>
    <w:rPr>
      <w:rFonts w:ascii="Calibri" w:hAnsi="Calibri" w:eastAsia="宋体" w:cs="Times New Roman"/>
      <w:kern w:val="2"/>
      <w:sz w:val="21"/>
      <w:szCs w:val="21"/>
      <w:lang w:val="en-US" w:eastAsia="zh-CN" w:bidi="ar-SA"/>
    </w:rPr>
  </w:style>
  <w:style w:type="character" w:customStyle="1" w:styleId="81">
    <w:name w:val="文档结构图 字符"/>
    <w:link w:val="13"/>
    <w:qFormat/>
    <w:uiPriority w:val="0"/>
    <w:rPr>
      <w:rFonts w:ascii="宋体"/>
      <w:kern w:val="2"/>
      <w:sz w:val="18"/>
      <w:szCs w:val="18"/>
    </w:rPr>
  </w:style>
  <w:style w:type="character" w:customStyle="1" w:styleId="82">
    <w:name w:val="正文不缩进加粗 Char"/>
    <w:link w:val="83"/>
    <w:qFormat/>
    <w:locked/>
    <w:uiPriority w:val="0"/>
    <w:rPr>
      <w:b/>
      <w:color w:val="000000"/>
      <w:sz w:val="24"/>
      <w:szCs w:val="24"/>
    </w:rPr>
  </w:style>
  <w:style w:type="paragraph" w:customStyle="1" w:styleId="83">
    <w:name w:val="正文不缩进加粗"/>
    <w:basedOn w:val="1"/>
    <w:next w:val="1"/>
    <w:link w:val="82"/>
    <w:qFormat/>
    <w:uiPriority w:val="0"/>
    <w:pPr>
      <w:spacing w:line="360" w:lineRule="auto"/>
    </w:pPr>
    <w:rPr>
      <w:b/>
      <w:color w:val="000000"/>
      <w:kern w:val="0"/>
      <w:sz w:val="24"/>
    </w:rPr>
  </w:style>
  <w:style w:type="character" w:customStyle="1" w:styleId="84">
    <w:name w:val="表格正文 Char"/>
    <w:link w:val="85"/>
    <w:qFormat/>
    <w:locked/>
    <w:uiPriority w:val="0"/>
    <w:rPr>
      <w:kern w:val="2"/>
      <w:sz w:val="21"/>
      <w:szCs w:val="24"/>
    </w:rPr>
  </w:style>
  <w:style w:type="paragraph" w:customStyle="1" w:styleId="85">
    <w:name w:val="表格正文"/>
    <w:basedOn w:val="1"/>
    <w:link w:val="84"/>
    <w:qFormat/>
    <w:uiPriority w:val="0"/>
    <w:pPr>
      <w:jc w:val="center"/>
    </w:pPr>
  </w:style>
  <w:style w:type="paragraph" w:customStyle="1" w:styleId="86">
    <w:name w:val="表格正文行距18"/>
    <w:basedOn w:val="1"/>
    <w:qFormat/>
    <w:uiPriority w:val="0"/>
    <w:pPr>
      <w:snapToGrid w:val="0"/>
      <w:spacing w:line="360" w:lineRule="exact"/>
      <w:jc w:val="center"/>
    </w:pPr>
    <w:rPr>
      <w:szCs w:val="21"/>
    </w:rPr>
  </w:style>
  <w:style w:type="character" w:customStyle="1" w:styleId="87">
    <w:name w:val="正文样式首行缩进2字符 Char"/>
    <w:link w:val="88"/>
    <w:qFormat/>
    <w:locked/>
    <w:uiPriority w:val="0"/>
    <w:rPr>
      <w:kern w:val="2"/>
      <w:sz w:val="24"/>
      <w:szCs w:val="24"/>
    </w:rPr>
  </w:style>
  <w:style w:type="paragraph" w:customStyle="1" w:styleId="88">
    <w:name w:val="正文样式首行缩进2字符"/>
    <w:basedOn w:val="1"/>
    <w:link w:val="87"/>
    <w:qFormat/>
    <w:uiPriority w:val="0"/>
    <w:pPr>
      <w:adjustRightInd w:val="0"/>
      <w:snapToGrid w:val="0"/>
      <w:spacing w:line="360" w:lineRule="auto"/>
      <w:ind w:firstLine="200" w:firstLineChars="200"/>
    </w:pPr>
    <w:rPr>
      <w:sz w:val="24"/>
    </w:rPr>
  </w:style>
  <w:style w:type="paragraph" w:customStyle="1" w:styleId="89">
    <w:name w:val="我的表格文字"/>
    <w:basedOn w:val="1"/>
    <w:qFormat/>
    <w:uiPriority w:val="0"/>
    <w:pPr>
      <w:jc w:val="center"/>
    </w:pPr>
    <w:rPr>
      <w:rFonts w:hAnsi="宋体" w:eastAsia="Times New Roman" w:cs="宋体"/>
      <w:color w:val="000000"/>
      <w:sz w:val="24"/>
      <w:szCs w:val="21"/>
    </w:rPr>
  </w:style>
  <w:style w:type="character" w:customStyle="1" w:styleId="90">
    <w:name w:val="题注 字符"/>
    <w:link w:val="12"/>
    <w:qFormat/>
    <w:locked/>
    <w:uiPriority w:val="0"/>
    <w:rPr>
      <w:b/>
      <w:bCs/>
      <w:color w:val="000000"/>
      <w:sz w:val="24"/>
    </w:rPr>
  </w:style>
  <w:style w:type="character" w:customStyle="1" w:styleId="91">
    <w:name w:val="正文首行缩进 2 字符"/>
    <w:link w:val="28"/>
    <w:qFormat/>
    <w:locked/>
    <w:uiPriority w:val="99"/>
    <w:rPr>
      <w:rFonts w:ascii="Times New Roman" w:hAnsi="Times New Roman" w:eastAsia="宋体"/>
      <w:kern w:val="2"/>
      <w:sz w:val="21"/>
      <w:szCs w:val="24"/>
    </w:rPr>
  </w:style>
  <w:style w:type="character" w:customStyle="1" w:styleId="92">
    <w:name w:val="正文首行缩进 2 Char"/>
    <w:qFormat/>
    <w:uiPriority w:val="0"/>
    <w:rPr>
      <w:rFonts w:ascii="Times New Roman" w:hAnsi="Times New Roman" w:eastAsia="宋体"/>
      <w:kern w:val="2"/>
      <w:sz w:val="21"/>
      <w:szCs w:val="24"/>
    </w:rPr>
  </w:style>
  <w:style w:type="paragraph" w:styleId="93">
    <w:name w:val="List Paragraph"/>
    <w:basedOn w:val="1"/>
    <w:qFormat/>
    <w:uiPriority w:val="34"/>
    <w:pPr>
      <w:ind w:firstLine="420" w:firstLineChars="200"/>
    </w:pPr>
    <w:rPr>
      <w:sz w:val="28"/>
      <w:szCs w:val="20"/>
    </w:rPr>
  </w:style>
  <w:style w:type="character" w:customStyle="1" w:styleId="94">
    <w:name w:val="正文首行缩进 字符"/>
    <w:basedOn w:val="95"/>
    <w:link w:val="27"/>
    <w:qFormat/>
    <w:locked/>
    <w:uiPriority w:val="0"/>
    <w:rPr>
      <w:rFonts w:ascii="Calibri" w:hAnsi="Calibri" w:eastAsia="宋体" w:cs="Times New Roman"/>
      <w:kern w:val="2"/>
      <w:sz w:val="24"/>
      <w:szCs w:val="28"/>
    </w:rPr>
  </w:style>
  <w:style w:type="character" w:customStyle="1" w:styleId="95">
    <w:name w:val="正文文本 Char1"/>
    <w:semiHidden/>
    <w:qFormat/>
    <w:locked/>
    <w:uiPriority w:val="0"/>
    <w:rPr>
      <w:rFonts w:ascii="Calibri" w:hAnsi="Calibri" w:eastAsia="宋体" w:cs="Times New Roman"/>
      <w:kern w:val="2"/>
      <w:sz w:val="24"/>
      <w:szCs w:val="28"/>
    </w:rPr>
  </w:style>
  <w:style w:type="character" w:customStyle="1" w:styleId="96">
    <w:name w:val="正文首行缩进 Char"/>
    <w:qFormat/>
    <w:uiPriority w:val="0"/>
    <w:rPr>
      <w:kern w:val="2"/>
      <w:sz w:val="21"/>
      <w:szCs w:val="24"/>
    </w:rPr>
  </w:style>
  <w:style w:type="character" w:customStyle="1" w:styleId="97">
    <w:name w:val="注释标题 字符"/>
    <w:link w:val="10"/>
    <w:qFormat/>
    <w:locked/>
    <w:uiPriority w:val="0"/>
    <w:rPr>
      <w:kern w:val="2"/>
      <w:sz w:val="21"/>
    </w:rPr>
  </w:style>
  <w:style w:type="character" w:customStyle="1" w:styleId="98">
    <w:name w:val="注释标题 Char"/>
    <w:qFormat/>
    <w:uiPriority w:val="0"/>
    <w:rPr>
      <w:kern w:val="2"/>
      <w:sz w:val="21"/>
      <w:szCs w:val="24"/>
    </w:rPr>
  </w:style>
  <w:style w:type="character" w:customStyle="1" w:styleId="99">
    <w:name w:val="正文文本 2 字符"/>
    <w:link w:val="24"/>
    <w:qFormat/>
    <w:uiPriority w:val="0"/>
    <w:rPr>
      <w:kern w:val="2"/>
      <w:sz w:val="24"/>
      <w:szCs w:val="28"/>
    </w:rPr>
  </w:style>
  <w:style w:type="character" w:customStyle="1" w:styleId="100">
    <w:name w:val="纯文本 字符"/>
    <w:link w:val="18"/>
    <w:qFormat/>
    <w:locked/>
    <w:uiPriority w:val="0"/>
    <w:rPr>
      <w:rFonts w:ascii="宋体" w:hAnsi="Courier New" w:cs="Courier New"/>
      <w:b/>
      <w:bCs/>
      <w:kern w:val="2"/>
      <w:sz w:val="24"/>
      <w:szCs w:val="21"/>
    </w:rPr>
  </w:style>
  <w:style w:type="character" w:customStyle="1" w:styleId="101">
    <w:name w:val="纯文本 Char"/>
    <w:qFormat/>
    <w:uiPriority w:val="0"/>
    <w:rPr>
      <w:rFonts w:ascii="宋体" w:hAnsi="Courier New" w:cs="Courier New"/>
      <w:kern w:val="2"/>
      <w:sz w:val="21"/>
      <w:szCs w:val="21"/>
    </w:rPr>
  </w:style>
  <w:style w:type="character" w:customStyle="1" w:styleId="102">
    <w:name w:val="四级标题0 Char"/>
    <w:link w:val="103"/>
    <w:qFormat/>
    <w:locked/>
    <w:uiPriority w:val="0"/>
    <w:rPr>
      <w:b/>
      <w:sz w:val="24"/>
      <w:szCs w:val="24"/>
    </w:rPr>
  </w:style>
  <w:style w:type="paragraph" w:customStyle="1" w:styleId="103">
    <w:name w:val="四级标题0"/>
    <w:basedOn w:val="5"/>
    <w:link w:val="102"/>
    <w:qFormat/>
    <w:uiPriority w:val="0"/>
    <w:pPr>
      <w:tabs>
        <w:tab w:val="left" w:pos="0"/>
      </w:tabs>
      <w:adjustRightInd w:val="0"/>
      <w:snapToGrid w:val="0"/>
      <w:spacing w:line="360" w:lineRule="auto"/>
      <w:ind w:firstLine="200" w:firstLineChars="200"/>
    </w:pPr>
    <w:rPr>
      <w:b/>
      <w:kern w:val="0"/>
      <w:szCs w:val="24"/>
    </w:rPr>
  </w:style>
  <w:style w:type="character" w:customStyle="1" w:styleId="104">
    <w:name w:val="我的正文 Char"/>
    <w:link w:val="105"/>
    <w:qFormat/>
    <w:locked/>
    <w:uiPriority w:val="0"/>
    <w:rPr>
      <w:color w:val="000000"/>
      <w:sz w:val="24"/>
    </w:rPr>
  </w:style>
  <w:style w:type="paragraph" w:customStyle="1" w:styleId="105">
    <w:name w:val="我的正文"/>
    <w:basedOn w:val="1"/>
    <w:link w:val="104"/>
    <w:qFormat/>
    <w:uiPriority w:val="0"/>
    <w:pPr>
      <w:widowControl/>
      <w:spacing w:line="360" w:lineRule="auto"/>
      <w:ind w:firstLine="200" w:firstLineChars="200"/>
      <w:jc w:val="left"/>
    </w:pPr>
    <w:rPr>
      <w:color w:val="000000"/>
      <w:kern w:val="0"/>
      <w:sz w:val="24"/>
      <w:szCs w:val="20"/>
    </w:rPr>
  </w:style>
  <w:style w:type="character" w:customStyle="1" w:styleId="106">
    <w:name w:val="yyp Char Char"/>
    <w:link w:val="107"/>
    <w:qFormat/>
    <w:locked/>
    <w:uiPriority w:val="0"/>
    <w:rPr>
      <w:sz w:val="24"/>
      <w:szCs w:val="24"/>
    </w:rPr>
  </w:style>
  <w:style w:type="paragraph" w:customStyle="1" w:styleId="107">
    <w:name w:val="yyp"/>
    <w:basedOn w:val="1"/>
    <w:link w:val="106"/>
    <w:qFormat/>
    <w:uiPriority w:val="0"/>
    <w:pPr>
      <w:spacing w:after="120" w:line="360" w:lineRule="auto"/>
      <w:ind w:firstLine="480" w:firstLineChars="200"/>
    </w:pPr>
    <w:rPr>
      <w:kern w:val="0"/>
      <w:sz w:val="24"/>
    </w:rPr>
  </w:style>
  <w:style w:type="character" w:customStyle="1" w:styleId="108">
    <w:name w:val="01正文 Char"/>
    <w:link w:val="109"/>
    <w:qFormat/>
    <w:locked/>
    <w:uiPriority w:val="0"/>
    <w:rPr>
      <w:sz w:val="24"/>
      <w:szCs w:val="24"/>
    </w:rPr>
  </w:style>
  <w:style w:type="paragraph" w:customStyle="1" w:styleId="109">
    <w:name w:val="01正文"/>
    <w:basedOn w:val="1"/>
    <w:link w:val="108"/>
    <w:qFormat/>
    <w:uiPriority w:val="0"/>
    <w:pPr>
      <w:adjustRightInd w:val="0"/>
      <w:snapToGrid w:val="0"/>
      <w:spacing w:line="360" w:lineRule="auto"/>
      <w:ind w:firstLine="200" w:firstLineChars="200"/>
    </w:pPr>
    <w:rPr>
      <w:kern w:val="0"/>
      <w:sz w:val="24"/>
    </w:rPr>
  </w:style>
  <w:style w:type="character" w:customStyle="1" w:styleId="110">
    <w:name w:val="a-图件 Char"/>
    <w:link w:val="111"/>
    <w:qFormat/>
    <w:locked/>
    <w:uiPriority w:val="0"/>
    <w:rPr>
      <w:b/>
      <w:color w:val="000000"/>
      <w:sz w:val="24"/>
      <w:szCs w:val="21"/>
      <w:lang w:val="en-US" w:eastAsia="zh-CN" w:bidi="ar-SA"/>
    </w:rPr>
  </w:style>
  <w:style w:type="paragraph" w:customStyle="1" w:styleId="111">
    <w:name w:val="a-图件"/>
    <w:link w:val="110"/>
    <w:qFormat/>
    <w:uiPriority w:val="0"/>
    <w:pPr>
      <w:adjustRightInd w:val="0"/>
      <w:snapToGrid w:val="0"/>
      <w:spacing w:line="360" w:lineRule="auto"/>
      <w:jc w:val="center"/>
    </w:pPr>
    <w:rPr>
      <w:rFonts w:ascii="Times New Roman" w:hAnsi="Times New Roman" w:eastAsia="宋体" w:cs="Times New Roman"/>
      <w:b/>
      <w:color w:val="000000"/>
      <w:sz w:val="24"/>
      <w:szCs w:val="21"/>
      <w:lang w:val="en-US" w:eastAsia="zh-CN" w:bidi="ar-SA"/>
    </w:rPr>
  </w:style>
  <w:style w:type="character" w:customStyle="1" w:styleId="112">
    <w:name w:val="我的表格 Char"/>
    <w:link w:val="113"/>
    <w:qFormat/>
    <w:locked/>
    <w:uiPriority w:val="0"/>
    <w:rPr>
      <w:szCs w:val="21"/>
      <w:lang w:val="en-US" w:eastAsia="zh-CN" w:bidi="ar-SA"/>
    </w:rPr>
  </w:style>
  <w:style w:type="paragraph" w:customStyle="1" w:styleId="113">
    <w:name w:val="我的表格"/>
    <w:link w:val="112"/>
    <w:qFormat/>
    <w:uiPriority w:val="0"/>
    <w:pPr>
      <w:autoSpaceDE w:val="0"/>
      <w:autoSpaceDN w:val="0"/>
      <w:adjustRightInd w:val="0"/>
      <w:snapToGrid w:val="0"/>
      <w:jc w:val="center"/>
    </w:pPr>
    <w:rPr>
      <w:rFonts w:ascii="Times New Roman" w:hAnsi="Times New Roman" w:eastAsia="宋体" w:cs="Times New Roman"/>
      <w:szCs w:val="21"/>
      <w:lang w:val="en-US" w:eastAsia="zh-CN" w:bidi="ar-SA"/>
    </w:rPr>
  </w:style>
  <w:style w:type="character" w:customStyle="1" w:styleId="114">
    <w:name w:val="a-表内 Char"/>
    <w:link w:val="115"/>
    <w:qFormat/>
    <w:locked/>
    <w:uiPriority w:val="0"/>
    <w:rPr>
      <w:color w:val="000000"/>
      <w:szCs w:val="21"/>
      <w:lang w:val="en-US" w:eastAsia="zh-CN" w:bidi="ar-SA"/>
    </w:rPr>
  </w:style>
  <w:style w:type="paragraph" w:customStyle="1" w:styleId="115">
    <w:name w:val="a-表内"/>
    <w:link w:val="114"/>
    <w:qFormat/>
    <w:uiPriority w:val="0"/>
    <w:pPr>
      <w:adjustRightInd w:val="0"/>
      <w:snapToGrid w:val="0"/>
      <w:spacing w:line="0" w:lineRule="atLeast"/>
      <w:jc w:val="center"/>
    </w:pPr>
    <w:rPr>
      <w:rFonts w:ascii="Times New Roman" w:hAnsi="Times New Roman" w:eastAsia="宋体" w:cs="Times New Roman"/>
      <w:color w:val="000000"/>
      <w:szCs w:val="21"/>
      <w:lang w:val="en-US" w:eastAsia="zh-CN" w:bidi="ar-SA"/>
    </w:rPr>
  </w:style>
  <w:style w:type="character" w:customStyle="1" w:styleId="116">
    <w:name w:val="【图片】 Char Char"/>
    <w:link w:val="117"/>
    <w:qFormat/>
    <w:locked/>
    <w:uiPriority w:val="0"/>
    <w:rPr>
      <w:rFonts w:ascii="宋体" w:hAnsi="宋体" w:eastAsia="Times New Roman"/>
      <w:sz w:val="24"/>
      <w:lang w:val="en-US" w:eastAsia="zh-CN" w:bidi="ar-SA"/>
    </w:rPr>
  </w:style>
  <w:style w:type="paragraph" w:customStyle="1" w:styleId="117">
    <w:name w:val="【图片】"/>
    <w:next w:val="27"/>
    <w:link w:val="116"/>
    <w:qFormat/>
    <w:uiPriority w:val="0"/>
    <w:pPr>
      <w:jc w:val="center"/>
    </w:pPr>
    <w:rPr>
      <w:rFonts w:ascii="宋体" w:hAnsi="宋体" w:eastAsia="Times New Roman" w:cs="Times New Roman"/>
      <w:sz w:val="24"/>
      <w:lang w:val="en-US" w:eastAsia="zh-CN" w:bidi="ar-SA"/>
    </w:rPr>
  </w:style>
  <w:style w:type="paragraph" w:customStyle="1" w:styleId="118">
    <w:name w:val="Table Paragraph"/>
    <w:basedOn w:val="1"/>
    <w:qFormat/>
    <w:uiPriority w:val="0"/>
    <w:pPr>
      <w:autoSpaceDE w:val="0"/>
      <w:autoSpaceDN w:val="0"/>
      <w:jc w:val="left"/>
    </w:pPr>
    <w:rPr>
      <w:rFonts w:ascii="宋体" w:hAnsi="宋体" w:cs="宋体"/>
      <w:kern w:val="0"/>
      <w:sz w:val="22"/>
      <w:szCs w:val="22"/>
    </w:rPr>
  </w:style>
  <w:style w:type="paragraph" w:customStyle="1" w:styleId="119">
    <w:name w:val="1111正文"/>
    <w:basedOn w:val="1"/>
    <w:qFormat/>
    <w:uiPriority w:val="0"/>
    <w:pPr>
      <w:spacing w:line="520" w:lineRule="exact"/>
      <w:ind w:firstLine="480" w:firstLineChars="200"/>
    </w:pPr>
    <w:rPr>
      <w:rFonts w:ascii="宋体" w:hAnsi="宋体"/>
      <w:sz w:val="24"/>
      <w:szCs w:val="21"/>
    </w:rPr>
  </w:style>
  <w:style w:type="paragraph" w:customStyle="1" w:styleId="120">
    <w:name w:val="纯文本1"/>
    <w:basedOn w:val="1"/>
    <w:qFormat/>
    <w:uiPriority w:val="0"/>
    <w:pPr>
      <w:adjustRightInd w:val="0"/>
      <w:jc w:val="left"/>
    </w:pPr>
    <w:rPr>
      <w:rFonts w:ascii="宋体" w:hAnsi="Courier New"/>
      <w:sz w:val="24"/>
      <w:szCs w:val="20"/>
    </w:rPr>
  </w:style>
  <w:style w:type="paragraph" w:customStyle="1" w:styleId="121">
    <w:name w:val="我的表头"/>
    <w:basedOn w:val="1"/>
    <w:qFormat/>
    <w:uiPriority w:val="0"/>
    <w:pPr>
      <w:tabs>
        <w:tab w:val="left" w:pos="360"/>
      </w:tabs>
      <w:spacing w:line="500" w:lineRule="exact"/>
      <w:jc w:val="center"/>
    </w:pPr>
    <w:rPr>
      <w:b/>
      <w:sz w:val="24"/>
      <w:szCs w:val="21"/>
    </w:rPr>
  </w:style>
  <w:style w:type="character" w:customStyle="1" w:styleId="122">
    <w:name w:val="正文表格 字符"/>
    <w:link w:val="123"/>
    <w:qFormat/>
    <w:locked/>
    <w:uiPriority w:val="0"/>
    <w:rPr>
      <w:rFonts w:ascii="等线" w:hAnsi="等线" w:eastAsia="等线"/>
      <w:kern w:val="2"/>
      <w:sz w:val="21"/>
      <w:szCs w:val="21"/>
    </w:rPr>
  </w:style>
  <w:style w:type="paragraph" w:customStyle="1" w:styleId="123">
    <w:name w:val="正文表格"/>
    <w:basedOn w:val="1"/>
    <w:link w:val="122"/>
    <w:qFormat/>
    <w:uiPriority w:val="0"/>
    <w:pPr>
      <w:contextualSpacing/>
      <w:jc w:val="center"/>
    </w:pPr>
    <w:rPr>
      <w:rFonts w:ascii="等线" w:hAnsi="等线" w:eastAsia="等线"/>
      <w:szCs w:val="21"/>
    </w:rPr>
  </w:style>
  <w:style w:type="paragraph" w:customStyle="1" w:styleId="124">
    <w:name w:val="TableStyle12"/>
    <w:basedOn w:val="1"/>
    <w:qFormat/>
    <w:uiPriority w:val="0"/>
    <w:pPr>
      <w:jc w:val="center"/>
    </w:pPr>
    <w:rPr>
      <w:bCs/>
      <w:kern w:val="0"/>
      <w:sz w:val="24"/>
      <w:szCs w:val="22"/>
    </w:rPr>
  </w:style>
  <w:style w:type="paragraph" w:customStyle="1" w:styleId="125">
    <w:name w:val="正文文本缩进2"/>
    <w:basedOn w:val="1"/>
    <w:qFormat/>
    <w:uiPriority w:val="0"/>
    <w:pPr>
      <w:ind w:firstLine="560" w:firstLineChars="200"/>
    </w:pPr>
    <w:rPr>
      <w:sz w:val="28"/>
    </w:rPr>
  </w:style>
  <w:style w:type="paragraph" w:customStyle="1" w:styleId="126">
    <w:name w:val="正文3"/>
    <w:qFormat/>
    <w:uiPriority w:val="0"/>
    <w:pPr>
      <w:jc w:val="both"/>
    </w:pPr>
    <w:rPr>
      <w:rFonts w:ascii="Times New Roman" w:hAnsi="Times New Roman" w:eastAsia="宋体" w:cs="Times New Roman"/>
      <w:kern w:val="2"/>
      <w:sz w:val="21"/>
      <w:szCs w:val="21"/>
      <w:lang w:val="en-US" w:eastAsia="zh-CN" w:bidi="ar-SA"/>
    </w:rPr>
  </w:style>
  <w:style w:type="character" w:customStyle="1" w:styleId="127">
    <w:name w:val="0报告正文 Char"/>
    <w:link w:val="128"/>
    <w:qFormat/>
    <w:locked/>
    <w:uiPriority w:val="0"/>
    <w:rPr>
      <w:kern w:val="24"/>
      <w:sz w:val="24"/>
      <w:szCs w:val="24"/>
    </w:rPr>
  </w:style>
  <w:style w:type="paragraph" w:customStyle="1" w:styleId="128">
    <w:name w:val="0报告正文"/>
    <w:basedOn w:val="1"/>
    <w:link w:val="127"/>
    <w:qFormat/>
    <w:uiPriority w:val="0"/>
    <w:pPr>
      <w:widowControl/>
      <w:adjustRightInd w:val="0"/>
      <w:snapToGrid w:val="0"/>
      <w:spacing w:line="360" w:lineRule="auto"/>
      <w:ind w:firstLine="200" w:firstLineChars="200"/>
    </w:pPr>
    <w:rPr>
      <w:kern w:val="24"/>
      <w:sz w:val="24"/>
    </w:rPr>
  </w:style>
  <w:style w:type="character" w:customStyle="1" w:styleId="129">
    <w:name w:val="0标题2 Char"/>
    <w:link w:val="130"/>
    <w:qFormat/>
    <w:locked/>
    <w:uiPriority w:val="0"/>
    <w:rPr>
      <w:b/>
      <w:sz w:val="32"/>
      <w:szCs w:val="24"/>
      <w:lang w:eastAsia="en-US" w:bidi="en-US"/>
    </w:rPr>
  </w:style>
  <w:style w:type="paragraph" w:customStyle="1" w:styleId="130">
    <w:name w:val="0标题2"/>
    <w:basedOn w:val="1"/>
    <w:next w:val="128"/>
    <w:link w:val="129"/>
    <w:qFormat/>
    <w:uiPriority w:val="0"/>
    <w:pPr>
      <w:widowControl/>
      <w:spacing w:before="120" w:after="60" w:line="360" w:lineRule="auto"/>
      <w:outlineLvl w:val="0"/>
    </w:pPr>
    <w:rPr>
      <w:b/>
      <w:kern w:val="0"/>
      <w:sz w:val="32"/>
      <w:lang w:eastAsia="en-US" w:bidi="en-US"/>
    </w:rPr>
  </w:style>
  <w:style w:type="paragraph" w:customStyle="1" w:styleId="131">
    <w:name w:val="0 GBJ正文"/>
    <w:basedOn w:val="1"/>
    <w:qFormat/>
    <w:uiPriority w:val="0"/>
    <w:pPr>
      <w:spacing w:line="460" w:lineRule="exact"/>
      <w:ind w:firstLine="480" w:firstLineChars="200"/>
    </w:pPr>
    <w:rPr>
      <w:sz w:val="24"/>
    </w:rPr>
  </w:style>
  <w:style w:type="paragraph" w:customStyle="1" w:styleId="132">
    <w:name w:val="表格文字"/>
    <w:basedOn w:val="1"/>
    <w:qFormat/>
    <w:uiPriority w:val="0"/>
    <w:pPr>
      <w:widowControl/>
      <w:adjustRightInd w:val="0"/>
      <w:snapToGrid w:val="0"/>
      <w:spacing w:beforeLines="10" w:afterLines="10" w:line="256" w:lineRule="auto"/>
      <w:ind w:right="113"/>
      <w:jc w:val="center"/>
    </w:pPr>
    <w:rPr>
      <w:rFonts w:ascii="Calibri" w:hAnsi="Calibri"/>
      <w:kern w:val="0"/>
      <w:sz w:val="18"/>
      <w:szCs w:val="22"/>
    </w:rPr>
  </w:style>
  <w:style w:type="paragraph" w:customStyle="1" w:styleId="133">
    <w:name w:val="图、表内容"/>
    <w:basedOn w:val="1"/>
    <w:qFormat/>
    <w:uiPriority w:val="0"/>
    <w:pPr>
      <w:adjustRightInd w:val="0"/>
      <w:snapToGrid w:val="0"/>
      <w:jc w:val="center"/>
    </w:pPr>
    <w:rPr>
      <w:rFonts w:cs="宋体"/>
      <w:spacing w:val="-2"/>
      <w:kern w:val="0"/>
      <w:szCs w:val="20"/>
    </w:rPr>
  </w:style>
  <w:style w:type="paragraph" w:customStyle="1" w:styleId="134">
    <w:name w:val="表内"/>
    <w:basedOn w:val="1"/>
    <w:qFormat/>
    <w:uiPriority w:val="99"/>
    <w:pPr>
      <w:jc w:val="center"/>
    </w:pPr>
  </w:style>
  <w:style w:type="character" w:customStyle="1" w:styleId="135">
    <w:name w:val="正文缩进 字符"/>
    <w:qFormat/>
    <w:uiPriority w:val="0"/>
    <w:rPr>
      <w:kern w:val="2"/>
      <w:sz w:val="32"/>
    </w:rPr>
  </w:style>
  <w:style w:type="character" w:customStyle="1" w:styleId="136">
    <w:name w:val="text_qzdck"/>
    <w:basedOn w:val="31"/>
    <w:qFormat/>
    <w:uiPriority w:val="0"/>
  </w:style>
  <w:style w:type="character" w:customStyle="1" w:styleId="137">
    <w:name w:val="标题 1 字符"/>
    <w:qFormat/>
    <w:uiPriority w:val="99"/>
    <w:rPr>
      <w:rFonts w:eastAsia="黑体"/>
      <w:b/>
      <w:bCs/>
      <w:color w:val="000000"/>
      <w:kern w:val="44"/>
      <w:sz w:val="30"/>
      <w:szCs w:val="30"/>
    </w:rPr>
  </w:style>
  <w:style w:type="paragraph" w:customStyle="1" w:styleId="138">
    <w:name w:val="正文 03"/>
    <w:basedOn w:val="1"/>
    <w:qFormat/>
    <w:uiPriority w:val="0"/>
    <w:pPr>
      <w:autoSpaceDE w:val="0"/>
      <w:autoSpaceDN w:val="0"/>
      <w:adjustRightInd w:val="0"/>
      <w:textAlignment w:val="baseline"/>
    </w:pPr>
    <w:rPr>
      <w:rFonts w:eastAsia="楷体_GB2312"/>
      <w:kern w:val="0"/>
      <w:sz w:val="24"/>
    </w:rPr>
  </w:style>
  <w:style w:type="paragraph" w:customStyle="1" w:styleId="139">
    <w:name w:val="正   文"/>
    <w:basedOn w:val="1"/>
    <w:link w:val="140"/>
    <w:qFormat/>
    <w:uiPriority w:val="0"/>
    <w:pPr>
      <w:spacing w:line="360" w:lineRule="auto"/>
      <w:ind w:firstLine="200" w:firstLineChars="200"/>
    </w:pPr>
    <w:rPr>
      <w:color w:val="000000"/>
      <w:kern w:val="0"/>
      <w:sz w:val="24"/>
    </w:rPr>
  </w:style>
  <w:style w:type="character" w:customStyle="1" w:styleId="140">
    <w:name w:val="正   文 Char"/>
    <w:link w:val="139"/>
    <w:qFormat/>
    <w:uiPriority w:val="0"/>
    <w:rPr>
      <w:color w:val="000000"/>
      <w:sz w:val="24"/>
      <w:szCs w:val="24"/>
    </w:rPr>
  </w:style>
  <w:style w:type="paragraph" w:customStyle="1" w:styleId="141">
    <w:name w:val="Normal"/>
    <w:qFormat/>
    <w:uiPriority w:val="0"/>
    <w:pPr>
      <w:jc w:val="both"/>
    </w:pPr>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oleObject2.bin"/><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5.png"/><Relationship Id="rId13" Type="http://schemas.openxmlformats.org/officeDocument/2006/relationships/image" Target="media/image4.wmf"/><Relationship Id="rId12" Type="http://schemas.openxmlformats.org/officeDocument/2006/relationships/oleObject" Target="embeddings/oleObject4.bin"/><Relationship Id="rId11" Type="http://schemas.openxmlformats.org/officeDocument/2006/relationships/image" Target="media/image3.wmf"/><Relationship Id="rId10" Type="http://schemas.openxmlformats.org/officeDocument/2006/relationships/oleObject" Target="embeddings/oleObject3.bin"/><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Info spid="_x0000_s1027"/>
    <customShpInfo spid="_x0000_s1029"/>
    <customShpInfo spid="_x0000_s103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AAF78D6-7F79-4ADF-AA7B-41C562E65B21}">
  <ds:schemaRefs/>
</ds:datastoreItem>
</file>

<file path=docProps/app.xml><?xml version="1.0" encoding="utf-8"?>
<Properties xmlns="http://schemas.openxmlformats.org/officeDocument/2006/extended-properties" xmlns:vt="http://schemas.openxmlformats.org/officeDocument/2006/docPropsVTypes">
  <Template>wdzx97</Template>
  <Company>微软中国</Company>
  <Pages>14</Pages>
  <Words>18167</Words>
  <Characters>19545</Characters>
  <Lines>71</Lines>
  <Paragraphs>89</Paragraphs>
  <TotalTime>12</TotalTime>
  <ScaleCrop>false</ScaleCrop>
  <LinksUpToDate>false</LinksUpToDate>
  <CharactersWithSpaces>19670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2023-05-09T08:22:00Z</dcterms:created>
  <dc:creator>lima</dc:creator>
  <cp:lastModifiedBy>Administrator</cp:lastModifiedBy>
  <cp:lastPrinted>2024-08-21T03:09:00Z</cp:lastPrinted>
  <dcterms:modified xsi:type="dcterms:W3CDTF">2025-06-06T02:26:36Z</dcterms:modified>
  <dc:title>附件2</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61153507002347ABACD095E60030C2B3_13</vt:lpwstr>
  </property>
  <property fmtid="{D5CDD505-2E9C-101B-9397-08002B2CF9AE}" pid="4" name="KSOTemplateDocerSaveRecord">
    <vt:lpwstr>eyJoZGlkIjoiYjA4YzYzMzIyZGUzNjc3NGI4ZjBiNWUzMDZmMjk4OWQiLCJ1c2VySWQiOiI1MTAxMzY0MTEifQ==</vt:lpwstr>
  </property>
</Properties>
</file>