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178D73">
      <w:pPr>
        <w:spacing w:line="360" w:lineRule="auto"/>
        <w:ind w:firstLine="240" w:firstLineChars="100"/>
        <w:jc w:val="both"/>
        <w:rPr>
          <w:rFonts w:hint="eastAsia" w:ascii="宋体" w:hAnsi="宋体" w:eastAsia="宋体" w:cs="宋体"/>
          <w:b w:val="0"/>
          <w:bCs/>
          <w:color w:val="auto"/>
          <w:sz w:val="24"/>
          <w:szCs w:val="24"/>
          <w:lang w:val="en-US" w:eastAsia="zh-CN"/>
        </w:rPr>
      </w:pPr>
      <w:r>
        <w:rPr>
          <w:rFonts w:hint="eastAsia" w:ascii="宋体" w:hAnsi="宋体" w:eastAsia="宋体" w:cs="宋体"/>
          <w:b w:val="0"/>
          <w:bCs/>
          <w:sz w:val="24"/>
          <w:szCs w:val="24"/>
          <w:lang w:val="en-US" w:eastAsia="zh-CN"/>
        </w:rPr>
        <w:t xml:space="preserve">审批意见                                         </w:t>
      </w:r>
      <w:r>
        <w:rPr>
          <w:rFonts w:hint="eastAsia" w:ascii="宋体" w:hAnsi="宋体" w:cs="宋体"/>
          <w:b w:val="0"/>
          <w:bCs/>
          <w:sz w:val="24"/>
          <w:szCs w:val="24"/>
          <w:lang w:val="en-US" w:eastAsia="zh-CN"/>
        </w:rPr>
        <w:t xml:space="preserve"> </w:t>
      </w:r>
      <w:r>
        <w:rPr>
          <w:rFonts w:hint="eastAsia" w:ascii="宋体" w:hAnsi="宋体" w:eastAsia="宋体" w:cs="宋体"/>
          <w:b w:val="0"/>
          <w:bCs/>
          <w:sz w:val="24"/>
          <w:szCs w:val="24"/>
          <w:lang w:val="en-US" w:eastAsia="zh-CN"/>
        </w:rPr>
        <w:t>民环审[2025]第</w:t>
      </w:r>
      <w:r>
        <w:rPr>
          <w:rFonts w:hint="eastAsia" w:ascii="宋体" w:hAnsi="宋体" w:cs="宋体"/>
          <w:b w:val="0"/>
          <w:bCs/>
          <w:color w:val="auto"/>
          <w:sz w:val="24"/>
          <w:szCs w:val="24"/>
          <w:lang w:val="en-US" w:eastAsia="zh-CN"/>
        </w:rPr>
        <w:t>010</w:t>
      </w:r>
      <w:r>
        <w:rPr>
          <w:rFonts w:hint="eastAsia" w:ascii="宋体" w:hAnsi="宋体" w:eastAsia="宋体" w:cs="宋体"/>
          <w:b w:val="0"/>
          <w:bCs/>
          <w:color w:val="auto"/>
          <w:sz w:val="24"/>
          <w:szCs w:val="24"/>
          <w:lang w:val="en-US" w:eastAsia="zh-CN"/>
        </w:rPr>
        <w:t>号</w:t>
      </w:r>
    </w:p>
    <w:p w14:paraId="41131498">
      <w:pPr>
        <w:spacing w:line="360" w:lineRule="auto"/>
        <w:jc w:val="center"/>
        <w:rPr>
          <w:rFonts w:hint="eastAsia" w:eastAsia="黑体"/>
          <w:b/>
          <w:spacing w:val="-14"/>
          <w:sz w:val="32"/>
          <w:szCs w:val="32"/>
          <w:lang w:val="en-US" w:eastAsia="zh-CN"/>
        </w:rPr>
      </w:pPr>
    </w:p>
    <w:p w14:paraId="31092305">
      <w:pPr>
        <w:spacing w:line="360" w:lineRule="auto"/>
        <w:jc w:val="center"/>
        <w:rPr>
          <w:rFonts w:hint="eastAsia" w:asciiTheme="majorEastAsia" w:hAnsiTheme="majorEastAsia" w:eastAsiaTheme="majorEastAsia" w:cstheme="majorEastAsia"/>
          <w:b/>
          <w:spacing w:val="-14"/>
          <w:sz w:val="36"/>
          <w:szCs w:val="36"/>
        </w:rPr>
      </w:pPr>
      <w:r>
        <w:rPr>
          <w:rFonts w:hint="eastAsia" w:asciiTheme="majorEastAsia" w:hAnsiTheme="majorEastAsia" w:eastAsiaTheme="majorEastAsia" w:cstheme="majorEastAsia"/>
          <w:b/>
          <w:spacing w:val="-14"/>
          <w:sz w:val="36"/>
          <w:szCs w:val="36"/>
        </w:rPr>
        <w:t>关</w:t>
      </w:r>
      <w:r>
        <w:rPr>
          <w:rFonts w:hint="eastAsia" w:asciiTheme="majorEastAsia" w:hAnsiTheme="majorEastAsia" w:eastAsiaTheme="majorEastAsia" w:cstheme="majorEastAsia"/>
          <w:b/>
          <w:spacing w:val="-14"/>
          <w:sz w:val="36"/>
          <w:szCs w:val="36"/>
          <w:lang w:eastAsia="zh-CN"/>
        </w:rPr>
        <w:t>于河南省利盈再生资源有限公司报废医疗设备拆解再利用项目</w:t>
      </w:r>
      <w:r>
        <w:rPr>
          <w:rFonts w:hint="eastAsia" w:asciiTheme="majorEastAsia" w:hAnsiTheme="majorEastAsia" w:eastAsiaTheme="majorEastAsia" w:cstheme="majorEastAsia"/>
          <w:b/>
          <w:spacing w:val="-14"/>
          <w:sz w:val="36"/>
          <w:szCs w:val="36"/>
        </w:rPr>
        <w:t>环境影响报告表的批复</w:t>
      </w:r>
    </w:p>
    <w:p w14:paraId="1E2970D8">
      <w:pPr>
        <w:spacing w:line="360" w:lineRule="auto"/>
        <w:jc w:val="center"/>
        <w:rPr>
          <w:sz w:val="28"/>
          <w:szCs w:val="28"/>
        </w:rPr>
      </w:pPr>
    </w:p>
    <w:p w14:paraId="2633868D">
      <w:pPr>
        <w:keepNext w:val="0"/>
        <w:keepLines w:val="0"/>
        <w:pageBreakBefore w:val="0"/>
        <w:widowControl w:val="0"/>
        <w:kinsoku/>
        <w:wordWrap/>
        <w:overflowPunct/>
        <w:topLinePunct w:val="0"/>
        <w:autoSpaceDE/>
        <w:autoSpaceDN/>
        <w:bidi w:val="0"/>
        <w:adjustRightInd w:val="0"/>
        <w:snapToGrid w:val="0"/>
        <w:spacing w:line="440" w:lineRule="exact"/>
        <w:textAlignment w:val="auto"/>
        <w:rPr>
          <w:rFonts w:hint="eastAsia" w:ascii="仿宋" w:hAnsi="仿宋" w:eastAsia="仿宋" w:cs="Times New Roman"/>
          <w:sz w:val="24"/>
          <w:szCs w:val="24"/>
          <w:lang w:eastAsia="zh-CN"/>
        </w:rPr>
      </w:pPr>
      <w:r>
        <w:rPr>
          <w:rFonts w:hint="eastAsia" w:ascii="仿宋" w:hAnsi="仿宋" w:eastAsia="仿宋" w:cs="Times New Roman"/>
          <w:sz w:val="24"/>
          <w:szCs w:val="24"/>
          <w:lang w:eastAsia="zh-CN"/>
        </w:rPr>
        <w:t>河南省利盈再生资源有限公司：</w:t>
      </w:r>
    </w:p>
    <w:p w14:paraId="326AD8E3">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Times New Roman"/>
          <w:sz w:val="24"/>
          <w:szCs w:val="24"/>
          <w:lang w:val="en-US" w:eastAsia="zh-CN"/>
        </w:rPr>
      </w:pPr>
      <w:r>
        <w:rPr>
          <w:rFonts w:hint="eastAsia" w:ascii="仿宋" w:hAnsi="仿宋" w:eastAsia="仿宋" w:cs="Times New Roman"/>
          <w:sz w:val="24"/>
          <w:szCs w:val="24"/>
          <w:lang w:eastAsia="zh-CN"/>
        </w:rPr>
        <w:t>你公司</w:t>
      </w:r>
      <w:r>
        <w:rPr>
          <w:rFonts w:hint="eastAsia" w:ascii="仿宋" w:hAnsi="仿宋" w:eastAsia="仿宋" w:cs="Times New Roman"/>
          <w:sz w:val="24"/>
          <w:szCs w:val="24"/>
          <w:lang w:val="en-US" w:eastAsia="zh-CN"/>
        </w:rPr>
        <w:t>（统一社会信用代码91411421MAEJA4RFXT）</w:t>
      </w:r>
      <w:r>
        <w:rPr>
          <w:rFonts w:hint="eastAsia" w:ascii="仿宋" w:hAnsi="仿宋" w:eastAsia="仿宋" w:cs="Times New Roman"/>
          <w:sz w:val="24"/>
          <w:szCs w:val="24"/>
          <w:lang w:eastAsia="zh-CN"/>
        </w:rPr>
        <w:t>报送的由</w:t>
      </w:r>
      <w:r>
        <w:rPr>
          <w:rFonts w:hint="eastAsia" w:ascii="仿宋" w:hAnsi="仿宋" w:eastAsia="仿宋" w:cs="Times New Roman"/>
          <w:sz w:val="24"/>
          <w:szCs w:val="24"/>
          <w:lang w:val="en-US" w:eastAsia="zh-CN"/>
        </w:rPr>
        <w:t>河南阶梯工程管理有限公司</w:t>
      </w:r>
      <w:r>
        <w:rPr>
          <w:rFonts w:hint="eastAsia" w:ascii="仿宋" w:hAnsi="仿宋" w:eastAsia="仿宋" w:cs="Times New Roman"/>
          <w:sz w:val="24"/>
          <w:szCs w:val="24"/>
          <w:lang w:eastAsia="zh-CN"/>
        </w:rPr>
        <w:t>编制完成的《河南省利盈再生资源有限公司报废医疗设备拆解再利用项目环境影响报告表（报批版）》（以下简称“报告表”）已收悉。项目拟审批事项已在民权县政府网站公示期满，无异议。经研究，批复如下：</w:t>
      </w:r>
      <w:r>
        <w:rPr>
          <w:rFonts w:hint="eastAsia" w:ascii="仿宋" w:hAnsi="仿宋" w:eastAsia="仿宋" w:cs="Times New Roman"/>
          <w:sz w:val="24"/>
          <w:szCs w:val="24"/>
          <w:lang w:val="en-US" w:eastAsia="zh-CN"/>
        </w:rPr>
        <w:t xml:space="preserve">  </w:t>
      </w:r>
    </w:p>
    <w:p w14:paraId="257D8172">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Times New Roman"/>
          <w:sz w:val="24"/>
          <w:szCs w:val="24"/>
          <w:lang w:val="en-US" w:eastAsia="zh-CN"/>
        </w:rPr>
      </w:pPr>
      <w:r>
        <w:rPr>
          <w:rFonts w:hint="eastAsia" w:ascii="仿宋" w:hAnsi="仿宋" w:eastAsia="仿宋" w:cs="Times New Roman"/>
          <w:sz w:val="24"/>
          <w:szCs w:val="24"/>
          <w:lang w:val="en-US" w:eastAsia="zh-CN"/>
        </w:rPr>
        <w:t>一、《报告表》内容符合国家有关法律法规要求和建设项目环境管理规定，评价结论可信，原则同意你公司按照《报告表》所列项目的性质、规模、地点、采用的生产工艺和环境保护对策进行项目建设。</w:t>
      </w:r>
    </w:p>
    <w:p w14:paraId="57EA8533">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Times New Roman"/>
          <w:sz w:val="24"/>
          <w:szCs w:val="24"/>
          <w:lang w:val="en-US" w:eastAsia="zh-CN"/>
        </w:rPr>
      </w:pPr>
      <w:r>
        <w:rPr>
          <w:rFonts w:hint="eastAsia" w:ascii="仿宋" w:hAnsi="仿宋" w:eastAsia="仿宋" w:cs="Times New Roman"/>
          <w:sz w:val="24"/>
          <w:szCs w:val="24"/>
          <w:lang w:val="en-US" w:eastAsia="zh-CN"/>
        </w:rPr>
        <w:t>二、你公司应向社会主动公开经批准的《报告表》，并接受相关方的咨询。</w:t>
      </w:r>
    </w:p>
    <w:p w14:paraId="38E248FB">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Times New Roman"/>
          <w:sz w:val="24"/>
          <w:szCs w:val="24"/>
          <w:lang w:val="en-US" w:eastAsia="zh-CN"/>
        </w:rPr>
      </w:pPr>
      <w:r>
        <w:rPr>
          <w:rFonts w:hint="eastAsia" w:ascii="仿宋" w:hAnsi="仿宋" w:eastAsia="仿宋" w:cs="Times New Roman"/>
          <w:sz w:val="24"/>
          <w:szCs w:val="24"/>
          <w:lang w:val="en-US" w:eastAsia="zh-CN"/>
        </w:rPr>
        <w:t>三、你公司应全面落实《报告表》提出的各项目环境保护措施，确保各项环境保护设施与主体工程同时设计、同时施工、同时投入使用，确保各项污染物达标排放。</w:t>
      </w:r>
    </w:p>
    <w:p w14:paraId="305C865A">
      <w:pPr>
        <w:keepNext w:val="0"/>
        <w:keepLines w:val="0"/>
        <w:pageBreakBefore w:val="0"/>
        <w:widowControl w:val="0"/>
        <w:kinsoku/>
        <w:wordWrap/>
        <w:overflowPunct/>
        <w:topLinePunct w:val="0"/>
        <w:autoSpaceDE/>
        <w:autoSpaceDN/>
        <w:bidi w:val="0"/>
        <w:adjustRightInd w:val="0"/>
        <w:snapToGrid w:val="0"/>
        <w:spacing w:line="440" w:lineRule="exact"/>
        <w:ind w:firstLine="240" w:firstLineChars="100"/>
        <w:textAlignment w:val="auto"/>
        <w:rPr>
          <w:rFonts w:hint="eastAsia" w:ascii="仿宋" w:hAnsi="仿宋" w:eastAsia="仿宋" w:cs="Times New Roman"/>
          <w:sz w:val="24"/>
          <w:szCs w:val="24"/>
          <w:lang w:val="en-US" w:eastAsia="zh-CN"/>
        </w:rPr>
      </w:pPr>
      <w:r>
        <w:rPr>
          <w:rFonts w:hint="eastAsia" w:ascii="仿宋" w:hAnsi="仿宋" w:eastAsia="仿宋" w:cs="Times New Roman"/>
          <w:sz w:val="24"/>
          <w:szCs w:val="24"/>
          <w:lang w:val="en-US" w:eastAsia="zh-CN"/>
        </w:rPr>
        <w:t>（一）向设计单位提供《报告表》和本批复文件，确保项目设计按照环境保护设计规范要求，落实防治环境污染和生态破坏的措施以及环保设施投资概算。</w:t>
      </w:r>
    </w:p>
    <w:p w14:paraId="633792E9">
      <w:pPr>
        <w:keepNext w:val="0"/>
        <w:keepLines w:val="0"/>
        <w:pageBreakBefore w:val="0"/>
        <w:widowControl w:val="0"/>
        <w:kinsoku/>
        <w:wordWrap/>
        <w:overflowPunct/>
        <w:topLinePunct w:val="0"/>
        <w:autoSpaceDE/>
        <w:autoSpaceDN/>
        <w:bidi w:val="0"/>
        <w:adjustRightInd w:val="0"/>
        <w:snapToGrid w:val="0"/>
        <w:spacing w:line="440" w:lineRule="exact"/>
        <w:ind w:firstLine="240" w:firstLineChars="100"/>
        <w:textAlignment w:val="auto"/>
        <w:rPr>
          <w:rFonts w:hint="eastAsia" w:ascii="仿宋" w:hAnsi="仿宋" w:eastAsia="仿宋" w:cs="Times New Roman"/>
          <w:sz w:val="24"/>
          <w:szCs w:val="24"/>
          <w:lang w:val="en-US" w:eastAsia="zh-CN"/>
        </w:rPr>
      </w:pPr>
      <w:r>
        <w:rPr>
          <w:rFonts w:hint="eastAsia" w:ascii="仿宋" w:hAnsi="仿宋" w:eastAsia="仿宋" w:cs="Times New Roman"/>
          <w:sz w:val="24"/>
          <w:szCs w:val="24"/>
          <w:lang w:val="en-US" w:eastAsia="zh-CN"/>
        </w:rPr>
        <w:t>（二）依据《报告表》和本批复文件，对项目建设过程中产生的废水、废气、固体废物、噪声、震动等污染，以及因施工对自然、生态环境造成的破坏，采取相应的防治措施。</w:t>
      </w:r>
    </w:p>
    <w:p w14:paraId="0624D7EE">
      <w:pPr>
        <w:keepNext w:val="0"/>
        <w:keepLines w:val="0"/>
        <w:pageBreakBefore w:val="0"/>
        <w:widowControl w:val="0"/>
        <w:kinsoku/>
        <w:wordWrap/>
        <w:overflowPunct/>
        <w:topLinePunct w:val="0"/>
        <w:autoSpaceDE/>
        <w:autoSpaceDN/>
        <w:bidi w:val="0"/>
        <w:adjustRightInd w:val="0"/>
        <w:snapToGrid w:val="0"/>
        <w:spacing w:line="440" w:lineRule="exact"/>
        <w:ind w:firstLine="240" w:firstLineChars="100"/>
        <w:textAlignment w:val="auto"/>
        <w:rPr>
          <w:rFonts w:hint="eastAsia" w:ascii="仿宋" w:hAnsi="仿宋" w:eastAsia="仿宋" w:cs="Times New Roman"/>
          <w:sz w:val="24"/>
          <w:szCs w:val="24"/>
          <w:lang w:val="en-US" w:eastAsia="zh-CN"/>
        </w:rPr>
      </w:pPr>
      <w:r>
        <w:rPr>
          <w:rFonts w:hint="eastAsia" w:ascii="仿宋" w:hAnsi="仿宋" w:eastAsia="仿宋" w:cs="Times New Roman"/>
          <w:sz w:val="24"/>
          <w:szCs w:val="24"/>
          <w:lang w:val="en-US" w:eastAsia="zh-CN"/>
        </w:rPr>
        <w:t>（三）项目运行时，外排污染物应满足以下要求：</w:t>
      </w:r>
    </w:p>
    <w:p w14:paraId="2E6AFCDB">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Times New Roman"/>
          <w:sz w:val="24"/>
          <w:szCs w:val="24"/>
          <w:lang w:val="en-US" w:eastAsia="zh-CN"/>
        </w:rPr>
      </w:pPr>
      <w:r>
        <w:rPr>
          <w:rFonts w:hint="default" w:ascii="仿宋" w:hAnsi="仿宋" w:eastAsia="仿宋" w:cs="Times New Roman"/>
          <w:sz w:val="24"/>
          <w:szCs w:val="24"/>
          <w:lang w:eastAsia="zh-CN"/>
        </w:rPr>
        <w:t>1、废水：</w:t>
      </w:r>
      <w:r>
        <w:rPr>
          <w:rFonts w:hint="eastAsia" w:ascii="仿宋" w:hAnsi="仿宋" w:eastAsia="仿宋" w:cs="Times New Roman"/>
          <w:sz w:val="24"/>
          <w:szCs w:val="24"/>
          <w:lang w:val="en-US" w:eastAsia="zh-CN"/>
        </w:rPr>
        <w:t>生活污水经化粪池处理，满足《污水综合排放标准》（GB8978-1996）表</w:t>
      </w:r>
      <w:r>
        <w:rPr>
          <w:rFonts w:hint="default" w:ascii="仿宋" w:hAnsi="仿宋" w:eastAsia="仿宋" w:cs="Times New Roman"/>
          <w:sz w:val="24"/>
          <w:szCs w:val="24"/>
          <w:lang w:val="en-US" w:eastAsia="zh-CN"/>
        </w:rPr>
        <w:t>4</w:t>
      </w:r>
      <w:r>
        <w:rPr>
          <w:rFonts w:hint="eastAsia" w:ascii="仿宋" w:hAnsi="仿宋" w:eastAsia="仿宋" w:cs="Times New Roman"/>
          <w:sz w:val="24"/>
          <w:szCs w:val="24"/>
          <w:lang w:val="en-US" w:eastAsia="zh-CN"/>
        </w:rPr>
        <w:t>中三级标准及民权县污水处理厂收水标准后，排入民权县污水处理厂再处理，废水不得随意外排。</w:t>
      </w:r>
    </w:p>
    <w:p w14:paraId="553C3675">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default" w:ascii="仿宋" w:hAnsi="仿宋" w:eastAsia="仿宋" w:cs="Times New Roman"/>
          <w:sz w:val="24"/>
          <w:szCs w:val="24"/>
          <w:lang w:eastAsia="zh-CN"/>
        </w:rPr>
      </w:pPr>
      <w:r>
        <w:rPr>
          <w:rFonts w:hint="default" w:ascii="仿宋" w:hAnsi="仿宋" w:eastAsia="仿宋" w:cs="Times New Roman"/>
          <w:sz w:val="24"/>
          <w:szCs w:val="24"/>
          <w:lang w:eastAsia="zh-CN"/>
        </w:rPr>
        <w:t>2、废气：</w:t>
      </w:r>
      <w:r>
        <w:rPr>
          <w:rFonts w:hint="eastAsia" w:ascii="仿宋" w:hAnsi="仿宋" w:eastAsia="仿宋" w:cs="Times New Roman"/>
          <w:sz w:val="24"/>
          <w:szCs w:val="24"/>
          <w:lang w:eastAsia="zh-CN"/>
        </w:rPr>
        <w:t>（</w:t>
      </w:r>
      <w:r>
        <w:rPr>
          <w:rFonts w:hint="eastAsia" w:ascii="仿宋" w:hAnsi="仿宋" w:eastAsia="仿宋" w:cs="Times New Roman"/>
          <w:sz w:val="24"/>
          <w:szCs w:val="24"/>
          <w:lang w:val="en-US" w:eastAsia="zh-CN"/>
        </w:rPr>
        <w:t>1</w:t>
      </w:r>
      <w:r>
        <w:rPr>
          <w:rFonts w:hint="eastAsia" w:ascii="仿宋" w:hAnsi="仿宋" w:eastAsia="仿宋" w:cs="Times New Roman"/>
          <w:sz w:val="24"/>
          <w:szCs w:val="24"/>
          <w:lang w:eastAsia="zh-CN"/>
        </w:rPr>
        <w:t>）</w:t>
      </w:r>
      <w:r>
        <w:rPr>
          <w:rFonts w:hint="eastAsia" w:ascii="仿宋" w:hAnsi="仿宋" w:eastAsia="仿宋" w:cs="Times New Roman"/>
          <w:sz w:val="24"/>
          <w:szCs w:val="24"/>
          <w:lang w:val="en-US" w:eastAsia="zh-CN"/>
        </w:rPr>
        <w:t>拆解、切割、焊接工位</w:t>
      </w:r>
      <w:r>
        <w:rPr>
          <w:rFonts w:hint="default" w:ascii="仿宋" w:hAnsi="仿宋" w:eastAsia="仿宋" w:cs="Times New Roman"/>
          <w:sz w:val="24"/>
          <w:szCs w:val="24"/>
          <w:lang w:eastAsia="zh-CN"/>
        </w:rPr>
        <w:t>集气罩收集</w:t>
      </w:r>
      <w:r>
        <w:rPr>
          <w:rFonts w:hint="eastAsia" w:ascii="仿宋" w:hAnsi="仿宋" w:eastAsia="仿宋" w:cs="Times New Roman"/>
          <w:sz w:val="24"/>
          <w:szCs w:val="24"/>
          <w:lang w:eastAsia="zh-CN"/>
        </w:rPr>
        <w:t>，</w:t>
      </w:r>
      <w:r>
        <w:rPr>
          <w:rFonts w:hint="eastAsia" w:ascii="仿宋" w:hAnsi="仿宋" w:eastAsia="仿宋" w:cs="Times New Roman"/>
          <w:sz w:val="24"/>
          <w:szCs w:val="24"/>
          <w:lang w:val="en-US" w:eastAsia="zh-CN"/>
        </w:rPr>
        <w:t>经</w:t>
      </w:r>
      <w:r>
        <w:rPr>
          <w:rFonts w:hint="default" w:ascii="仿宋" w:hAnsi="仿宋" w:eastAsia="仿宋" w:cs="Times New Roman"/>
          <w:sz w:val="24"/>
          <w:szCs w:val="24"/>
          <w:lang w:eastAsia="zh-CN"/>
        </w:rPr>
        <w:t>袋式除尘器处理</w:t>
      </w:r>
      <w:r>
        <w:rPr>
          <w:rFonts w:hint="eastAsia" w:ascii="仿宋" w:hAnsi="仿宋" w:eastAsia="仿宋" w:cs="Times New Roman"/>
          <w:sz w:val="24"/>
          <w:szCs w:val="24"/>
          <w:lang w:eastAsia="zh-CN"/>
        </w:rPr>
        <w:t>，</w:t>
      </w:r>
      <w:r>
        <w:rPr>
          <w:rFonts w:hint="eastAsia" w:ascii="仿宋" w:hAnsi="仿宋" w:eastAsia="仿宋" w:cs="Times New Roman"/>
          <w:sz w:val="24"/>
          <w:szCs w:val="24"/>
          <w:lang w:val="en-US" w:eastAsia="zh-CN"/>
        </w:rPr>
        <w:t>满足《大气污染物综合排放标准》（GB16297-1996）排放限值、以及《河南省重污染天气通用行业应急减排措施制定技术指南（2024年修订版）》相关指标要求后，通过</w:t>
      </w:r>
      <w:r>
        <w:rPr>
          <w:rFonts w:hint="default" w:ascii="仿宋" w:hAnsi="仿宋" w:eastAsia="仿宋" w:cs="Times New Roman"/>
          <w:sz w:val="24"/>
          <w:szCs w:val="24"/>
          <w:lang w:eastAsia="zh-CN"/>
        </w:rPr>
        <w:t>15m高排气筒排放</w:t>
      </w:r>
      <w:r>
        <w:rPr>
          <w:rFonts w:hint="eastAsia" w:ascii="仿宋" w:hAnsi="仿宋" w:eastAsia="仿宋" w:cs="Times New Roman"/>
          <w:sz w:val="24"/>
          <w:szCs w:val="24"/>
          <w:lang w:val="en-US" w:eastAsia="zh-CN"/>
        </w:rPr>
        <w:t>。</w:t>
      </w:r>
    </w:p>
    <w:p w14:paraId="26716FFC">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default" w:ascii="仿宋" w:hAnsi="仿宋" w:eastAsia="仿宋" w:cs="Times New Roman"/>
          <w:sz w:val="24"/>
          <w:szCs w:val="24"/>
          <w:lang w:eastAsia="zh-CN"/>
        </w:rPr>
      </w:pPr>
      <w:r>
        <w:rPr>
          <w:rFonts w:hint="default" w:ascii="仿宋" w:hAnsi="仿宋" w:eastAsia="仿宋" w:cs="Times New Roman"/>
          <w:sz w:val="24"/>
          <w:szCs w:val="24"/>
          <w:lang w:eastAsia="zh-CN"/>
        </w:rPr>
        <w:t>3、噪声：选用低噪声设备，采取减振、隔声等降噪措施对设备噪声进行控制，厂界噪声满足《工业企业厂界环境噪声排放标准》（GB12348-2008）</w:t>
      </w:r>
      <w:r>
        <w:rPr>
          <w:rFonts w:hint="eastAsia" w:ascii="仿宋" w:hAnsi="仿宋" w:eastAsia="仿宋" w:cs="Times New Roman"/>
          <w:sz w:val="24"/>
          <w:szCs w:val="24"/>
          <w:lang w:val="en-US" w:eastAsia="zh-CN"/>
        </w:rPr>
        <w:t>3</w:t>
      </w:r>
      <w:r>
        <w:rPr>
          <w:rFonts w:hint="default" w:ascii="仿宋" w:hAnsi="仿宋" w:eastAsia="仿宋" w:cs="Times New Roman"/>
          <w:sz w:val="24"/>
          <w:szCs w:val="24"/>
          <w:lang w:eastAsia="zh-CN"/>
        </w:rPr>
        <w:t>类标准要求。</w:t>
      </w:r>
    </w:p>
    <w:p w14:paraId="770337C5">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default" w:ascii="仿宋" w:hAnsi="仿宋" w:eastAsia="仿宋" w:cs="Times New Roman"/>
          <w:sz w:val="24"/>
          <w:szCs w:val="24"/>
          <w:lang w:val="en-US" w:eastAsia="zh-CN"/>
        </w:rPr>
      </w:pPr>
      <w:r>
        <w:rPr>
          <w:rFonts w:hint="default" w:ascii="仿宋" w:hAnsi="仿宋" w:eastAsia="仿宋" w:cs="Times New Roman"/>
          <w:sz w:val="24"/>
          <w:szCs w:val="24"/>
          <w:lang w:eastAsia="zh-CN"/>
        </w:rPr>
        <w:t>4、固废：</w:t>
      </w:r>
      <w:r>
        <w:rPr>
          <w:rFonts w:hint="eastAsia" w:ascii="仿宋" w:hAnsi="仿宋" w:eastAsia="仿宋" w:cs="Times New Roman"/>
          <w:sz w:val="24"/>
          <w:szCs w:val="24"/>
          <w:lang w:eastAsia="zh-CN"/>
        </w:rPr>
        <w:t>（</w:t>
      </w:r>
      <w:r>
        <w:rPr>
          <w:rFonts w:hint="eastAsia" w:ascii="仿宋" w:hAnsi="仿宋" w:eastAsia="仿宋" w:cs="Times New Roman"/>
          <w:sz w:val="24"/>
          <w:szCs w:val="24"/>
          <w:lang w:val="en-US" w:eastAsia="zh-CN"/>
        </w:rPr>
        <w:t>1</w:t>
      </w:r>
      <w:r>
        <w:rPr>
          <w:rFonts w:hint="eastAsia" w:ascii="仿宋" w:hAnsi="仿宋" w:eastAsia="仿宋" w:cs="Times New Roman"/>
          <w:sz w:val="24"/>
          <w:szCs w:val="24"/>
          <w:lang w:eastAsia="zh-CN"/>
        </w:rPr>
        <w:t>）</w:t>
      </w:r>
      <w:r>
        <w:rPr>
          <w:rFonts w:hint="eastAsia" w:ascii="仿宋" w:hAnsi="仿宋" w:eastAsia="仿宋" w:cs="Times New Roman"/>
          <w:sz w:val="24"/>
          <w:szCs w:val="24"/>
          <w:lang w:val="en-US" w:eastAsia="zh-CN"/>
        </w:rPr>
        <w:t>一般固废收集暂存，定期外售或委托环卫部门处理；（2）危险废物暂存，定期交由有资质单位处理；（3）生活垃圾收集交环卫部门处理，一般固废和危险废物暂存分别满足</w:t>
      </w:r>
      <w:r>
        <w:rPr>
          <w:rFonts w:hint="default" w:ascii="仿宋" w:hAnsi="仿宋" w:eastAsia="仿宋" w:cs="Times New Roman"/>
          <w:sz w:val="24"/>
          <w:szCs w:val="24"/>
          <w:lang w:eastAsia="zh-CN"/>
        </w:rPr>
        <w:t>《一般工业固体废物贮存、处置场污染控制标准》（GB18599-2020）</w:t>
      </w:r>
      <w:r>
        <w:rPr>
          <w:rFonts w:hint="eastAsia" w:ascii="仿宋" w:hAnsi="仿宋" w:eastAsia="仿宋" w:cs="Times New Roman"/>
          <w:sz w:val="24"/>
          <w:szCs w:val="24"/>
          <w:lang w:eastAsia="zh-CN"/>
        </w:rPr>
        <w:t>、</w:t>
      </w:r>
      <w:r>
        <w:rPr>
          <w:rFonts w:hint="default" w:ascii="仿宋" w:hAnsi="仿宋" w:eastAsia="仿宋" w:cs="Times New Roman"/>
          <w:sz w:val="24"/>
          <w:szCs w:val="24"/>
          <w:lang w:val="en-US" w:eastAsia="zh-CN"/>
        </w:rPr>
        <w:t>《危险废物贮存污染控制标准》（GB18597-2023）</w:t>
      </w:r>
      <w:r>
        <w:rPr>
          <w:rFonts w:hint="default" w:ascii="仿宋" w:hAnsi="仿宋" w:eastAsia="仿宋" w:cs="Times New Roman"/>
          <w:sz w:val="24"/>
          <w:szCs w:val="24"/>
          <w:lang w:eastAsia="zh-CN"/>
        </w:rPr>
        <w:t>相关要求</w:t>
      </w:r>
      <w:r>
        <w:rPr>
          <w:rFonts w:hint="eastAsia" w:ascii="仿宋" w:hAnsi="仿宋" w:eastAsia="仿宋" w:cs="Times New Roman"/>
          <w:sz w:val="24"/>
          <w:szCs w:val="24"/>
          <w:lang w:eastAsia="zh-CN"/>
        </w:rPr>
        <w:t>，</w:t>
      </w:r>
      <w:r>
        <w:rPr>
          <w:rFonts w:hint="eastAsia" w:ascii="仿宋" w:hAnsi="仿宋" w:eastAsia="仿宋" w:cs="Times New Roman"/>
          <w:sz w:val="24"/>
          <w:szCs w:val="24"/>
          <w:lang w:val="en-US" w:eastAsia="zh-CN"/>
        </w:rPr>
        <w:t>固废还得随意丢弃</w:t>
      </w:r>
      <w:r>
        <w:rPr>
          <w:rFonts w:hint="eastAsia" w:ascii="仿宋" w:hAnsi="仿宋" w:eastAsia="仿宋" w:cs="Times New Roman"/>
          <w:sz w:val="24"/>
          <w:szCs w:val="24"/>
          <w:lang w:eastAsia="zh-CN"/>
        </w:rPr>
        <w:t>。</w:t>
      </w:r>
    </w:p>
    <w:p w14:paraId="79B88C99">
      <w:pPr>
        <w:keepNext w:val="0"/>
        <w:keepLines w:val="0"/>
        <w:pageBreakBefore w:val="0"/>
        <w:widowControl w:val="0"/>
        <w:kinsoku/>
        <w:wordWrap/>
        <w:overflowPunct/>
        <w:topLinePunct w:val="0"/>
        <w:autoSpaceDE/>
        <w:autoSpaceDN/>
        <w:bidi w:val="0"/>
        <w:adjustRightInd w:val="0"/>
        <w:snapToGrid w:val="0"/>
        <w:spacing w:line="440" w:lineRule="exact"/>
        <w:ind w:firstLine="240" w:firstLineChars="100"/>
        <w:textAlignment w:val="auto"/>
        <w:rPr>
          <w:rFonts w:hint="eastAsia" w:ascii="仿宋" w:hAnsi="仿宋" w:eastAsia="仿宋" w:cs="Times New Roman"/>
          <w:sz w:val="24"/>
          <w:szCs w:val="24"/>
          <w:lang w:val="en-US" w:eastAsia="zh-CN"/>
        </w:rPr>
      </w:pPr>
      <w:r>
        <w:rPr>
          <w:rFonts w:hint="eastAsia" w:ascii="仿宋" w:hAnsi="仿宋" w:eastAsia="仿宋" w:cs="Times New Roman"/>
          <w:sz w:val="24"/>
          <w:szCs w:val="24"/>
          <w:lang w:val="en-US" w:eastAsia="zh-CN"/>
        </w:rPr>
        <w:t>（四）本项目建设后，主要污染物排放量满足本项目主要污染物总量指标备案表控制指标要求。</w:t>
      </w:r>
    </w:p>
    <w:p w14:paraId="62C6A6A0">
      <w:pPr>
        <w:keepNext w:val="0"/>
        <w:keepLines w:val="0"/>
        <w:pageBreakBefore w:val="0"/>
        <w:widowControl w:val="0"/>
        <w:kinsoku/>
        <w:wordWrap/>
        <w:overflowPunct/>
        <w:topLinePunct w:val="0"/>
        <w:autoSpaceDE/>
        <w:autoSpaceDN/>
        <w:bidi w:val="0"/>
        <w:adjustRightInd w:val="0"/>
        <w:snapToGrid w:val="0"/>
        <w:spacing w:line="440" w:lineRule="exact"/>
        <w:ind w:firstLine="240" w:firstLineChars="100"/>
        <w:textAlignment w:val="auto"/>
        <w:rPr>
          <w:rFonts w:hint="eastAsia" w:ascii="仿宋" w:hAnsi="仿宋" w:eastAsia="仿宋" w:cs="Times New Roman"/>
          <w:sz w:val="24"/>
          <w:szCs w:val="24"/>
          <w:lang w:val="en-US" w:eastAsia="zh-CN"/>
        </w:rPr>
      </w:pPr>
      <w:r>
        <w:rPr>
          <w:rFonts w:hint="eastAsia" w:ascii="仿宋" w:hAnsi="仿宋" w:eastAsia="仿宋" w:cs="Times New Roman"/>
          <w:sz w:val="24"/>
          <w:szCs w:val="24"/>
          <w:lang w:val="en-US" w:eastAsia="zh-CN"/>
        </w:rPr>
        <w:t>（五）如果今后国家或者我省颁布污染物排放限值的新标准，届时你单位应按新的排放标准执行。</w:t>
      </w:r>
    </w:p>
    <w:p w14:paraId="7D373BC7">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Times New Roman"/>
          <w:sz w:val="24"/>
          <w:szCs w:val="24"/>
          <w:lang w:val="en-US" w:eastAsia="zh-CN"/>
        </w:rPr>
      </w:pPr>
      <w:r>
        <w:rPr>
          <w:rFonts w:hint="eastAsia" w:ascii="仿宋" w:hAnsi="仿宋" w:eastAsia="仿宋" w:cs="Times New Roman"/>
          <w:sz w:val="24"/>
          <w:szCs w:val="24"/>
          <w:lang w:val="en-US" w:eastAsia="zh-CN"/>
        </w:rPr>
        <w:t>四、项目建成后，按相关规定及时进行项目竣工环境保护验收。项目建设及运行过程中，由商丘市生态环境局民权分局负责项目的日常环境监管工作。</w:t>
      </w:r>
    </w:p>
    <w:p w14:paraId="1A00B020">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Times New Roman"/>
          <w:sz w:val="24"/>
          <w:szCs w:val="24"/>
          <w:lang w:val="en-US" w:eastAsia="zh-CN"/>
        </w:rPr>
      </w:pPr>
      <w:r>
        <w:rPr>
          <w:rFonts w:hint="eastAsia" w:ascii="仿宋" w:hAnsi="仿宋" w:eastAsia="仿宋" w:cs="Times New Roman"/>
          <w:sz w:val="24"/>
          <w:szCs w:val="24"/>
          <w:lang w:val="en-US" w:eastAsia="zh-CN"/>
        </w:rPr>
        <w:t>五、本项目自批复起5年内逾期未开工建设，其环境影响报告表应报我局重新审核。项目的性质、规模、地点、采用的生产工艺或防治污染、防止生态破坏的措施发生重大变动的，应当重新报批项目的环境影响评价文件。</w:t>
      </w:r>
    </w:p>
    <w:p w14:paraId="77F9F476">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Times New Roman"/>
          <w:sz w:val="24"/>
          <w:szCs w:val="24"/>
          <w:lang w:val="en-US" w:eastAsia="zh-CN"/>
        </w:rPr>
      </w:pPr>
      <w:r>
        <w:rPr>
          <w:rFonts w:hint="eastAsia" w:ascii="仿宋" w:hAnsi="仿宋" w:eastAsia="仿宋" w:cs="Times New Roman"/>
          <w:sz w:val="24"/>
          <w:szCs w:val="24"/>
          <w:lang w:val="en-US" w:eastAsia="zh-CN"/>
        </w:rPr>
        <w:t>六、对此批复若存有异议，可自该文下达之日起60日内向河南省环保厅、商丘市生态环境局或民权县人民政府申请复议，逾期复议无效。</w:t>
      </w:r>
    </w:p>
    <w:p w14:paraId="50470D04">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Times New Roman"/>
          <w:sz w:val="24"/>
          <w:szCs w:val="24"/>
          <w:lang w:val="en-US" w:eastAsia="zh-CN"/>
        </w:rPr>
      </w:pPr>
    </w:p>
    <w:p w14:paraId="44CD7FE5">
      <w:pPr>
        <w:keepNext w:val="0"/>
        <w:keepLines w:val="0"/>
        <w:pageBreakBefore w:val="0"/>
        <w:widowControl w:val="0"/>
        <w:kinsoku/>
        <w:wordWrap/>
        <w:overflowPunct/>
        <w:topLinePunct w:val="0"/>
        <w:autoSpaceDE/>
        <w:autoSpaceDN/>
        <w:bidi w:val="0"/>
        <w:adjustRightInd w:val="0"/>
        <w:snapToGrid w:val="0"/>
        <w:spacing w:line="440" w:lineRule="exact"/>
        <w:textAlignment w:val="auto"/>
        <w:rPr>
          <w:rFonts w:hint="eastAsia" w:ascii="仿宋" w:hAnsi="仿宋" w:eastAsia="仿宋" w:cs="Times New Roman"/>
          <w:sz w:val="24"/>
          <w:szCs w:val="24"/>
          <w:lang w:val="en-US" w:eastAsia="zh-CN"/>
        </w:rPr>
      </w:pPr>
    </w:p>
    <w:p w14:paraId="378A48E2">
      <w:pPr>
        <w:keepNext w:val="0"/>
        <w:keepLines w:val="0"/>
        <w:pageBreakBefore w:val="0"/>
        <w:widowControl w:val="0"/>
        <w:kinsoku/>
        <w:wordWrap/>
        <w:overflowPunct/>
        <w:topLinePunct w:val="0"/>
        <w:autoSpaceDE/>
        <w:autoSpaceDN/>
        <w:bidi w:val="0"/>
        <w:adjustRightInd w:val="0"/>
        <w:snapToGrid w:val="0"/>
        <w:spacing w:line="440" w:lineRule="exact"/>
        <w:textAlignment w:val="auto"/>
        <w:rPr>
          <w:rFonts w:hint="eastAsia" w:ascii="仿宋" w:hAnsi="仿宋" w:eastAsia="仿宋" w:cs="Times New Roman"/>
          <w:sz w:val="24"/>
          <w:szCs w:val="24"/>
          <w:lang w:val="en-US" w:eastAsia="zh-CN"/>
        </w:rPr>
      </w:pPr>
    </w:p>
    <w:p w14:paraId="7DB63836">
      <w:pPr>
        <w:keepNext w:val="0"/>
        <w:keepLines w:val="0"/>
        <w:pageBreakBefore w:val="0"/>
        <w:widowControl w:val="0"/>
        <w:kinsoku/>
        <w:wordWrap/>
        <w:overflowPunct/>
        <w:topLinePunct w:val="0"/>
        <w:autoSpaceDE/>
        <w:autoSpaceDN/>
        <w:bidi w:val="0"/>
        <w:adjustRightInd w:val="0"/>
        <w:snapToGrid w:val="0"/>
        <w:spacing w:line="440" w:lineRule="exact"/>
        <w:ind w:firstLine="6480" w:firstLineChars="2700"/>
        <w:textAlignment w:val="auto"/>
        <w:rPr>
          <w:rFonts w:hint="eastAsia" w:ascii="仿宋" w:hAnsi="仿宋" w:eastAsia="仿宋" w:cs="Times New Roman"/>
          <w:sz w:val="24"/>
          <w:szCs w:val="24"/>
          <w:lang w:val="en-US" w:eastAsia="zh-CN"/>
        </w:rPr>
      </w:pPr>
      <w:r>
        <w:rPr>
          <w:rFonts w:hint="eastAsia" w:ascii="仿宋" w:hAnsi="仿宋" w:eastAsia="仿宋" w:cs="Times New Roman"/>
          <w:sz w:val="24"/>
          <w:szCs w:val="24"/>
          <w:lang w:val="en-US" w:eastAsia="zh-CN"/>
        </w:rPr>
        <w:t>盖章</w:t>
      </w:r>
    </w:p>
    <w:p w14:paraId="42F9281E">
      <w:pPr>
        <w:keepNext w:val="0"/>
        <w:keepLines w:val="0"/>
        <w:pageBreakBefore w:val="0"/>
        <w:widowControl w:val="0"/>
        <w:kinsoku/>
        <w:wordWrap/>
        <w:overflowPunct/>
        <w:topLinePunct w:val="0"/>
        <w:autoSpaceDE/>
        <w:autoSpaceDN/>
        <w:bidi w:val="0"/>
        <w:adjustRightInd w:val="0"/>
        <w:snapToGrid w:val="0"/>
        <w:spacing w:line="440" w:lineRule="exact"/>
        <w:textAlignment w:val="auto"/>
        <w:rPr>
          <w:rFonts w:hint="eastAsia" w:ascii="仿宋" w:hAnsi="仿宋" w:eastAsia="仿宋" w:cs="Times New Roman"/>
          <w:color w:val="auto"/>
          <w:sz w:val="24"/>
          <w:szCs w:val="24"/>
          <w:lang w:val="en-US" w:eastAsia="zh-CN"/>
        </w:rPr>
      </w:pPr>
      <w:r>
        <w:rPr>
          <w:rFonts w:hint="eastAsia" w:ascii="仿宋" w:hAnsi="仿宋" w:eastAsia="仿宋" w:cs="Times New Roman"/>
          <w:sz w:val="24"/>
          <w:szCs w:val="24"/>
          <w:lang w:val="en-US" w:eastAsia="zh-CN"/>
        </w:rPr>
        <w:t xml:space="preserve">                                               </w:t>
      </w:r>
      <w:r>
        <w:rPr>
          <w:rFonts w:hint="eastAsia" w:ascii="仿宋" w:hAnsi="仿宋" w:eastAsia="仿宋" w:cs="Times New Roman"/>
          <w:color w:val="auto"/>
          <w:sz w:val="24"/>
          <w:szCs w:val="24"/>
          <w:lang w:val="en-US" w:eastAsia="zh-CN"/>
        </w:rPr>
        <w:t xml:space="preserve">  2025年7月21</w:t>
      </w:r>
      <w:bookmarkStart w:id="0" w:name="_GoBack"/>
      <w:bookmarkEnd w:id="0"/>
      <w:r>
        <w:rPr>
          <w:rFonts w:hint="eastAsia" w:ascii="仿宋" w:hAnsi="仿宋" w:eastAsia="仿宋" w:cs="Times New Roman"/>
          <w:color w:val="auto"/>
          <w:sz w:val="24"/>
          <w:szCs w:val="24"/>
          <w:lang w:val="en-US" w:eastAsia="zh-CN"/>
        </w:rPr>
        <w:t>日</w:t>
      </w:r>
    </w:p>
    <w:p w14:paraId="2C033512">
      <w:pPr>
        <w:keepNext w:val="0"/>
        <w:keepLines w:val="0"/>
        <w:pageBreakBefore w:val="0"/>
        <w:widowControl w:val="0"/>
        <w:kinsoku/>
        <w:wordWrap/>
        <w:overflowPunct/>
        <w:topLinePunct w:val="0"/>
        <w:autoSpaceDE/>
        <w:autoSpaceDN/>
        <w:bidi w:val="0"/>
        <w:adjustRightInd w:val="0"/>
        <w:snapToGrid w:val="0"/>
        <w:spacing w:line="440" w:lineRule="exact"/>
        <w:ind w:firstLine="6090" w:firstLineChars="2900"/>
        <w:textAlignment w:val="auto"/>
      </w:pPr>
    </w:p>
    <w:sectPr>
      <w:pgSz w:w="11906" w:h="16838"/>
      <w:pgMar w:top="1588" w:right="1474" w:bottom="1361" w:left="147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E0002EFF" w:usb1="C000785B" w:usb2="00000009" w:usb3="00000000" w:csb0="400001FF" w:csb1="FFFF0000"/>
  </w:font>
  <w:font w:name="宋体">
    <w:panose1 w:val="02010600030101010101"/>
    <w:charset w:val="8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宋体_x0002_">
    <w:altName w:val="宋体"/>
    <w:panose1 w:val="00000000000000000000"/>
    <w:charset w:val="86"/>
    <w:family w:val="roma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view w:val="normal"/>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BhMjViYmUzMzVlM2I4NzZhMjFlMTczM2YxMzQxMTQifQ=="/>
  </w:docVars>
  <w:rsids>
    <w:rsidRoot w:val="02F72450"/>
    <w:rsid w:val="00000196"/>
    <w:rsid w:val="00002FE5"/>
    <w:rsid w:val="000826E0"/>
    <w:rsid w:val="0009411E"/>
    <w:rsid w:val="000C7936"/>
    <w:rsid w:val="000D0072"/>
    <w:rsid w:val="000D6213"/>
    <w:rsid w:val="000E2394"/>
    <w:rsid w:val="00114960"/>
    <w:rsid w:val="00137DE5"/>
    <w:rsid w:val="00172393"/>
    <w:rsid w:val="00175A80"/>
    <w:rsid w:val="001E5474"/>
    <w:rsid w:val="002035E9"/>
    <w:rsid w:val="0023520D"/>
    <w:rsid w:val="002A404E"/>
    <w:rsid w:val="002B13AB"/>
    <w:rsid w:val="002F1077"/>
    <w:rsid w:val="003014B1"/>
    <w:rsid w:val="003955E9"/>
    <w:rsid w:val="003E3E4B"/>
    <w:rsid w:val="003E3E90"/>
    <w:rsid w:val="00425F79"/>
    <w:rsid w:val="00465F79"/>
    <w:rsid w:val="004824B1"/>
    <w:rsid w:val="00483ED3"/>
    <w:rsid w:val="004E7FCF"/>
    <w:rsid w:val="004F7F1C"/>
    <w:rsid w:val="0052539C"/>
    <w:rsid w:val="00575373"/>
    <w:rsid w:val="006177C6"/>
    <w:rsid w:val="0064136E"/>
    <w:rsid w:val="00653A8C"/>
    <w:rsid w:val="006B2190"/>
    <w:rsid w:val="006E5D8B"/>
    <w:rsid w:val="00702B2D"/>
    <w:rsid w:val="00716C75"/>
    <w:rsid w:val="007510DD"/>
    <w:rsid w:val="00752A3F"/>
    <w:rsid w:val="00773AA5"/>
    <w:rsid w:val="00777949"/>
    <w:rsid w:val="00785EC0"/>
    <w:rsid w:val="007A1B2D"/>
    <w:rsid w:val="007E11E7"/>
    <w:rsid w:val="0083127E"/>
    <w:rsid w:val="00871CC8"/>
    <w:rsid w:val="008B1FCE"/>
    <w:rsid w:val="008F5F29"/>
    <w:rsid w:val="00924F32"/>
    <w:rsid w:val="009A3A33"/>
    <w:rsid w:val="009B0E83"/>
    <w:rsid w:val="009B61EC"/>
    <w:rsid w:val="009C456F"/>
    <w:rsid w:val="00A42BDD"/>
    <w:rsid w:val="00A6136A"/>
    <w:rsid w:val="00A83DFF"/>
    <w:rsid w:val="00A8688A"/>
    <w:rsid w:val="00A93E01"/>
    <w:rsid w:val="00AC211F"/>
    <w:rsid w:val="00B71152"/>
    <w:rsid w:val="00B82A97"/>
    <w:rsid w:val="00B95A86"/>
    <w:rsid w:val="00C00B05"/>
    <w:rsid w:val="00C33CD7"/>
    <w:rsid w:val="00C60A64"/>
    <w:rsid w:val="00CE5BB2"/>
    <w:rsid w:val="00D277F4"/>
    <w:rsid w:val="00D476BE"/>
    <w:rsid w:val="00D83101"/>
    <w:rsid w:val="00DC090E"/>
    <w:rsid w:val="00DC4F51"/>
    <w:rsid w:val="00DE75C1"/>
    <w:rsid w:val="00DF3F1F"/>
    <w:rsid w:val="00DF5060"/>
    <w:rsid w:val="00E02BC4"/>
    <w:rsid w:val="00E50552"/>
    <w:rsid w:val="00E75163"/>
    <w:rsid w:val="011253ED"/>
    <w:rsid w:val="018A1427"/>
    <w:rsid w:val="02022B0D"/>
    <w:rsid w:val="021B6523"/>
    <w:rsid w:val="02623E47"/>
    <w:rsid w:val="02816CCE"/>
    <w:rsid w:val="028440C8"/>
    <w:rsid w:val="02B26D96"/>
    <w:rsid w:val="02D533E0"/>
    <w:rsid w:val="02F72450"/>
    <w:rsid w:val="03600692"/>
    <w:rsid w:val="037338AD"/>
    <w:rsid w:val="03922815"/>
    <w:rsid w:val="04ED7FD0"/>
    <w:rsid w:val="04F25C61"/>
    <w:rsid w:val="06600C79"/>
    <w:rsid w:val="076B5857"/>
    <w:rsid w:val="09104908"/>
    <w:rsid w:val="0A027612"/>
    <w:rsid w:val="0A6062C7"/>
    <w:rsid w:val="0A607E53"/>
    <w:rsid w:val="0AB063A2"/>
    <w:rsid w:val="0C9D65C0"/>
    <w:rsid w:val="0D9F26FE"/>
    <w:rsid w:val="0DDD6D83"/>
    <w:rsid w:val="0EE243C8"/>
    <w:rsid w:val="0EEC1973"/>
    <w:rsid w:val="114105BA"/>
    <w:rsid w:val="117E6080"/>
    <w:rsid w:val="11F36B75"/>
    <w:rsid w:val="1414714B"/>
    <w:rsid w:val="159266A5"/>
    <w:rsid w:val="15BA47FB"/>
    <w:rsid w:val="16027570"/>
    <w:rsid w:val="17620A24"/>
    <w:rsid w:val="19E842F0"/>
    <w:rsid w:val="1A187EFA"/>
    <w:rsid w:val="1A1C5430"/>
    <w:rsid w:val="1B027E29"/>
    <w:rsid w:val="1B7C72FE"/>
    <w:rsid w:val="1BB76E65"/>
    <w:rsid w:val="1DD91315"/>
    <w:rsid w:val="1E1467F1"/>
    <w:rsid w:val="1E3D7D5E"/>
    <w:rsid w:val="1E9D0594"/>
    <w:rsid w:val="1F316F2E"/>
    <w:rsid w:val="1FFC7619"/>
    <w:rsid w:val="2228557D"/>
    <w:rsid w:val="22DB168B"/>
    <w:rsid w:val="22EF3C30"/>
    <w:rsid w:val="2340208E"/>
    <w:rsid w:val="23FF584D"/>
    <w:rsid w:val="24675571"/>
    <w:rsid w:val="258A7653"/>
    <w:rsid w:val="260B672B"/>
    <w:rsid w:val="26712C1A"/>
    <w:rsid w:val="26A57FF8"/>
    <w:rsid w:val="26B02E2F"/>
    <w:rsid w:val="28866D03"/>
    <w:rsid w:val="299A67A7"/>
    <w:rsid w:val="2A44255A"/>
    <w:rsid w:val="2AB73F88"/>
    <w:rsid w:val="2B057BED"/>
    <w:rsid w:val="2BC43604"/>
    <w:rsid w:val="2BE42D87"/>
    <w:rsid w:val="2CB22407"/>
    <w:rsid w:val="2EDA313F"/>
    <w:rsid w:val="2EE543BC"/>
    <w:rsid w:val="2FCE5C86"/>
    <w:rsid w:val="30036FC8"/>
    <w:rsid w:val="30077F63"/>
    <w:rsid w:val="30C61BCC"/>
    <w:rsid w:val="314666AE"/>
    <w:rsid w:val="31857392"/>
    <w:rsid w:val="32004C6A"/>
    <w:rsid w:val="323B3EF4"/>
    <w:rsid w:val="325D3E6B"/>
    <w:rsid w:val="33C9214B"/>
    <w:rsid w:val="341F01B7"/>
    <w:rsid w:val="34765BF2"/>
    <w:rsid w:val="34791C6D"/>
    <w:rsid w:val="358406CB"/>
    <w:rsid w:val="379D778B"/>
    <w:rsid w:val="38ED1EDE"/>
    <w:rsid w:val="3B941681"/>
    <w:rsid w:val="3D4313C4"/>
    <w:rsid w:val="3D687B67"/>
    <w:rsid w:val="3D8A054E"/>
    <w:rsid w:val="3DA03245"/>
    <w:rsid w:val="3F8F3AD1"/>
    <w:rsid w:val="405F0B00"/>
    <w:rsid w:val="42AB0C22"/>
    <w:rsid w:val="44230431"/>
    <w:rsid w:val="444306B4"/>
    <w:rsid w:val="4537679D"/>
    <w:rsid w:val="4545710C"/>
    <w:rsid w:val="45572A7F"/>
    <w:rsid w:val="4605121C"/>
    <w:rsid w:val="46420E58"/>
    <w:rsid w:val="46720267"/>
    <w:rsid w:val="47180C26"/>
    <w:rsid w:val="483728F5"/>
    <w:rsid w:val="48382F58"/>
    <w:rsid w:val="49EB7B56"/>
    <w:rsid w:val="4A785737"/>
    <w:rsid w:val="4BFA65D9"/>
    <w:rsid w:val="4E092CA1"/>
    <w:rsid w:val="4E0E2652"/>
    <w:rsid w:val="4F8B6063"/>
    <w:rsid w:val="50187D40"/>
    <w:rsid w:val="515C0112"/>
    <w:rsid w:val="51ED6BE4"/>
    <w:rsid w:val="52FB705C"/>
    <w:rsid w:val="534E0387"/>
    <w:rsid w:val="534E1882"/>
    <w:rsid w:val="536A7F0B"/>
    <w:rsid w:val="541A66F2"/>
    <w:rsid w:val="56220DA3"/>
    <w:rsid w:val="56337DCF"/>
    <w:rsid w:val="56446355"/>
    <w:rsid w:val="574813E7"/>
    <w:rsid w:val="57690E03"/>
    <w:rsid w:val="580B46CD"/>
    <w:rsid w:val="58A90B5F"/>
    <w:rsid w:val="5ACA3972"/>
    <w:rsid w:val="5AE04594"/>
    <w:rsid w:val="5B4A6DD2"/>
    <w:rsid w:val="5BC3706B"/>
    <w:rsid w:val="5C115B42"/>
    <w:rsid w:val="5C2F1F3C"/>
    <w:rsid w:val="5D177188"/>
    <w:rsid w:val="5D1F1490"/>
    <w:rsid w:val="5F7102C0"/>
    <w:rsid w:val="5FA42829"/>
    <w:rsid w:val="5FA7072F"/>
    <w:rsid w:val="6168089C"/>
    <w:rsid w:val="620F0E3C"/>
    <w:rsid w:val="627E55B4"/>
    <w:rsid w:val="638A6274"/>
    <w:rsid w:val="63A571DA"/>
    <w:rsid w:val="63C17BCC"/>
    <w:rsid w:val="6400795F"/>
    <w:rsid w:val="640A35A3"/>
    <w:rsid w:val="64D876DB"/>
    <w:rsid w:val="64E751EA"/>
    <w:rsid w:val="64EA0B30"/>
    <w:rsid w:val="6683763C"/>
    <w:rsid w:val="674B78C3"/>
    <w:rsid w:val="6831101D"/>
    <w:rsid w:val="68E463DE"/>
    <w:rsid w:val="68FA0808"/>
    <w:rsid w:val="6901679E"/>
    <w:rsid w:val="6A1D56B2"/>
    <w:rsid w:val="6A676BAB"/>
    <w:rsid w:val="6A7A48B2"/>
    <w:rsid w:val="6AA24FB9"/>
    <w:rsid w:val="6AA64C8B"/>
    <w:rsid w:val="6AEF5FA7"/>
    <w:rsid w:val="6C134FBF"/>
    <w:rsid w:val="6CCF5389"/>
    <w:rsid w:val="6CF7043C"/>
    <w:rsid w:val="6D5E2269"/>
    <w:rsid w:val="6D7E031E"/>
    <w:rsid w:val="6D9B4A7B"/>
    <w:rsid w:val="6FA72123"/>
    <w:rsid w:val="706E61A7"/>
    <w:rsid w:val="70A94143"/>
    <w:rsid w:val="710417A2"/>
    <w:rsid w:val="73880040"/>
    <w:rsid w:val="741A377C"/>
    <w:rsid w:val="75915277"/>
    <w:rsid w:val="759F5B15"/>
    <w:rsid w:val="76205CB7"/>
    <w:rsid w:val="76661C22"/>
    <w:rsid w:val="77C61424"/>
    <w:rsid w:val="78241612"/>
    <w:rsid w:val="79694470"/>
    <w:rsid w:val="7B646353"/>
    <w:rsid w:val="7C9E08D4"/>
    <w:rsid w:val="7CE21D95"/>
    <w:rsid w:val="7D045640"/>
    <w:rsid w:val="7E53294F"/>
    <w:rsid w:val="7E716A49"/>
    <w:rsid w:val="7E7C69F3"/>
    <w:rsid w:val="7EAB3D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autoRedefine/>
    <w:qFormat/>
    <w:uiPriority w:val="0"/>
    <w:pPr>
      <w:keepNext/>
      <w:keepLines/>
      <w:tabs>
        <w:tab w:val="left" w:pos="1230"/>
      </w:tabs>
      <w:spacing w:before="240" w:after="120"/>
      <w:ind w:left="1230" w:hanging="1230"/>
      <w:jc w:val="center"/>
      <w:outlineLvl w:val="0"/>
    </w:pPr>
    <w:rPr>
      <w:rFonts w:eastAsia="黑体"/>
      <w:b/>
      <w:bCs/>
      <w:kern w:val="44"/>
      <w:sz w:val="42"/>
    </w:rPr>
  </w:style>
  <w:style w:type="character" w:default="1" w:styleId="11">
    <w:name w:val="Default Paragraph Font"/>
    <w:autoRedefine/>
    <w:semiHidden/>
    <w:unhideWhenUsed/>
    <w:qFormat/>
    <w:uiPriority w:val="1"/>
  </w:style>
  <w:style w:type="table" w:default="1" w:styleId="9">
    <w:name w:val="Normal Table"/>
    <w:autoRedefine/>
    <w:semiHidden/>
    <w:unhideWhenUsed/>
    <w:qFormat/>
    <w:uiPriority w:val="99"/>
    <w:pPr>
      <w:keepNext w:val="0"/>
      <w:keepLines w:val="0"/>
      <w:widowControl/>
      <w:suppressLineNumbers w:val="0"/>
      <w:spacing w:before="0" w:beforeAutospacing="0" w:after="0" w:afterAutospacing="0"/>
      <w:ind w:left="0" w:right="0"/>
    </w:pPr>
    <w:rPr>
      <w:rFonts w:ascii="Calibri" w:hAnsi="Calibri" w:eastAsia="宋体" w:cs="Times New Roman"/>
      <w:kern w:val="2"/>
      <w:sz w:val="21"/>
      <w:szCs w:val="22"/>
    </w:rPr>
    <w:tblPr>
      <w:tblCellMar>
        <w:top w:w="0" w:type="dxa"/>
        <w:left w:w="108" w:type="dxa"/>
        <w:bottom w:w="0" w:type="dxa"/>
        <w:right w:w="108" w:type="dxa"/>
      </w:tblCellMar>
    </w:tblPr>
  </w:style>
  <w:style w:type="paragraph" w:customStyle="1" w:styleId="2">
    <w:name w:val="Default"/>
    <w:basedOn w:val="3"/>
    <w:qFormat/>
    <w:uiPriority w:val="0"/>
    <w:pPr>
      <w:widowControl w:val="0"/>
      <w:autoSpaceDE w:val="0"/>
      <w:autoSpaceDN w:val="0"/>
      <w:adjustRightInd w:val="0"/>
    </w:pPr>
    <w:rPr>
      <w:rFonts w:ascii="宋体_x0002_" w:eastAsia="宋体_x0002_" w:cs="宋体_x0002_"/>
      <w:color w:val="000000"/>
      <w:sz w:val="24"/>
      <w:szCs w:val="24"/>
      <w:lang w:val="en-US" w:eastAsia="zh-CN" w:bidi="ar-SA"/>
    </w:rPr>
  </w:style>
  <w:style w:type="paragraph" w:customStyle="1" w:styleId="3">
    <w:name w:val="纯文本1"/>
    <w:basedOn w:val="1"/>
    <w:qFormat/>
    <w:uiPriority w:val="0"/>
    <w:pPr>
      <w:adjustRightInd w:val="0"/>
    </w:pPr>
    <w:rPr>
      <w:rFonts w:ascii="宋体" w:hAnsi="Courier New"/>
      <w:szCs w:val="20"/>
    </w:rPr>
  </w:style>
  <w:style w:type="paragraph" w:styleId="5">
    <w:name w:val="Normal Indent"/>
    <w:basedOn w:val="1"/>
    <w:qFormat/>
    <w:uiPriority w:val="0"/>
    <w:pPr>
      <w:keepNext w:val="0"/>
      <w:keepLines w:val="0"/>
      <w:widowControl w:val="0"/>
      <w:suppressLineNumbers w:val="0"/>
      <w:spacing w:before="0" w:beforeAutospacing="0" w:after="0" w:afterAutospacing="0"/>
      <w:ind w:left="0" w:right="0" w:firstLine="420" w:firstLineChars="200"/>
      <w:jc w:val="both"/>
    </w:pPr>
    <w:rPr>
      <w:rFonts w:hint="default" w:ascii="Times New Roman" w:hAnsi="Times New Roman" w:eastAsia="宋体" w:cs="Times New Roman"/>
      <w:kern w:val="2"/>
      <w:sz w:val="21"/>
      <w:szCs w:val="20"/>
      <w:lang w:val="en-US" w:eastAsia="zh-CN" w:bidi="ar"/>
    </w:rPr>
  </w:style>
  <w:style w:type="paragraph" w:styleId="6">
    <w:name w:val="Block Text"/>
    <w:basedOn w:val="1"/>
    <w:next w:val="1"/>
    <w:autoRedefine/>
    <w:qFormat/>
    <w:uiPriority w:val="0"/>
    <w:pPr>
      <w:snapToGrid w:val="0"/>
      <w:spacing w:before="100" w:beforeAutospacing="1" w:after="100" w:afterAutospacing="1" w:line="408" w:lineRule="auto"/>
      <w:ind w:left="-113" w:right="-510" w:firstLine="510"/>
    </w:pPr>
  </w:style>
  <w:style w:type="paragraph" w:styleId="7">
    <w:name w:val="footer"/>
    <w:basedOn w:val="1"/>
    <w:link w:val="13"/>
    <w:qFormat/>
    <w:uiPriority w:val="0"/>
    <w:pPr>
      <w:tabs>
        <w:tab w:val="center" w:pos="4153"/>
        <w:tab w:val="right" w:pos="8306"/>
      </w:tabs>
      <w:snapToGrid w:val="0"/>
      <w:jc w:val="left"/>
    </w:pPr>
    <w:rPr>
      <w:sz w:val="18"/>
      <w:szCs w:val="18"/>
    </w:rPr>
  </w:style>
  <w:style w:type="paragraph" w:styleId="8">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table" w:styleId="10">
    <w:name w:val="Table Grid"/>
    <w:basedOn w:val="9"/>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2">
    <w:name w:val="页眉 Char"/>
    <w:basedOn w:val="11"/>
    <w:link w:val="8"/>
    <w:qFormat/>
    <w:uiPriority w:val="0"/>
    <w:rPr>
      <w:kern w:val="2"/>
      <w:sz w:val="18"/>
      <w:szCs w:val="18"/>
    </w:rPr>
  </w:style>
  <w:style w:type="character" w:customStyle="1" w:styleId="13">
    <w:name w:val="页脚 Char"/>
    <w:basedOn w:val="11"/>
    <w:link w:val="7"/>
    <w:qFormat/>
    <w:uiPriority w:val="0"/>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2</Pages>
  <Words>1258</Words>
  <Characters>1346</Characters>
  <Lines>10</Lines>
  <Paragraphs>3</Paragraphs>
  <TotalTime>0</TotalTime>
  <ScaleCrop>false</ScaleCrop>
  <LinksUpToDate>false</LinksUpToDate>
  <CharactersWithSpaces>1439</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2019-01-21T06:33:00Z</dcterms:created>
  <dc:creator>qiaqia</dc:creator>
  <cp:lastModifiedBy>苍海（杜家坤）</cp:lastModifiedBy>
  <dcterms:modified xsi:type="dcterms:W3CDTF">2025-07-21T06:48:43Z</dcterms:modified>
  <cp:revision>47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7954AFA1BC0E49D6B30463080F4C3D36</vt:lpwstr>
  </property>
  <property fmtid="{D5CDD505-2E9C-101B-9397-08002B2CF9AE}" pid="4" name="KSOTemplateDocerSaveRecord">
    <vt:lpwstr>eyJoZGlkIjoiZjI0M2I4N2QxOWFjMzU3YmQ3Yjc1YzZlMDQ2ZjBjNDAiLCJ1c2VySWQiOiIzODM3OTg1MDIifQ==</vt:lpwstr>
  </property>
</Properties>
</file>