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BE6F9">
      <w:pPr>
        <w:pStyle w:val="20"/>
        <w:jc w:val="center"/>
        <w:outlineLvl w:val="0"/>
        <w:rPr>
          <w:rFonts w:ascii="Times New Roman" w:hAnsi="Times New Roman" w:eastAsia="黑体"/>
          <w:snapToGrid w:val="0"/>
          <w:sz w:val="30"/>
          <w:szCs w:val="30"/>
        </w:rPr>
      </w:pPr>
      <w:bookmarkStart w:id="0" w:name="_Toc9144"/>
      <w:r>
        <w:rPr>
          <w:rFonts w:ascii="Times New Roman" w:hAnsi="Times New Roman" w:eastAsia="黑体"/>
          <w:snapToGrid w:val="0"/>
          <w:sz w:val="30"/>
          <w:szCs w:val="30"/>
        </w:rPr>
        <w:t>一、建设项目基本情况</w:t>
      </w:r>
      <w:bookmarkEnd w:id="0"/>
    </w:p>
    <w:tbl>
      <w:tblPr>
        <w:tblStyle w:val="23"/>
        <w:tblW w:w="496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159"/>
        <w:gridCol w:w="1859"/>
        <w:gridCol w:w="1864"/>
        <w:gridCol w:w="2926"/>
      </w:tblGrid>
      <w:tr w14:paraId="6686B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160" w:type="dxa"/>
            <w:tcMar>
              <w:top w:w="16" w:type="dxa"/>
              <w:left w:w="16" w:type="dxa"/>
              <w:right w:w="16" w:type="dxa"/>
            </w:tcMar>
            <w:vAlign w:val="center"/>
          </w:tcPr>
          <w:p w14:paraId="7F18C5C8">
            <w:pPr>
              <w:adjustRightInd w:val="0"/>
              <w:snapToGrid w:val="0"/>
              <w:jc w:val="center"/>
              <w:rPr>
                <w:sz w:val="24"/>
              </w:rPr>
            </w:pPr>
            <w:r>
              <w:rPr>
                <w:sz w:val="24"/>
              </w:rPr>
              <w:t>建设项目名称</w:t>
            </w:r>
          </w:p>
        </w:tc>
        <w:tc>
          <w:tcPr>
            <w:tcW w:w="6654" w:type="dxa"/>
            <w:gridSpan w:val="3"/>
            <w:vAlign w:val="center"/>
          </w:tcPr>
          <w:p w14:paraId="74687613">
            <w:pPr>
              <w:adjustRightInd w:val="0"/>
              <w:snapToGrid w:val="0"/>
              <w:jc w:val="center"/>
              <w:rPr>
                <w:sz w:val="24"/>
              </w:rPr>
            </w:pPr>
            <w:bookmarkStart w:id="1" w:name="_Hlk203568705"/>
            <w:r>
              <w:rPr>
                <w:sz w:val="24"/>
              </w:rPr>
              <w:t>民权县朝大再生资源回收利用有限公司年回收50台农业机械建设项目</w:t>
            </w:r>
            <w:bookmarkEnd w:id="1"/>
          </w:p>
        </w:tc>
      </w:tr>
      <w:tr w14:paraId="1E58FF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160" w:type="dxa"/>
            <w:tcMar>
              <w:top w:w="16" w:type="dxa"/>
              <w:left w:w="16" w:type="dxa"/>
              <w:right w:w="16" w:type="dxa"/>
            </w:tcMar>
            <w:vAlign w:val="center"/>
          </w:tcPr>
          <w:p w14:paraId="5839E36B">
            <w:pPr>
              <w:adjustRightInd w:val="0"/>
              <w:snapToGrid w:val="0"/>
              <w:jc w:val="center"/>
              <w:rPr>
                <w:sz w:val="24"/>
              </w:rPr>
            </w:pPr>
            <w:r>
              <w:rPr>
                <w:sz w:val="24"/>
              </w:rPr>
              <w:t>项目代码</w:t>
            </w:r>
          </w:p>
        </w:tc>
        <w:tc>
          <w:tcPr>
            <w:tcW w:w="6654" w:type="dxa"/>
            <w:gridSpan w:val="3"/>
            <w:vAlign w:val="center"/>
          </w:tcPr>
          <w:p w14:paraId="3FD66121">
            <w:pPr>
              <w:adjustRightInd w:val="0"/>
              <w:snapToGrid w:val="0"/>
              <w:jc w:val="center"/>
              <w:rPr>
                <w:sz w:val="24"/>
              </w:rPr>
            </w:pPr>
            <w:r>
              <w:rPr>
                <w:sz w:val="24"/>
              </w:rPr>
              <w:t>2410-411421-04-01-482558</w:t>
            </w:r>
          </w:p>
        </w:tc>
      </w:tr>
      <w:tr w14:paraId="4D39F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160" w:type="dxa"/>
            <w:tcMar>
              <w:top w:w="16" w:type="dxa"/>
              <w:left w:w="16" w:type="dxa"/>
              <w:right w:w="16" w:type="dxa"/>
            </w:tcMar>
            <w:vAlign w:val="center"/>
          </w:tcPr>
          <w:p w14:paraId="57614DF2">
            <w:pPr>
              <w:adjustRightInd w:val="0"/>
              <w:snapToGrid w:val="0"/>
              <w:jc w:val="center"/>
              <w:rPr>
                <w:sz w:val="24"/>
              </w:rPr>
            </w:pPr>
            <w:r>
              <w:rPr>
                <w:sz w:val="24"/>
              </w:rPr>
              <w:t>建设单位联系人</w:t>
            </w:r>
          </w:p>
        </w:tc>
        <w:tc>
          <w:tcPr>
            <w:tcW w:w="1860" w:type="dxa"/>
            <w:vAlign w:val="center"/>
          </w:tcPr>
          <w:p w14:paraId="4AF8303A">
            <w:pPr>
              <w:adjustRightInd w:val="0"/>
              <w:snapToGrid w:val="0"/>
              <w:jc w:val="center"/>
              <w:rPr>
                <w:sz w:val="24"/>
              </w:rPr>
            </w:pPr>
            <w:r>
              <w:rPr>
                <w:rFonts w:hint="eastAsia"/>
                <w:sz w:val="24"/>
              </w:rPr>
              <w:t>陈玉彬</w:t>
            </w:r>
          </w:p>
        </w:tc>
        <w:tc>
          <w:tcPr>
            <w:tcW w:w="1865" w:type="dxa"/>
            <w:vAlign w:val="center"/>
          </w:tcPr>
          <w:p w14:paraId="2E5F0FD1">
            <w:pPr>
              <w:adjustRightInd w:val="0"/>
              <w:snapToGrid w:val="0"/>
              <w:jc w:val="center"/>
              <w:rPr>
                <w:sz w:val="24"/>
              </w:rPr>
            </w:pPr>
            <w:r>
              <w:rPr>
                <w:sz w:val="24"/>
              </w:rPr>
              <w:t>联系方式</w:t>
            </w:r>
          </w:p>
        </w:tc>
        <w:tc>
          <w:tcPr>
            <w:tcW w:w="2929" w:type="dxa"/>
            <w:vAlign w:val="center"/>
          </w:tcPr>
          <w:p w14:paraId="0FEE8A3D">
            <w:pPr>
              <w:adjustRightInd w:val="0"/>
              <w:snapToGrid w:val="0"/>
              <w:jc w:val="center"/>
              <w:rPr>
                <w:sz w:val="24"/>
              </w:rPr>
            </w:pPr>
            <w:r>
              <w:rPr>
                <w:sz w:val="24"/>
              </w:rPr>
              <w:t>1589</w:t>
            </w:r>
            <w:r>
              <w:rPr>
                <w:rFonts w:hint="eastAsia"/>
                <w:sz w:val="24"/>
                <w:lang w:val="en-US" w:eastAsia="zh-CN"/>
              </w:rPr>
              <w:t>****</w:t>
            </w:r>
            <w:bookmarkStart w:id="30" w:name="_GoBack"/>
            <w:bookmarkEnd w:id="30"/>
            <w:r>
              <w:rPr>
                <w:sz w:val="24"/>
              </w:rPr>
              <w:t>971</w:t>
            </w:r>
          </w:p>
        </w:tc>
      </w:tr>
      <w:tr w14:paraId="265E4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160" w:type="dxa"/>
            <w:tcMar>
              <w:top w:w="16" w:type="dxa"/>
              <w:left w:w="16" w:type="dxa"/>
              <w:right w:w="16" w:type="dxa"/>
            </w:tcMar>
            <w:vAlign w:val="center"/>
          </w:tcPr>
          <w:p w14:paraId="444492B9">
            <w:pPr>
              <w:adjustRightInd w:val="0"/>
              <w:snapToGrid w:val="0"/>
              <w:jc w:val="center"/>
              <w:rPr>
                <w:sz w:val="24"/>
              </w:rPr>
            </w:pPr>
            <w:r>
              <w:rPr>
                <w:sz w:val="24"/>
              </w:rPr>
              <w:t>建设地点</w:t>
            </w:r>
          </w:p>
        </w:tc>
        <w:tc>
          <w:tcPr>
            <w:tcW w:w="6654" w:type="dxa"/>
            <w:gridSpan w:val="3"/>
            <w:vAlign w:val="center"/>
          </w:tcPr>
          <w:p w14:paraId="15BD9DE0">
            <w:pPr>
              <w:adjustRightInd w:val="0"/>
              <w:snapToGrid w:val="0"/>
              <w:jc w:val="center"/>
              <w:rPr>
                <w:sz w:val="24"/>
              </w:rPr>
            </w:pPr>
            <w:bookmarkStart w:id="2" w:name="_Hlk203568729"/>
            <w:r>
              <w:rPr>
                <w:sz w:val="24"/>
              </w:rPr>
              <w:t>商丘市民权县人和镇工业园区310国道北侧</w:t>
            </w:r>
            <w:bookmarkEnd w:id="2"/>
          </w:p>
        </w:tc>
      </w:tr>
      <w:tr w14:paraId="3ABA9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2160" w:type="dxa"/>
            <w:tcMar>
              <w:top w:w="16" w:type="dxa"/>
              <w:left w:w="16" w:type="dxa"/>
              <w:right w:w="16" w:type="dxa"/>
            </w:tcMar>
            <w:vAlign w:val="center"/>
          </w:tcPr>
          <w:p w14:paraId="09A14419">
            <w:pPr>
              <w:adjustRightInd w:val="0"/>
              <w:snapToGrid w:val="0"/>
              <w:jc w:val="center"/>
              <w:rPr>
                <w:sz w:val="24"/>
              </w:rPr>
            </w:pPr>
            <w:r>
              <w:rPr>
                <w:sz w:val="24"/>
              </w:rPr>
              <w:t>地理坐标</w:t>
            </w:r>
          </w:p>
        </w:tc>
        <w:tc>
          <w:tcPr>
            <w:tcW w:w="6654" w:type="dxa"/>
            <w:gridSpan w:val="3"/>
            <w:vAlign w:val="center"/>
          </w:tcPr>
          <w:p w14:paraId="0ABE1F12">
            <w:pPr>
              <w:jc w:val="center"/>
              <w:rPr>
                <w:sz w:val="24"/>
              </w:rPr>
            </w:pPr>
            <w:r>
              <w:rPr>
                <w:sz w:val="24"/>
              </w:rPr>
              <w:t>（E</w:t>
            </w:r>
            <w:r>
              <w:rPr>
                <w:sz w:val="24"/>
                <w:u w:val="single"/>
              </w:rPr>
              <w:t xml:space="preserve"> 114 </w:t>
            </w:r>
            <w:r>
              <w:rPr>
                <w:sz w:val="24"/>
              </w:rPr>
              <w:t>度</w:t>
            </w:r>
            <w:r>
              <w:rPr>
                <w:sz w:val="24"/>
                <w:u w:val="single"/>
              </w:rPr>
              <w:t xml:space="preserve"> 58 </w:t>
            </w:r>
            <w:r>
              <w:rPr>
                <w:sz w:val="24"/>
              </w:rPr>
              <w:t>分</w:t>
            </w:r>
            <w:r>
              <w:rPr>
                <w:sz w:val="24"/>
                <w:u w:val="single"/>
              </w:rPr>
              <w:t xml:space="preserve"> 42.992 </w:t>
            </w:r>
            <w:r>
              <w:rPr>
                <w:sz w:val="24"/>
              </w:rPr>
              <w:t>秒，N</w:t>
            </w:r>
            <w:r>
              <w:rPr>
                <w:sz w:val="24"/>
                <w:u w:val="single"/>
              </w:rPr>
              <w:t xml:space="preserve"> 34 </w:t>
            </w:r>
            <w:r>
              <w:rPr>
                <w:sz w:val="24"/>
              </w:rPr>
              <w:t>度</w:t>
            </w:r>
            <w:r>
              <w:rPr>
                <w:sz w:val="24"/>
                <w:u w:val="single"/>
              </w:rPr>
              <w:t xml:space="preserve"> 42 </w:t>
            </w:r>
            <w:r>
              <w:rPr>
                <w:sz w:val="24"/>
              </w:rPr>
              <w:t>分</w:t>
            </w:r>
            <w:r>
              <w:rPr>
                <w:sz w:val="24"/>
                <w:u w:val="single"/>
              </w:rPr>
              <w:t xml:space="preserve"> 48.402 </w:t>
            </w:r>
            <w:r>
              <w:rPr>
                <w:sz w:val="24"/>
              </w:rPr>
              <w:t>秒）</w:t>
            </w:r>
          </w:p>
        </w:tc>
      </w:tr>
      <w:tr w14:paraId="5496E8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91" w:hRule="atLeast"/>
          <w:jc w:val="center"/>
        </w:trPr>
        <w:tc>
          <w:tcPr>
            <w:tcW w:w="2160" w:type="dxa"/>
            <w:tcMar>
              <w:top w:w="16" w:type="dxa"/>
              <w:left w:w="16" w:type="dxa"/>
              <w:right w:w="16" w:type="dxa"/>
            </w:tcMar>
            <w:vAlign w:val="center"/>
          </w:tcPr>
          <w:p w14:paraId="23C80916">
            <w:pPr>
              <w:adjustRightInd w:val="0"/>
              <w:snapToGrid w:val="0"/>
              <w:jc w:val="center"/>
              <w:rPr>
                <w:sz w:val="24"/>
              </w:rPr>
            </w:pPr>
            <w:r>
              <w:rPr>
                <w:sz w:val="24"/>
              </w:rPr>
              <w:t>国民经济</w:t>
            </w:r>
          </w:p>
          <w:p w14:paraId="4C11601E">
            <w:pPr>
              <w:adjustRightInd w:val="0"/>
              <w:snapToGrid w:val="0"/>
              <w:jc w:val="center"/>
              <w:rPr>
                <w:sz w:val="24"/>
              </w:rPr>
            </w:pPr>
            <w:r>
              <w:rPr>
                <w:sz w:val="24"/>
              </w:rPr>
              <w:t>行业类别</w:t>
            </w:r>
          </w:p>
        </w:tc>
        <w:tc>
          <w:tcPr>
            <w:tcW w:w="1860" w:type="dxa"/>
            <w:vAlign w:val="center"/>
          </w:tcPr>
          <w:p w14:paraId="51A1318B">
            <w:pPr>
              <w:adjustRightInd w:val="0"/>
              <w:snapToGrid w:val="0"/>
              <w:jc w:val="center"/>
              <w:rPr>
                <w:sz w:val="24"/>
              </w:rPr>
            </w:pPr>
            <w:r>
              <w:rPr>
                <w:rFonts w:eastAsia="Times New Roman"/>
                <w:sz w:val="24"/>
              </w:rPr>
              <w:t>C4210</w:t>
            </w:r>
            <w:r>
              <w:rPr>
                <w:sz w:val="24"/>
              </w:rPr>
              <w:t>金属废料和碎屑加工处理</w:t>
            </w:r>
          </w:p>
        </w:tc>
        <w:tc>
          <w:tcPr>
            <w:tcW w:w="1865" w:type="dxa"/>
            <w:vAlign w:val="center"/>
          </w:tcPr>
          <w:p w14:paraId="2FF688C0">
            <w:pPr>
              <w:adjustRightInd w:val="0"/>
              <w:snapToGrid w:val="0"/>
              <w:jc w:val="center"/>
              <w:rPr>
                <w:sz w:val="24"/>
              </w:rPr>
            </w:pPr>
            <w:bookmarkStart w:id="3" w:name="_Hlk49843745"/>
            <w:r>
              <w:rPr>
                <w:sz w:val="24"/>
              </w:rPr>
              <w:t>建设项目</w:t>
            </w:r>
          </w:p>
          <w:p w14:paraId="1FE8ECC4">
            <w:pPr>
              <w:adjustRightInd w:val="0"/>
              <w:snapToGrid w:val="0"/>
              <w:jc w:val="center"/>
              <w:rPr>
                <w:sz w:val="24"/>
              </w:rPr>
            </w:pPr>
            <w:r>
              <w:rPr>
                <w:sz w:val="24"/>
              </w:rPr>
              <w:t>行业类别</w:t>
            </w:r>
            <w:bookmarkEnd w:id="3"/>
          </w:p>
        </w:tc>
        <w:tc>
          <w:tcPr>
            <w:tcW w:w="2929" w:type="dxa"/>
            <w:shd w:val="clear" w:color="auto" w:fill="auto"/>
            <w:vAlign w:val="center"/>
          </w:tcPr>
          <w:p w14:paraId="45CFEBD3">
            <w:pPr>
              <w:adjustRightInd w:val="0"/>
              <w:snapToGrid w:val="0"/>
              <w:jc w:val="center"/>
              <w:rPr>
                <w:sz w:val="24"/>
              </w:rPr>
            </w:pPr>
            <w:r>
              <w:rPr>
                <w:sz w:val="24"/>
              </w:rPr>
              <w:t>三十九、废弃资源综合利用业；85，金属废料和碎屑加工处理421</w:t>
            </w:r>
          </w:p>
        </w:tc>
      </w:tr>
      <w:tr w14:paraId="27D6F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74" w:hRule="atLeast"/>
          <w:jc w:val="center"/>
        </w:trPr>
        <w:tc>
          <w:tcPr>
            <w:tcW w:w="2160" w:type="dxa"/>
            <w:tcMar>
              <w:top w:w="16" w:type="dxa"/>
              <w:left w:w="16" w:type="dxa"/>
              <w:right w:w="16" w:type="dxa"/>
            </w:tcMar>
            <w:vAlign w:val="center"/>
          </w:tcPr>
          <w:p w14:paraId="3C6530F6">
            <w:pPr>
              <w:adjustRightInd w:val="0"/>
              <w:snapToGrid w:val="0"/>
              <w:jc w:val="center"/>
              <w:rPr>
                <w:sz w:val="24"/>
              </w:rPr>
            </w:pPr>
            <w:r>
              <w:rPr>
                <w:sz w:val="24"/>
              </w:rPr>
              <w:t>建设性质</w:t>
            </w:r>
          </w:p>
        </w:tc>
        <w:tc>
          <w:tcPr>
            <w:tcW w:w="1860" w:type="dxa"/>
            <w:vAlign w:val="center"/>
          </w:tcPr>
          <w:p w14:paraId="111413E1">
            <w:pPr>
              <w:jc w:val="left"/>
              <w:rPr>
                <w:sz w:val="24"/>
              </w:rPr>
            </w:pPr>
            <w:r>
              <w:rPr>
                <w:sz w:val="24"/>
              </w:rPr>
              <w:sym w:font="Wingdings 2" w:char="0052"/>
            </w:r>
            <w:r>
              <w:rPr>
                <w:sz w:val="24"/>
              </w:rPr>
              <w:t>新建（迁建）</w:t>
            </w:r>
          </w:p>
          <w:p w14:paraId="4A4B4F4B">
            <w:pPr>
              <w:jc w:val="left"/>
              <w:rPr>
                <w:sz w:val="24"/>
              </w:rPr>
            </w:pPr>
            <w:r>
              <w:rPr>
                <w:sz w:val="24"/>
              </w:rPr>
              <w:t>□改建</w:t>
            </w:r>
          </w:p>
          <w:p w14:paraId="462DBEB2">
            <w:pPr>
              <w:jc w:val="left"/>
              <w:rPr>
                <w:sz w:val="24"/>
              </w:rPr>
            </w:pPr>
            <w:r>
              <w:rPr>
                <w:sz w:val="24"/>
              </w:rPr>
              <w:t>□扩建</w:t>
            </w:r>
          </w:p>
          <w:p w14:paraId="63F99352">
            <w:pPr>
              <w:jc w:val="left"/>
              <w:rPr>
                <w:sz w:val="24"/>
              </w:rPr>
            </w:pPr>
            <w:r>
              <w:rPr>
                <w:sz w:val="24"/>
              </w:rPr>
              <w:t>□技术改造</w:t>
            </w:r>
          </w:p>
        </w:tc>
        <w:tc>
          <w:tcPr>
            <w:tcW w:w="1865" w:type="dxa"/>
            <w:vAlign w:val="center"/>
          </w:tcPr>
          <w:p w14:paraId="789596C3">
            <w:pPr>
              <w:adjustRightInd w:val="0"/>
              <w:snapToGrid w:val="0"/>
              <w:jc w:val="center"/>
              <w:rPr>
                <w:sz w:val="24"/>
              </w:rPr>
            </w:pPr>
            <w:r>
              <w:rPr>
                <w:sz w:val="24"/>
              </w:rPr>
              <w:t>建设项目</w:t>
            </w:r>
          </w:p>
          <w:p w14:paraId="1DC5BF36">
            <w:pPr>
              <w:adjustRightInd w:val="0"/>
              <w:snapToGrid w:val="0"/>
              <w:jc w:val="center"/>
              <w:rPr>
                <w:sz w:val="24"/>
              </w:rPr>
            </w:pPr>
            <w:r>
              <w:rPr>
                <w:sz w:val="24"/>
              </w:rPr>
              <w:t>申报情形</w:t>
            </w:r>
          </w:p>
        </w:tc>
        <w:tc>
          <w:tcPr>
            <w:tcW w:w="2929" w:type="dxa"/>
            <w:vAlign w:val="center"/>
          </w:tcPr>
          <w:p w14:paraId="46454492">
            <w:pPr>
              <w:jc w:val="left"/>
              <w:rPr>
                <w:sz w:val="24"/>
              </w:rPr>
            </w:pPr>
            <w:r>
              <w:rPr>
                <w:sz w:val="24"/>
              </w:rPr>
              <w:sym w:font="Wingdings 2" w:char="0052"/>
            </w:r>
            <w:r>
              <w:rPr>
                <w:sz w:val="24"/>
              </w:rPr>
              <w:t>首次申报项目</w:t>
            </w:r>
          </w:p>
          <w:p w14:paraId="6A647997">
            <w:pPr>
              <w:jc w:val="left"/>
              <w:rPr>
                <w:sz w:val="24"/>
              </w:rPr>
            </w:pPr>
            <w:r>
              <w:rPr>
                <w:sz w:val="24"/>
              </w:rPr>
              <w:t>□不予批准后再次申报项目</w:t>
            </w:r>
          </w:p>
          <w:p w14:paraId="2B998CEB">
            <w:pPr>
              <w:jc w:val="left"/>
              <w:rPr>
                <w:sz w:val="24"/>
              </w:rPr>
            </w:pPr>
            <w:r>
              <w:rPr>
                <w:sz w:val="24"/>
              </w:rPr>
              <w:sym w:font="Wingdings 2" w:char="00A3"/>
            </w:r>
            <w:r>
              <w:rPr>
                <w:sz w:val="24"/>
              </w:rPr>
              <w:t>超五年重新审核项目</w:t>
            </w:r>
          </w:p>
          <w:p w14:paraId="3CBFDEE6">
            <w:pPr>
              <w:jc w:val="left"/>
              <w:rPr>
                <w:sz w:val="24"/>
              </w:rPr>
            </w:pPr>
            <w:r>
              <w:rPr>
                <w:sz w:val="24"/>
              </w:rPr>
              <w:t>□重大变动重新报批项目</w:t>
            </w:r>
          </w:p>
        </w:tc>
      </w:tr>
      <w:tr w14:paraId="6A261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2160" w:type="dxa"/>
            <w:tcMar>
              <w:top w:w="16" w:type="dxa"/>
              <w:left w:w="16" w:type="dxa"/>
              <w:right w:w="16" w:type="dxa"/>
            </w:tcMar>
            <w:vAlign w:val="center"/>
          </w:tcPr>
          <w:p w14:paraId="7D67A927">
            <w:pPr>
              <w:adjustRightInd w:val="0"/>
              <w:snapToGrid w:val="0"/>
              <w:jc w:val="center"/>
              <w:rPr>
                <w:sz w:val="24"/>
              </w:rPr>
            </w:pPr>
            <w:r>
              <w:rPr>
                <w:sz w:val="24"/>
              </w:rPr>
              <w:t>项目审批部门</w:t>
            </w:r>
          </w:p>
        </w:tc>
        <w:tc>
          <w:tcPr>
            <w:tcW w:w="1860" w:type="dxa"/>
            <w:vAlign w:val="center"/>
          </w:tcPr>
          <w:p w14:paraId="0CD136EE">
            <w:pPr>
              <w:adjustRightInd w:val="0"/>
              <w:snapToGrid w:val="0"/>
              <w:jc w:val="center"/>
              <w:rPr>
                <w:sz w:val="24"/>
              </w:rPr>
            </w:pPr>
            <w:r>
              <w:rPr>
                <w:sz w:val="24"/>
              </w:rPr>
              <w:t>民权县发展和改革委员会</w:t>
            </w:r>
          </w:p>
        </w:tc>
        <w:tc>
          <w:tcPr>
            <w:tcW w:w="1865" w:type="dxa"/>
            <w:vAlign w:val="center"/>
          </w:tcPr>
          <w:p w14:paraId="51350261">
            <w:pPr>
              <w:adjustRightInd w:val="0"/>
              <w:snapToGrid w:val="0"/>
              <w:jc w:val="center"/>
              <w:rPr>
                <w:sz w:val="24"/>
              </w:rPr>
            </w:pPr>
            <w:r>
              <w:rPr>
                <w:sz w:val="24"/>
              </w:rPr>
              <w:t>项目审批文号</w:t>
            </w:r>
          </w:p>
        </w:tc>
        <w:tc>
          <w:tcPr>
            <w:tcW w:w="2929" w:type="dxa"/>
            <w:vAlign w:val="center"/>
          </w:tcPr>
          <w:p w14:paraId="79A92CBC">
            <w:pPr>
              <w:adjustRightInd w:val="0"/>
              <w:snapToGrid w:val="0"/>
              <w:jc w:val="center"/>
              <w:rPr>
                <w:sz w:val="24"/>
              </w:rPr>
            </w:pPr>
            <w:r>
              <w:rPr>
                <w:sz w:val="24"/>
              </w:rPr>
              <w:t>2410-411421-04-01-482558</w:t>
            </w:r>
          </w:p>
        </w:tc>
      </w:tr>
      <w:tr w14:paraId="02EFB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2160" w:type="dxa"/>
            <w:tcMar>
              <w:top w:w="16" w:type="dxa"/>
              <w:left w:w="16" w:type="dxa"/>
              <w:right w:w="16" w:type="dxa"/>
            </w:tcMar>
            <w:vAlign w:val="center"/>
          </w:tcPr>
          <w:p w14:paraId="537C98CD">
            <w:pPr>
              <w:adjustRightInd w:val="0"/>
              <w:snapToGrid w:val="0"/>
              <w:jc w:val="center"/>
              <w:rPr>
                <w:sz w:val="24"/>
              </w:rPr>
            </w:pPr>
            <w:r>
              <w:rPr>
                <w:sz w:val="24"/>
              </w:rPr>
              <w:t>总投资（万元）</w:t>
            </w:r>
          </w:p>
        </w:tc>
        <w:tc>
          <w:tcPr>
            <w:tcW w:w="1860" w:type="dxa"/>
            <w:vAlign w:val="center"/>
          </w:tcPr>
          <w:p w14:paraId="6DFEC73D">
            <w:pPr>
              <w:adjustRightInd w:val="0"/>
              <w:snapToGrid w:val="0"/>
              <w:jc w:val="center"/>
              <w:rPr>
                <w:sz w:val="24"/>
              </w:rPr>
            </w:pPr>
            <w:r>
              <w:rPr>
                <w:sz w:val="24"/>
              </w:rPr>
              <w:t>100</w:t>
            </w:r>
          </w:p>
        </w:tc>
        <w:tc>
          <w:tcPr>
            <w:tcW w:w="1865" w:type="dxa"/>
            <w:tcMar>
              <w:top w:w="16" w:type="dxa"/>
              <w:left w:w="16" w:type="dxa"/>
              <w:right w:w="16" w:type="dxa"/>
            </w:tcMar>
            <w:vAlign w:val="center"/>
          </w:tcPr>
          <w:p w14:paraId="622E5609">
            <w:pPr>
              <w:adjustRightInd w:val="0"/>
              <w:snapToGrid w:val="0"/>
              <w:jc w:val="center"/>
              <w:rPr>
                <w:sz w:val="24"/>
              </w:rPr>
            </w:pPr>
            <w:r>
              <w:rPr>
                <w:sz w:val="24"/>
              </w:rPr>
              <w:t>环保投资（万元）</w:t>
            </w:r>
          </w:p>
        </w:tc>
        <w:tc>
          <w:tcPr>
            <w:tcW w:w="2929" w:type="dxa"/>
            <w:vAlign w:val="center"/>
          </w:tcPr>
          <w:p w14:paraId="26A7803F">
            <w:pPr>
              <w:adjustRightInd w:val="0"/>
              <w:snapToGrid w:val="0"/>
              <w:jc w:val="center"/>
              <w:rPr>
                <w:sz w:val="24"/>
              </w:rPr>
            </w:pPr>
            <w:r>
              <w:rPr>
                <w:sz w:val="24"/>
              </w:rPr>
              <w:t>32.2</w:t>
            </w:r>
          </w:p>
        </w:tc>
      </w:tr>
      <w:tr w14:paraId="6E706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2160" w:type="dxa"/>
            <w:tcMar>
              <w:top w:w="16" w:type="dxa"/>
              <w:left w:w="16" w:type="dxa"/>
              <w:right w:w="16" w:type="dxa"/>
            </w:tcMar>
            <w:vAlign w:val="center"/>
          </w:tcPr>
          <w:p w14:paraId="414195C6">
            <w:pPr>
              <w:adjustRightInd w:val="0"/>
              <w:snapToGrid w:val="0"/>
              <w:jc w:val="center"/>
              <w:rPr>
                <w:sz w:val="24"/>
              </w:rPr>
            </w:pPr>
            <w:r>
              <w:rPr>
                <w:sz w:val="24"/>
              </w:rPr>
              <w:t>环保投资占比（%）</w:t>
            </w:r>
          </w:p>
        </w:tc>
        <w:tc>
          <w:tcPr>
            <w:tcW w:w="1860" w:type="dxa"/>
            <w:vAlign w:val="center"/>
          </w:tcPr>
          <w:p w14:paraId="0C1B9A1D">
            <w:pPr>
              <w:adjustRightInd w:val="0"/>
              <w:snapToGrid w:val="0"/>
              <w:jc w:val="center"/>
              <w:rPr>
                <w:sz w:val="24"/>
              </w:rPr>
            </w:pPr>
            <w:r>
              <w:rPr>
                <w:sz w:val="24"/>
              </w:rPr>
              <w:t>32</w:t>
            </w:r>
          </w:p>
        </w:tc>
        <w:tc>
          <w:tcPr>
            <w:tcW w:w="1865" w:type="dxa"/>
            <w:tcMar>
              <w:top w:w="16" w:type="dxa"/>
              <w:left w:w="16" w:type="dxa"/>
              <w:right w:w="16" w:type="dxa"/>
            </w:tcMar>
            <w:vAlign w:val="center"/>
          </w:tcPr>
          <w:p w14:paraId="19F3F21A">
            <w:pPr>
              <w:adjustRightInd w:val="0"/>
              <w:snapToGrid w:val="0"/>
              <w:jc w:val="center"/>
              <w:rPr>
                <w:sz w:val="24"/>
              </w:rPr>
            </w:pPr>
            <w:r>
              <w:rPr>
                <w:sz w:val="24"/>
              </w:rPr>
              <w:t>施工工期</w:t>
            </w:r>
          </w:p>
        </w:tc>
        <w:tc>
          <w:tcPr>
            <w:tcW w:w="2929" w:type="dxa"/>
            <w:vAlign w:val="center"/>
          </w:tcPr>
          <w:p w14:paraId="3E9B7F53">
            <w:pPr>
              <w:adjustRightInd w:val="0"/>
              <w:snapToGrid w:val="0"/>
              <w:jc w:val="center"/>
              <w:rPr>
                <w:sz w:val="24"/>
              </w:rPr>
            </w:pPr>
            <w:r>
              <w:rPr>
                <w:sz w:val="24"/>
              </w:rPr>
              <w:t>3个月</w:t>
            </w:r>
          </w:p>
        </w:tc>
      </w:tr>
      <w:tr w14:paraId="535667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2160" w:type="dxa"/>
            <w:tcMar>
              <w:top w:w="16" w:type="dxa"/>
              <w:left w:w="16" w:type="dxa"/>
              <w:right w:w="16" w:type="dxa"/>
            </w:tcMar>
            <w:vAlign w:val="center"/>
          </w:tcPr>
          <w:p w14:paraId="6A76B96B">
            <w:pPr>
              <w:adjustRightInd w:val="0"/>
              <w:snapToGrid w:val="0"/>
              <w:jc w:val="center"/>
              <w:rPr>
                <w:sz w:val="24"/>
              </w:rPr>
            </w:pPr>
            <w:r>
              <w:rPr>
                <w:sz w:val="24"/>
              </w:rPr>
              <w:t>是否开工建设</w:t>
            </w:r>
          </w:p>
        </w:tc>
        <w:tc>
          <w:tcPr>
            <w:tcW w:w="1860" w:type="dxa"/>
            <w:vAlign w:val="center"/>
          </w:tcPr>
          <w:p w14:paraId="67B4208D">
            <w:pPr>
              <w:adjustRightInd w:val="0"/>
              <w:snapToGrid w:val="0"/>
              <w:rPr>
                <w:sz w:val="24"/>
              </w:rPr>
            </w:pPr>
            <w:r>
              <w:rPr>
                <w:sz w:val="24"/>
              </w:rPr>
              <w:sym w:font="Wingdings 2" w:char="0052"/>
            </w:r>
            <w:r>
              <w:rPr>
                <w:sz w:val="24"/>
              </w:rPr>
              <w:t>否</w:t>
            </w:r>
          </w:p>
          <w:p w14:paraId="0451A388">
            <w:pPr>
              <w:adjustRightInd w:val="0"/>
              <w:snapToGrid w:val="0"/>
              <w:rPr>
                <w:sz w:val="24"/>
              </w:rPr>
            </w:pPr>
            <w:r>
              <w:rPr>
                <w:sz w:val="24"/>
              </w:rPr>
              <w:sym w:font="Wingdings 2" w:char="00A3"/>
            </w:r>
            <w:r>
              <w:rPr>
                <w:sz w:val="24"/>
              </w:rPr>
              <w:t>是：</w:t>
            </w:r>
            <w:r>
              <w:rPr>
                <w:sz w:val="24"/>
                <w:u w:val="single"/>
              </w:rPr>
              <w:t xml:space="preserve">             </w:t>
            </w:r>
          </w:p>
        </w:tc>
        <w:tc>
          <w:tcPr>
            <w:tcW w:w="1865" w:type="dxa"/>
            <w:tcMar>
              <w:top w:w="16" w:type="dxa"/>
              <w:left w:w="16" w:type="dxa"/>
              <w:right w:w="16" w:type="dxa"/>
            </w:tcMar>
            <w:vAlign w:val="center"/>
          </w:tcPr>
          <w:p w14:paraId="4AFB57DF">
            <w:pPr>
              <w:adjustRightInd w:val="0"/>
              <w:snapToGrid w:val="0"/>
              <w:jc w:val="center"/>
              <w:rPr>
                <w:spacing w:val="-6"/>
                <w:sz w:val="24"/>
              </w:rPr>
            </w:pPr>
            <w:r>
              <w:rPr>
                <w:spacing w:val="-6"/>
                <w:sz w:val="24"/>
              </w:rPr>
              <w:t>用地（用海）</w:t>
            </w:r>
          </w:p>
          <w:p w14:paraId="2766DA15">
            <w:pPr>
              <w:adjustRightInd w:val="0"/>
              <w:snapToGrid w:val="0"/>
              <w:jc w:val="center"/>
              <w:rPr>
                <w:sz w:val="24"/>
              </w:rPr>
            </w:pPr>
            <w:r>
              <w:rPr>
                <w:spacing w:val="-6"/>
                <w:sz w:val="24"/>
              </w:rPr>
              <w:t>面积（m</w:t>
            </w:r>
            <w:r>
              <w:rPr>
                <w:spacing w:val="-6"/>
                <w:sz w:val="24"/>
                <w:vertAlign w:val="superscript"/>
              </w:rPr>
              <w:t>2</w:t>
            </w:r>
            <w:r>
              <w:rPr>
                <w:spacing w:val="-6"/>
                <w:sz w:val="24"/>
              </w:rPr>
              <w:t>）</w:t>
            </w:r>
          </w:p>
        </w:tc>
        <w:tc>
          <w:tcPr>
            <w:tcW w:w="2929" w:type="dxa"/>
            <w:vAlign w:val="center"/>
          </w:tcPr>
          <w:p w14:paraId="2FC929D4">
            <w:pPr>
              <w:adjustRightInd w:val="0"/>
              <w:snapToGrid w:val="0"/>
              <w:jc w:val="center"/>
              <w:rPr>
                <w:sz w:val="24"/>
              </w:rPr>
            </w:pPr>
            <w:r>
              <w:rPr>
                <w:sz w:val="24"/>
              </w:rPr>
              <w:t>2860</w:t>
            </w:r>
          </w:p>
        </w:tc>
      </w:tr>
      <w:tr w14:paraId="1D672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60" w:type="dxa"/>
            <w:vAlign w:val="center"/>
          </w:tcPr>
          <w:p w14:paraId="34CBCB3F">
            <w:pPr>
              <w:autoSpaceDE w:val="0"/>
              <w:autoSpaceDN w:val="0"/>
              <w:adjustRightInd w:val="0"/>
              <w:snapToGrid w:val="0"/>
              <w:jc w:val="center"/>
              <w:rPr>
                <w:kern w:val="0"/>
                <w:sz w:val="24"/>
              </w:rPr>
            </w:pPr>
            <w:r>
              <w:rPr>
                <w:kern w:val="0"/>
                <w:sz w:val="24"/>
              </w:rPr>
              <w:t>专项评价设置情况</w:t>
            </w:r>
          </w:p>
        </w:tc>
        <w:tc>
          <w:tcPr>
            <w:tcW w:w="6654" w:type="dxa"/>
            <w:gridSpan w:val="3"/>
            <w:vAlign w:val="center"/>
          </w:tcPr>
          <w:p w14:paraId="0940FE44">
            <w:pPr>
              <w:autoSpaceDE w:val="0"/>
              <w:autoSpaceDN w:val="0"/>
              <w:adjustRightInd w:val="0"/>
              <w:snapToGrid w:val="0"/>
              <w:jc w:val="center"/>
              <w:rPr>
                <w:kern w:val="0"/>
                <w:sz w:val="24"/>
              </w:rPr>
            </w:pPr>
            <w:r>
              <w:rPr>
                <w:kern w:val="0"/>
                <w:sz w:val="24"/>
              </w:rPr>
              <w:t>无</w:t>
            </w:r>
          </w:p>
        </w:tc>
      </w:tr>
      <w:tr w14:paraId="67765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60" w:type="dxa"/>
            <w:vAlign w:val="center"/>
          </w:tcPr>
          <w:p w14:paraId="19C438A5">
            <w:pPr>
              <w:autoSpaceDE w:val="0"/>
              <w:autoSpaceDN w:val="0"/>
              <w:adjustRightInd w:val="0"/>
              <w:snapToGrid w:val="0"/>
              <w:jc w:val="center"/>
              <w:rPr>
                <w:kern w:val="0"/>
                <w:sz w:val="24"/>
              </w:rPr>
            </w:pPr>
            <w:r>
              <w:rPr>
                <w:sz w:val="24"/>
              </w:rPr>
              <w:t>规划情况</w:t>
            </w:r>
          </w:p>
        </w:tc>
        <w:tc>
          <w:tcPr>
            <w:tcW w:w="6654" w:type="dxa"/>
            <w:gridSpan w:val="3"/>
            <w:vAlign w:val="center"/>
          </w:tcPr>
          <w:p w14:paraId="17BDCD36">
            <w:pPr>
              <w:autoSpaceDE w:val="0"/>
              <w:autoSpaceDN w:val="0"/>
              <w:adjustRightInd w:val="0"/>
              <w:snapToGrid w:val="0"/>
              <w:jc w:val="center"/>
              <w:rPr>
                <w:kern w:val="0"/>
                <w:sz w:val="24"/>
              </w:rPr>
            </w:pPr>
            <w:r>
              <w:rPr>
                <w:kern w:val="0"/>
                <w:sz w:val="24"/>
              </w:rPr>
              <w:t>无</w:t>
            </w:r>
          </w:p>
        </w:tc>
      </w:tr>
      <w:tr w14:paraId="784B7B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60" w:type="dxa"/>
            <w:vAlign w:val="center"/>
          </w:tcPr>
          <w:p w14:paraId="43049184">
            <w:pPr>
              <w:adjustRightInd w:val="0"/>
              <w:snapToGrid w:val="0"/>
              <w:jc w:val="center"/>
              <w:rPr>
                <w:sz w:val="24"/>
              </w:rPr>
            </w:pPr>
            <w:r>
              <w:rPr>
                <w:sz w:val="24"/>
              </w:rPr>
              <w:t>规划环境影响</w:t>
            </w:r>
          </w:p>
          <w:p w14:paraId="214F43C8">
            <w:pPr>
              <w:adjustRightInd w:val="0"/>
              <w:snapToGrid w:val="0"/>
              <w:jc w:val="center"/>
              <w:rPr>
                <w:kern w:val="0"/>
                <w:sz w:val="24"/>
              </w:rPr>
            </w:pPr>
            <w:r>
              <w:rPr>
                <w:sz w:val="24"/>
              </w:rPr>
              <w:t>评价情况</w:t>
            </w:r>
          </w:p>
        </w:tc>
        <w:tc>
          <w:tcPr>
            <w:tcW w:w="6654" w:type="dxa"/>
            <w:gridSpan w:val="3"/>
            <w:vAlign w:val="center"/>
          </w:tcPr>
          <w:p w14:paraId="78E8066D">
            <w:pPr>
              <w:autoSpaceDE w:val="0"/>
              <w:autoSpaceDN w:val="0"/>
              <w:adjustRightInd w:val="0"/>
              <w:snapToGrid w:val="0"/>
              <w:jc w:val="center"/>
              <w:rPr>
                <w:kern w:val="0"/>
                <w:sz w:val="24"/>
              </w:rPr>
            </w:pPr>
            <w:r>
              <w:rPr>
                <w:kern w:val="0"/>
                <w:sz w:val="24"/>
              </w:rPr>
              <w:t>无</w:t>
            </w:r>
          </w:p>
        </w:tc>
      </w:tr>
      <w:tr w14:paraId="54764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60" w:type="dxa"/>
            <w:vAlign w:val="center"/>
          </w:tcPr>
          <w:p w14:paraId="02C74FEA">
            <w:pPr>
              <w:autoSpaceDE w:val="0"/>
              <w:autoSpaceDN w:val="0"/>
              <w:adjustRightInd w:val="0"/>
              <w:snapToGrid w:val="0"/>
              <w:jc w:val="center"/>
              <w:rPr>
                <w:kern w:val="0"/>
                <w:sz w:val="24"/>
              </w:rPr>
            </w:pPr>
            <w:r>
              <w:rPr>
                <w:kern w:val="0"/>
                <w:sz w:val="24"/>
              </w:rPr>
              <w:t>规划及规划环境影响评价符合性分析</w:t>
            </w:r>
          </w:p>
        </w:tc>
        <w:tc>
          <w:tcPr>
            <w:tcW w:w="6654" w:type="dxa"/>
            <w:gridSpan w:val="3"/>
            <w:vAlign w:val="center"/>
          </w:tcPr>
          <w:p w14:paraId="33516401">
            <w:pPr>
              <w:autoSpaceDE w:val="0"/>
              <w:autoSpaceDN w:val="0"/>
              <w:adjustRightInd w:val="0"/>
              <w:snapToGrid w:val="0"/>
              <w:jc w:val="center"/>
              <w:rPr>
                <w:kern w:val="0"/>
                <w:sz w:val="24"/>
              </w:rPr>
            </w:pPr>
            <w:r>
              <w:rPr>
                <w:kern w:val="0"/>
                <w:sz w:val="24"/>
              </w:rPr>
              <w:t>本项目位于商丘市民权县人和镇工业园区310国道北侧，根据民权县人和镇自然资源所出具的证明（见附件三），本项目厂址用地性质为建设用地，符合人和镇土地利用总体规划；根据民权县人和镇乡村规划建设中心出具的入驻证明，项目建设符合《人和镇总体规划》，同意项目入驻（见附件四）。</w:t>
            </w:r>
          </w:p>
        </w:tc>
      </w:tr>
    </w:tbl>
    <w:p w14:paraId="580274AA">
      <w:pPr>
        <w:autoSpaceDE w:val="0"/>
        <w:autoSpaceDN w:val="0"/>
        <w:adjustRightInd w:val="0"/>
        <w:snapToGrid w:val="0"/>
        <w:jc w:val="center"/>
        <w:rPr>
          <w:kern w:val="0"/>
          <w:sz w:val="24"/>
        </w:rPr>
        <w:sectPr>
          <w:footerReference r:id="rId3" w:type="default"/>
          <w:pgSz w:w="11906" w:h="16838"/>
          <w:pgMar w:top="1701" w:right="1531" w:bottom="1701" w:left="1531" w:header="851" w:footer="1077" w:gutter="0"/>
          <w:pgNumType w:start="1"/>
          <w:cols w:space="720" w:num="1"/>
          <w:docGrid w:linePitch="312" w:charSpace="0"/>
        </w:sectPr>
      </w:pPr>
    </w:p>
    <w:tbl>
      <w:tblPr>
        <w:tblStyle w:val="23"/>
        <w:tblW w:w="486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378"/>
      </w:tblGrid>
      <w:tr w14:paraId="73D01C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22" w:hRule="atLeast"/>
          <w:jc w:val="center"/>
        </w:trPr>
        <w:tc>
          <w:tcPr>
            <w:tcW w:w="436" w:type="dxa"/>
            <w:vAlign w:val="center"/>
          </w:tcPr>
          <w:p w14:paraId="71427499">
            <w:pPr>
              <w:autoSpaceDE w:val="0"/>
              <w:autoSpaceDN w:val="0"/>
              <w:adjustRightInd w:val="0"/>
              <w:snapToGrid w:val="0"/>
              <w:jc w:val="center"/>
              <w:rPr>
                <w:kern w:val="0"/>
                <w:sz w:val="24"/>
              </w:rPr>
            </w:pPr>
            <w:r>
              <w:rPr>
                <w:kern w:val="0"/>
                <w:sz w:val="24"/>
              </w:rPr>
              <w:t>其他符合性分析</w:t>
            </w:r>
          </w:p>
        </w:tc>
        <w:tc>
          <w:tcPr>
            <w:tcW w:w="8378" w:type="dxa"/>
          </w:tcPr>
          <w:p w14:paraId="1D7FFF6E">
            <w:pPr>
              <w:tabs>
                <w:tab w:val="left" w:pos="312"/>
              </w:tabs>
              <w:autoSpaceDE w:val="0"/>
              <w:autoSpaceDN w:val="0"/>
              <w:adjustRightInd w:val="0"/>
              <w:snapToGrid w:val="0"/>
              <w:spacing w:line="360" w:lineRule="auto"/>
              <w:ind w:firstLine="482" w:firstLineChars="200"/>
              <w:jc w:val="left"/>
              <w:rPr>
                <w:b/>
                <w:bCs/>
                <w:kern w:val="0"/>
                <w:sz w:val="24"/>
              </w:rPr>
            </w:pPr>
            <w:r>
              <w:rPr>
                <w:b/>
                <w:bCs/>
                <w:kern w:val="0"/>
                <w:sz w:val="24"/>
              </w:rPr>
              <w:t>1.产业结构调整指导目录和环评文件类型判定</w:t>
            </w:r>
          </w:p>
          <w:p w14:paraId="5276DD86">
            <w:pPr>
              <w:autoSpaceDE w:val="0"/>
              <w:autoSpaceDN w:val="0"/>
              <w:adjustRightInd w:val="0"/>
              <w:snapToGrid w:val="0"/>
              <w:spacing w:line="360" w:lineRule="auto"/>
              <w:ind w:firstLine="480" w:firstLineChars="200"/>
              <w:jc w:val="left"/>
              <w:rPr>
                <w:kern w:val="0"/>
                <w:sz w:val="24"/>
              </w:rPr>
            </w:pPr>
            <w:r>
              <w:rPr>
                <w:kern w:val="0"/>
                <w:sz w:val="24"/>
              </w:rPr>
              <w:t>根据《产业结构调整指导目录（2024年本）》，本项目为废旧农机拆解项目，属于第一类“鼓励类”中的“四十二、环境保护与资源节约综合利用”中的“9.再制造：报废汽车、退役民用飞机、工程机械、矿山机械、农业机械、机床、文办设备及耗材、盾构机、航空发动机、工业机器人、火车内燃机车等废旧设备及零部件拆解、再利用、再制造”。因此，本项目建设符合国家相关产业政策要求。</w:t>
            </w:r>
          </w:p>
          <w:p w14:paraId="351D5138">
            <w:pPr>
              <w:autoSpaceDE w:val="0"/>
              <w:autoSpaceDN w:val="0"/>
              <w:adjustRightInd w:val="0"/>
              <w:snapToGrid w:val="0"/>
              <w:spacing w:line="360" w:lineRule="auto"/>
              <w:ind w:firstLine="480" w:firstLineChars="200"/>
              <w:jc w:val="left"/>
              <w:rPr>
                <w:kern w:val="0"/>
                <w:sz w:val="24"/>
              </w:rPr>
            </w:pPr>
            <w:r>
              <w:rPr>
                <w:kern w:val="0"/>
                <w:sz w:val="24"/>
              </w:rPr>
              <w:t xml:space="preserve">本项目为废旧农机拆解项目，根据《建设项目环境影响评价分类管理名录》（2021年版），项目属于“三十九、废弃资源综合利用业”中的“85 </w:t>
            </w:r>
            <w:r>
              <w:rPr>
                <w:sz w:val="24"/>
              </w:rPr>
              <w:t>金属废料和碎屑加工处理421</w:t>
            </w:r>
            <w:r>
              <w:rPr>
                <w:kern w:val="0"/>
                <w:sz w:val="24"/>
              </w:rPr>
              <w:t>”，应编制环境影响报告表。</w:t>
            </w:r>
          </w:p>
          <w:p w14:paraId="40C1AEA1">
            <w:pPr>
              <w:tabs>
                <w:tab w:val="left" w:pos="312"/>
              </w:tabs>
              <w:autoSpaceDE w:val="0"/>
              <w:autoSpaceDN w:val="0"/>
              <w:adjustRightInd w:val="0"/>
              <w:snapToGrid w:val="0"/>
              <w:spacing w:line="360" w:lineRule="auto"/>
              <w:ind w:left="482"/>
              <w:jc w:val="left"/>
              <w:rPr>
                <w:b/>
                <w:bCs/>
                <w:kern w:val="0"/>
                <w:sz w:val="24"/>
              </w:rPr>
            </w:pPr>
            <w:r>
              <w:rPr>
                <w:b/>
                <w:bCs/>
                <w:sz w:val="24"/>
              </w:rPr>
              <w:t>2.与当地“三线一单”相符性分析</w:t>
            </w:r>
          </w:p>
          <w:p w14:paraId="615535CC">
            <w:pPr>
              <w:tabs>
                <w:tab w:val="left" w:pos="312"/>
              </w:tabs>
              <w:autoSpaceDE w:val="0"/>
              <w:autoSpaceDN w:val="0"/>
              <w:adjustRightInd w:val="0"/>
              <w:snapToGrid w:val="0"/>
              <w:spacing w:line="360" w:lineRule="auto"/>
              <w:ind w:firstLine="482" w:firstLineChars="200"/>
              <w:jc w:val="left"/>
              <w:rPr>
                <w:kern w:val="0"/>
                <w:sz w:val="24"/>
              </w:rPr>
            </w:pPr>
            <w:r>
              <w:rPr>
                <w:b/>
                <w:bCs/>
                <w:kern w:val="0"/>
                <w:sz w:val="24"/>
              </w:rPr>
              <w:t>（1）生态保护红线</w:t>
            </w:r>
          </w:p>
          <w:p w14:paraId="1CFDAEC0">
            <w:pPr>
              <w:pStyle w:val="12"/>
              <w:spacing w:line="360" w:lineRule="auto"/>
              <w:ind w:firstLine="480" w:firstLineChars="200"/>
              <w:rPr>
                <w:bCs/>
                <w:sz w:val="24"/>
                <w:szCs w:val="22"/>
              </w:rPr>
            </w:pPr>
            <w:r>
              <w:rPr>
                <w:kern w:val="0"/>
                <w:sz w:val="24"/>
              </w:rPr>
              <w:t>本项目位于</w:t>
            </w:r>
            <w:r>
              <w:rPr>
                <w:sz w:val="24"/>
              </w:rPr>
              <w:t>商丘市民权县人和镇工业园区310国道北侧</w:t>
            </w:r>
            <w:r>
              <w:rPr>
                <w:kern w:val="0"/>
                <w:sz w:val="24"/>
              </w:rPr>
              <w:t>，根据“河南省三线一单综合信息应用平台”查询结果，</w:t>
            </w:r>
            <w:r>
              <w:rPr>
                <w:bCs/>
                <w:sz w:val="24"/>
                <w:szCs w:val="22"/>
              </w:rPr>
              <w:t>本项目位于民权县一般管控区，为一般管控单元，环境管控单元编码为ZH41142130001，不涉及生态红线。</w:t>
            </w:r>
          </w:p>
          <w:p w14:paraId="4B25B4D8">
            <w:pPr>
              <w:tabs>
                <w:tab w:val="left" w:pos="312"/>
              </w:tabs>
              <w:autoSpaceDE w:val="0"/>
              <w:autoSpaceDN w:val="0"/>
              <w:adjustRightInd w:val="0"/>
              <w:snapToGrid w:val="0"/>
              <w:spacing w:line="360" w:lineRule="auto"/>
              <w:ind w:firstLine="482" w:firstLineChars="200"/>
              <w:rPr>
                <w:b/>
                <w:sz w:val="24"/>
              </w:rPr>
            </w:pPr>
            <w:r>
              <w:rPr>
                <w:b/>
                <w:kern w:val="0"/>
                <w:sz w:val="24"/>
              </w:rPr>
              <w:t>（2）环境质量底线</w:t>
            </w:r>
          </w:p>
          <w:p w14:paraId="0097AC0C">
            <w:pPr>
              <w:autoSpaceDE w:val="0"/>
              <w:spacing w:line="360" w:lineRule="auto"/>
              <w:ind w:firstLine="480" w:firstLineChars="200"/>
              <w:rPr>
                <w:sz w:val="24"/>
              </w:rPr>
            </w:pPr>
            <w:r>
              <w:rPr>
                <w:sz w:val="24"/>
              </w:rPr>
              <w:t>项目区域为环境空气功能区二类区，执行二级标准。根据商丘市环境监测站公布的2023年商丘市环境空气质量数据，</w:t>
            </w:r>
            <w:r>
              <w:rPr>
                <w:sz w:val="24"/>
                <w:lang w:val="zh-CN"/>
              </w:rPr>
              <w:t>本项目所在区域环境空气中的P</w:t>
            </w:r>
            <w:r>
              <w:rPr>
                <w:sz w:val="24"/>
              </w:rPr>
              <w:t>M</w:t>
            </w:r>
            <w:r>
              <w:rPr>
                <w:sz w:val="24"/>
                <w:vertAlign w:val="subscript"/>
              </w:rPr>
              <w:t>2.5</w:t>
            </w:r>
            <w:r>
              <w:rPr>
                <w:sz w:val="24"/>
                <w:lang w:val="zh-CN"/>
              </w:rPr>
              <w:t>、PM</w:t>
            </w:r>
            <w:r>
              <w:rPr>
                <w:sz w:val="24"/>
                <w:vertAlign w:val="subscript"/>
                <w:lang w:val="zh-CN"/>
              </w:rPr>
              <w:t>10</w:t>
            </w:r>
            <w:r>
              <w:rPr>
                <w:sz w:val="24"/>
              </w:rPr>
              <w:t>、O</w:t>
            </w:r>
            <w:r>
              <w:rPr>
                <w:sz w:val="24"/>
                <w:vertAlign w:val="subscript"/>
              </w:rPr>
              <w:t>3</w:t>
            </w:r>
            <w:r>
              <w:rPr>
                <w:sz w:val="24"/>
              </w:rPr>
              <w:t>年评价指标</w:t>
            </w:r>
            <w:r>
              <w:rPr>
                <w:sz w:val="24"/>
                <w:lang w:val="zh-CN"/>
              </w:rPr>
              <w:t>不能满足《环境空气质量标准》（GB3095-2012）二级标准，针对环境空气质量不达标的现状，商丘市生态环境保护委员会办公室发布了《商丘市202</w:t>
            </w:r>
            <w:r>
              <w:rPr>
                <w:sz w:val="24"/>
              </w:rPr>
              <w:t>5</w:t>
            </w:r>
            <w:r>
              <w:rPr>
                <w:sz w:val="24"/>
                <w:lang w:val="zh-CN"/>
              </w:rPr>
              <w:t>年蓝天保卫战实施方案》等一系列文件，大气环境质量状况可以得到进一步改善</w:t>
            </w:r>
            <w:r>
              <w:rPr>
                <w:sz w:val="24"/>
              </w:rPr>
              <w:t>。</w:t>
            </w:r>
          </w:p>
          <w:p w14:paraId="55AFF936">
            <w:pPr>
              <w:autoSpaceDE w:val="0"/>
              <w:spacing w:line="360" w:lineRule="auto"/>
              <w:ind w:firstLine="480" w:firstLineChars="200"/>
              <w:rPr>
                <w:sz w:val="24"/>
              </w:rPr>
            </w:pPr>
            <w:r>
              <w:rPr>
                <w:sz w:val="24"/>
              </w:rPr>
              <w:t>本项目选址区域最近的地表水体为内黄沟，最终汇入惠济河。根据2023年商丘市政府地表水责任目标断面例行监测结果，惠济河（柘城砖桥断面）水质可以满足《地表水环境质量标准》（GB3838-2002）Ⅳ类标准要求。</w:t>
            </w:r>
          </w:p>
          <w:p w14:paraId="5AF876F1">
            <w:pPr>
              <w:pStyle w:val="12"/>
              <w:spacing w:line="360" w:lineRule="auto"/>
              <w:ind w:firstLine="480" w:firstLineChars="200"/>
              <w:rPr>
                <w:kern w:val="0"/>
                <w:sz w:val="24"/>
              </w:rPr>
            </w:pPr>
            <w:r>
              <w:rPr>
                <w:sz w:val="24"/>
              </w:rPr>
              <w:t>本项目营运期废气主要为非甲烷总烃和颗粒物，经活性炭吸附装置、袋式除尘器处理后均可实现达标排放；</w:t>
            </w:r>
            <w:r>
              <w:rPr>
                <w:kern w:val="0"/>
                <w:sz w:val="24"/>
              </w:rPr>
              <w:t>项目营运期生活污水经化粪池暂存后，定期清掏，外运肥田；</w:t>
            </w:r>
            <w:r>
              <w:rPr>
                <w:sz w:val="24"/>
              </w:rPr>
              <w:t>项目噪声在采取相关措施后，项目厂界噪声贡献值能满足《工业企业厂界环境噪声排放标准》（GB12348-2008）2标准要求；固废分类收集、分类处置，不对周围环境造成二次污染；项目厂区采取分区防渗措施，可有效避免地下水及土壤环境的污染；通过采取各种风险防范措施和制定相应的应急预案，项目风险程度可以降到最低，环境风险可接受。</w:t>
            </w:r>
            <w:r>
              <w:rPr>
                <w:kern w:val="0"/>
                <w:sz w:val="24"/>
              </w:rPr>
              <w:t>因此，项目建设满足环境质量底线管控要求。</w:t>
            </w:r>
          </w:p>
          <w:p w14:paraId="08F7D731">
            <w:pPr>
              <w:tabs>
                <w:tab w:val="left" w:pos="312"/>
              </w:tabs>
              <w:autoSpaceDE w:val="0"/>
              <w:autoSpaceDN w:val="0"/>
              <w:adjustRightInd w:val="0"/>
              <w:snapToGrid w:val="0"/>
              <w:spacing w:line="360" w:lineRule="auto"/>
              <w:ind w:firstLine="482" w:firstLineChars="200"/>
              <w:rPr>
                <w:b/>
                <w:bCs/>
                <w:kern w:val="0"/>
                <w:sz w:val="24"/>
              </w:rPr>
            </w:pPr>
            <w:r>
              <w:rPr>
                <w:b/>
                <w:bCs/>
                <w:kern w:val="0"/>
                <w:sz w:val="24"/>
              </w:rPr>
              <w:t>（3）资源利用上线</w:t>
            </w:r>
          </w:p>
          <w:p w14:paraId="27072BE6">
            <w:pPr>
              <w:autoSpaceDE w:val="0"/>
              <w:spacing w:line="360" w:lineRule="auto"/>
              <w:ind w:firstLine="480" w:firstLineChars="200"/>
              <w:rPr>
                <w:kern w:val="0"/>
                <w:sz w:val="24"/>
              </w:rPr>
            </w:pPr>
            <w:r>
              <w:rPr>
                <w:bCs/>
                <w:sz w:val="24"/>
              </w:rPr>
              <w:t>本项目运营</w:t>
            </w:r>
            <w:r>
              <w:rPr>
                <w:sz w:val="24"/>
              </w:rPr>
              <w:t>过程中能源消耗主要为水、电，不属于高耗能行业，资源消耗量相对区域资源利用总量较少</w:t>
            </w:r>
            <w:r>
              <w:rPr>
                <w:bCs/>
                <w:sz w:val="24"/>
              </w:rPr>
              <w:t>。项目建设土地不涉及基本农田，土地资源消耗</w:t>
            </w:r>
            <w:r>
              <w:rPr>
                <w:sz w:val="24"/>
              </w:rPr>
              <w:t>符合要求。</w:t>
            </w:r>
            <w:r>
              <w:rPr>
                <w:kern w:val="0"/>
                <w:sz w:val="24"/>
              </w:rPr>
              <w:t>因此，项目符合资源利用上线要求。</w:t>
            </w:r>
          </w:p>
          <w:p w14:paraId="592BD9C4">
            <w:pPr>
              <w:tabs>
                <w:tab w:val="left" w:pos="312"/>
              </w:tabs>
              <w:autoSpaceDE w:val="0"/>
              <w:autoSpaceDN w:val="0"/>
              <w:adjustRightInd w:val="0"/>
              <w:snapToGrid w:val="0"/>
              <w:spacing w:line="360" w:lineRule="auto"/>
              <w:ind w:firstLine="482" w:firstLineChars="200"/>
              <w:rPr>
                <w:b/>
                <w:bCs/>
                <w:kern w:val="0"/>
                <w:sz w:val="24"/>
              </w:rPr>
            </w:pPr>
            <w:r>
              <w:rPr>
                <w:b/>
                <w:bCs/>
                <w:kern w:val="0"/>
                <w:sz w:val="24"/>
              </w:rPr>
              <w:t>（4）环境管控单元生态环境准入清单</w:t>
            </w:r>
          </w:p>
          <w:p w14:paraId="024E0B6C">
            <w:pPr>
              <w:spacing w:line="360" w:lineRule="auto"/>
              <w:ind w:firstLine="480" w:firstLineChars="200"/>
              <w:rPr>
                <w:kern w:val="0"/>
                <w:sz w:val="24"/>
              </w:rPr>
            </w:pPr>
            <w:r>
              <w:rPr>
                <w:kern w:val="0"/>
                <w:sz w:val="24"/>
              </w:rPr>
              <w:t>本项目位于</w:t>
            </w:r>
            <w:r>
              <w:rPr>
                <w:sz w:val="24"/>
              </w:rPr>
              <w:t>商丘市民权县人和镇工业园区310国道北侧</w:t>
            </w:r>
            <w:r>
              <w:rPr>
                <w:kern w:val="0"/>
                <w:sz w:val="24"/>
              </w:rPr>
              <w:t>，根据《河南省生态环境分区管控总体要求》（2023年版）及“河南省三线一单综合信息应用平台”查询结果，</w:t>
            </w:r>
            <w:r>
              <w:rPr>
                <w:bCs/>
                <w:sz w:val="24"/>
                <w:szCs w:val="22"/>
              </w:rPr>
              <w:t>本项目位于民权县一般管控区，为一般管控单元，环境管控单元编码为ZH41142130001</w:t>
            </w:r>
            <w:r>
              <w:rPr>
                <w:kern w:val="0"/>
                <w:sz w:val="24"/>
              </w:rPr>
              <w:t>。商丘市生态环境局2024年6月公布了《关于商丘市生态环境准入清单动态更新成果的公告》，本项目与商丘市生态环境总体准入要求符合性分析详见表1，与县区分区管控单元生态环境准入清单符合性分析详见表2。</w:t>
            </w:r>
          </w:p>
          <w:p w14:paraId="0718F233">
            <w:pPr>
              <w:tabs>
                <w:tab w:val="left" w:pos="312"/>
              </w:tabs>
              <w:autoSpaceDE w:val="0"/>
              <w:autoSpaceDN w:val="0"/>
              <w:adjustRightInd w:val="0"/>
              <w:snapToGrid w:val="0"/>
              <w:jc w:val="center"/>
              <w:rPr>
                <w:b/>
                <w:bCs/>
                <w:kern w:val="0"/>
                <w:sz w:val="24"/>
              </w:rPr>
            </w:pPr>
            <w:r>
              <w:rPr>
                <w:b/>
                <w:bCs/>
                <w:kern w:val="0"/>
                <w:sz w:val="24"/>
              </w:rPr>
              <w:t>表1  本项目与商丘市生态环境总体准入要求相符性分析</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2"/>
              <w:gridCol w:w="5892"/>
              <w:gridCol w:w="1350"/>
              <w:gridCol w:w="468"/>
            </w:tblGrid>
            <w:tr w14:paraId="077C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71" w:type="pct"/>
                  <w:vAlign w:val="center"/>
                </w:tcPr>
                <w:p w14:paraId="63103856">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管控维度</w:t>
                  </w:r>
                </w:p>
              </w:tc>
              <w:tc>
                <w:tcPr>
                  <w:tcW w:w="3613" w:type="pct"/>
                  <w:vAlign w:val="center"/>
                </w:tcPr>
                <w:p w14:paraId="004E39B7">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生态环境总体准入要求</w:t>
                  </w:r>
                </w:p>
              </w:tc>
              <w:tc>
                <w:tcPr>
                  <w:tcW w:w="828" w:type="pct"/>
                  <w:vAlign w:val="center"/>
                </w:tcPr>
                <w:p w14:paraId="5408DD0C">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本项目情况</w:t>
                  </w:r>
                </w:p>
              </w:tc>
              <w:tc>
                <w:tcPr>
                  <w:tcW w:w="287" w:type="pct"/>
                  <w:vAlign w:val="center"/>
                </w:tcPr>
                <w:p w14:paraId="7314FEB5">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相符性</w:t>
                  </w:r>
                </w:p>
              </w:tc>
            </w:tr>
            <w:tr w14:paraId="4353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71" w:type="pct"/>
                  <w:vAlign w:val="center"/>
                </w:tcPr>
                <w:p w14:paraId="49018987">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空间布局约束</w:t>
                  </w:r>
                </w:p>
              </w:tc>
              <w:tc>
                <w:tcPr>
                  <w:tcW w:w="3613" w:type="pct"/>
                  <w:vAlign w:val="center"/>
                </w:tcPr>
                <w:p w14:paraId="5B05E472">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禁止在饮用水水源一级保护区内新建、改建、扩建与供水设施和保护水源无关的建设项目；禁止在饮用水水源二级保护区内新建、改建、扩建排放污染物的项目；禁止在饮用水水源准保护区内新建、扩建对水体污染严重的建设项目。</w:t>
                  </w:r>
                </w:p>
                <w:p w14:paraId="0C19D28B">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2、原则上禁止新增钢铁、电解铝、氧化铝、水泥熟料、平板玻璃（光伏压延玻璃除外）、传统煤化工（含甲醇）、焦化、铝用炭素、含烧结工序的耐火材料和砖瓦制品等行业产能，合理控制煤制油气产能规模。强化项目环评及“三同时”管理。原则上不再设立新的化工园区，确需新设的，须经省联席会议会商同意后报省政府审定；承接列入国家或省级相关规划的化工项目应经省联席会议同意，项目投产前化工园区应通过认定。</w:t>
                  </w:r>
                </w:p>
                <w:p w14:paraId="55AECBE7">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3、严禁不符合我市主体功能定位的各类开发活动，坚决遏制高耗能、高排放项目盲目发展。现有以“两高”行业为主导产业的园区规划环评应增加碳排放情况与减排潜力分析，推动园区绿色低碳发展。新建、改建、扩建“两高”项目须符合生态环境保护法律法规和相关法定规划，满足重点污染物排放总量控制、碳排放达峰目标、相关规划环评和相应行业建设项目环境准入条件、环评文件审批原则要求。</w:t>
                  </w:r>
                </w:p>
                <w:p w14:paraId="2DD1399B">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4、限制开采高硫高灰煤。重点勘查开采地热等矿产。禁止开采风化壳型超贫磁铁矿、石煤、可耕地砖瓦用粘土、风化壳型砂矿等矿产。</w:t>
                  </w:r>
                </w:p>
                <w:p w14:paraId="4E9BBD3C">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5、全市范围内禁止制造、进口、销售和注册登记国五(不含)以下排放标准的柴油车。全市原则上不再办理使用登记和审批35蒸吨/时及以下燃煤锅炉。全面淘汰退出达不到标准的落后产能和不达标企业。实施重污染企业退城搬迁，加快城市建成区、人群密集区、重点流域的重污染企业和危险化学品等环境风险大的企业搬迁改造、关停退出，推动实施一批水泥行业、化工、商砼企业等重污染企业退城工程。</w:t>
                  </w:r>
                </w:p>
                <w:p w14:paraId="47B77D0A">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6、加强对黄河故道沿线湿地保护与生态修复，统筹推进沿线生态防护林建设，建设生态修复和生物多样性保护样板带。惠济河、涡河、大沙河、包河、浍河、沱河、王引河七条主要河流，实施流域水系治理和沿线林带生态修复，形成保障生态网络安全的河流生态廊道。</w:t>
                  </w:r>
                </w:p>
                <w:p w14:paraId="6544C518">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7、狠抓生态保护修复持久战。建立引黄项目常态化监管机制，严把引黄项目准入关，防范违规新上引黄项目。</w:t>
                  </w:r>
                </w:p>
                <w:p w14:paraId="1A4A091B">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8、国家和省级湿地公园保护范围内禁止下列行为：开（围）垦、排干自然湿地，永久性截断自然湿地水源；擅自填埋自然湿地，擅自采砂、采矿、取土；排放不符合水污染物排放标准的工业废水、生活污水及其他污染湿地的废水、污水，倾倒、堆放、丢弃、遗撒固体废物；过度放牧或者滥采野生植物，过度捕捞或者灭绝式捕捞，过度施肥、投药、投放饵料等污染湿地的种植养殖行为；其他破坏湿地及其生态功能的行为。</w:t>
                  </w:r>
                </w:p>
              </w:tc>
              <w:tc>
                <w:tcPr>
                  <w:tcW w:w="828" w:type="pct"/>
                  <w:vAlign w:val="center"/>
                </w:tcPr>
                <w:p w14:paraId="254C0D0E">
                  <w:pPr>
                    <w:pStyle w:val="4"/>
                    <w:spacing w:before="0" w:beforeAutospacing="0" w:after="0" w:afterAutospacing="0"/>
                    <w:rPr>
                      <w:rFonts w:hint="default" w:ascii="Times New Roman" w:hAnsi="Times New Roman"/>
                      <w:b w:val="0"/>
                      <w:bCs w:val="0"/>
                      <w:sz w:val="21"/>
                      <w:szCs w:val="21"/>
                    </w:rPr>
                  </w:pPr>
                  <w:r>
                    <w:rPr>
                      <w:rFonts w:hint="default" w:ascii="Times New Roman" w:hAnsi="Times New Roman"/>
                      <w:b w:val="0"/>
                      <w:bCs w:val="0"/>
                      <w:sz w:val="21"/>
                      <w:szCs w:val="21"/>
                    </w:rPr>
                    <w:t>1.本项目不在饮用水水源保护区内；2.本项目为新建废旧农机拆解项目，项目建设严格执行环评和“三同时”管理；3.本项目不属于“两高”项目，不属于高耗能、高排放项目；4.本项目不涉及矿产开采；5.本项目不涉及柴油车、锅炉，不涉及落后产能及重污染企业；6.本项目距离黄河故道较远，约6.1km；7.本项目位于人和镇工业园区，符合规划要求；8.本项目不在国家和省级湿地公园保护范围内。</w:t>
                  </w:r>
                </w:p>
              </w:tc>
              <w:tc>
                <w:tcPr>
                  <w:tcW w:w="287" w:type="pct"/>
                  <w:vAlign w:val="center"/>
                </w:tcPr>
                <w:p w14:paraId="719D870F">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相符</w:t>
                  </w:r>
                </w:p>
              </w:tc>
            </w:tr>
            <w:tr w14:paraId="37DB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71" w:type="pct"/>
                  <w:vAlign w:val="center"/>
                </w:tcPr>
                <w:p w14:paraId="6A0E00E6">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污染物排放管控</w:t>
                  </w:r>
                </w:p>
              </w:tc>
              <w:tc>
                <w:tcPr>
                  <w:tcW w:w="3613" w:type="pct"/>
                  <w:vAlign w:val="center"/>
                </w:tcPr>
                <w:p w14:paraId="36455B36">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9、新、改、扩建项目主要污染物排放要满足当地总量减排要求。</w:t>
                  </w:r>
                </w:p>
                <w:p w14:paraId="1DC8F06D">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10、区域环境空气、地表水环境质量不能满足环境功能区划标准时，重点行业建设项目主要污染物实行区域削减。</w:t>
                  </w:r>
                </w:p>
                <w:p w14:paraId="40BC35DA">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11、以现有污水处理厂为基础，科学布局污水再生利用设施，推行再生水用于生态补水、工业生产和市政杂用等。坚持减量化、稳定化、无害化、资源化，推进污泥无害化处置和资源化利用，新建污水处理厂必须有明确的污泥处置途径。城市建成区、开发区、工业园区污水处理厂扩建工程设计出水标准达到或优于《城镇污水处理厂污染物排放标准》（GB18918-2002）一级 A 标准设计。</w:t>
                  </w:r>
                </w:p>
                <w:p w14:paraId="0F6AC523">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12、新、改、扩建涉重金属重点行业建设项目应遵循重点重金属污染物排放“减量替代”原则；开展砖瓦、钢铁、有色等重点行业企业提标改造和污染深度治理，严格排污许可管理，推动工业企业绿色发展转型；强化挥发性有机物污染治理。推广大型燃煤电厂热电联产改造，充分挖掘供热潜力，有序淘汰供热管网覆盖范围内的燃煤锅炉和散煤。加大落后燃煤锅炉和燃煤小热电退出力度，推动工业余热、电厂余热、清洁能源等替代煤炭供热供汽；以钢铁、焦化、铸造、建材、有色、石化、化工、工业涂装、包装印刷、电镀、制革、造纸、纺织印染、农副食品加工等行业为重点，开展全流程清洁化、循环化、低碳化改造；推进涂装类、化工类等产业集群分类治理，开展重点行业清洁生产和工业废水资源化利用改造。深化重点行业工业炉窑大气污染综合治理，深化垃圾焚烧发电、生物质发电废气提标治理。严格控制铸造、铁合金、焦化、水泥、建材、耐火材料、有色金属等行业物料存储、运输及生产工艺过程无组织排放。</w:t>
                  </w:r>
                </w:p>
                <w:p w14:paraId="0E199A7F">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13、实施大型规模化养殖场大气氨减排工程，开展清洁养殖工艺、氨气处理工艺、粪肥资源化利用等试点项目；强化全市各级政府秸秆禁烧主体责任，推动秸秆禁烧和综合利用常态化。</w:t>
                  </w:r>
                </w:p>
                <w:p w14:paraId="0748B842">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14、有色金属冶炼、铅酸蓄电池、石油加工、化工、电镀、制革和危险化学品生产、储存、使用等企业在拆除生产设施设备、污染治理设施时，要按照国家企业拆除活动污染防治的技术规定，事先制定包括应急措施在内的土壤污染防治工作方案，明确残留污染物清理和安全处置措施，报县级生态环境部门、工业和信息化部门备案并技术评审。</w:t>
                  </w:r>
                </w:p>
                <w:p w14:paraId="0BD15F59">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15、鼓励土壤污染重点监管单位因地制宜实施管道化、密闭化改造，重点区域防腐防渗改造，物料、污水、废气管线架空建设和改造， 从源头上防范土壤污染。</w:t>
                  </w:r>
                </w:p>
              </w:tc>
              <w:tc>
                <w:tcPr>
                  <w:tcW w:w="828" w:type="pct"/>
                  <w:vAlign w:val="center"/>
                </w:tcPr>
                <w:p w14:paraId="7A43829D">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9.本项目污染物满足总量减排要求；10.本项目不属于重点行业；11.本项目不涉及；12.本项目挥发性有机物均能得到合理治理；13.本项目不涉及；14.本项目不涉及；15.本项目不涉及。</w:t>
                  </w:r>
                </w:p>
              </w:tc>
              <w:tc>
                <w:tcPr>
                  <w:tcW w:w="287" w:type="pct"/>
                  <w:vAlign w:val="center"/>
                </w:tcPr>
                <w:p w14:paraId="0AF6C477">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相符</w:t>
                  </w:r>
                </w:p>
              </w:tc>
            </w:tr>
            <w:tr w14:paraId="0881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71" w:type="pct"/>
                  <w:vAlign w:val="center"/>
                </w:tcPr>
                <w:p w14:paraId="0198D7D0">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环境风险防控</w:t>
                  </w:r>
                </w:p>
              </w:tc>
              <w:tc>
                <w:tcPr>
                  <w:tcW w:w="3613" w:type="pct"/>
                  <w:vAlign w:val="center"/>
                </w:tcPr>
                <w:p w14:paraId="5F9BF64A">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16、完善平战结合、区域联动的环境应急监测体系，提升跨区域应急监测支援效能。加强跨区域流域应急物资储备，加快推进储备库建设，建立信息管理系统，健全多层级、网络化储备体系。建立健全跨市河流上下游突发水污染事件联防联控机制，加强部门应急联动，形成突发水环境应急处理处置合力。</w:t>
                  </w:r>
                </w:p>
                <w:p w14:paraId="7D4469C5">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17、加强涉危险废物、涉重金属企业、化工园区、集中式饮用水水源地及区域环境风险调查评估，实施分类分级风险管控。协同推进重点区域流域生态环境污染综合防治、风险防控与生态恢复。</w:t>
                  </w:r>
                </w:p>
                <w:p w14:paraId="449A9DA8">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18、聚焦铅、汞、镉等重金属污染物，研究推进重金属全生命周期环境管理，深入推进重点河流湖库、饮用水水源地、农田等环境敏感区域周边涉重金属企业污染综合治理；实行危险化学品全过程监管，运用信息技术，加强对危险化学品生产、经营、贮存、运输、使用、处置的全过程监管，建立危险化学品全生命周期安全监管信息共享与追溯系统。加强新化学物质生态环境准入管理，防范化学物质的生态环境风险。完成重点地区危险化学品生产企业搬迁改造，全面提升尚未搬迁企业安全风险防范能力，加强日常监管，确保环境安全事故零发生。禁止在国家湿地公园、大运河和黄河故道等重点区域、流域岸线1公里范围内布局新建重化工、纸浆制造、印染等存在环境风险的项目。鼓励现有工业项目、化工项目分别搬入高新技术开发区和化工园区。</w:t>
                  </w:r>
                </w:p>
                <w:p w14:paraId="7A9F0FDE">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19、持续更新建设用地土壤污染风险管控和修复地块名录，严格准入管理。未依法完成土壤污染状况调查和风险评估的地块，不得开工建设与风险管控和修复无关的项目。加强建设用地规划、出让、转让、用途变更、收回、续期等环节监管，确保土壤环境保护相关政策要求得到落实。加强暂不开发利用污染地块生态管控，确需开发利用的，依法实施管控修复，优先规划用于拓展生态空间。对暂不开发利用的地块要制定土壤污染风险管控方案，划定管控区域，建立标识、发布公告，定期组织开展土壤环境监测。</w:t>
                  </w:r>
                </w:p>
              </w:tc>
              <w:tc>
                <w:tcPr>
                  <w:tcW w:w="828" w:type="pct"/>
                  <w:vAlign w:val="center"/>
                </w:tcPr>
                <w:p w14:paraId="4330AFAF">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本项目生活污水经化粪池处理后，定期清掏，外运肥田；不涉及重金属及危险化学品，不涉及土地用途变更。</w:t>
                  </w:r>
                </w:p>
              </w:tc>
              <w:tc>
                <w:tcPr>
                  <w:tcW w:w="287" w:type="pct"/>
                  <w:vAlign w:val="center"/>
                </w:tcPr>
                <w:p w14:paraId="3DD0A61D">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相符</w:t>
                  </w:r>
                </w:p>
              </w:tc>
            </w:tr>
            <w:tr w14:paraId="406D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71" w:type="pct"/>
                  <w:vAlign w:val="center"/>
                </w:tcPr>
                <w:p w14:paraId="6B7FD089">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资源开发效率要求</w:t>
                  </w:r>
                </w:p>
              </w:tc>
              <w:tc>
                <w:tcPr>
                  <w:tcW w:w="3613" w:type="pct"/>
                  <w:vAlign w:val="center"/>
                </w:tcPr>
                <w:p w14:paraId="21700ADD">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19、十四五期间，全市煤炭消费总量控制完成国家、省、市下达目标要求。全市能耗增量控制目标控制完成国家、省、市下达目标要求。</w:t>
                  </w:r>
                </w:p>
                <w:p w14:paraId="625D73C2">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20、十四五期间，全市年用水总量控制完成国家、省、市下达目标要求。水资源利用效率和效益明显提升，地下水超采得到进一步控制，农村居民集中供水实现全覆盖，全面解决贫困人口饮水安全问题；积极开展中水资源利用，在火电、纺织、化工、食品、发酵等高耗水行业，开展水效“领跑者”行动，推进企业串联用水、分质用水、一水多用和梯级循环利用，提升工业污水资源化利用效率；加快城市污水处理厂及产业集聚区污水处理厂中水建设工程，切实推进中水利用进程，集中供热中心、热电联产项目限制取用地下水，高耗水企业中水回用率达到32%以上。</w:t>
                  </w:r>
                </w:p>
                <w:p w14:paraId="362ED183">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21、重点开展火电、钢铁、石化、化工、纺织、造纸、食品等高耗水工业行业节水技术改造，大力推进工业水循环利用，推进节水型企业、节水型工业园区建设；新、改、扩印染项目清洁生产水平应达到《清洁生产标准纺织业（棉印染）》国际先进水平，禁止不能满足土地投资强度和清洁生产水平要求的印染企业和与规划定位不相符的印染企业入驻。新、改、扩印染项目印染总规模不得超出规划的印染规模，允许规划内印染规模等量替代，禁止超出规划单纯新增印染产能。</w:t>
                  </w:r>
                </w:p>
                <w:p w14:paraId="3D2867FB">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22、实行严格的耕地保护制度和节约用地制度，强化土地资源开发利用管理，提高土地集约化利用程度和建设用地利用效率，内部挖潜解决新增建设用地。</w:t>
                  </w:r>
                </w:p>
              </w:tc>
              <w:tc>
                <w:tcPr>
                  <w:tcW w:w="828" w:type="pct"/>
                  <w:vAlign w:val="center"/>
                </w:tcPr>
                <w:p w14:paraId="5229D668">
                  <w:pPr>
                    <w:pStyle w:val="4"/>
                    <w:spacing w:before="0" w:beforeAutospacing="0" w:after="0" w:afterAutospacing="0"/>
                    <w:jc w:val="both"/>
                    <w:rPr>
                      <w:rFonts w:hint="default" w:ascii="Times New Roman" w:hAnsi="Times New Roman"/>
                      <w:b w:val="0"/>
                      <w:bCs w:val="0"/>
                      <w:sz w:val="21"/>
                      <w:szCs w:val="21"/>
                    </w:rPr>
                  </w:pPr>
                  <w:r>
                    <w:rPr>
                      <w:rFonts w:hint="default" w:ascii="Times New Roman" w:hAnsi="Times New Roman"/>
                      <w:b w:val="0"/>
                      <w:bCs w:val="0"/>
                      <w:sz w:val="21"/>
                      <w:szCs w:val="21"/>
                    </w:rPr>
                    <w:t>本项目运营期不消耗煤炭；项目用水由人和镇供水管网集中供水，不涉及自备水井，生产过程无废水产生；项目用地性质为建设用地，符合用地规划要求。</w:t>
                  </w:r>
                </w:p>
              </w:tc>
              <w:tc>
                <w:tcPr>
                  <w:tcW w:w="287" w:type="pct"/>
                  <w:vAlign w:val="center"/>
                </w:tcPr>
                <w:p w14:paraId="2A1345E6">
                  <w:pPr>
                    <w:pStyle w:val="4"/>
                    <w:spacing w:before="0" w:beforeAutospacing="0" w:after="0" w:afterAutospacing="0"/>
                    <w:jc w:val="center"/>
                    <w:rPr>
                      <w:rFonts w:hint="default" w:ascii="Times New Roman" w:hAnsi="Times New Roman"/>
                      <w:b w:val="0"/>
                      <w:bCs w:val="0"/>
                      <w:sz w:val="21"/>
                      <w:szCs w:val="21"/>
                    </w:rPr>
                  </w:pPr>
                  <w:r>
                    <w:rPr>
                      <w:rFonts w:hint="default" w:ascii="Times New Roman" w:hAnsi="Times New Roman"/>
                      <w:b w:val="0"/>
                      <w:bCs w:val="0"/>
                      <w:sz w:val="21"/>
                      <w:szCs w:val="21"/>
                    </w:rPr>
                    <w:t>相符</w:t>
                  </w:r>
                </w:p>
              </w:tc>
            </w:tr>
          </w:tbl>
          <w:p w14:paraId="3D50C64A">
            <w:pPr>
              <w:tabs>
                <w:tab w:val="left" w:pos="312"/>
              </w:tabs>
              <w:autoSpaceDE w:val="0"/>
              <w:autoSpaceDN w:val="0"/>
              <w:adjustRightInd w:val="0"/>
              <w:snapToGrid w:val="0"/>
              <w:spacing w:line="360" w:lineRule="auto"/>
              <w:ind w:firstLine="480" w:firstLineChars="200"/>
              <w:rPr>
                <w:kern w:val="0"/>
                <w:sz w:val="24"/>
              </w:rPr>
            </w:pPr>
            <w:r>
              <w:rPr>
                <w:kern w:val="0"/>
                <w:sz w:val="24"/>
              </w:rPr>
              <w:t>由上表可知，本项目符合商丘市生态环境总体准入要求。</w:t>
            </w:r>
          </w:p>
          <w:p w14:paraId="5ED3D966">
            <w:pPr>
              <w:tabs>
                <w:tab w:val="left" w:pos="312"/>
              </w:tabs>
              <w:autoSpaceDE w:val="0"/>
              <w:autoSpaceDN w:val="0"/>
              <w:adjustRightInd w:val="0"/>
              <w:snapToGrid w:val="0"/>
              <w:spacing w:line="360" w:lineRule="auto"/>
              <w:ind w:firstLine="480" w:firstLineChars="200"/>
              <w:rPr>
                <w:kern w:val="0"/>
                <w:sz w:val="24"/>
              </w:rPr>
            </w:pPr>
            <w:r>
              <w:rPr>
                <w:kern w:val="0"/>
                <w:sz w:val="24"/>
              </w:rPr>
              <w:t>本项目与民权县环境管控单元生态环境准入清单中管控要求比对下表。</w:t>
            </w:r>
          </w:p>
          <w:p w14:paraId="00481A11">
            <w:pPr>
              <w:tabs>
                <w:tab w:val="left" w:pos="312"/>
              </w:tabs>
              <w:autoSpaceDE w:val="0"/>
              <w:autoSpaceDN w:val="0"/>
              <w:adjustRightInd w:val="0"/>
              <w:snapToGrid w:val="0"/>
              <w:jc w:val="center"/>
              <w:rPr>
                <w:b/>
                <w:bCs/>
                <w:kern w:val="0"/>
                <w:sz w:val="24"/>
              </w:rPr>
            </w:pPr>
            <w:r>
              <w:rPr>
                <w:b/>
                <w:bCs/>
                <w:kern w:val="0"/>
                <w:sz w:val="24"/>
              </w:rPr>
              <w:t>表2  本项目与民权县环境管控单元生态环境准入清单比对一览表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46"/>
              <w:gridCol w:w="528"/>
              <w:gridCol w:w="494"/>
              <w:gridCol w:w="220"/>
              <w:gridCol w:w="3355"/>
              <w:gridCol w:w="1779"/>
              <w:gridCol w:w="330"/>
            </w:tblGrid>
            <w:tr w14:paraId="3E82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887" w:type="pct"/>
                  <w:vAlign w:val="center"/>
                </w:tcPr>
                <w:p w14:paraId="691CA2E3">
                  <w:pPr>
                    <w:jc w:val="center"/>
                    <w:rPr>
                      <w:snapToGrid w:val="0"/>
                      <w:kern w:val="0"/>
                      <w:szCs w:val="21"/>
                    </w:rPr>
                  </w:pPr>
                  <w:r>
                    <w:rPr>
                      <w:snapToGrid w:val="0"/>
                      <w:kern w:val="0"/>
                      <w:szCs w:val="21"/>
                    </w:rPr>
                    <w:t>环境管控单元编码</w:t>
                  </w:r>
                </w:p>
              </w:tc>
              <w:tc>
                <w:tcPr>
                  <w:tcW w:w="324" w:type="pct"/>
                  <w:vAlign w:val="center"/>
                </w:tcPr>
                <w:p w14:paraId="0AA1DED2">
                  <w:pPr>
                    <w:jc w:val="center"/>
                    <w:rPr>
                      <w:snapToGrid w:val="0"/>
                      <w:kern w:val="0"/>
                      <w:szCs w:val="21"/>
                    </w:rPr>
                  </w:pPr>
                  <w:r>
                    <w:rPr>
                      <w:snapToGrid w:val="0"/>
                      <w:kern w:val="0"/>
                      <w:szCs w:val="21"/>
                    </w:rPr>
                    <w:t>管控</w:t>
                  </w:r>
                </w:p>
                <w:p w14:paraId="7EEDE5EB">
                  <w:pPr>
                    <w:jc w:val="center"/>
                    <w:rPr>
                      <w:snapToGrid w:val="0"/>
                      <w:kern w:val="0"/>
                      <w:szCs w:val="21"/>
                    </w:rPr>
                  </w:pPr>
                  <w:r>
                    <w:rPr>
                      <w:snapToGrid w:val="0"/>
                      <w:kern w:val="0"/>
                      <w:szCs w:val="21"/>
                    </w:rPr>
                    <w:t>单元</w:t>
                  </w:r>
                </w:p>
                <w:p w14:paraId="079A5B17">
                  <w:pPr>
                    <w:jc w:val="center"/>
                    <w:rPr>
                      <w:snapToGrid w:val="0"/>
                      <w:kern w:val="0"/>
                      <w:szCs w:val="21"/>
                    </w:rPr>
                  </w:pPr>
                  <w:r>
                    <w:rPr>
                      <w:snapToGrid w:val="0"/>
                      <w:kern w:val="0"/>
                      <w:szCs w:val="21"/>
                    </w:rPr>
                    <w:t>分类</w:t>
                  </w:r>
                </w:p>
              </w:tc>
              <w:tc>
                <w:tcPr>
                  <w:tcW w:w="303" w:type="pct"/>
                  <w:vAlign w:val="center"/>
                </w:tcPr>
                <w:p w14:paraId="47A5386D">
                  <w:pPr>
                    <w:jc w:val="center"/>
                    <w:rPr>
                      <w:snapToGrid w:val="0"/>
                      <w:kern w:val="0"/>
                      <w:szCs w:val="21"/>
                    </w:rPr>
                  </w:pPr>
                  <w:r>
                    <w:rPr>
                      <w:snapToGrid w:val="0"/>
                      <w:kern w:val="0"/>
                      <w:szCs w:val="21"/>
                    </w:rPr>
                    <w:t>环境</w:t>
                  </w:r>
                </w:p>
                <w:p w14:paraId="28729AD8">
                  <w:pPr>
                    <w:jc w:val="center"/>
                    <w:rPr>
                      <w:snapToGrid w:val="0"/>
                      <w:kern w:val="0"/>
                      <w:szCs w:val="21"/>
                    </w:rPr>
                  </w:pPr>
                  <w:r>
                    <w:rPr>
                      <w:snapToGrid w:val="0"/>
                      <w:kern w:val="0"/>
                      <w:szCs w:val="21"/>
                    </w:rPr>
                    <w:t>管控</w:t>
                  </w:r>
                </w:p>
                <w:p w14:paraId="4FAB23DD">
                  <w:pPr>
                    <w:jc w:val="center"/>
                    <w:rPr>
                      <w:snapToGrid w:val="0"/>
                      <w:kern w:val="0"/>
                      <w:szCs w:val="21"/>
                    </w:rPr>
                  </w:pPr>
                  <w:r>
                    <w:rPr>
                      <w:snapToGrid w:val="0"/>
                      <w:kern w:val="0"/>
                      <w:szCs w:val="21"/>
                    </w:rPr>
                    <w:t>单元</w:t>
                  </w:r>
                </w:p>
                <w:p w14:paraId="738BB57E">
                  <w:pPr>
                    <w:jc w:val="center"/>
                    <w:rPr>
                      <w:snapToGrid w:val="0"/>
                      <w:kern w:val="0"/>
                      <w:szCs w:val="21"/>
                    </w:rPr>
                  </w:pPr>
                  <w:r>
                    <w:rPr>
                      <w:snapToGrid w:val="0"/>
                      <w:kern w:val="0"/>
                      <w:szCs w:val="21"/>
                    </w:rPr>
                    <w:t>名称</w:t>
                  </w:r>
                </w:p>
              </w:tc>
              <w:tc>
                <w:tcPr>
                  <w:tcW w:w="2193" w:type="pct"/>
                  <w:gridSpan w:val="2"/>
                  <w:vAlign w:val="center"/>
                </w:tcPr>
                <w:p w14:paraId="51BE854E">
                  <w:pPr>
                    <w:jc w:val="center"/>
                    <w:rPr>
                      <w:snapToGrid w:val="0"/>
                      <w:kern w:val="0"/>
                      <w:szCs w:val="21"/>
                    </w:rPr>
                  </w:pPr>
                  <w:r>
                    <w:rPr>
                      <w:snapToGrid w:val="0"/>
                      <w:kern w:val="0"/>
                      <w:szCs w:val="21"/>
                    </w:rPr>
                    <w:t>管控要求</w:t>
                  </w:r>
                </w:p>
              </w:tc>
              <w:tc>
                <w:tcPr>
                  <w:tcW w:w="1091" w:type="pct"/>
                  <w:vAlign w:val="center"/>
                </w:tcPr>
                <w:p w14:paraId="150CD5C8">
                  <w:pPr>
                    <w:jc w:val="center"/>
                    <w:rPr>
                      <w:snapToGrid w:val="0"/>
                      <w:kern w:val="0"/>
                      <w:szCs w:val="21"/>
                    </w:rPr>
                  </w:pPr>
                  <w:r>
                    <w:rPr>
                      <w:snapToGrid w:val="0"/>
                      <w:kern w:val="0"/>
                      <w:szCs w:val="21"/>
                    </w:rPr>
                    <w:t>本项目情况</w:t>
                  </w:r>
                </w:p>
              </w:tc>
              <w:tc>
                <w:tcPr>
                  <w:tcW w:w="202" w:type="pct"/>
                  <w:vAlign w:val="center"/>
                </w:tcPr>
                <w:p w14:paraId="28722855">
                  <w:pPr>
                    <w:jc w:val="center"/>
                    <w:rPr>
                      <w:snapToGrid w:val="0"/>
                      <w:kern w:val="0"/>
                      <w:szCs w:val="21"/>
                    </w:rPr>
                  </w:pPr>
                  <w:r>
                    <w:rPr>
                      <w:snapToGrid w:val="0"/>
                      <w:kern w:val="0"/>
                      <w:szCs w:val="21"/>
                    </w:rPr>
                    <w:t>相符性</w:t>
                  </w:r>
                </w:p>
              </w:tc>
            </w:tr>
            <w:tr w14:paraId="3C8C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887" w:type="pct"/>
                  <w:vMerge w:val="restart"/>
                  <w:vAlign w:val="center"/>
                </w:tcPr>
                <w:p w14:paraId="1F491CE2">
                  <w:pPr>
                    <w:jc w:val="center"/>
                    <w:rPr>
                      <w:snapToGrid w:val="0"/>
                      <w:kern w:val="0"/>
                      <w:szCs w:val="21"/>
                    </w:rPr>
                  </w:pPr>
                  <w:r>
                    <w:rPr>
                      <w:snapToGrid w:val="0"/>
                      <w:kern w:val="0"/>
                      <w:szCs w:val="21"/>
                    </w:rPr>
                    <w:t>ZH41142130001</w:t>
                  </w:r>
                </w:p>
              </w:tc>
              <w:tc>
                <w:tcPr>
                  <w:tcW w:w="324" w:type="pct"/>
                  <w:vMerge w:val="restart"/>
                  <w:vAlign w:val="center"/>
                </w:tcPr>
                <w:p w14:paraId="52E5C6DE">
                  <w:pPr>
                    <w:jc w:val="center"/>
                    <w:rPr>
                      <w:snapToGrid w:val="0"/>
                      <w:kern w:val="0"/>
                      <w:szCs w:val="21"/>
                    </w:rPr>
                  </w:pPr>
                  <w:r>
                    <w:rPr>
                      <w:snapToGrid w:val="0"/>
                      <w:kern w:val="0"/>
                      <w:szCs w:val="21"/>
                    </w:rPr>
                    <w:t>一般</w:t>
                  </w:r>
                </w:p>
                <w:p w14:paraId="540B1866">
                  <w:pPr>
                    <w:jc w:val="center"/>
                    <w:rPr>
                      <w:snapToGrid w:val="0"/>
                      <w:kern w:val="0"/>
                      <w:szCs w:val="21"/>
                    </w:rPr>
                  </w:pPr>
                  <w:r>
                    <w:rPr>
                      <w:snapToGrid w:val="0"/>
                      <w:kern w:val="0"/>
                      <w:szCs w:val="21"/>
                    </w:rPr>
                    <w:t>管控</w:t>
                  </w:r>
                </w:p>
                <w:p w14:paraId="48B3F485">
                  <w:pPr>
                    <w:jc w:val="center"/>
                    <w:rPr>
                      <w:snapToGrid w:val="0"/>
                      <w:kern w:val="0"/>
                      <w:szCs w:val="21"/>
                    </w:rPr>
                  </w:pPr>
                  <w:r>
                    <w:rPr>
                      <w:snapToGrid w:val="0"/>
                      <w:kern w:val="0"/>
                      <w:szCs w:val="21"/>
                    </w:rPr>
                    <w:t>单元</w:t>
                  </w:r>
                </w:p>
              </w:tc>
              <w:tc>
                <w:tcPr>
                  <w:tcW w:w="303" w:type="pct"/>
                  <w:vMerge w:val="restart"/>
                  <w:vAlign w:val="center"/>
                </w:tcPr>
                <w:p w14:paraId="3AB868A2">
                  <w:pPr>
                    <w:jc w:val="center"/>
                    <w:rPr>
                      <w:snapToGrid w:val="0"/>
                      <w:kern w:val="0"/>
                      <w:szCs w:val="21"/>
                    </w:rPr>
                  </w:pPr>
                  <w:r>
                    <w:rPr>
                      <w:snapToGrid w:val="0"/>
                      <w:kern w:val="0"/>
                      <w:szCs w:val="21"/>
                    </w:rPr>
                    <w:t>民权县一般管控区</w:t>
                  </w:r>
                </w:p>
              </w:tc>
              <w:tc>
                <w:tcPr>
                  <w:tcW w:w="135" w:type="pct"/>
                  <w:vAlign w:val="center"/>
                </w:tcPr>
                <w:p w14:paraId="4F92F248">
                  <w:pPr>
                    <w:jc w:val="center"/>
                    <w:rPr>
                      <w:snapToGrid w:val="0"/>
                      <w:kern w:val="0"/>
                      <w:szCs w:val="21"/>
                    </w:rPr>
                  </w:pPr>
                  <w:r>
                    <w:rPr>
                      <w:snapToGrid w:val="0"/>
                      <w:kern w:val="0"/>
                      <w:szCs w:val="21"/>
                    </w:rPr>
                    <w:t>空间布局约束</w:t>
                  </w:r>
                </w:p>
              </w:tc>
              <w:tc>
                <w:tcPr>
                  <w:tcW w:w="2058" w:type="pct"/>
                  <w:vAlign w:val="center"/>
                </w:tcPr>
                <w:p w14:paraId="53658F6B">
                  <w:pPr>
                    <w:numPr>
                      <w:ilvl w:val="0"/>
                      <w:numId w:val="2"/>
                    </w:numPr>
                    <w:rPr>
                      <w:snapToGrid w:val="0"/>
                      <w:kern w:val="0"/>
                      <w:szCs w:val="21"/>
                    </w:rPr>
                  </w:pPr>
                  <w:r>
                    <w:rPr>
                      <w:snapToGrid w:val="0"/>
                      <w:kern w:val="0"/>
                      <w:szCs w:val="21"/>
                    </w:rPr>
                    <w:t>严格控制在优先保护类耕地集中区域新建有色金属冶炼、石油化工、化工、焦化等行业企业以及可能造成耕地土壤污染的建设项目。新建、扩建的重有色金属冶炼、电镀、制革企业应选择布设在依法合规设立并经规划环评的产业园区。</w:t>
                  </w:r>
                </w:p>
                <w:p w14:paraId="7A3BDED9">
                  <w:pPr>
                    <w:numPr>
                      <w:ilvl w:val="0"/>
                      <w:numId w:val="2"/>
                    </w:numPr>
                    <w:rPr>
                      <w:snapToGrid w:val="0"/>
                      <w:kern w:val="0"/>
                      <w:szCs w:val="21"/>
                    </w:rPr>
                  </w:pPr>
                  <w:r>
                    <w:rPr>
                      <w:snapToGrid w:val="0"/>
                      <w:kern w:val="0"/>
                      <w:szCs w:val="21"/>
                    </w:rPr>
                    <w:t>加强对农业空间转为生态空间的监督管理，未经国务院批准，禁止将永久基本农田转为城镇空间。鼓励城镇空间和符合国家生态退耕条件的农业空间转为生态空间。</w:t>
                  </w:r>
                </w:p>
                <w:p w14:paraId="65E12902">
                  <w:pPr>
                    <w:rPr>
                      <w:snapToGrid w:val="0"/>
                      <w:kern w:val="0"/>
                      <w:szCs w:val="21"/>
                    </w:rPr>
                  </w:pPr>
                  <w:r>
                    <w:rPr>
                      <w:snapToGrid w:val="0"/>
                      <w:kern w:val="0"/>
                      <w:szCs w:val="21"/>
                    </w:rPr>
                    <w:t xml:space="preserve">3、鼓励依托国能民权热电发展蒸汽使用量大、污染轻的工业企业。 </w:t>
                  </w:r>
                </w:p>
                <w:p w14:paraId="09EF2D70">
                  <w:pPr>
                    <w:rPr>
                      <w:snapToGrid w:val="0"/>
                      <w:kern w:val="0"/>
                      <w:szCs w:val="21"/>
                    </w:rPr>
                  </w:pPr>
                  <w:r>
                    <w:rPr>
                      <w:snapToGrid w:val="0"/>
                      <w:kern w:val="0"/>
                      <w:szCs w:val="21"/>
                    </w:rPr>
                    <w:t>4、做好民权葡萄酒生产加工，鼓励建设集酿酒葡萄种植、葡萄酒酿造、休闲旅游和文化推广于一体的葡萄酒庄，大力发展葡萄酒庄园经济。</w:t>
                  </w:r>
                </w:p>
              </w:tc>
              <w:tc>
                <w:tcPr>
                  <w:tcW w:w="1091" w:type="pct"/>
                  <w:vAlign w:val="center"/>
                </w:tcPr>
                <w:p w14:paraId="37AED0E5">
                  <w:pPr>
                    <w:numPr>
                      <w:ilvl w:val="0"/>
                      <w:numId w:val="3"/>
                    </w:numPr>
                    <w:rPr>
                      <w:snapToGrid w:val="0"/>
                      <w:kern w:val="0"/>
                      <w:szCs w:val="21"/>
                    </w:rPr>
                  </w:pPr>
                  <w:r>
                    <w:rPr>
                      <w:snapToGrid w:val="0"/>
                      <w:kern w:val="0"/>
                      <w:szCs w:val="21"/>
                    </w:rPr>
                    <w:t>本项目属于废弃资源综合利用业，不属于有色金属冶炼、石油化工、化工、焦化等重污染型企业。</w:t>
                  </w:r>
                </w:p>
                <w:p w14:paraId="4890A54D">
                  <w:pPr>
                    <w:numPr>
                      <w:ilvl w:val="0"/>
                      <w:numId w:val="3"/>
                    </w:numPr>
                    <w:rPr>
                      <w:snapToGrid w:val="0"/>
                      <w:kern w:val="0"/>
                      <w:szCs w:val="21"/>
                    </w:rPr>
                  </w:pPr>
                  <w:r>
                    <w:rPr>
                      <w:snapToGrid w:val="0"/>
                      <w:kern w:val="0"/>
                      <w:szCs w:val="21"/>
                    </w:rPr>
                    <w:t>本项目属于废弃资源综合利用业，项目租用现有闲置厂房，属于建设用地，不涉及农业空间。</w:t>
                  </w:r>
                </w:p>
                <w:p w14:paraId="70225914">
                  <w:pPr>
                    <w:numPr>
                      <w:ilvl w:val="0"/>
                      <w:numId w:val="3"/>
                    </w:numPr>
                    <w:rPr>
                      <w:snapToGrid w:val="0"/>
                      <w:kern w:val="0"/>
                      <w:szCs w:val="21"/>
                    </w:rPr>
                  </w:pPr>
                  <w:r>
                    <w:rPr>
                      <w:snapToGrid w:val="0"/>
                      <w:kern w:val="0"/>
                      <w:szCs w:val="21"/>
                    </w:rPr>
                    <w:t>本项目不涉及。</w:t>
                  </w:r>
                </w:p>
                <w:p w14:paraId="70C059DC">
                  <w:pPr>
                    <w:numPr>
                      <w:ilvl w:val="0"/>
                      <w:numId w:val="3"/>
                    </w:numPr>
                    <w:rPr>
                      <w:snapToGrid w:val="0"/>
                      <w:kern w:val="0"/>
                      <w:szCs w:val="21"/>
                    </w:rPr>
                  </w:pPr>
                  <w:r>
                    <w:rPr>
                      <w:snapToGrid w:val="0"/>
                      <w:kern w:val="0"/>
                      <w:szCs w:val="21"/>
                    </w:rPr>
                    <w:t>本项目不属于民权葡萄酒加工。</w:t>
                  </w:r>
                </w:p>
              </w:tc>
              <w:tc>
                <w:tcPr>
                  <w:tcW w:w="202" w:type="pct"/>
                  <w:vAlign w:val="center"/>
                </w:tcPr>
                <w:p w14:paraId="1E444808">
                  <w:pPr>
                    <w:jc w:val="center"/>
                    <w:rPr>
                      <w:snapToGrid w:val="0"/>
                      <w:kern w:val="0"/>
                      <w:szCs w:val="21"/>
                    </w:rPr>
                  </w:pPr>
                  <w:r>
                    <w:rPr>
                      <w:snapToGrid w:val="0"/>
                      <w:kern w:val="0"/>
                      <w:szCs w:val="21"/>
                    </w:rPr>
                    <w:t>相符</w:t>
                  </w:r>
                </w:p>
              </w:tc>
            </w:tr>
            <w:tr w14:paraId="08DA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887" w:type="pct"/>
                  <w:vMerge w:val="continue"/>
                  <w:vAlign w:val="center"/>
                </w:tcPr>
                <w:p w14:paraId="66947A4D">
                  <w:pPr>
                    <w:jc w:val="center"/>
                    <w:rPr>
                      <w:snapToGrid w:val="0"/>
                      <w:kern w:val="0"/>
                      <w:szCs w:val="21"/>
                    </w:rPr>
                  </w:pPr>
                </w:p>
              </w:tc>
              <w:tc>
                <w:tcPr>
                  <w:tcW w:w="324" w:type="pct"/>
                  <w:vMerge w:val="continue"/>
                  <w:vAlign w:val="center"/>
                </w:tcPr>
                <w:p w14:paraId="6924D953">
                  <w:pPr>
                    <w:jc w:val="center"/>
                    <w:rPr>
                      <w:snapToGrid w:val="0"/>
                      <w:kern w:val="0"/>
                      <w:szCs w:val="21"/>
                    </w:rPr>
                  </w:pPr>
                </w:p>
              </w:tc>
              <w:tc>
                <w:tcPr>
                  <w:tcW w:w="303" w:type="pct"/>
                  <w:vMerge w:val="continue"/>
                  <w:vAlign w:val="center"/>
                </w:tcPr>
                <w:p w14:paraId="45B240EF">
                  <w:pPr>
                    <w:jc w:val="center"/>
                    <w:rPr>
                      <w:snapToGrid w:val="0"/>
                      <w:kern w:val="0"/>
                      <w:szCs w:val="21"/>
                    </w:rPr>
                  </w:pPr>
                </w:p>
              </w:tc>
              <w:tc>
                <w:tcPr>
                  <w:tcW w:w="135" w:type="pct"/>
                  <w:vAlign w:val="center"/>
                </w:tcPr>
                <w:p w14:paraId="6271ED5C">
                  <w:pPr>
                    <w:jc w:val="center"/>
                    <w:rPr>
                      <w:snapToGrid w:val="0"/>
                      <w:kern w:val="0"/>
                      <w:szCs w:val="21"/>
                    </w:rPr>
                  </w:pPr>
                  <w:r>
                    <w:rPr>
                      <w:snapToGrid w:val="0"/>
                      <w:kern w:val="0"/>
                      <w:szCs w:val="21"/>
                    </w:rPr>
                    <w:t>污染物排放管控</w:t>
                  </w:r>
                </w:p>
              </w:tc>
              <w:tc>
                <w:tcPr>
                  <w:tcW w:w="2058" w:type="pct"/>
                  <w:vAlign w:val="center"/>
                </w:tcPr>
                <w:p w14:paraId="47ABC8C6">
                  <w:pPr>
                    <w:rPr>
                      <w:snapToGrid w:val="0"/>
                      <w:kern w:val="0"/>
                      <w:szCs w:val="21"/>
                    </w:rPr>
                  </w:pPr>
                  <w:r>
                    <w:rPr>
                      <w:snapToGrid w:val="0"/>
                      <w:kern w:val="0"/>
                      <w:szCs w:val="21"/>
                    </w:rPr>
                    <w:t>1、禁止向耕地及农田沟渠中排放有毒有害工业、生活废水和未经处理的养殖小区畜禽粪便；禁止占用耕地倾倒、堆放城乡生活垃圾、建筑垃圾、医疗垃圾、工业废料及废渣等废弃物。</w:t>
                  </w:r>
                </w:p>
                <w:p w14:paraId="2442326B">
                  <w:pPr>
                    <w:rPr>
                      <w:snapToGrid w:val="0"/>
                      <w:kern w:val="0"/>
                      <w:szCs w:val="21"/>
                    </w:rPr>
                  </w:pPr>
                  <w:r>
                    <w:rPr>
                      <w:snapToGrid w:val="0"/>
                      <w:kern w:val="0"/>
                      <w:szCs w:val="21"/>
                    </w:rPr>
                    <w:t>2、加强畜禽养殖污染防治，畜禽规模养殖场（小区）要配套建设与养殖规模相适宜的粪便污水防渗防溢流贮存设施，以及粪便污水收集、利用和无害化处理设施；积极引导散养密集区实行畜禽粪便污水分户收集、集中处理利用。</w:t>
                  </w:r>
                </w:p>
                <w:p w14:paraId="1A94E839">
                  <w:pPr>
                    <w:rPr>
                      <w:snapToGrid w:val="0"/>
                      <w:kern w:val="0"/>
                      <w:szCs w:val="21"/>
                    </w:rPr>
                  </w:pPr>
                  <w:r>
                    <w:rPr>
                      <w:snapToGrid w:val="0"/>
                      <w:kern w:val="0"/>
                      <w:szCs w:val="21"/>
                    </w:rPr>
                    <w:t>3、持续开展农村环境综合整治，加快推进农村生活污水处理设施建设，不断提高已建成农村污水处理设施稳定正常运行率。</w:t>
                  </w:r>
                </w:p>
              </w:tc>
              <w:tc>
                <w:tcPr>
                  <w:tcW w:w="1091" w:type="pct"/>
                  <w:vAlign w:val="center"/>
                </w:tcPr>
                <w:p w14:paraId="5D9D92C5">
                  <w:pPr>
                    <w:rPr>
                      <w:snapToGrid w:val="0"/>
                      <w:kern w:val="0"/>
                      <w:szCs w:val="21"/>
                    </w:rPr>
                  </w:pPr>
                  <w:r>
                    <w:rPr>
                      <w:snapToGrid w:val="0"/>
                      <w:kern w:val="0"/>
                      <w:szCs w:val="21"/>
                    </w:rPr>
                    <w:t>本项目生活污水经化粪池暂存后，定期清掏，外运肥田；固体废物均得到合理处置。</w:t>
                  </w:r>
                </w:p>
              </w:tc>
              <w:tc>
                <w:tcPr>
                  <w:tcW w:w="202" w:type="pct"/>
                  <w:vAlign w:val="center"/>
                </w:tcPr>
                <w:p w14:paraId="01147506">
                  <w:pPr>
                    <w:jc w:val="center"/>
                    <w:rPr>
                      <w:snapToGrid w:val="0"/>
                      <w:kern w:val="0"/>
                      <w:szCs w:val="21"/>
                    </w:rPr>
                  </w:pPr>
                  <w:r>
                    <w:rPr>
                      <w:snapToGrid w:val="0"/>
                      <w:kern w:val="0"/>
                      <w:szCs w:val="21"/>
                    </w:rPr>
                    <w:t>相符</w:t>
                  </w:r>
                </w:p>
              </w:tc>
            </w:tr>
          </w:tbl>
          <w:p w14:paraId="31E73496">
            <w:pPr>
              <w:tabs>
                <w:tab w:val="left" w:pos="312"/>
              </w:tabs>
              <w:autoSpaceDE w:val="0"/>
              <w:autoSpaceDN w:val="0"/>
              <w:adjustRightInd w:val="0"/>
              <w:snapToGrid w:val="0"/>
              <w:spacing w:line="360" w:lineRule="auto"/>
              <w:ind w:firstLine="480" w:firstLineChars="200"/>
              <w:jc w:val="left"/>
              <w:rPr>
                <w:kern w:val="0"/>
                <w:sz w:val="24"/>
              </w:rPr>
            </w:pPr>
            <w:r>
              <w:rPr>
                <w:bCs/>
                <w:sz w:val="24"/>
              </w:rPr>
              <w:t>综上分析，本项目的建设符合</w:t>
            </w:r>
            <w:r>
              <w:rPr>
                <w:sz w:val="24"/>
              </w:rPr>
              <w:t>商丘市民权县</w:t>
            </w:r>
            <w:r>
              <w:rPr>
                <w:bCs/>
                <w:sz w:val="24"/>
              </w:rPr>
              <w:t>“三线一单”控制要求</w:t>
            </w:r>
            <w:r>
              <w:rPr>
                <w:sz w:val="24"/>
              </w:rPr>
              <w:t>。</w:t>
            </w:r>
          </w:p>
          <w:p w14:paraId="0DD92591">
            <w:pPr>
              <w:tabs>
                <w:tab w:val="left" w:pos="312"/>
              </w:tabs>
              <w:autoSpaceDE w:val="0"/>
              <w:autoSpaceDN w:val="0"/>
              <w:adjustRightInd w:val="0"/>
              <w:snapToGrid w:val="0"/>
              <w:spacing w:line="360" w:lineRule="auto"/>
              <w:jc w:val="left"/>
              <w:rPr>
                <w:b/>
                <w:bCs/>
                <w:kern w:val="0"/>
                <w:sz w:val="24"/>
                <w:u w:val="single"/>
              </w:rPr>
            </w:pPr>
            <w:r>
              <w:rPr>
                <w:b/>
                <w:bCs/>
                <w:kern w:val="0"/>
                <w:sz w:val="24"/>
                <w:u w:val="single"/>
              </w:rPr>
              <w:t>3.与《报废农业机械回收拆解技术规范》（NY/T2900-2022）符合性分析</w:t>
            </w:r>
          </w:p>
          <w:p w14:paraId="5E82D6F2">
            <w:pPr>
              <w:tabs>
                <w:tab w:val="left" w:pos="312"/>
              </w:tabs>
              <w:autoSpaceDE w:val="0"/>
              <w:autoSpaceDN w:val="0"/>
              <w:adjustRightInd w:val="0"/>
              <w:snapToGrid w:val="0"/>
              <w:spacing w:line="360" w:lineRule="auto"/>
              <w:ind w:firstLine="482" w:firstLineChars="200"/>
              <w:jc w:val="left"/>
              <w:rPr>
                <w:b/>
                <w:bCs/>
                <w:kern w:val="0"/>
                <w:sz w:val="24"/>
                <w:u w:val="single"/>
              </w:rPr>
            </w:pPr>
            <w:r>
              <w:rPr>
                <w:b/>
                <w:bCs/>
                <w:kern w:val="0"/>
                <w:sz w:val="24"/>
                <w:u w:val="single"/>
              </w:rPr>
              <w:t>本项目与《报废农业机械回收拆解技术规范》（NY/T2900-2022）符合性分析见下表。</w:t>
            </w:r>
          </w:p>
          <w:p w14:paraId="5C7CEB00">
            <w:pPr>
              <w:autoSpaceDE w:val="0"/>
              <w:autoSpaceDN w:val="0"/>
              <w:adjustRightInd w:val="0"/>
              <w:snapToGrid w:val="0"/>
              <w:jc w:val="center"/>
              <w:rPr>
                <w:b/>
                <w:bCs/>
                <w:kern w:val="0"/>
                <w:sz w:val="24"/>
              </w:rPr>
            </w:pPr>
            <w:r>
              <w:rPr>
                <w:b/>
                <w:bCs/>
                <w:kern w:val="0"/>
                <w:sz w:val="24"/>
              </w:rPr>
              <w:t>表3  本项目与《报废农业机械回收拆解技术规范》符合性分析</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6"/>
              <w:gridCol w:w="4041"/>
              <w:gridCol w:w="2839"/>
              <w:gridCol w:w="674"/>
            </w:tblGrid>
            <w:tr w14:paraId="1D1D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Align w:val="center"/>
                </w:tcPr>
                <w:p w14:paraId="3F504281">
                  <w:pPr>
                    <w:autoSpaceDE w:val="0"/>
                    <w:autoSpaceDN w:val="0"/>
                    <w:adjustRightInd w:val="0"/>
                    <w:snapToGrid w:val="0"/>
                    <w:jc w:val="center"/>
                    <w:rPr>
                      <w:kern w:val="0"/>
                      <w:szCs w:val="21"/>
                    </w:rPr>
                  </w:pPr>
                  <w:r>
                    <w:rPr>
                      <w:kern w:val="0"/>
                      <w:szCs w:val="21"/>
                    </w:rPr>
                    <w:t>类别</w:t>
                  </w:r>
                </w:p>
              </w:tc>
              <w:tc>
                <w:tcPr>
                  <w:tcW w:w="4042" w:type="dxa"/>
                  <w:vAlign w:val="center"/>
                </w:tcPr>
                <w:p w14:paraId="05143119">
                  <w:pPr>
                    <w:autoSpaceDE w:val="0"/>
                    <w:autoSpaceDN w:val="0"/>
                    <w:adjustRightInd w:val="0"/>
                    <w:snapToGrid w:val="0"/>
                    <w:jc w:val="center"/>
                    <w:rPr>
                      <w:kern w:val="0"/>
                      <w:szCs w:val="21"/>
                    </w:rPr>
                  </w:pPr>
                  <w:r>
                    <w:rPr>
                      <w:kern w:val="0"/>
                      <w:szCs w:val="21"/>
                    </w:rPr>
                    <w:t>技术规范要求</w:t>
                  </w:r>
                </w:p>
              </w:tc>
              <w:tc>
                <w:tcPr>
                  <w:tcW w:w="2839" w:type="dxa"/>
                  <w:vAlign w:val="center"/>
                </w:tcPr>
                <w:p w14:paraId="72AC4493">
                  <w:pPr>
                    <w:autoSpaceDE w:val="0"/>
                    <w:autoSpaceDN w:val="0"/>
                    <w:adjustRightInd w:val="0"/>
                    <w:snapToGrid w:val="0"/>
                    <w:jc w:val="center"/>
                    <w:rPr>
                      <w:kern w:val="0"/>
                      <w:szCs w:val="21"/>
                    </w:rPr>
                  </w:pPr>
                  <w:r>
                    <w:rPr>
                      <w:kern w:val="0"/>
                      <w:szCs w:val="21"/>
                    </w:rPr>
                    <w:t>本项目建设情况</w:t>
                  </w:r>
                </w:p>
              </w:tc>
              <w:tc>
                <w:tcPr>
                  <w:tcW w:w="674" w:type="dxa"/>
                  <w:vAlign w:val="center"/>
                </w:tcPr>
                <w:p w14:paraId="55CFB9F5">
                  <w:pPr>
                    <w:autoSpaceDE w:val="0"/>
                    <w:autoSpaceDN w:val="0"/>
                    <w:adjustRightInd w:val="0"/>
                    <w:snapToGrid w:val="0"/>
                    <w:jc w:val="center"/>
                    <w:rPr>
                      <w:kern w:val="0"/>
                      <w:szCs w:val="21"/>
                    </w:rPr>
                  </w:pPr>
                  <w:r>
                    <w:rPr>
                      <w:kern w:val="0"/>
                      <w:szCs w:val="21"/>
                    </w:rPr>
                    <w:t>相符性</w:t>
                  </w:r>
                </w:p>
              </w:tc>
            </w:tr>
            <w:tr w14:paraId="05AF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190B0EDA">
                  <w:pPr>
                    <w:widowControl/>
                    <w:jc w:val="center"/>
                    <w:rPr>
                      <w:kern w:val="0"/>
                      <w:szCs w:val="21"/>
                    </w:rPr>
                  </w:pPr>
                  <w:r>
                    <w:rPr>
                      <w:kern w:val="0"/>
                      <w:szCs w:val="21"/>
                    </w:rPr>
                    <w:t>报废农业机械拆解人员要求</w:t>
                  </w:r>
                </w:p>
              </w:tc>
              <w:tc>
                <w:tcPr>
                  <w:tcW w:w="4042" w:type="dxa"/>
                  <w:vAlign w:val="center"/>
                </w:tcPr>
                <w:p w14:paraId="5845830E">
                  <w:pPr>
                    <w:autoSpaceDE w:val="0"/>
                    <w:autoSpaceDN w:val="0"/>
                    <w:adjustRightInd w:val="0"/>
                    <w:snapToGrid w:val="0"/>
                    <w:jc w:val="center"/>
                    <w:rPr>
                      <w:kern w:val="0"/>
                      <w:szCs w:val="21"/>
                    </w:rPr>
                  </w:pPr>
                  <w:r>
                    <w:rPr>
                      <w:kern w:val="0"/>
                      <w:szCs w:val="21"/>
                    </w:rPr>
                    <w:t>4.2.1企业应具有专业技术人员，其专业能力应能达到规范拆解、环保作业、安全操作（含危险物质收存储、运输）等相应要求，并配备专业安全生产管理人员和环保人员，国家有持证上岗规定的岗位，应持证上岗。</w:t>
                  </w:r>
                </w:p>
              </w:tc>
              <w:tc>
                <w:tcPr>
                  <w:tcW w:w="2839" w:type="dxa"/>
                  <w:vAlign w:val="center"/>
                </w:tcPr>
                <w:p w14:paraId="7DC1A352">
                  <w:pPr>
                    <w:autoSpaceDE w:val="0"/>
                    <w:autoSpaceDN w:val="0"/>
                    <w:adjustRightInd w:val="0"/>
                    <w:snapToGrid w:val="0"/>
                    <w:rPr>
                      <w:kern w:val="0"/>
                      <w:szCs w:val="21"/>
                    </w:rPr>
                  </w:pPr>
                  <w:r>
                    <w:rPr>
                      <w:kern w:val="0"/>
                      <w:szCs w:val="21"/>
                    </w:rPr>
                    <w:t>本项目配置专业技术人员5人，其专业技能均能满足规范拆解、环保作业、安全操作等要求，持证上岗。</w:t>
                  </w:r>
                </w:p>
              </w:tc>
              <w:tc>
                <w:tcPr>
                  <w:tcW w:w="674" w:type="dxa"/>
                  <w:vAlign w:val="center"/>
                </w:tcPr>
                <w:p w14:paraId="08A38EEF">
                  <w:pPr>
                    <w:autoSpaceDE w:val="0"/>
                    <w:autoSpaceDN w:val="0"/>
                    <w:adjustRightInd w:val="0"/>
                    <w:snapToGrid w:val="0"/>
                    <w:jc w:val="center"/>
                    <w:rPr>
                      <w:kern w:val="0"/>
                      <w:szCs w:val="21"/>
                    </w:rPr>
                  </w:pPr>
                  <w:r>
                    <w:rPr>
                      <w:kern w:val="0"/>
                      <w:szCs w:val="21"/>
                    </w:rPr>
                    <w:t>相符</w:t>
                  </w:r>
                </w:p>
              </w:tc>
            </w:tr>
            <w:tr w14:paraId="7E08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271E29D7">
                  <w:pPr>
                    <w:widowControl/>
                    <w:jc w:val="center"/>
                    <w:rPr>
                      <w:kern w:val="0"/>
                      <w:sz w:val="18"/>
                      <w:szCs w:val="18"/>
                    </w:rPr>
                  </w:pPr>
                </w:p>
              </w:tc>
              <w:tc>
                <w:tcPr>
                  <w:tcW w:w="4042" w:type="dxa"/>
                  <w:vAlign w:val="center"/>
                </w:tcPr>
                <w:p w14:paraId="4B37E02A">
                  <w:pPr>
                    <w:autoSpaceDE w:val="0"/>
                    <w:autoSpaceDN w:val="0"/>
                    <w:adjustRightInd w:val="0"/>
                    <w:snapToGrid w:val="0"/>
                    <w:jc w:val="center"/>
                    <w:rPr>
                      <w:kern w:val="0"/>
                      <w:szCs w:val="21"/>
                    </w:rPr>
                  </w:pPr>
                  <w:r>
                    <w:rPr>
                      <w:kern w:val="0"/>
                      <w:szCs w:val="21"/>
                    </w:rPr>
                    <w:t>4.2.2具有拆解电动自式农业机业务的企业应具有电储管理人员及2名以上持电工特种作业操作证人员。动力蓄电池储存管理人员应具有动力蓄电池防火、防泄漏、防短路等相关专业知识。拆解人员应在机械生产企业提供的拆解信息指导下进行拆解。</w:t>
                  </w:r>
                </w:p>
              </w:tc>
              <w:tc>
                <w:tcPr>
                  <w:tcW w:w="2839" w:type="dxa"/>
                  <w:vAlign w:val="center"/>
                </w:tcPr>
                <w:p w14:paraId="399F9AE7">
                  <w:pPr>
                    <w:autoSpaceDE w:val="0"/>
                    <w:autoSpaceDN w:val="0"/>
                    <w:adjustRightInd w:val="0"/>
                    <w:snapToGrid w:val="0"/>
                    <w:rPr>
                      <w:kern w:val="0"/>
                      <w:szCs w:val="21"/>
                    </w:rPr>
                  </w:pPr>
                  <w:r>
                    <w:rPr>
                      <w:kern w:val="0"/>
                      <w:szCs w:val="21"/>
                    </w:rPr>
                    <w:t>本项目不涉及拆解电动自式农业机械业务，不涉及动力蓄电池；拆解人员需在机械生产企业提供的拆解信息指导下进行拆解。</w:t>
                  </w:r>
                </w:p>
              </w:tc>
              <w:tc>
                <w:tcPr>
                  <w:tcW w:w="674" w:type="dxa"/>
                  <w:vAlign w:val="center"/>
                </w:tcPr>
                <w:p w14:paraId="3B065C1F">
                  <w:pPr>
                    <w:autoSpaceDE w:val="0"/>
                    <w:autoSpaceDN w:val="0"/>
                    <w:adjustRightInd w:val="0"/>
                    <w:snapToGrid w:val="0"/>
                    <w:jc w:val="center"/>
                    <w:rPr>
                      <w:kern w:val="0"/>
                      <w:szCs w:val="21"/>
                    </w:rPr>
                  </w:pPr>
                  <w:r>
                    <w:rPr>
                      <w:kern w:val="0"/>
                      <w:szCs w:val="21"/>
                    </w:rPr>
                    <w:t>相符</w:t>
                  </w:r>
                </w:p>
              </w:tc>
            </w:tr>
            <w:tr w14:paraId="31B6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35A08818">
                  <w:pPr>
                    <w:autoSpaceDE w:val="0"/>
                    <w:autoSpaceDN w:val="0"/>
                    <w:adjustRightInd w:val="0"/>
                    <w:snapToGrid w:val="0"/>
                    <w:jc w:val="center"/>
                    <w:rPr>
                      <w:kern w:val="0"/>
                      <w:szCs w:val="21"/>
                    </w:rPr>
                  </w:pPr>
                  <w:r>
                    <w:rPr>
                      <w:kern w:val="0"/>
                      <w:szCs w:val="21"/>
                    </w:rPr>
                    <w:t>场地建设要求</w:t>
                  </w:r>
                </w:p>
              </w:tc>
              <w:tc>
                <w:tcPr>
                  <w:tcW w:w="4042" w:type="dxa"/>
                  <w:vAlign w:val="center"/>
                </w:tcPr>
                <w:p w14:paraId="6A91D78F">
                  <w:pPr>
                    <w:autoSpaceDE w:val="0"/>
                    <w:autoSpaceDN w:val="0"/>
                    <w:adjustRightInd w:val="0"/>
                    <w:snapToGrid w:val="0"/>
                    <w:jc w:val="center"/>
                    <w:rPr>
                      <w:b/>
                      <w:bCs/>
                      <w:kern w:val="0"/>
                      <w:szCs w:val="21"/>
                      <w:u w:val="single"/>
                    </w:rPr>
                  </w:pPr>
                  <w:r>
                    <w:rPr>
                      <w:b/>
                      <w:bCs/>
                      <w:kern w:val="0"/>
                      <w:szCs w:val="21"/>
                      <w:u w:val="single"/>
                    </w:rPr>
                    <w:t>4.3.1报废农业机械拆解作业场地应有独立的拆解区、产品及拆解后物料储存区、固体废物或危险废物料储存控制区等各功能区，各功能区场地面积应与拆解能力相匹配，场地总面积宜不低于2000m</w:t>
                  </w:r>
                  <w:r>
                    <w:rPr>
                      <w:b/>
                      <w:bCs/>
                      <w:kern w:val="0"/>
                      <w:szCs w:val="21"/>
                      <w:u w:val="single"/>
                      <w:vertAlign w:val="superscript"/>
                    </w:rPr>
                    <w:t>2</w:t>
                  </w:r>
                  <w:r>
                    <w:rPr>
                      <w:b/>
                      <w:bCs/>
                      <w:kern w:val="0"/>
                      <w:szCs w:val="21"/>
                      <w:u w:val="single"/>
                    </w:rPr>
                    <w:t>，作业场地（包括拆解和储存场地）面积不低于场地总面积的70%。报废农机回收拆解企业应通过环境影响评价，选址合理。</w:t>
                  </w:r>
                </w:p>
              </w:tc>
              <w:tc>
                <w:tcPr>
                  <w:tcW w:w="2839" w:type="dxa"/>
                  <w:vAlign w:val="center"/>
                </w:tcPr>
                <w:p w14:paraId="780776CA">
                  <w:pPr>
                    <w:autoSpaceDE w:val="0"/>
                    <w:autoSpaceDN w:val="0"/>
                    <w:adjustRightInd w:val="0"/>
                    <w:snapToGrid w:val="0"/>
                    <w:rPr>
                      <w:b/>
                      <w:bCs/>
                      <w:kern w:val="0"/>
                      <w:szCs w:val="21"/>
                      <w:u w:val="single"/>
                    </w:rPr>
                  </w:pPr>
                  <w:r>
                    <w:rPr>
                      <w:b/>
                      <w:bCs/>
                      <w:kern w:val="0"/>
                      <w:szCs w:val="21"/>
                      <w:u w:val="single"/>
                    </w:rPr>
                    <w:t>本项目设置有独立的拆解区、产品及拆解后物料储存区，包括预拆解区、切割区、拆解暂存区（包括金属类废物暂存区、非金属类废物暂存区）、一般固废暂存间和危废暂存间，各区域的面积与拆解能力匹配。厂区总面积为2860m</w:t>
                  </w:r>
                  <w:r>
                    <w:rPr>
                      <w:b/>
                      <w:bCs/>
                      <w:kern w:val="0"/>
                      <w:szCs w:val="21"/>
                      <w:u w:val="single"/>
                      <w:vertAlign w:val="superscript"/>
                    </w:rPr>
                    <w:t>2</w:t>
                  </w:r>
                  <w:r>
                    <w:rPr>
                      <w:b/>
                      <w:bCs/>
                      <w:kern w:val="0"/>
                      <w:szCs w:val="21"/>
                      <w:u w:val="single"/>
                    </w:rPr>
                    <w:t>，拆解车间和储存场地占地2050m</w:t>
                  </w:r>
                  <w:r>
                    <w:rPr>
                      <w:b/>
                      <w:bCs/>
                      <w:kern w:val="0"/>
                      <w:szCs w:val="21"/>
                      <w:u w:val="single"/>
                      <w:vertAlign w:val="superscript"/>
                    </w:rPr>
                    <w:t>2</w:t>
                  </w:r>
                  <w:r>
                    <w:rPr>
                      <w:b/>
                      <w:bCs/>
                      <w:kern w:val="0"/>
                      <w:szCs w:val="21"/>
                      <w:u w:val="single"/>
                    </w:rPr>
                    <w:t>，</w:t>
                  </w:r>
                  <w:r>
                    <w:rPr>
                      <w:rFonts w:hint="eastAsia"/>
                      <w:b/>
                      <w:bCs/>
                      <w:u w:val="single"/>
                    </w:rPr>
                    <w:t>占</w:t>
                  </w:r>
                  <w:r>
                    <w:rPr>
                      <w:b/>
                      <w:bCs/>
                      <w:u w:val="single"/>
                    </w:rPr>
                    <w:t>场地总面积的71.6%</w:t>
                  </w:r>
                  <w:r>
                    <w:rPr>
                      <w:b/>
                      <w:bCs/>
                      <w:kern w:val="0"/>
                      <w:szCs w:val="21"/>
                      <w:u w:val="single"/>
                    </w:rPr>
                    <w:t>。</w:t>
                  </w:r>
                  <w:r>
                    <w:rPr>
                      <w:rFonts w:hint="eastAsia"/>
                      <w:b/>
                      <w:bCs/>
                      <w:kern w:val="0"/>
                      <w:szCs w:val="21"/>
                      <w:u w:val="single"/>
                    </w:rPr>
                    <w:t>目前该项目正在开展环境影响评价工作，选址合理可行。</w:t>
                  </w:r>
                </w:p>
              </w:tc>
              <w:tc>
                <w:tcPr>
                  <w:tcW w:w="674" w:type="dxa"/>
                  <w:vAlign w:val="center"/>
                </w:tcPr>
                <w:p w14:paraId="51652E86">
                  <w:pPr>
                    <w:autoSpaceDE w:val="0"/>
                    <w:autoSpaceDN w:val="0"/>
                    <w:adjustRightInd w:val="0"/>
                    <w:snapToGrid w:val="0"/>
                    <w:jc w:val="center"/>
                    <w:rPr>
                      <w:kern w:val="0"/>
                      <w:szCs w:val="21"/>
                    </w:rPr>
                  </w:pPr>
                  <w:r>
                    <w:rPr>
                      <w:kern w:val="0"/>
                      <w:szCs w:val="21"/>
                    </w:rPr>
                    <w:t>相符</w:t>
                  </w:r>
                </w:p>
              </w:tc>
            </w:tr>
            <w:tr w14:paraId="4AC7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48987F8E">
                  <w:pPr>
                    <w:widowControl/>
                    <w:jc w:val="center"/>
                    <w:rPr>
                      <w:kern w:val="0"/>
                      <w:sz w:val="18"/>
                      <w:szCs w:val="18"/>
                    </w:rPr>
                  </w:pPr>
                  <w:r>
                    <w:rPr>
                      <w:kern w:val="0"/>
                      <w:sz w:val="18"/>
                      <w:szCs w:val="18"/>
                    </w:rPr>
                    <w:t>P4</w:t>
                  </w:r>
                </w:p>
              </w:tc>
              <w:tc>
                <w:tcPr>
                  <w:tcW w:w="4042" w:type="dxa"/>
                  <w:vAlign w:val="center"/>
                </w:tcPr>
                <w:p w14:paraId="1D624507">
                  <w:pPr>
                    <w:autoSpaceDE w:val="0"/>
                    <w:autoSpaceDN w:val="0"/>
                    <w:adjustRightInd w:val="0"/>
                    <w:snapToGrid w:val="0"/>
                    <w:jc w:val="center"/>
                    <w:rPr>
                      <w:b/>
                      <w:bCs/>
                      <w:kern w:val="0"/>
                      <w:szCs w:val="21"/>
                      <w:u w:val="single"/>
                    </w:rPr>
                  </w:pPr>
                  <w:r>
                    <w:rPr>
                      <w:b/>
                      <w:bCs/>
                      <w:kern w:val="0"/>
                      <w:szCs w:val="21"/>
                      <w:u w:val="single"/>
                    </w:rPr>
                    <w:t>4.3.2拆解区、产品及拆解后物料储存区、固体废物或危险废物储存控制区功能设计符合拆解能力，具有防风、防雨和防雷功能，并满足GB18599规定的要求。固体废物储存场地应具有满足GB18599要求的工业固废储存设施和满足GB18597要求的危险废物储存设施。</w:t>
                  </w:r>
                </w:p>
              </w:tc>
              <w:tc>
                <w:tcPr>
                  <w:tcW w:w="2839" w:type="dxa"/>
                  <w:vAlign w:val="center"/>
                </w:tcPr>
                <w:p w14:paraId="5DFEDA3C">
                  <w:pPr>
                    <w:autoSpaceDE w:val="0"/>
                    <w:autoSpaceDN w:val="0"/>
                    <w:adjustRightInd w:val="0"/>
                    <w:snapToGrid w:val="0"/>
                    <w:rPr>
                      <w:b/>
                      <w:bCs/>
                      <w:kern w:val="0"/>
                      <w:szCs w:val="21"/>
                      <w:u w:val="single"/>
                    </w:rPr>
                  </w:pPr>
                  <w:r>
                    <w:rPr>
                      <w:b/>
                      <w:bCs/>
                      <w:kern w:val="0"/>
                      <w:szCs w:val="21"/>
                      <w:u w:val="single"/>
                    </w:rPr>
                    <w:t>本项目预拆解区、拆解物暂存区区、固体废物或危险废物暂存区功能设计符合拆解能力，具有防风、防雨和防雷功能，并满足《一般工业固体废物贮存和填埋污染控制标准》（GB18599-2020）规定的要求，金属类废物暂存区、非金属类废物暂存区按照GB18599要求建设，危废暂存间按照GB18597要求建设。</w:t>
                  </w:r>
                </w:p>
              </w:tc>
              <w:tc>
                <w:tcPr>
                  <w:tcW w:w="674" w:type="dxa"/>
                  <w:vAlign w:val="center"/>
                </w:tcPr>
                <w:p w14:paraId="15070E96">
                  <w:pPr>
                    <w:autoSpaceDE w:val="0"/>
                    <w:autoSpaceDN w:val="0"/>
                    <w:adjustRightInd w:val="0"/>
                    <w:snapToGrid w:val="0"/>
                    <w:jc w:val="center"/>
                    <w:rPr>
                      <w:kern w:val="0"/>
                      <w:szCs w:val="21"/>
                    </w:rPr>
                  </w:pPr>
                  <w:r>
                    <w:rPr>
                      <w:kern w:val="0"/>
                      <w:szCs w:val="21"/>
                    </w:rPr>
                    <w:t>相符</w:t>
                  </w:r>
                </w:p>
              </w:tc>
            </w:tr>
            <w:tr w14:paraId="125F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583CC1A3">
                  <w:pPr>
                    <w:widowControl/>
                    <w:jc w:val="center"/>
                    <w:rPr>
                      <w:kern w:val="0"/>
                      <w:sz w:val="18"/>
                      <w:szCs w:val="18"/>
                    </w:rPr>
                  </w:pPr>
                </w:p>
              </w:tc>
              <w:tc>
                <w:tcPr>
                  <w:tcW w:w="4042" w:type="dxa"/>
                  <w:vAlign w:val="center"/>
                </w:tcPr>
                <w:p w14:paraId="2DDD712B">
                  <w:pPr>
                    <w:autoSpaceDE w:val="0"/>
                    <w:autoSpaceDN w:val="0"/>
                    <w:adjustRightInd w:val="0"/>
                    <w:snapToGrid w:val="0"/>
                    <w:jc w:val="center"/>
                    <w:rPr>
                      <w:kern w:val="0"/>
                      <w:szCs w:val="21"/>
                    </w:rPr>
                  </w:pPr>
                  <w:r>
                    <w:rPr>
                      <w:kern w:val="0"/>
                      <w:szCs w:val="21"/>
                    </w:rPr>
                    <w:t>4.3.3拆解车间应为封闭或半封闭车间，通风、光线良好，地面硬化且防渗漏，安全防范设施齐全；存储场地（包括临时存储）的地面应硬化并防渗漏。所有场所应满足GB50037规定的防渗漏要求。</w:t>
                  </w:r>
                </w:p>
              </w:tc>
              <w:tc>
                <w:tcPr>
                  <w:tcW w:w="2839" w:type="dxa"/>
                  <w:vAlign w:val="center"/>
                </w:tcPr>
                <w:p w14:paraId="234B4821">
                  <w:pPr>
                    <w:autoSpaceDE w:val="0"/>
                    <w:autoSpaceDN w:val="0"/>
                    <w:adjustRightInd w:val="0"/>
                    <w:snapToGrid w:val="0"/>
                    <w:rPr>
                      <w:kern w:val="0"/>
                      <w:szCs w:val="21"/>
                    </w:rPr>
                  </w:pPr>
                  <w:r>
                    <w:rPr>
                      <w:kern w:val="0"/>
                      <w:szCs w:val="21"/>
                    </w:rPr>
                    <w:t>本项目拆解车间为全封闭车间，通风、光线良好，地面硬化且防渗漏，安全防范设施齐全；各区域均将按照分区防渗的要求，进行防渗工作，满足《建筑地面设计规范》（GB50037）规定的防渗漏要求。</w:t>
                  </w:r>
                </w:p>
              </w:tc>
              <w:tc>
                <w:tcPr>
                  <w:tcW w:w="674" w:type="dxa"/>
                  <w:vAlign w:val="center"/>
                </w:tcPr>
                <w:p w14:paraId="1A1AD4BC">
                  <w:pPr>
                    <w:autoSpaceDE w:val="0"/>
                    <w:autoSpaceDN w:val="0"/>
                    <w:adjustRightInd w:val="0"/>
                    <w:snapToGrid w:val="0"/>
                    <w:jc w:val="center"/>
                    <w:rPr>
                      <w:kern w:val="0"/>
                      <w:szCs w:val="21"/>
                    </w:rPr>
                  </w:pPr>
                  <w:r>
                    <w:rPr>
                      <w:kern w:val="0"/>
                      <w:szCs w:val="21"/>
                    </w:rPr>
                    <w:t>相符</w:t>
                  </w:r>
                </w:p>
              </w:tc>
            </w:tr>
            <w:tr w14:paraId="3511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0607D9B5">
                  <w:pPr>
                    <w:autoSpaceDE w:val="0"/>
                    <w:autoSpaceDN w:val="0"/>
                    <w:adjustRightInd w:val="0"/>
                    <w:snapToGrid w:val="0"/>
                    <w:jc w:val="center"/>
                    <w:rPr>
                      <w:kern w:val="0"/>
                      <w:szCs w:val="21"/>
                    </w:rPr>
                  </w:pPr>
                </w:p>
              </w:tc>
              <w:tc>
                <w:tcPr>
                  <w:tcW w:w="4042" w:type="dxa"/>
                  <w:vAlign w:val="center"/>
                </w:tcPr>
                <w:p w14:paraId="76379A97">
                  <w:pPr>
                    <w:autoSpaceDE w:val="0"/>
                    <w:autoSpaceDN w:val="0"/>
                    <w:adjustRightInd w:val="0"/>
                    <w:snapToGrid w:val="0"/>
                    <w:jc w:val="center"/>
                    <w:rPr>
                      <w:b/>
                      <w:bCs/>
                      <w:kern w:val="0"/>
                      <w:szCs w:val="21"/>
                      <w:u w:val="single"/>
                    </w:rPr>
                  </w:pPr>
                  <w:r>
                    <w:rPr>
                      <w:b/>
                      <w:bCs/>
                      <w:kern w:val="0"/>
                      <w:szCs w:val="21"/>
                      <w:u w:val="single"/>
                    </w:rPr>
                    <w:t>4.3.4场地建设应包含有害气体、易燃气体处置场所，且工艺符合HJ348的相关规定。应对污水进行无害处理，污水、清水做好分流，符合HJ348的相关规定：拆解车间消防设施齐全，应有足够的安全通道、紧急照明及疏散标识。</w:t>
                  </w:r>
                </w:p>
              </w:tc>
              <w:tc>
                <w:tcPr>
                  <w:tcW w:w="2839" w:type="dxa"/>
                  <w:vAlign w:val="center"/>
                </w:tcPr>
                <w:p w14:paraId="4E3288A4">
                  <w:pPr>
                    <w:autoSpaceDE w:val="0"/>
                    <w:autoSpaceDN w:val="0"/>
                    <w:adjustRightInd w:val="0"/>
                    <w:snapToGrid w:val="0"/>
                    <w:rPr>
                      <w:b/>
                      <w:bCs/>
                      <w:kern w:val="0"/>
                      <w:szCs w:val="21"/>
                      <w:u w:val="single"/>
                    </w:rPr>
                  </w:pPr>
                  <w:r>
                    <w:rPr>
                      <w:b/>
                      <w:bCs/>
                      <w:kern w:val="0"/>
                      <w:szCs w:val="21"/>
                      <w:u w:val="single"/>
                    </w:rPr>
                    <w:t>本项目有机废气采用</w:t>
                  </w:r>
                  <w:r>
                    <w:rPr>
                      <w:rFonts w:hint="eastAsia"/>
                      <w:b/>
                      <w:bCs/>
                      <w:kern w:val="0"/>
                      <w:szCs w:val="21"/>
                      <w:u w:val="single"/>
                    </w:rPr>
                    <w:t>两级</w:t>
                  </w:r>
                  <w:r>
                    <w:rPr>
                      <w:b/>
                      <w:bCs/>
                      <w:kern w:val="0"/>
                      <w:szCs w:val="21"/>
                      <w:u w:val="single"/>
                    </w:rPr>
                    <w:t>活性炭吸附装置处理，</w:t>
                  </w:r>
                  <w:r>
                    <w:rPr>
                      <w:rFonts w:hint="eastAsia"/>
                      <w:b/>
                      <w:bCs/>
                      <w:kern w:val="0"/>
                      <w:szCs w:val="21"/>
                      <w:u w:val="single"/>
                    </w:rPr>
                    <w:t>切割废气</w:t>
                  </w:r>
                  <w:r>
                    <w:rPr>
                      <w:b/>
                      <w:bCs/>
                      <w:kern w:val="0"/>
                      <w:szCs w:val="21"/>
                      <w:u w:val="single"/>
                    </w:rPr>
                    <w:t>采用覆膜袋式除尘器处理，废气经处理后符合《报废机动车拆解企业污染控制技术规范》（HJ348-2022）、《大气污染物综合排放标准》（GB16297-1996）和《挥发性有机物无组织排放控制标准》（GB37822-2019）相关要求。项目无生产废水产生，生活污水经化粪池暂存后，定期清掏，外运肥田。拆解车间设置有齐全的消防设施及安全通道、紧急照明及疏散标识等。</w:t>
                  </w:r>
                </w:p>
              </w:tc>
              <w:tc>
                <w:tcPr>
                  <w:tcW w:w="674" w:type="dxa"/>
                  <w:vAlign w:val="center"/>
                </w:tcPr>
                <w:p w14:paraId="03B0EA1A">
                  <w:pPr>
                    <w:autoSpaceDE w:val="0"/>
                    <w:autoSpaceDN w:val="0"/>
                    <w:adjustRightInd w:val="0"/>
                    <w:snapToGrid w:val="0"/>
                    <w:jc w:val="center"/>
                    <w:rPr>
                      <w:kern w:val="0"/>
                      <w:szCs w:val="21"/>
                    </w:rPr>
                  </w:pPr>
                  <w:r>
                    <w:rPr>
                      <w:kern w:val="0"/>
                      <w:szCs w:val="21"/>
                    </w:rPr>
                    <w:t>相符</w:t>
                  </w:r>
                </w:p>
              </w:tc>
            </w:tr>
            <w:tr w14:paraId="0C74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7EFB46B4">
                  <w:pPr>
                    <w:autoSpaceDE w:val="0"/>
                    <w:autoSpaceDN w:val="0"/>
                    <w:adjustRightInd w:val="0"/>
                    <w:snapToGrid w:val="0"/>
                    <w:jc w:val="center"/>
                    <w:rPr>
                      <w:kern w:val="0"/>
                      <w:szCs w:val="21"/>
                    </w:rPr>
                  </w:pPr>
                  <w:r>
                    <w:rPr>
                      <w:kern w:val="0"/>
                      <w:szCs w:val="21"/>
                    </w:rPr>
                    <w:t>设施设备要求</w:t>
                  </w:r>
                </w:p>
              </w:tc>
              <w:tc>
                <w:tcPr>
                  <w:tcW w:w="4042" w:type="dxa"/>
                  <w:vAlign w:val="center"/>
                </w:tcPr>
                <w:p w14:paraId="08D476A8">
                  <w:pPr>
                    <w:autoSpaceDE w:val="0"/>
                    <w:autoSpaceDN w:val="0"/>
                    <w:adjustRightInd w:val="0"/>
                    <w:snapToGrid w:val="0"/>
                    <w:jc w:val="center"/>
                    <w:rPr>
                      <w:kern w:val="0"/>
                      <w:szCs w:val="21"/>
                    </w:rPr>
                  </w:pPr>
                  <w:r>
                    <w:rPr>
                      <w:kern w:val="0"/>
                      <w:szCs w:val="21"/>
                    </w:rPr>
                    <w:t>4.4.1 报废农业机械拆解企业宜配备达标的设备，包括但不限于农业机械拆解线、称重设备、重运输设备、剪断设备、专用容器等。在排空易燃易爆及有毒有害液体、气体物品时，应使用专用处理设备，且工作环境安全可靠，防爆等级符合标准要求。危险拆解工位增加智能化工艺装备，实现无人自动拆解。</w:t>
                  </w:r>
                </w:p>
              </w:tc>
              <w:tc>
                <w:tcPr>
                  <w:tcW w:w="2839" w:type="dxa"/>
                  <w:vAlign w:val="center"/>
                </w:tcPr>
                <w:p w14:paraId="59D8C9E5">
                  <w:pPr>
                    <w:autoSpaceDE w:val="0"/>
                    <w:autoSpaceDN w:val="0"/>
                    <w:adjustRightInd w:val="0"/>
                    <w:snapToGrid w:val="0"/>
                    <w:jc w:val="center"/>
                    <w:rPr>
                      <w:kern w:val="0"/>
                      <w:szCs w:val="21"/>
                    </w:rPr>
                  </w:pPr>
                  <w:r>
                    <w:rPr>
                      <w:kern w:val="0"/>
                      <w:szCs w:val="21"/>
                    </w:rPr>
                    <w:t>本项目配备叉车、铲车、地磅、机械钳等所需设备。在</w:t>
                  </w:r>
                  <w:r>
                    <w:rPr>
                      <w:rFonts w:hint="eastAsia"/>
                      <w:kern w:val="0"/>
                      <w:szCs w:val="21"/>
                    </w:rPr>
                    <w:t>抽</w:t>
                  </w:r>
                  <w:r>
                    <w:rPr>
                      <w:kern w:val="0"/>
                      <w:szCs w:val="21"/>
                    </w:rPr>
                    <w:t>空废机油等易燃液体时配置抽油设备，建设全封闭车间，满足工作环境安全可靠，防爆等级符合标准等要求。本项目不涉及危险拆解工位。</w:t>
                  </w:r>
                </w:p>
              </w:tc>
              <w:tc>
                <w:tcPr>
                  <w:tcW w:w="674" w:type="dxa"/>
                  <w:vAlign w:val="center"/>
                </w:tcPr>
                <w:p w14:paraId="6CC63F3D">
                  <w:pPr>
                    <w:autoSpaceDE w:val="0"/>
                    <w:autoSpaceDN w:val="0"/>
                    <w:adjustRightInd w:val="0"/>
                    <w:snapToGrid w:val="0"/>
                    <w:jc w:val="center"/>
                    <w:rPr>
                      <w:kern w:val="0"/>
                      <w:szCs w:val="21"/>
                    </w:rPr>
                  </w:pPr>
                  <w:r>
                    <w:rPr>
                      <w:kern w:val="0"/>
                      <w:szCs w:val="21"/>
                    </w:rPr>
                    <w:t>相符</w:t>
                  </w:r>
                </w:p>
              </w:tc>
            </w:tr>
            <w:tr w14:paraId="4671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7EB42308">
                  <w:pPr>
                    <w:autoSpaceDE w:val="0"/>
                    <w:autoSpaceDN w:val="0"/>
                    <w:adjustRightInd w:val="0"/>
                    <w:snapToGrid w:val="0"/>
                    <w:jc w:val="center"/>
                    <w:rPr>
                      <w:kern w:val="0"/>
                      <w:szCs w:val="21"/>
                    </w:rPr>
                  </w:pPr>
                </w:p>
              </w:tc>
              <w:tc>
                <w:tcPr>
                  <w:tcW w:w="4042" w:type="dxa"/>
                  <w:vAlign w:val="center"/>
                </w:tcPr>
                <w:p w14:paraId="5FB0E4C9">
                  <w:pPr>
                    <w:autoSpaceDE w:val="0"/>
                    <w:autoSpaceDN w:val="0"/>
                    <w:adjustRightInd w:val="0"/>
                    <w:snapToGrid w:val="0"/>
                    <w:jc w:val="center"/>
                    <w:rPr>
                      <w:b/>
                      <w:bCs/>
                      <w:kern w:val="0"/>
                      <w:szCs w:val="21"/>
                      <w:u w:val="single"/>
                    </w:rPr>
                  </w:pPr>
                  <w:r>
                    <w:rPr>
                      <w:b/>
                      <w:bCs/>
                      <w:kern w:val="0"/>
                      <w:szCs w:val="21"/>
                      <w:u w:val="single"/>
                    </w:rPr>
                    <w:t>4.4.2 应具备环保设备，包括不限于专用废液收集容器、油水分离器、专用制冷液收集容器、蓄电池/锂电池/氢燃料电池等专用收集容器。</w:t>
                  </w:r>
                </w:p>
              </w:tc>
              <w:tc>
                <w:tcPr>
                  <w:tcW w:w="2839" w:type="dxa"/>
                  <w:vAlign w:val="center"/>
                </w:tcPr>
                <w:p w14:paraId="2045EF07">
                  <w:pPr>
                    <w:autoSpaceDE w:val="0"/>
                    <w:autoSpaceDN w:val="0"/>
                    <w:adjustRightInd w:val="0"/>
                    <w:snapToGrid w:val="0"/>
                    <w:jc w:val="center"/>
                    <w:rPr>
                      <w:b/>
                      <w:bCs/>
                      <w:kern w:val="0"/>
                      <w:szCs w:val="21"/>
                      <w:u w:val="single"/>
                    </w:rPr>
                  </w:pPr>
                  <w:r>
                    <w:rPr>
                      <w:rFonts w:hint="eastAsia" w:cs="宋体"/>
                      <w:b/>
                      <w:bCs/>
                      <w:kern w:val="0"/>
                      <w:szCs w:val="21"/>
                      <w:u w:val="single"/>
                    </w:rPr>
                    <w:t>本项目初期雨水收集池设置油水分离器，设置废油液、废铅酸蓄电池专用收集容器；项目废铅酸蓄电池仅进行拆除，不涉及废铅酸蓄电池进一步拆解。</w:t>
                  </w:r>
                </w:p>
              </w:tc>
              <w:tc>
                <w:tcPr>
                  <w:tcW w:w="674" w:type="dxa"/>
                  <w:vAlign w:val="center"/>
                </w:tcPr>
                <w:p w14:paraId="35EFAA9F">
                  <w:pPr>
                    <w:autoSpaceDE w:val="0"/>
                    <w:autoSpaceDN w:val="0"/>
                    <w:adjustRightInd w:val="0"/>
                    <w:snapToGrid w:val="0"/>
                    <w:jc w:val="center"/>
                    <w:rPr>
                      <w:b/>
                      <w:bCs/>
                      <w:kern w:val="0"/>
                      <w:szCs w:val="21"/>
                      <w:u w:val="single"/>
                    </w:rPr>
                  </w:pPr>
                  <w:r>
                    <w:rPr>
                      <w:b/>
                      <w:bCs/>
                      <w:kern w:val="0"/>
                      <w:szCs w:val="21"/>
                      <w:u w:val="single"/>
                    </w:rPr>
                    <w:t>相符</w:t>
                  </w:r>
                </w:p>
              </w:tc>
            </w:tr>
            <w:tr w14:paraId="67CD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08D8F85D">
                  <w:pPr>
                    <w:autoSpaceDE w:val="0"/>
                    <w:autoSpaceDN w:val="0"/>
                    <w:adjustRightInd w:val="0"/>
                    <w:snapToGrid w:val="0"/>
                    <w:jc w:val="center"/>
                    <w:rPr>
                      <w:kern w:val="0"/>
                      <w:szCs w:val="21"/>
                    </w:rPr>
                  </w:pPr>
                </w:p>
              </w:tc>
              <w:tc>
                <w:tcPr>
                  <w:tcW w:w="4042" w:type="dxa"/>
                  <w:vAlign w:val="center"/>
                </w:tcPr>
                <w:p w14:paraId="06BCB293">
                  <w:pPr>
                    <w:autoSpaceDE w:val="0"/>
                    <w:autoSpaceDN w:val="0"/>
                    <w:adjustRightInd w:val="0"/>
                    <w:snapToGrid w:val="0"/>
                    <w:jc w:val="center"/>
                    <w:rPr>
                      <w:kern w:val="0"/>
                      <w:szCs w:val="21"/>
                    </w:rPr>
                  </w:pPr>
                  <w:r>
                    <w:rPr>
                      <w:kern w:val="0"/>
                      <w:szCs w:val="21"/>
                    </w:rPr>
                    <w:t>4.4.3 应具备电脑、拍照设备和设备。</w:t>
                  </w:r>
                </w:p>
              </w:tc>
              <w:tc>
                <w:tcPr>
                  <w:tcW w:w="2839" w:type="dxa"/>
                  <w:vAlign w:val="center"/>
                </w:tcPr>
                <w:p w14:paraId="101B5A04">
                  <w:pPr>
                    <w:autoSpaceDE w:val="0"/>
                    <w:autoSpaceDN w:val="0"/>
                    <w:adjustRightInd w:val="0"/>
                    <w:snapToGrid w:val="0"/>
                    <w:jc w:val="center"/>
                    <w:rPr>
                      <w:kern w:val="0"/>
                      <w:szCs w:val="21"/>
                    </w:rPr>
                  </w:pPr>
                  <w:r>
                    <w:rPr>
                      <w:kern w:val="0"/>
                      <w:szCs w:val="21"/>
                    </w:rPr>
                    <w:t>本项目设置了一套监控设备和两台电脑。</w:t>
                  </w:r>
                </w:p>
              </w:tc>
              <w:tc>
                <w:tcPr>
                  <w:tcW w:w="674" w:type="dxa"/>
                  <w:vAlign w:val="center"/>
                </w:tcPr>
                <w:p w14:paraId="0459102B">
                  <w:pPr>
                    <w:autoSpaceDE w:val="0"/>
                    <w:autoSpaceDN w:val="0"/>
                    <w:adjustRightInd w:val="0"/>
                    <w:snapToGrid w:val="0"/>
                    <w:jc w:val="center"/>
                    <w:rPr>
                      <w:kern w:val="0"/>
                      <w:szCs w:val="21"/>
                    </w:rPr>
                  </w:pPr>
                  <w:r>
                    <w:rPr>
                      <w:kern w:val="0"/>
                      <w:szCs w:val="21"/>
                    </w:rPr>
                    <w:t>相符</w:t>
                  </w:r>
                </w:p>
              </w:tc>
            </w:tr>
            <w:tr w14:paraId="15EF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60BF8E98">
                  <w:pPr>
                    <w:autoSpaceDE w:val="0"/>
                    <w:autoSpaceDN w:val="0"/>
                    <w:adjustRightInd w:val="0"/>
                    <w:snapToGrid w:val="0"/>
                    <w:jc w:val="center"/>
                    <w:rPr>
                      <w:kern w:val="0"/>
                      <w:szCs w:val="21"/>
                    </w:rPr>
                  </w:pPr>
                  <w:r>
                    <w:rPr>
                      <w:kern w:val="0"/>
                      <w:szCs w:val="21"/>
                    </w:rPr>
                    <w:t>信息管理要求</w:t>
                  </w:r>
                </w:p>
              </w:tc>
              <w:tc>
                <w:tcPr>
                  <w:tcW w:w="4042" w:type="dxa"/>
                  <w:vAlign w:val="center"/>
                </w:tcPr>
                <w:p w14:paraId="2FCE34E3">
                  <w:pPr>
                    <w:autoSpaceDE w:val="0"/>
                    <w:autoSpaceDN w:val="0"/>
                    <w:adjustRightInd w:val="0"/>
                    <w:snapToGrid w:val="0"/>
                    <w:jc w:val="center"/>
                    <w:rPr>
                      <w:kern w:val="0"/>
                      <w:szCs w:val="21"/>
                    </w:rPr>
                  </w:pPr>
                  <w:r>
                    <w:rPr>
                      <w:kern w:val="0"/>
                      <w:szCs w:val="21"/>
                    </w:rPr>
                    <w:t>4.5.1 在报废农业机械拆解及主要总成解体销毁过程中，至少对回收确认、零部件拆解、对机体等零部件拆分或压扁破碎3个环节进行录像监控，应剪辑30s以上的重要时段视频资料进行存档，同时拍摄（或截图）机体解体销毁前、中、后的照片各1张，相关信息的保存期限不应少于5年。</w:t>
                  </w:r>
                </w:p>
              </w:tc>
              <w:tc>
                <w:tcPr>
                  <w:tcW w:w="2839" w:type="dxa"/>
                  <w:vAlign w:val="center"/>
                </w:tcPr>
                <w:p w14:paraId="14CFAFE0">
                  <w:pPr>
                    <w:autoSpaceDE w:val="0"/>
                    <w:autoSpaceDN w:val="0"/>
                    <w:adjustRightInd w:val="0"/>
                    <w:snapToGrid w:val="0"/>
                    <w:jc w:val="center"/>
                    <w:rPr>
                      <w:kern w:val="0"/>
                      <w:szCs w:val="21"/>
                    </w:rPr>
                  </w:pPr>
                  <w:r>
                    <w:rPr>
                      <w:kern w:val="0"/>
                      <w:szCs w:val="21"/>
                    </w:rPr>
                    <w:t>本项目设置了一套监控设备和两台电脑，对拆解区进行了全方位的录像监控，并存档备案，永久保存相关信息。</w:t>
                  </w:r>
                </w:p>
              </w:tc>
              <w:tc>
                <w:tcPr>
                  <w:tcW w:w="674" w:type="dxa"/>
                  <w:vAlign w:val="center"/>
                </w:tcPr>
                <w:p w14:paraId="7E9ADBD2">
                  <w:pPr>
                    <w:autoSpaceDE w:val="0"/>
                    <w:autoSpaceDN w:val="0"/>
                    <w:adjustRightInd w:val="0"/>
                    <w:snapToGrid w:val="0"/>
                    <w:jc w:val="center"/>
                    <w:rPr>
                      <w:kern w:val="0"/>
                      <w:szCs w:val="21"/>
                    </w:rPr>
                  </w:pPr>
                  <w:r>
                    <w:rPr>
                      <w:kern w:val="0"/>
                      <w:szCs w:val="21"/>
                    </w:rPr>
                    <w:t>相符</w:t>
                  </w:r>
                </w:p>
              </w:tc>
            </w:tr>
            <w:tr w14:paraId="3681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30FDE552">
                  <w:pPr>
                    <w:autoSpaceDE w:val="0"/>
                    <w:autoSpaceDN w:val="0"/>
                    <w:adjustRightInd w:val="0"/>
                    <w:snapToGrid w:val="0"/>
                    <w:jc w:val="center"/>
                    <w:rPr>
                      <w:kern w:val="0"/>
                      <w:szCs w:val="21"/>
                    </w:rPr>
                  </w:pPr>
                </w:p>
              </w:tc>
              <w:tc>
                <w:tcPr>
                  <w:tcW w:w="4042" w:type="dxa"/>
                  <w:vAlign w:val="center"/>
                </w:tcPr>
                <w:p w14:paraId="17533D7A">
                  <w:pPr>
                    <w:autoSpaceDE w:val="0"/>
                    <w:autoSpaceDN w:val="0"/>
                    <w:adjustRightInd w:val="0"/>
                    <w:snapToGrid w:val="0"/>
                    <w:jc w:val="center"/>
                    <w:rPr>
                      <w:kern w:val="0"/>
                      <w:szCs w:val="21"/>
                    </w:rPr>
                  </w:pPr>
                  <w:r>
                    <w:rPr>
                      <w:kern w:val="0"/>
                      <w:szCs w:val="21"/>
                    </w:rPr>
                    <w:t>4.5.2 拆解企业根据生产企业提供的产品说明书，产品图册编制拆解作业流程图，保证零部件和材料可再回收利用。拆解作业流程图应详细注明拆解流程，拆解方法，所需设备和工具，拆解后物料的搬运，储存，并做好标识；对于复杂产品或部件，需编制拆解作业指导书。</w:t>
                  </w:r>
                </w:p>
              </w:tc>
              <w:tc>
                <w:tcPr>
                  <w:tcW w:w="2839" w:type="dxa"/>
                  <w:vAlign w:val="center"/>
                </w:tcPr>
                <w:p w14:paraId="6F6A3E1F">
                  <w:pPr>
                    <w:autoSpaceDE w:val="0"/>
                    <w:autoSpaceDN w:val="0"/>
                    <w:adjustRightInd w:val="0"/>
                    <w:snapToGrid w:val="0"/>
                    <w:jc w:val="center"/>
                    <w:rPr>
                      <w:kern w:val="0"/>
                      <w:szCs w:val="21"/>
                    </w:rPr>
                  </w:pPr>
                  <w:r>
                    <w:rPr>
                      <w:kern w:val="0"/>
                      <w:szCs w:val="21"/>
                    </w:rPr>
                    <w:t>本项目在接收废旧农机后，将根据产品说明书，编制拆解流程，并严格按照拆解流程进行拆解。</w:t>
                  </w:r>
                </w:p>
              </w:tc>
              <w:tc>
                <w:tcPr>
                  <w:tcW w:w="674" w:type="dxa"/>
                  <w:vAlign w:val="center"/>
                </w:tcPr>
                <w:p w14:paraId="59DE0C11">
                  <w:pPr>
                    <w:autoSpaceDE w:val="0"/>
                    <w:autoSpaceDN w:val="0"/>
                    <w:adjustRightInd w:val="0"/>
                    <w:snapToGrid w:val="0"/>
                    <w:jc w:val="center"/>
                    <w:rPr>
                      <w:kern w:val="0"/>
                      <w:szCs w:val="21"/>
                    </w:rPr>
                  </w:pPr>
                  <w:r>
                    <w:rPr>
                      <w:kern w:val="0"/>
                      <w:szCs w:val="21"/>
                    </w:rPr>
                    <w:t>相符</w:t>
                  </w:r>
                </w:p>
              </w:tc>
            </w:tr>
            <w:tr w14:paraId="6BB2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2EE5381F">
                  <w:pPr>
                    <w:autoSpaceDE w:val="0"/>
                    <w:autoSpaceDN w:val="0"/>
                    <w:adjustRightInd w:val="0"/>
                    <w:snapToGrid w:val="0"/>
                    <w:jc w:val="center"/>
                    <w:rPr>
                      <w:kern w:val="0"/>
                      <w:szCs w:val="21"/>
                    </w:rPr>
                  </w:pPr>
                </w:p>
              </w:tc>
              <w:tc>
                <w:tcPr>
                  <w:tcW w:w="4042" w:type="dxa"/>
                  <w:vAlign w:val="center"/>
                </w:tcPr>
                <w:p w14:paraId="2AA6C7F8">
                  <w:pPr>
                    <w:autoSpaceDE w:val="0"/>
                    <w:autoSpaceDN w:val="0"/>
                    <w:adjustRightInd w:val="0"/>
                    <w:snapToGrid w:val="0"/>
                    <w:jc w:val="center"/>
                    <w:rPr>
                      <w:kern w:val="0"/>
                      <w:szCs w:val="21"/>
                    </w:rPr>
                  </w:pPr>
                  <w:r>
                    <w:rPr>
                      <w:kern w:val="0"/>
                      <w:szCs w:val="21"/>
                    </w:rPr>
                    <w:t>4.5.3 应建立报废农业机械回收拆解档案和数据库，对回收报废的农业机械逐台登记；记录农业机械和所有者信息，信息主要包括：机主（单位或个人）名称、证件号码、拍照号码（适用时），品牌型号、机架号、发动机号、出厂年份、接收或收购日期等：记录回收、拆解、废弃物处理及拆解后零部件、材料和废弃物的数量/重量和流向等，并做好标识，处理批次和拆解数量与重量应统一；纸质档案保存期限不应少于3年，备份的电子档案和数据库，保存期限不应少于5年。</w:t>
                  </w:r>
                </w:p>
              </w:tc>
              <w:tc>
                <w:tcPr>
                  <w:tcW w:w="2839" w:type="dxa"/>
                  <w:vAlign w:val="center"/>
                </w:tcPr>
                <w:p w14:paraId="5B522C3D">
                  <w:pPr>
                    <w:autoSpaceDE w:val="0"/>
                    <w:autoSpaceDN w:val="0"/>
                    <w:adjustRightInd w:val="0"/>
                    <w:snapToGrid w:val="0"/>
                    <w:jc w:val="center"/>
                    <w:rPr>
                      <w:kern w:val="0"/>
                      <w:szCs w:val="21"/>
                    </w:rPr>
                  </w:pPr>
                  <w:r>
                    <w:rPr>
                      <w:kern w:val="0"/>
                      <w:szCs w:val="21"/>
                    </w:rPr>
                    <w:t>本项目将严格按照要求，建立报废农业机械回收拆解档案和数据库，对回收报废的农业机械逐台登记，并永久性保存相关资料。</w:t>
                  </w:r>
                </w:p>
              </w:tc>
              <w:tc>
                <w:tcPr>
                  <w:tcW w:w="674" w:type="dxa"/>
                  <w:vAlign w:val="center"/>
                </w:tcPr>
                <w:p w14:paraId="7A78145F">
                  <w:pPr>
                    <w:autoSpaceDE w:val="0"/>
                    <w:autoSpaceDN w:val="0"/>
                    <w:adjustRightInd w:val="0"/>
                    <w:snapToGrid w:val="0"/>
                    <w:jc w:val="center"/>
                    <w:rPr>
                      <w:kern w:val="0"/>
                      <w:szCs w:val="21"/>
                    </w:rPr>
                  </w:pPr>
                  <w:r>
                    <w:rPr>
                      <w:kern w:val="0"/>
                      <w:szCs w:val="21"/>
                    </w:rPr>
                    <w:t>相符</w:t>
                  </w:r>
                </w:p>
              </w:tc>
            </w:tr>
            <w:tr w14:paraId="4BC0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0" w:hRule="atLeast"/>
                <w:jc w:val="center"/>
              </w:trPr>
              <w:tc>
                <w:tcPr>
                  <w:tcW w:w="596" w:type="dxa"/>
                  <w:vMerge w:val="restart"/>
                  <w:vAlign w:val="center"/>
                </w:tcPr>
                <w:p w14:paraId="386B708A">
                  <w:pPr>
                    <w:autoSpaceDE w:val="0"/>
                    <w:autoSpaceDN w:val="0"/>
                    <w:adjustRightInd w:val="0"/>
                    <w:snapToGrid w:val="0"/>
                    <w:jc w:val="center"/>
                    <w:rPr>
                      <w:kern w:val="0"/>
                      <w:szCs w:val="21"/>
                    </w:rPr>
                  </w:pPr>
                  <w:r>
                    <w:rPr>
                      <w:kern w:val="0"/>
                      <w:szCs w:val="21"/>
                    </w:rPr>
                    <w:t>安全要求</w:t>
                  </w:r>
                </w:p>
              </w:tc>
              <w:tc>
                <w:tcPr>
                  <w:tcW w:w="4042" w:type="dxa"/>
                  <w:vAlign w:val="center"/>
                </w:tcPr>
                <w:p w14:paraId="0CC924CB">
                  <w:pPr>
                    <w:autoSpaceDE w:val="0"/>
                    <w:autoSpaceDN w:val="0"/>
                    <w:adjustRightInd w:val="0"/>
                    <w:snapToGrid w:val="0"/>
                    <w:jc w:val="center"/>
                    <w:rPr>
                      <w:kern w:val="0"/>
                      <w:szCs w:val="21"/>
                    </w:rPr>
                  </w:pPr>
                  <w:r>
                    <w:rPr>
                      <w:kern w:val="0"/>
                      <w:szCs w:val="21"/>
                    </w:rPr>
                    <w:t>4.6.1 应符合GB/T33000的规定，具有安全管理制度，水电气等安全使用说明，安全生产规程，防火、防汛应急预案等。</w:t>
                  </w:r>
                </w:p>
              </w:tc>
              <w:tc>
                <w:tcPr>
                  <w:tcW w:w="2839" w:type="dxa"/>
                  <w:vAlign w:val="center"/>
                </w:tcPr>
                <w:p w14:paraId="1B953E3D">
                  <w:pPr>
                    <w:autoSpaceDE w:val="0"/>
                    <w:autoSpaceDN w:val="0"/>
                    <w:adjustRightInd w:val="0"/>
                    <w:snapToGrid w:val="0"/>
                    <w:jc w:val="center"/>
                    <w:rPr>
                      <w:kern w:val="0"/>
                      <w:szCs w:val="21"/>
                    </w:rPr>
                  </w:pPr>
                  <w:r>
                    <w:rPr>
                      <w:kern w:val="0"/>
                      <w:szCs w:val="21"/>
                    </w:rPr>
                    <w:t>按照GB/T33000的规定，制定安全管理制度，水电气等安全使用说明，安全生产规程，防火、防汛应急预案等。</w:t>
                  </w:r>
                </w:p>
              </w:tc>
              <w:tc>
                <w:tcPr>
                  <w:tcW w:w="674" w:type="dxa"/>
                  <w:vAlign w:val="center"/>
                </w:tcPr>
                <w:p w14:paraId="4781705E">
                  <w:pPr>
                    <w:autoSpaceDE w:val="0"/>
                    <w:autoSpaceDN w:val="0"/>
                    <w:adjustRightInd w:val="0"/>
                    <w:snapToGrid w:val="0"/>
                    <w:jc w:val="center"/>
                    <w:rPr>
                      <w:kern w:val="0"/>
                      <w:szCs w:val="21"/>
                    </w:rPr>
                  </w:pPr>
                  <w:r>
                    <w:rPr>
                      <w:kern w:val="0"/>
                      <w:szCs w:val="21"/>
                    </w:rPr>
                    <w:t>相符</w:t>
                  </w:r>
                </w:p>
              </w:tc>
            </w:tr>
            <w:tr w14:paraId="7F7C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38E8D185">
                  <w:pPr>
                    <w:autoSpaceDE w:val="0"/>
                    <w:autoSpaceDN w:val="0"/>
                    <w:adjustRightInd w:val="0"/>
                    <w:snapToGrid w:val="0"/>
                    <w:jc w:val="center"/>
                    <w:rPr>
                      <w:kern w:val="0"/>
                      <w:szCs w:val="21"/>
                    </w:rPr>
                  </w:pPr>
                </w:p>
              </w:tc>
              <w:tc>
                <w:tcPr>
                  <w:tcW w:w="4042" w:type="dxa"/>
                  <w:vAlign w:val="center"/>
                </w:tcPr>
                <w:p w14:paraId="56BABA79">
                  <w:pPr>
                    <w:autoSpaceDE w:val="0"/>
                    <w:autoSpaceDN w:val="0"/>
                    <w:adjustRightInd w:val="0"/>
                    <w:snapToGrid w:val="0"/>
                    <w:jc w:val="center"/>
                    <w:rPr>
                      <w:kern w:val="0"/>
                      <w:szCs w:val="21"/>
                    </w:rPr>
                  </w:pPr>
                  <w:r>
                    <w:rPr>
                      <w:kern w:val="0"/>
                      <w:szCs w:val="21"/>
                    </w:rPr>
                    <w:t>4.6.2 拆解场地内应设置安全标志，安全标志应符合GB2894的规定。</w:t>
                  </w:r>
                </w:p>
              </w:tc>
              <w:tc>
                <w:tcPr>
                  <w:tcW w:w="2839" w:type="dxa"/>
                  <w:vAlign w:val="center"/>
                </w:tcPr>
                <w:p w14:paraId="5490A805">
                  <w:pPr>
                    <w:autoSpaceDE w:val="0"/>
                    <w:autoSpaceDN w:val="0"/>
                    <w:adjustRightInd w:val="0"/>
                    <w:snapToGrid w:val="0"/>
                    <w:jc w:val="center"/>
                    <w:rPr>
                      <w:kern w:val="0"/>
                      <w:szCs w:val="21"/>
                    </w:rPr>
                  </w:pPr>
                  <w:r>
                    <w:rPr>
                      <w:kern w:val="0"/>
                      <w:szCs w:val="21"/>
                    </w:rPr>
                    <w:t>拆解场地设置符合GB2894规定的安全标志。</w:t>
                  </w:r>
                </w:p>
              </w:tc>
              <w:tc>
                <w:tcPr>
                  <w:tcW w:w="674" w:type="dxa"/>
                  <w:vAlign w:val="center"/>
                </w:tcPr>
                <w:p w14:paraId="4C8AAF84">
                  <w:pPr>
                    <w:autoSpaceDE w:val="0"/>
                    <w:autoSpaceDN w:val="0"/>
                    <w:adjustRightInd w:val="0"/>
                    <w:snapToGrid w:val="0"/>
                    <w:jc w:val="center"/>
                    <w:rPr>
                      <w:kern w:val="0"/>
                      <w:szCs w:val="21"/>
                    </w:rPr>
                  </w:pPr>
                  <w:r>
                    <w:rPr>
                      <w:kern w:val="0"/>
                      <w:szCs w:val="21"/>
                    </w:rPr>
                    <w:t>相符</w:t>
                  </w:r>
                </w:p>
              </w:tc>
            </w:tr>
            <w:tr w14:paraId="1D94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5D41078D">
                  <w:pPr>
                    <w:autoSpaceDE w:val="0"/>
                    <w:autoSpaceDN w:val="0"/>
                    <w:adjustRightInd w:val="0"/>
                    <w:snapToGrid w:val="0"/>
                    <w:jc w:val="center"/>
                    <w:rPr>
                      <w:kern w:val="0"/>
                      <w:szCs w:val="21"/>
                    </w:rPr>
                  </w:pPr>
                  <w:r>
                    <w:rPr>
                      <w:kern w:val="0"/>
                      <w:szCs w:val="21"/>
                    </w:rPr>
                    <w:t>环保要求</w:t>
                  </w:r>
                </w:p>
              </w:tc>
              <w:tc>
                <w:tcPr>
                  <w:tcW w:w="4042" w:type="dxa"/>
                  <w:vAlign w:val="center"/>
                </w:tcPr>
                <w:p w14:paraId="22CB998C">
                  <w:pPr>
                    <w:autoSpaceDE w:val="0"/>
                    <w:autoSpaceDN w:val="0"/>
                    <w:adjustRightInd w:val="0"/>
                    <w:snapToGrid w:val="0"/>
                    <w:jc w:val="center"/>
                    <w:rPr>
                      <w:kern w:val="0"/>
                      <w:szCs w:val="21"/>
                    </w:rPr>
                  </w:pPr>
                  <w:r>
                    <w:rPr>
                      <w:kern w:val="0"/>
                      <w:szCs w:val="21"/>
                    </w:rPr>
                    <w:t>4.7.1 拆解区环境噪声限值应符合GB 12348 规定的三类声环境功能区的要求。</w:t>
                  </w:r>
                </w:p>
              </w:tc>
              <w:tc>
                <w:tcPr>
                  <w:tcW w:w="2839" w:type="dxa"/>
                  <w:vAlign w:val="center"/>
                </w:tcPr>
                <w:p w14:paraId="77CE43DB">
                  <w:pPr>
                    <w:autoSpaceDE w:val="0"/>
                    <w:autoSpaceDN w:val="0"/>
                    <w:adjustRightInd w:val="0"/>
                    <w:snapToGrid w:val="0"/>
                    <w:jc w:val="center"/>
                    <w:rPr>
                      <w:kern w:val="0"/>
                      <w:szCs w:val="21"/>
                    </w:rPr>
                  </w:pPr>
                  <w:r>
                    <w:rPr>
                      <w:kern w:val="0"/>
                      <w:szCs w:val="21"/>
                    </w:rPr>
                    <w:t>拆解区环境噪声限值满足《工业企业厂界环境噪声排放标准》（GB12348-2008）2类标准。</w:t>
                  </w:r>
                </w:p>
              </w:tc>
              <w:tc>
                <w:tcPr>
                  <w:tcW w:w="674" w:type="dxa"/>
                  <w:vAlign w:val="center"/>
                </w:tcPr>
                <w:p w14:paraId="3F0E2B02">
                  <w:pPr>
                    <w:autoSpaceDE w:val="0"/>
                    <w:autoSpaceDN w:val="0"/>
                    <w:adjustRightInd w:val="0"/>
                    <w:snapToGrid w:val="0"/>
                    <w:jc w:val="center"/>
                    <w:rPr>
                      <w:kern w:val="0"/>
                      <w:szCs w:val="21"/>
                    </w:rPr>
                  </w:pPr>
                  <w:r>
                    <w:rPr>
                      <w:kern w:val="0"/>
                      <w:szCs w:val="21"/>
                    </w:rPr>
                    <w:t>相符</w:t>
                  </w:r>
                </w:p>
              </w:tc>
            </w:tr>
            <w:tr w14:paraId="09BD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70CACD91">
                  <w:pPr>
                    <w:autoSpaceDE w:val="0"/>
                    <w:autoSpaceDN w:val="0"/>
                    <w:adjustRightInd w:val="0"/>
                    <w:snapToGrid w:val="0"/>
                    <w:jc w:val="center"/>
                    <w:rPr>
                      <w:kern w:val="0"/>
                      <w:szCs w:val="21"/>
                    </w:rPr>
                  </w:pPr>
                </w:p>
              </w:tc>
              <w:tc>
                <w:tcPr>
                  <w:tcW w:w="4042" w:type="dxa"/>
                  <w:vAlign w:val="center"/>
                </w:tcPr>
                <w:p w14:paraId="2F3D2F62">
                  <w:pPr>
                    <w:autoSpaceDE w:val="0"/>
                    <w:autoSpaceDN w:val="0"/>
                    <w:adjustRightInd w:val="0"/>
                    <w:snapToGrid w:val="0"/>
                    <w:jc w:val="center"/>
                    <w:rPr>
                      <w:kern w:val="0"/>
                      <w:szCs w:val="21"/>
                    </w:rPr>
                  </w:pPr>
                  <w:r>
                    <w:rPr>
                      <w:kern w:val="0"/>
                      <w:szCs w:val="21"/>
                    </w:rPr>
                    <w:t>4.7.2 拆解时存在有害气体或易燃气体，应做好导流和无害处理。</w:t>
                  </w:r>
                </w:p>
              </w:tc>
              <w:tc>
                <w:tcPr>
                  <w:tcW w:w="2839" w:type="dxa"/>
                  <w:vAlign w:val="center"/>
                </w:tcPr>
                <w:p w14:paraId="594F983E">
                  <w:pPr>
                    <w:autoSpaceDE w:val="0"/>
                    <w:autoSpaceDN w:val="0"/>
                    <w:adjustRightInd w:val="0"/>
                    <w:snapToGrid w:val="0"/>
                    <w:jc w:val="center"/>
                    <w:rPr>
                      <w:kern w:val="0"/>
                      <w:szCs w:val="21"/>
                    </w:rPr>
                  </w:pPr>
                  <w:r>
                    <w:rPr>
                      <w:kern w:val="0"/>
                      <w:szCs w:val="21"/>
                    </w:rPr>
                    <w:t>本项目拆解过程会产生少量颗粒物和非甲烷总烃。废油液挥发的有机废气收集后由</w:t>
                  </w:r>
                  <w:r>
                    <w:rPr>
                      <w:rFonts w:hint="eastAsia"/>
                      <w:kern w:val="0"/>
                      <w:szCs w:val="21"/>
                    </w:rPr>
                    <w:t>两级</w:t>
                  </w:r>
                  <w:r>
                    <w:rPr>
                      <w:kern w:val="0"/>
                      <w:szCs w:val="21"/>
                    </w:rPr>
                    <w:t>活性炭吸附装置处理后经15m高排气筒（DA001）排放；切割产生的颗粒物由集气罩收集，经覆膜袋式除尘器处理后经15m高排气筒（DA002）排放。</w:t>
                  </w:r>
                </w:p>
              </w:tc>
              <w:tc>
                <w:tcPr>
                  <w:tcW w:w="674" w:type="dxa"/>
                  <w:vAlign w:val="center"/>
                </w:tcPr>
                <w:p w14:paraId="5D9073F7">
                  <w:pPr>
                    <w:autoSpaceDE w:val="0"/>
                    <w:autoSpaceDN w:val="0"/>
                    <w:adjustRightInd w:val="0"/>
                    <w:snapToGrid w:val="0"/>
                    <w:jc w:val="center"/>
                    <w:rPr>
                      <w:kern w:val="0"/>
                      <w:szCs w:val="21"/>
                    </w:rPr>
                  </w:pPr>
                  <w:r>
                    <w:rPr>
                      <w:kern w:val="0"/>
                      <w:szCs w:val="21"/>
                    </w:rPr>
                    <w:t>相符</w:t>
                  </w:r>
                </w:p>
              </w:tc>
            </w:tr>
            <w:tr w14:paraId="24D6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4B650674">
                  <w:pPr>
                    <w:autoSpaceDE w:val="0"/>
                    <w:autoSpaceDN w:val="0"/>
                    <w:adjustRightInd w:val="0"/>
                    <w:snapToGrid w:val="0"/>
                    <w:jc w:val="center"/>
                    <w:rPr>
                      <w:kern w:val="0"/>
                      <w:szCs w:val="21"/>
                    </w:rPr>
                  </w:pPr>
                  <w:r>
                    <w:rPr>
                      <w:kern w:val="0"/>
                      <w:szCs w:val="21"/>
                    </w:rPr>
                    <w:t>回收技术要求</w:t>
                  </w:r>
                </w:p>
              </w:tc>
              <w:tc>
                <w:tcPr>
                  <w:tcW w:w="4042" w:type="dxa"/>
                  <w:vAlign w:val="center"/>
                </w:tcPr>
                <w:p w14:paraId="7DB56149">
                  <w:pPr>
                    <w:autoSpaceDE w:val="0"/>
                    <w:autoSpaceDN w:val="0"/>
                    <w:adjustRightInd w:val="0"/>
                    <w:snapToGrid w:val="0"/>
                    <w:jc w:val="center"/>
                    <w:rPr>
                      <w:kern w:val="0"/>
                      <w:szCs w:val="21"/>
                    </w:rPr>
                  </w:pPr>
                  <w:r>
                    <w:rPr>
                      <w:kern w:val="0"/>
                      <w:szCs w:val="21"/>
                    </w:rPr>
                    <w:t>5.1 回收企业收到报废自走式农业机械后，应检查发动机、散热器、变速箱、差速器、油箱、后处理装置和燃料罐等总成部件的密封和破损情况。对于出现泄漏的总成部件，应采取适当的方式收集泄漏的液体或封住泄漏处，防止废液渗入地下。</w:t>
                  </w:r>
                </w:p>
              </w:tc>
              <w:tc>
                <w:tcPr>
                  <w:tcW w:w="2839" w:type="dxa"/>
                  <w:vAlign w:val="center"/>
                </w:tcPr>
                <w:p w14:paraId="326222DC">
                  <w:pPr>
                    <w:autoSpaceDE w:val="0"/>
                    <w:autoSpaceDN w:val="0"/>
                    <w:adjustRightInd w:val="0"/>
                    <w:snapToGrid w:val="0"/>
                    <w:jc w:val="center"/>
                    <w:rPr>
                      <w:kern w:val="0"/>
                      <w:szCs w:val="21"/>
                    </w:rPr>
                  </w:pPr>
                  <w:r>
                    <w:rPr>
                      <w:kern w:val="0"/>
                      <w:szCs w:val="21"/>
                    </w:rPr>
                    <w:t>按照规范要求进行检查，对于出现泄漏的总成部件，应在泄漏点周围放置吸油垫以快速吸收泄漏液体，从而减少进一步泄漏，防止废液渗入地下。</w:t>
                  </w:r>
                </w:p>
              </w:tc>
              <w:tc>
                <w:tcPr>
                  <w:tcW w:w="674" w:type="dxa"/>
                  <w:vAlign w:val="center"/>
                </w:tcPr>
                <w:p w14:paraId="79E016C7">
                  <w:pPr>
                    <w:autoSpaceDE w:val="0"/>
                    <w:autoSpaceDN w:val="0"/>
                    <w:adjustRightInd w:val="0"/>
                    <w:snapToGrid w:val="0"/>
                    <w:jc w:val="center"/>
                    <w:rPr>
                      <w:kern w:val="0"/>
                      <w:szCs w:val="21"/>
                    </w:rPr>
                  </w:pPr>
                  <w:r>
                    <w:rPr>
                      <w:kern w:val="0"/>
                      <w:szCs w:val="21"/>
                    </w:rPr>
                    <w:t>相符</w:t>
                  </w:r>
                </w:p>
              </w:tc>
            </w:tr>
            <w:tr w14:paraId="4527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5F9F0EBE">
                  <w:pPr>
                    <w:autoSpaceDE w:val="0"/>
                    <w:autoSpaceDN w:val="0"/>
                    <w:adjustRightInd w:val="0"/>
                    <w:snapToGrid w:val="0"/>
                    <w:jc w:val="center"/>
                    <w:rPr>
                      <w:kern w:val="0"/>
                      <w:szCs w:val="21"/>
                    </w:rPr>
                  </w:pPr>
                </w:p>
              </w:tc>
              <w:tc>
                <w:tcPr>
                  <w:tcW w:w="4042" w:type="dxa"/>
                  <w:vAlign w:val="center"/>
                </w:tcPr>
                <w:p w14:paraId="7405755F">
                  <w:pPr>
                    <w:autoSpaceDE w:val="0"/>
                    <w:autoSpaceDN w:val="0"/>
                    <w:adjustRightInd w:val="0"/>
                    <w:snapToGrid w:val="0"/>
                    <w:jc w:val="center"/>
                    <w:rPr>
                      <w:kern w:val="0"/>
                      <w:szCs w:val="21"/>
                    </w:rPr>
                  </w:pPr>
                  <w:r>
                    <w:rPr>
                      <w:kern w:val="0"/>
                      <w:szCs w:val="21"/>
                    </w:rPr>
                    <w:t>5.2 回收电动自走式农业机械时，应检查动力电池和驱动电机等的密封和破损情况。对于出现动力蓄电池破损、电极头和线束裸露存在漏电风险等情况，应采取适当的方式进行绝缘处理。</w:t>
                  </w:r>
                </w:p>
              </w:tc>
              <w:tc>
                <w:tcPr>
                  <w:tcW w:w="2839" w:type="dxa"/>
                  <w:vAlign w:val="center"/>
                </w:tcPr>
                <w:p w14:paraId="1074C25D">
                  <w:pPr>
                    <w:autoSpaceDE w:val="0"/>
                    <w:autoSpaceDN w:val="0"/>
                    <w:adjustRightInd w:val="0"/>
                    <w:snapToGrid w:val="0"/>
                    <w:jc w:val="center"/>
                    <w:rPr>
                      <w:kern w:val="0"/>
                      <w:szCs w:val="21"/>
                    </w:rPr>
                  </w:pPr>
                  <w:r>
                    <w:rPr>
                      <w:kern w:val="0"/>
                      <w:szCs w:val="21"/>
                    </w:rPr>
                    <w:t>本项目不涉及回收电动自走式农业机械。</w:t>
                  </w:r>
                </w:p>
              </w:tc>
              <w:tc>
                <w:tcPr>
                  <w:tcW w:w="674" w:type="dxa"/>
                  <w:vAlign w:val="center"/>
                </w:tcPr>
                <w:p w14:paraId="6A511F35">
                  <w:pPr>
                    <w:autoSpaceDE w:val="0"/>
                    <w:autoSpaceDN w:val="0"/>
                    <w:adjustRightInd w:val="0"/>
                    <w:snapToGrid w:val="0"/>
                    <w:jc w:val="center"/>
                    <w:rPr>
                      <w:kern w:val="0"/>
                      <w:szCs w:val="21"/>
                    </w:rPr>
                  </w:pPr>
                  <w:r>
                    <w:rPr>
                      <w:kern w:val="0"/>
                      <w:szCs w:val="21"/>
                    </w:rPr>
                    <w:t>相符</w:t>
                  </w:r>
                </w:p>
              </w:tc>
            </w:tr>
            <w:tr w14:paraId="0D6F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596" w:type="dxa"/>
                  <w:vMerge w:val="restart"/>
                  <w:vAlign w:val="center"/>
                </w:tcPr>
                <w:p w14:paraId="0942BEA4">
                  <w:pPr>
                    <w:autoSpaceDE w:val="0"/>
                    <w:autoSpaceDN w:val="0"/>
                    <w:adjustRightInd w:val="0"/>
                    <w:snapToGrid w:val="0"/>
                    <w:jc w:val="center"/>
                    <w:rPr>
                      <w:kern w:val="0"/>
                      <w:szCs w:val="21"/>
                    </w:rPr>
                  </w:pPr>
                  <w:r>
                    <w:rPr>
                      <w:kern w:val="0"/>
                      <w:szCs w:val="21"/>
                    </w:rPr>
                    <w:t>拆解技术要求-检查和登记</w:t>
                  </w:r>
                </w:p>
              </w:tc>
              <w:tc>
                <w:tcPr>
                  <w:tcW w:w="4042" w:type="dxa"/>
                  <w:vAlign w:val="center"/>
                </w:tcPr>
                <w:p w14:paraId="60984B2E">
                  <w:pPr>
                    <w:autoSpaceDE w:val="0"/>
                    <w:autoSpaceDN w:val="0"/>
                    <w:adjustRightInd w:val="0"/>
                    <w:snapToGrid w:val="0"/>
                    <w:jc w:val="center"/>
                    <w:rPr>
                      <w:kern w:val="0"/>
                      <w:szCs w:val="21"/>
                    </w:rPr>
                  </w:pPr>
                  <w:r>
                    <w:rPr>
                      <w:kern w:val="0"/>
                      <w:szCs w:val="21"/>
                    </w:rPr>
                    <w:t>6.1.1 应对报废自走式农业机械的发动机、变速箱、传动箱、转向器、散热器、差速器、油箱、液压油箱、空调压缩机、铅酸电池、鲤电池、氢燃料电池等总成部件的密封情况进行检查。对出现泄漏的地方，应采取适当的方式收集泄漏的液体或封住泄漏处，防止废液渗入地下。</w:t>
                  </w:r>
                </w:p>
              </w:tc>
              <w:tc>
                <w:tcPr>
                  <w:tcW w:w="2839" w:type="dxa"/>
                  <w:vAlign w:val="center"/>
                </w:tcPr>
                <w:p w14:paraId="4D8906FE">
                  <w:pPr>
                    <w:autoSpaceDE w:val="0"/>
                    <w:autoSpaceDN w:val="0"/>
                    <w:adjustRightInd w:val="0"/>
                    <w:snapToGrid w:val="0"/>
                    <w:jc w:val="center"/>
                    <w:rPr>
                      <w:kern w:val="0"/>
                      <w:szCs w:val="21"/>
                    </w:rPr>
                  </w:pPr>
                  <w:r>
                    <w:rPr>
                      <w:kern w:val="0"/>
                      <w:szCs w:val="21"/>
                    </w:rPr>
                    <w:t>本项目在废旧农机拆解前按照规范要求进行检查，对于出现泄漏的发动机、转向器、变速器等总成部件，应在泄漏点周围放置吸油垫以快速吸收泄漏液体，从而减少进一步泄漏，防止废液渗入地下。</w:t>
                  </w:r>
                </w:p>
              </w:tc>
              <w:tc>
                <w:tcPr>
                  <w:tcW w:w="674" w:type="dxa"/>
                  <w:vAlign w:val="center"/>
                </w:tcPr>
                <w:p w14:paraId="1CDE0B9A">
                  <w:pPr>
                    <w:autoSpaceDE w:val="0"/>
                    <w:autoSpaceDN w:val="0"/>
                    <w:adjustRightInd w:val="0"/>
                    <w:snapToGrid w:val="0"/>
                    <w:jc w:val="center"/>
                    <w:rPr>
                      <w:kern w:val="0"/>
                      <w:szCs w:val="21"/>
                    </w:rPr>
                  </w:pPr>
                  <w:r>
                    <w:rPr>
                      <w:kern w:val="0"/>
                      <w:szCs w:val="21"/>
                    </w:rPr>
                    <w:t>相符</w:t>
                  </w:r>
                </w:p>
              </w:tc>
            </w:tr>
            <w:tr w14:paraId="49A2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16B6D0E8">
                  <w:pPr>
                    <w:autoSpaceDE w:val="0"/>
                    <w:autoSpaceDN w:val="0"/>
                    <w:adjustRightInd w:val="0"/>
                    <w:snapToGrid w:val="0"/>
                    <w:jc w:val="center"/>
                    <w:rPr>
                      <w:kern w:val="0"/>
                      <w:szCs w:val="21"/>
                    </w:rPr>
                  </w:pPr>
                </w:p>
              </w:tc>
              <w:tc>
                <w:tcPr>
                  <w:tcW w:w="4042" w:type="dxa"/>
                  <w:vAlign w:val="center"/>
                </w:tcPr>
                <w:p w14:paraId="7E790A4D">
                  <w:pPr>
                    <w:autoSpaceDE w:val="0"/>
                    <w:autoSpaceDN w:val="0"/>
                    <w:adjustRightInd w:val="0"/>
                    <w:snapToGrid w:val="0"/>
                    <w:jc w:val="center"/>
                    <w:rPr>
                      <w:kern w:val="0"/>
                      <w:szCs w:val="21"/>
                    </w:rPr>
                  </w:pPr>
                  <w:r>
                    <w:rPr>
                      <w:kern w:val="0"/>
                      <w:szCs w:val="21"/>
                    </w:rPr>
                    <w:t>6.1.2按照4.5的规定对报废农业机械的主要信息进行登记拍照，并在机身醒目处设置唯一性标识。</w:t>
                  </w:r>
                </w:p>
              </w:tc>
              <w:tc>
                <w:tcPr>
                  <w:tcW w:w="2839" w:type="dxa"/>
                  <w:vAlign w:val="center"/>
                </w:tcPr>
                <w:p w14:paraId="048D2AC1">
                  <w:pPr>
                    <w:autoSpaceDE w:val="0"/>
                    <w:autoSpaceDN w:val="0"/>
                    <w:adjustRightInd w:val="0"/>
                    <w:snapToGrid w:val="0"/>
                    <w:jc w:val="center"/>
                    <w:rPr>
                      <w:kern w:val="0"/>
                      <w:szCs w:val="21"/>
                    </w:rPr>
                  </w:pPr>
                  <w:r>
                    <w:rPr>
                      <w:kern w:val="0"/>
                      <w:szCs w:val="21"/>
                    </w:rPr>
                    <w:t>对报废农业机械的主要信息进行登记拍照，并在机身醒目处设置唯一性标识。</w:t>
                  </w:r>
                </w:p>
              </w:tc>
              <w:tc>
                <w:tcPr>
                  <w:tcW w:w="674" w:type="dxa"/>
                  <w:vAlign w:val="center"/>
                </w:tcPr>
                <w:p w14:paraId="36ADEE7A">
                  <w:pPr>
                    <w:autoSpaceDE w:val="0"/>
                    <w:autoSpaceDN w:val="0"/>
                    <w:adjustRightInd w:val="0"/>
                    <w:snapToGrid w:val="0"/>
                    <w:jc w:val="center"/>
                    <w:rPr>
                      <w:kern w:val="0"/>
                      <w:szCs w:val="21"/>
                    </w:rPr>
                  </w:pPr>
                  <w:r>
                    <w:rPr>
                      <w:kern w:val="0"/>
                      <w:szCs w:val="21"/>
                    </w:rPr>
                    <w:t>相符</w:t>
                  </w:r>
                </w:p>
              </w:tc>
            </w:tr>
            <w:tr w14:paraId="037F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7DDF4C9F">
                  <w:pPr>
                    <w:autoSpaceDE w:val="0"/>
                    <w:autoSpaceDN w:val="0"/>
                    <w:adjustRightInd w:val="0"/>
                    <w:snapToGrid w:val="0"/>
                    <w:jc w:val="center"/>
                    <w:rPr>
                      <w:kern w:val="0"/>
                      <w:szCs w:val="21"/>
                    </w:rPr>
                  </w:pPr>
                  <w:r>
                    <w:rPr>
                      <w:kern w:val="0"/>
                      <w:szCs w:val="21"/>
                    </w:rPr>
                    <w:t>拆解技术要求-拆解前储存</w:t>
                  </w:r>
                </w:p>
              </w:tc>
              <w:tc>
                <w:tcPr>
                  <w:tcW w:w="4042" w:type="dxa"/>
                  <w:vAlign w:val="center"/>
                </w:tcPr>
                <w:p w14:paraId="7A8B7E6C">
                  <w:pPr>
                    <w:autoSpaceDE w:val="0"/>
                    <w:autoSpaceDN w:val="0"/>
                    <w:adjustRightInd w:val="0"/>
                    <w:snapToGrid w:val="0"/>
                    <w:jc w:val="center"/>
                    <w:rPr>
                      <w:kern w:val="0"/>
                      <w:szCs w:val="21"/>
                    </w:rPr>
                  </w:pPr>
                  <w:r>
                    <w:rPr>
                      <w:kern w:val="0"/>
                      <w:szCs w:val="21"/>
                    </w:rPr>
                    <w:t>6.2.1 报废农业机械应与其他废弃物分开储存，严禁侧放、倒放；如需叠放，应做到堆放合理，方便保障人身财产安全。</w:t>
                  </w:r>
                </w:p>
              </w:tc>
              <w:tc>
                <w:tcPr>
                  <w:tcW w:w="2839" w:type="dxa"/>
                  <w:vAlign w:val="center"/>
                </w:tcPr>
                <w:p w14:paraId="547DEF71">
                  <w:pPr>
                    <w:autoSpaceDE w:val="0"/>
                    <w:autoSpaceDN w:val="0"/>
                    <w:adjustRightInd w:val="0"/>
                    <w:snapToGrid w:val="0"/>
                    <w:jc w:val="center"/>
                    <w:rPr>
                      <w:kern w:val="0"/>
                      <w:szCs w:val="21"/>
                    </w:rPr>
                  </w:pPr>
                  <w:r>
                    <w:rPr>
                      <w:kern w:val="0"/>
                      <w:szCs w:val="21"/>
                    </w:rPr>
                    <w:t>本项目废旧机械暂存于专有停放区，与其他废弃物均分开储存</w:t>
                  </w:r>
                  <w:r>
                    <w:t>，不存在侧放、倒放。</w:t>
                  </w:r>
                </w:p>
              </w:tc>
              <w:tc>
                <w:tcPr>
                  <w:tcW w:w="674" w:type="dxa"/>
                  <w:vAlign w:val="center"/>
                </w:tcPr>
                <w:p w14:paraId="7E57A5C7">
                  <w:pPr>
                    <w:autoSpaceDE w:val="0"/>
                    <w:autoSpaceDN w:val="0"/>
                    <w:adjustRightInd w:val="0"/>
                    <w:snapToGrid w:val="0"/>
                    <w:jc w:val="center"/>
                    <w:rPr>
                      <w:kern w:val="0"/>
                      <w:szCs w:val="21"/>
                    </w:rPr>
                  </w:pPr>
                  <w:r>
                    <w:rPr>
                      <w:kern w:val="0"/>
                      <w:szCs w:val="21"/>
                    </w:rPr>
                    <w:t>相符</w:t>
                  </w:r>
                </w:p>
              </w:tc>
            </w:tr>
            <w:tr w14:paraId="6273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561FE09B">
                  <w:pPr>
                    <w:autoSpaceDE w:val="0"/>
                    <w:autoSpaceDN w:val="0"/>
                    <w:adjustRightInd w:val="0"/>
                    <w:snapToGrid w:val="0"/>
                    <w:jc w:val="center"/>
                    <w:rPr>
                      <w:kern w:val="0"/>
                      <w:szCs w:val="21"/>
                    </w:rPr>
                  </w:pPr>
                </w:p>
              </w:tc>
              <w:tc>
                <w:tcPr>
                  <w:tcW w:w="4042" w:type="dxa"/>
                  <w:vAlign w:val="center"/>
                </w:tcPr>
                <w:p w14:paraId="1FF88190">
                  <w:pPr>
                    <w:autoSpaceDE w:val="0"/>
                    <w:autoSpaceDN w:val="0"/>
                    <w:adjustRightInd w:val="0"/>
                    <w:snapToGrid w:val="0"/>
                    <w:jc w:val="center"/>
                    <w:rPr>
                      <w:kern w:val="0"/>
                      <w:szCs w:val="21"/>
                    </w:rPr>
                  </w:pPr>
                  <w:r>
                    <w:rPr>
                      <w:kern w:val="0"/>
                      <w:szCs w:val="21"/>
                    </w:rPr>
                    <w:t>6.2.2 回收报废农业机械后，应在3个月内将其拆解完毕。</w:t>
                  </w:r>
                </w:p>
              </w:tc>
              <w:tc>
                <w:tcPr>
                  <w:tcW w:w="2839" w:type="dxa"/>
                  <w:vAlign w:val="center"/>
                </w:tcPr>
                <w:p w14:paraId="1B8F3054">
                  <w:pPr>
                    <w:autoSpaceDE w:val="0"/>
                    <w:autoSpaceDN w:val="0"/>
                    <w:adjustRightInd w:val="0"/>
                    <w:snapToGrid w:val="0"/>
                    <w:jc w:val="center"/>
                    <w:rPr>
                      <w:kern w:val="0"/>
                      <w:szCs w:val="21"/>
                    </w:rPr>
                  </w:pPr>
                  <w:r>
                    <w:rPr>
                      <w:kern w:val="0"/>
                      <w:szCs w:val="21"/>
                    </w:rPr>
                    <w:t>本次评价要求企业在回收废旧农机后按左述规定时间内拆解完毕。</w:t>
                  </w:r>
                </w:p>
              </w:tc>
              <w:tc>
                <w:tcPr>
                  <w:tcW w:w="674" w:type="dxa"/>
                  <w:vAlign w:val="center"/>
                </w:tcPr>
                <w:p w14:paraId="5F3DD723">
                  <w:pPr>
                    <w:autoSpaceDE w:val="0"/>
                    <w:autoSpaceDN w:val="0"/>
                    <w:adjustRightInd w:val="0"/>
                    <w:snapToGrid w:val="0"/>
                    <w:jc w:val="center"/>
                    <w:rPr>
                      <w:kern w:val="0"/>
                      <w:szCs w:val="21"/>
                    </w:rPr>
                  </w:pPr>
                  <w:r>
                    <w:rPr>
                      <w:kern w:val="0"/>
                      <w:szCs w:val="21"/>
                    </w:rPr>
                    <w:t>相符</w:t>
                  </w:r>
                </w:p>
              </w:tc>
            </w:tr>
            <w:tr w14:paraId="1DBC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7B1D02C5">
                  <w:pPr>
                    <w:autoSpaceDE w:val="0"/>
                    <w:autoSpaceDN w:val="0"/>
                    <w:adjustRightInd w:val="0"/>
                    <w:snapToGrid w:val="0"/>
                    <w:jc w:val="center"/>
                    <w:rPr>
                      <w:kern w:val="0"/>
                      <w:szCs w:val="21"/>
                    </w:rPr>
                  </w:pPr>
                  <w:r>
                    <w:rPr>
                      <w:kern w:val="0"/>
                      <w:szCs w:val="21"/>
                    </w:rPr>
                    <w:t>拆解技术要求-拆解预处理</w:t>
                  </w:r>
                </w:p>
              </w:tc>
              <w:tc>
                <w:tcPr>
                  <w:tcW w:w="4042" w:type="dxa"/>
                  <w:vAlign w:val="center"/>
                </w:tcPr>
                <w:p w14:paraId="23002C70">
                  <w:pPr>
                    <w:autoSpaceDE w:val="0"/>
                    <w:autoSpaceDN w:val="0"/>
                    <w:adjustRightInd w:val="0"/>
                    <w:snapToGrid w:val="0"/>
                    <w:jc w:val="center"/>
                    <w:rPr>
                      <w:kern w:val="0"/>
                      <w:szCs w:val="21"/>
                    </w:rPr>
                  </w:pPr>
                  <w:r>
                    <w:rPr>
                      <w:kern w:val="0"/>
                      <w:szCs w:val="21"/>
                    </w:rPr>
                    <w:t>6.3.1 先对报废农业机械进行清洁处理，去除机械外部的非原机所属的覆盖物</w:t>
                  </w:r>
                </w:p>
              </w:tc>
              <w:tc>
                <w:tcPr>
                  <w:tcW w:w="2839" w:type="dxa"/>
                  <w:vAlign w:val="center"/>
                </w:tcPr>
                <w:p w14:paraId="58B59BAE">
                  <w:pPr>
                    <w:autoSpaceDE w:val="0"/>
                    <w:autoSpaceDN w:val="0"/>
                    <w:adjustRightInd w:val="0"/>
                    <w:snapToGrid w:val="0"/>
                    <w:jc w:val="center"/>
                    <w:rPr>
                      <w:kern w:val="0"/>
                      <w:szCs w:val="21"/>
                    </w:rPr>
                  </w:pPr>
                  <w:r>
                    <w:rPr>
                      <w:kern w:val="0"/>
                      <w:szCs w:val="21"/>
                    </w:rPr>
                    <w:t>本项目要求所有废旧农机清洁后再入厂，不在厂内清洁。</w:t>
                  </w:r>
                </w:p>
              </w:tc>
              <w:tc>
                <w:tcPr>
                  <w:tcW w:w="674" w:type="dxa"/>
                  <w:vAlign w:val="center"/>
                </w:tcPr>
                <w:p w14:paraId="4A2237A1">
                  <w:pPr>
                    <w:autoSpaceDE w:val="0"/>
                    <w:autoSpaceDN w:val="0"/>
                    <w:adjustRightInd w:val="0"/>
                    <w:snapToGrid w:val="0"/>
                    <w:jc w:val="center"/>
                    <w:rPr>
                      <w:kern w:val="0"/>
                      <w:szCs w:val="21"/>
                    </w:rPr>
                  </w:pPr>
                  <w:r>
                    <w:rPr>
                      <w:kern w:val="0"/>
                      <w:szCs w:val="21"/>
                    </w:rPr>
                    <w:t>相符</w:t>
                  </w:r>
                </w:p>
              </w:tc>
            </w:tr>
            <w:tr w14:paraId="5934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7583E487">
                  <w:pPr>
                    <w:autoSpaceDE w:val="0"/>
                    <w:autoSpaceDN w:val="0"/>
                    <w:adjustRightInd w:val="0"/>
                    <w:snapToGrid w:val="0"/>
                    <w:jc w:val="center"/>
                    <w:rPr>
                      <w:kern w:val="0"/>
                      <w:szCs w:val="21"/>
                    </w:rPr>
                  </w:pPr>
                </w:p>
              </w:tc>
              <w:tc>
                <w:tcPr>
                  <w:tcW w:w="4042" w:type="dxa"/>
                  <w:vAlign w:val="center"/>
                </w:tcPr>
                <w:p w14:paraId="5FE313E4">
                  <w:pPr>
                    <w:autoSpaceDE w:val="0"/>
                    <w:autoSpaceDN w:val="0"/>
                    <w:adjustRightInd w:val="0"/>
                    <w:snapToGrid w:val="0"/>
                    <w:jc w:val="center"/>
                    <w:rPr>
                      <w:kern w:val="0"/>
                      <w:szCs w:val="21"/>
                    </w:rPr>
                  </w:pPr>
                  <w:r>
                    <w:rPr>
                      <w:kern w:val="0"/>
                      <w:szCs w:val="21"/>
                    </w:rPr>
                    <w:t>6.3.2 在拆解预处理区域排空并分类收集农业机械内的废液。</w:t>
                  </w:r>
                </w:p>
              </w:tc>
              <w:tc>
                <w:tcPr>
                  <w:tcW w:w="2839" w:type="dxa"/>
                  <w:vAlign w:val="center"/>
                </w:tcPr>
                <w:p w14:paraId="257EED9E">
                  <w:pPr>
                    <w:autoSpaceDE w:val="0"/>
                    <w:autoSpaceDN w:val="0"/>
                    <w:adjustRightInd w:val="0"/>
                    <w:snapToGrid w:val="0"/>
                    <w:jc w:val="center"/>
                    <w:rPr>
                      <w:kern w:val="0"/>
                      <w:szCs w:val="21"/>
                    </w:rPr>
                  </w:pPr>
                  <w:r>
                    <w:rPr>
                      <w:kern w:val="0"/>
                      <w:szCs w:val="21"/>
                    </w:rPr>
                    <w:t>本项目要求在预拆解区排空废旧农机油箱、液压油箱等部位内的废液，并进行分类收集。</w:t>
                  </w:r>
                </w:p>
              </w:tc>
              <w:tc>
                <w:tcPr>
                  <w:tcW w:w="674" w:type="dxa"/>
                  <w:vAlign w:val="center"/>
                </w:tcPr>
                <w:p w14:paraId="116E8D6F">
                  <w:pPr>
                    <w:autoSpaceDE w:val="0"/>
                    <w:autoSpaceDN w:val="0"/>
                    <w:adjustRightInd w:val="0"/>
                    <w:snapToGrid w:val="0"/>
                    <w:jc w:val="center"/>
                    <w:rPr>
                      <w:kern w:val="0"/>
                      <w:szCs w:val="21"/>
                    </w:rPr>
                  </w:pPr>
                  <w:r>
                    <w:rPr>
                      <w:kern w:val="0"/>
                      <w:szCs w:val="21"/>
                    </w:rPr>
                    <w:t>相符</w:t>
                  </w:r>
                </w:p>
              </w:tc>
            </w:tr>
            <w:tr w14:paraId="702A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51769336">
                  <w:pPr>
                    <w:autoSpaceDE w:val="0"/>
                    <w:autoSpaceDN w:val="0"/>
                    <w:adjustRightInd w:val="0"/>
                    <w:snapToGrid w:val="0"/>
                    <w:jc w:val="center"/>
                    <w:rPr>
                      <w:kern w:val="0"/>
                      <w:szCs w:val="21"/>
                    </w:rPr>
                  </w:pPr>
                </w:p>
              </w:tc>
              <w:tc>
                <w:tcPr>
                  <w:tcW w:w="4042" w:type="dxa"/>
                  <w:vAlign w:val="center"/>
                </w:tcPr>
                <w:p w14:paraId="4CFA61E6">
                  <w:pPr>
                    <w:autoSpaceDE w:val="0"/>
                    <w:autoSpaceDN w:val="0"/>
                    <w:adjustRightInd w:val="0"/>
                    <w:snapToGrid w:val="0"/>
                    <w:jc w:val="center"/>
                    <w:rPr>
                      <w:kern w:val="0"/>
                      <w:szCs w:val="21"/>
                    </w:rPr>
                  </w:pPr>
                  <w:r>
                    <w:rPr>
                      <w:kern w:val="0"/>
                      <w:szCs w:val="21"/>
                    </w:rPr>
                    <w:t>6.3.3 拆卸动力蓄电池，拆除酸蓄电池、油箱、气泵、水泵、气罐、液罐、电池、液压泵、空调器等外围附件。</w:t>
                  </w:r>
                </w:p>
              </w:tc>
              <w:tc>
                <w:tcPr>
                  <w:tcW w:w="2839" w:type="dxa"/>
                  <w:vAlign w:val="center"/>
                </w:tcPr>
                <w:p w14:paraId="3C8A81E2">
                  <w:pPr>
                    <w:autoSpaceDE w:val="0"/>
                    <w:autoSpaceDN w:val="0"/>
                    <w:adjustRightInd w:val="0"/>
                    <w:snapToGrid w:val="0"/>
                    <w:jc w:val="center"/>
                    <w:rPr>
                      <w:kern w:val="0"/>
                      <w:szCs w:val="21"/>
                    </w:rPr>
                  </w:pPr>
                  <w:r>
                    <w:rPr>
                      <w:kern w:val="0"/>
                      <w:szCs w:val="21"/>
                    </w:rPr>
                    <w:t>本项目在预拆解区拆除废旧农机水泵、液压泵等外围附件，并进行分类收集，分区存放。</w:t>
                  </w:r>
                </w:p>
              </w:tc>
              <w:tc>
                <w:tcPr>
                  <w:tcW w:w="674" w:type="dxa"/>
                  <w:vAlign w:val="center"/>
                </w:tcPr>
                <w:p w14:paraId="28A57FF6">
                  <w:pPr>
                    <w:autoSpaceDE w:val="0"/>
                    <w:autoSpaceDN w:val="0"/>
                    <w:adjustRightInd w:val="0"/>
                    <w:snapToGrid w:val="0"/>
                    <w:jc w:val="center"/>
                    <w:rPr>
                      <w:kern w:val="0"/>
                      <w:szCs w:val="21"/>
                    </w:rPr>
                  </w:pPr>
                  <w:r>
                    <w:rPr>
                      <w:kern w:val="0"/>
                      <w:szCs w:val="21"/>
                    </w:rPr>
                    <w:t>相符</w:t>
                  </w:r>
                </w:p>
              </w:tc>
            </w:tr>
            <w:tr w14:paraId="2C98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Align w:val="center"/>
                </w:tcPr>
                <w:p w14:paraId="369799B6">
                  <w:pPr>
                    <w:autoSpaceDE w:val="0"/>
                    <w:autoSpaceDN w:val="0"/>
                    <w:adjustRightInd w:val="0"/>
                    <w:snapToGrid w:val="0"/>
                    <w:jc w:val="center"/>
                    <w:rPr>
                      <w:kern w:val="0"/>
                      <w:szCs w:val="21"/>
                    </w:rPr>
                  </w:pPr>
                  <w:r>
                    <w:rPr>
                      <w:kern w:val="0"/>
                      <w:szCs w:val="21"/>
                    </w:rPr>
                    <w:t>拆解技术要求-拆解</w:t>
                  </w:r>
                </w:p>
              </w:tc>
              <w:tc>
                <w:tcPr>
                  <w:tcW w:w="4042" w:type="dxa"/>
                  <w:vAlign w:val="center"/>
                </w:tcPr>
                <w:p w14:paraId="70F0B39B">
                  <w:pPr>
                    <w:autoSpaceDE w:val="0"/>
                    <w:autoSpaceDN w:val="0"/>
                    <w:adjustRightInd w:val="0"/>
                    <w:snapToGrid w:val="0"/>
                    <w:rPr>
                      <w:kern w:val="0"/>
                      <w:szCs w:val="21"/>
                    </w:rPr>
                  </w:pPr>
                  <w:r>
                    <w:rPr>
                      <w:kern w:val="0"/>
                      <w:szCs w:val="21"/>
                    </w:rPr>
                    <w:t>拆解过程如下：</w:t>
                  </w:r>
                </w:p>
                <w:p w14:paraId="5D272F01">
                  <w:pPr>
                    <w:autoSpaceDE w:val="0"/>
                    <w:autoSpaceDN w:val="0"/>
                    <w:adjustRightInd w:val="0"/>
                    <w:snapToGrid w:val="0"/>
                    <w:rPr>
                      <w:kern w:val="0"/>
                      <w:szCs w:val="21"/>
                    </w:rPr>
                  </w:pPr>
                  <w:r>
                    <w:rPr>
                      <w:kern w:val="0"/>
                      <w:szCs w:val="21"/>
                    </w:rPr>
                    <w:t>a）拆除驾驶室玻璃（适用时）；</w:t>
                  </w:r>
                </w:p>
                <w:p w14:paraId="43431035">
                  <w:pPr>
                    <w:autoSpaceDE w:val="0"/>
                    <w:autoSpaceDN w:val="0"/>
                    <w:adjustRightInd w:val="0"/>
                    <w:snapToGrid w:val="0"/>
                    <w:rPr>
                      <w:kern w:val="0"/>
                      <w:szCs w:val="21"/>
                    </w:rPr>
                  </w:pPr>
                  <w:r>
                    <w:rPr>
                      <w:kern w:val="0"/>
                      <w:szCs w:val="21"/>
                    </w:rPr>
                    <w:t>b）拆除覆盖件；</w:t>
                  </w:r>
                </w:p>
                <w:p w14:paraId="7ED188BB">
                  <w:pPr>
                    <w:autoSpaceDE w:val="0"/>
                    <w:autoSpaceDN w:val="0"/>
                    <w:adjustRightInd w:val="0"/>
                    <w:snapToGrid w:val="0"/>
                    <w:rPr>
                      <w:kern w:val="0"/>
                      <w:szCs w:val="21"/>
                    </w:rPr>
                  </w:pPr>
                  <w:r>
                    <w:rPr>
                      <w:kern w:val="0"/>
                      <w:szCs w:val="21"/>
                    </w:rPr>
                    <w:t>c）拆除燃油箱、液压油箱；</w:t>
                  </w:r>
                </w:p>
                <w:p w14:paraId="47777913">
                  <w:pPr>
                    <w:autoSpaceDE w:val="0"/>
                    <w:autoSpaceDN w:val="0"/>
                    <w:adjustRightInd w:val="0"/>
                    <w:snapToGrid w:val="0"/>
                    <w:rPr>
                      <w:kern w:val="0"/>
                      <w:szCs w:val="21"/>
                    </w:rPr>
                  </w:pPr>
                  <w:r>
                    <w:rPr>
                      <w:kern w:val="0"/>
                      <w:szCs w:val="21"/>
                    </w:rPr>
                    <w:t>d）拆除各类滤清器、空气过滤器：拆除各类灯具；</w:t>
                  </w:r>
                </w:p>
                <w:p w14:paraId="4D6CB394">
                  <w:pPr>
                    <w:autoSpaceDE w:val="0"/>
                    <w:autoSpaceDN w:val="0"/>
                    <w:adjustRightInd w:val="0"/>
                    <w:snapToGrid w:val="0"/>
                    <w:rPr>
                      <w:kern w:val="0"/>
                      <w:szCs w:val="21"/>
                    </w:rPr>
                  </w:pPr>
                  <w:r>
                    <w:rPr>
                      <w:kern w:val="0"/>
                      <w:szCs w:val="21"/>
                    </w:rPr>
                    <w:t>e）拆除电控系统中各电子元器件；</w:t>
                  </w:r>
                </w:p>
                <w:p w14:paraId="5E322143">
                  <w:pPr>
                    <w:autoSpaceDE w:val="0"/>
                    <w:autoSpaceDN w:val="0"/>
                    <w:adjustRightInd w:val="0"/>
                    <w:snapToGrid w:val="0"/>
                    <w:rPr>
                      <w:kern w:val="0"/>
                      <w:szCs w:val="21"/>
                    </w:rPr>
                  </w:pPr>
                  <w:r>
                    <w:rPr>
                      <w:kern w:val="0"/>
                      <w:szCs w:val="21"/>
                    </w:rPr>
                    <w:t>g）拆除液压系统管路、系、阀、马达及相关控制元件；</w:t>
                  </w:r>
                </w:p>
                <w:p w14:paraId="4432E1C7">
                  <w:pPr>
                    <w:autoSpaceDE w:val="0"/>
                    <w:autoSpaceDN w:val="0"/>
                    <w:adjustRightInd w:val="0"/>
                    <w:snapToGrid w:val="0"/>
                    <w:rPr>
                      <w:kern w:val="0"/>
                      <w:szCs w:val="21"/>
                    </w:rPr>
                  </w:pPr>
                  <w:r>
                    <w:rPr>
                      <w:kern w:val="0"/>
                      <w:szCs w:val="21"/>
                    </w:rPr>
                    <w:t>h）拆除冷却系统水箱管道；拆除各种塑料件；拆除橡胶制品部件：</w:t>
                  </w:r>
                </w:p>
                <w:p w14:paraId="6F0C7258">
                  <w:pPr>
                    <w:autoSpaceDE w:val="0"/>
                    <w:autoSpaceDN w:val="0"/>
                    <w:adjustRightInd w:val="0"/>
                    <w:snapToGrid w:val="0"/>
                    <w:rPr>
                      <w:kern w:val="0"/>
                      <w:szCs w:val="21"/>
                    </w:rPr>
                  </w:pPr>
                  <w:r>
                    <w:rPr>
                      <w:kern w:val="0"/>
                      <w:szCs w:val="21"/>
                    </w:rPr>
                    <w:t>k）拆除含金属铜、铝、镁等能有效回收的部件</w:t>
                  </w:r>
                </w:p>
                <w:p w14:paraId="4B8B9F1E">
                  <w:pPr>
                    <w:autoSpaceDE w:val="0"/>
                    <w:autoSpaceDN w:val="0"/>
                    <w:adjustRightInd w:val="0"/>
                    <w:snapToGrid w:val="0"/>
                    <w:rPr>
                      <w:kern w:val="0"/>
                      <w:szCs w:val="21"/>
                    </w:rPr>
                  </w:pPr>
                  <w:r>
                    <w:rPr>
                      <w:kern w:val="0"/>
                      <w:szCs w:val="21"/>
                    </w:rPr>
                    <w:t>1）拆除含有铅、汞、铬等有毒物质的部件；</w:t>
                  </w:r>
                </w:p>
                <w:p w14:paraId="46641332">
                  <w:pPr>
                    <w:autoSpaceDE w:val="0"/>
                    <w:autoSpaceDN w:val="0"/>
                    <w:adjustRightInd w:val="0"/>
                    <w:snapToGrid w:val="0"/>
                    <w:rPr>
                      <w:kern w:val="0"/>
                      <w:szCs w:val="21"/>
                    </w:rPr>
                  </w:pPr>
                  <w:r>
                    <w:rPr>
                      <w:kern w:val="0"/>
                      <w:szCs w:val="21"/>
                    </w:rPr>
                    <w:t>m）拆除其他各类非金属件</w:t>
                  </w:r>
                </w:p>
              </w:tc>
              <w:tc>
                <w:tcPr>
                  <w:tcW w:w="2839" w:type="dxa"/>
                  <w:vAlign w:val="center"/>
                </w:tcPr>
                <w:p w14:paraId="08414214">
                  <w:pPr>
                    <w:autoSpaceDE w:val="0"/>
                    <w:autoSpaceDN w:val="0"/>
                    <w:adjustRightInd w:val="0"/>
                    <w:snapToGrid w:val="0"/>
                    <w:jc w:val="center"/>
                    <w:rPr>
                      <w:kern w:val="0"/>
                      <w:szCs w:val="21"/>
                    </w:rPr>
                  </w:pPr>
                  <w:r>
                    <w:rPr>
                      <w:kern w:val="0"/>
                      <w:szCs w:val="21"/>
                    </w:rPr>
                    <w:t>根据后文图1中废旧农机拆解工艺，本项目严格按照拆解要求进行拆除并在厂区分类暂存。</w:t>
                  </w:r>
                </w:p>
              </w:tc>
              <w:tc>
                <w:tcPr>
                  <w:tcW w:w="674" w:type="dxa"/>
                  <w:vAlign w:val="center"/>
                </w:tcPr>
                <w:p w14:paraId="4A90B5BC">
                  <w:pPr>
                    <w:autoSpaceDE w:val="0"/>
                    <w:autoSpaceDN w:val="0"/>
                    <w:adjustRightInd w:val="0"/>
                    <w:snapToGrid w:val="0"/>
                    <w:jc w:val="center"/>
                    <w:rPr>
                      <w:kern w:val="0"/>
                      <w:szCs w:val="21"/>
                    </w:rPr>
                  </w:pPr>
                  <w:r>
                    <w:rPr>
                      <w:kern w:val="0"/>
                      <w:szCs w:val="21"/>
                    </w:rPr>
                    <w:t>相符</w:t>
                  </w:r>
                </w:p>
              </w:tc>
            </w:tr>
            <w:tr w14:paraId="58BE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79B816EE">
                  <w:pPr>
                    <w:autoSpaceDE w:val="0"/>
                    <w:autoSpaceDN w:val="0"/>
                    <w:adjustRightInd w:val="0"/>
                    <w:snapToGrid w:val="0"/>
                    <w:jc w:val="center"/>
                    <w:rPr>
                      <w:kern w:val="0"/>
                      <w:szCs w:val="21"/>
                    </w:rPr>
                  </w:pPr>
                  <w:r>
                    <w:rPr>
                      <w:kern w:val="0"/>
                      <w:szCs w:val="21"/>
                    </w:rPr>
                    <w:t>拆解技术要求-固体废物储存</w:t>
                  </w:r>
                </w:p>
              </w:tc>
              <w:tc>
                <w:tcPr>
                  <w:tcW w:w="4042" w:type="dxa"/>
                  <w:vAlign w:val="center"/>
                </w:tcPr>
                <w:p w14:paraId="2654A3A5">
                  <w:pPr>
                    <w:autoSpaceDE w:val="0"/>
                    <w:autoSpaceDN w:val="0"/>
                    <w:adjustRightInd w:val="0"/>
                    <w:snapToGrid w:val="0"/>
                    <w:jc w:val="center"/>
                    <w:rPr>
                      <w:kern w:val="0"/>
                      <w:szCs w:val="21"/>
                    </w:rPr>
                  </w:pPr>
                  <w:r>
                    <w:rPr>
                      <w:kern w:val="0"/>
                      <w:szCs w:val="21"/>
                    </w:rPr>
                    <w:t>7.1.1 固体废物的储存应符合GB18599、GB18597和HJ2025的规定。</w:t>
                  </w:r>
                </w:p>
              </w:tc>
              <w:tc>
                <w:tcPr>
                  <w:tcW w:w="2839" w:type="dxa"/>
                  <w:vMerge w:val="restart"/>
                  <w:vAlign w:val="center"/>
                </w:tcPr>
                <w:p w14:paraId="1816BC19">
                  <w:pPr>
                    <w:autoSpaceDE w:val="0"/>
                    <w:autoSpaceDN w:val="0"/>
                    <w:adjustRightInd w:val="0"/>
                    <w:snapToGrid w:val="0"/>
                    <w:rPr>
                      <w:kern w:val="0"/>
                      <w:szCs w:val="21"/>
                    </w:rPr>
                  </w:pPr>
                  <w:r>
                    <w:rPr>
                      <w:kern w:val="0"/>
                      <w:szCs w:val="21"/>
                    </w:rPr>
                    <w:t>根据后文固体废物分析，本项目所产生的固体废物储存符合《一般工业固体废物贮存和填埋污染控制标准》（GB18599-2020）、《危险废物贮存污染控制标准》（GB18597-2023）中相关规定。固体废物按照要求分区存放，避免混合堆放。一般固体废物可再生利用的交由回收单位利用，不可回用的交由环卫部门处置；危险废物经危废间暂存后，定期交由有资质单位处置，严禁非法转移、倾倒、利用和处置。</w:t>
                  </w:r>
                </w:p>
              </w:tc>
              <w:tc>
                <w:tcPr>
                  <w:tcW w:w="674" w:type="dxa"/>
                  <w:vMerge w:val="restart"/>
                  <w:vAlign w:val="center"/>
                </w:tcPr>
                <w:p w14:paraId="3B3AC5AD">
                  <w:pPr>
                    <w:autoSpaceDE w:val="0"/>
                    <w:autoSpaceDN w:val="0"/>
                    <w:adjustRightInd w:val="0"/>
                    <w:snapToGrid w:val="0"/>
                    <w:jc w:val="center"/>
                    <w:rPr>
                      <w:kern w:val="0"/>
                      <w:szCs w:val="21"/>
                    </w:rPr>
                  </w:pPr>
                  <w:r>
                    <w:rPr>
                      <w:kern w:val="0"/>
                      <w:szCs w:val="21"/>
                    </w:rPr>
                    <w:t>相符</w:t>
                  </w:r>
                </w:p>
              </w:tc>
            </w:tr>
            <w:tr w14:paraId="5062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197609C4">
                  <w:pPr>
                    <w:autoSpaceDE w:val="0"/>
                    <w:autoSpaceDN w:val="0"/>
                    <w:adjustRightInd w:val="0"/>
                    <w:snapToGrid w:val="0"/>
                    <w:jc w:val="center"/>
                    <w:rPr>
                      <w:kern w:val="0"/>
                      <w:szCs w:val="21"/>
                    </w:rPr>
                  </w:pPr>
                </w:p>
              </w:tc>
              <w:tc>
                <w:tcPr>
                  <w:tcW w:w="4042" w:type="dxa"/>
                  <w:vAlign w:val="center"/>
                </w:tcPr>
                <w:p w14:paraId="60616FA7">
                  <w:pPr>
                    <w:autoSpaceDE w:val="0"/>
                    <w:autoSpaceDN w:val="0"/>
                    <w:adjustRightInd w:val="0"/>
                    <w:snapToGrid w:val="0"/>
                    <w:jc w:val="center"/>
                    <w:rPr>
                      <w:kern w:val="0"/>
                      <w:szCs w:val="21"/>
                    </w:rPr>
                  </w:pPr>
                  <w:r>
                    <w:rPr>
                      <w:kern w:val="0"/>
                      <w:szCs w:val="21"/>
                    </w:rPr>
                    <w:t>7.1.2 一般工业固体废物储存设施及包装物应按照GB15562的规定进行标识，危险废物储存设施及包装物的标志应符合GB1859和HJ2025的规定。所有固体废物避免混合堆放。</w:t>
                  </w:r>
                </w:p>
              </w:tc>
              <w:tc>
                <w:tcPr>
                  <w:tcW w:w="2839" w:type="dxa"/>
                  <w:vMerge w:val="continue"/>
                  <w:vAlign w:val="center"/>
                </w:tcPr>
                <w:p w14:paraId="15055680">
                  <w:pPr>
                    <w:autoSpaceDE w:val="0"/>
                    <w:autoSpaceDN w:val="0"/>
                    <w:adjustRightInd w:val="0"/>
                    <w:snapToGrid w:val="0"/>
                    <w:jc w:val="left"/>
                    <w:rPr>
                      <w:kern w:val="0"/>
                      <w:szCs w:val="21"/>
                    </w:rPr>
                  </w:pPr>
                </w:p>
              </w:tc>
              <w:tc>
                <w:tcPr>
                  <w:tcW w:w="674" w:type="dxa"/>
                  <w:vMerge w:val="continue"/>
                  <w:vAlign w:val="center"/>
                </w:tcPr>
                <w:p w14:paraId="08D43782">
                  <w:pPr>
                    <w:autoSpaceDE w:val="0"/>
                    <w:autoSpaceDN w:val="0"/>
                    <w:adjustRightInd w:val="0"/>
                    <w:snapToGrid w:val="0"/>
                    <w:jc w:val="center"/>
                    <w:rPr>
                      <w:kern w:val="0"/>
                      <w:szCs w:val="21"/>
                    </w:rPr>
                  </w:pPr>
                </w:p>
              </w:tc>
            </w:tr>
            <w:tr w14:paraId="2EDA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5FE11BD4">
                  <w:pPr>
                    <w:autoSpaceDE w:val="0"/>
                    <w:autoSpaceDN w:val="0"/>
                    <w:adjustRightInd w:val="0"/>
                    <w:snapToGrid w:val="0"/>
                    <w:jc w:val="center"/>
                    <w:rPr>
                      <w:kern w:val="0"/>
                      <w:szCs w:val="21"/>
                    </w:rPr>
                  </w:pPr>
                </w:p>
              </w:tc>
              <w:tc>
                <w:tcPr>
                  <w:tcW w:w="4042" w:type="dxa"/>
                  <w:vAlign w:val="center"/>
                </w:tcPr>
                <w:p w14:paraId="59F58B26">
                  <w:pPr>
                    <w:autoSpaceDE w:val="0"/>
                    <w:autoSpaceDN w:val="0"/>
                    <w:adjustRightInd w:val="0"/>
                    <w:snapToGrid w:val="0"/>
                    <w:jc w:val="center"/>
                    <w:rPr>
                      <w:kern w:val="0"/>
                      <w:szCs w:val="21"/>
                    </w:rPr>
                  </w:pPr>
                  <w:r>
                    <w:rPr>
                      <w:kern w:val="0"/>
                      <w:szCs w:val="21"/>
                    </w:rPr>
                    <w:t>7.1.3 妥善处置固体废物，不应非法转移、倾倒、利用和处置。</w:t>
                  </w:r>
                </w:p>
              </w:tc>
              <w:tc>
                <w:tcPr>
                  <w:tcW w:w="2839" w:type="dxa"/>
                  <w:vMerge w:val="continue"/>
                  <w:vAlign w:val="center"/>
                </w:tcPr>
                <w:p w14:paraId="3BE829AA">
                  <w:pPr>
                    <w:autoSpaceDE w:val="0"/>
                    <w:autoSpaceDN w:val="0"/>
                    <w:adjustRightInd w:val="0"/>
                    <w:snapToGrid w:val="0"/>
                    <w:jc w:val="left"/>
                    <w:rPr>
                      <w:kern w:val="0"/>
                      <w:szCs w:val="21"/>
                    </w:rPr>
                  </w:pPr>
                </w:p>
              </w:tc>
              <w:tc>
                <w:tcPr>
                  <w:tcW w:w="674" w:type="dxa"/>
                  <w:vMerge w:val="continue"/>
                  <w:vAlign w:val="center"/>
                </w:tcPr>
                <w:p w14:paraId="54933812">
                  <w:pPr>
                    <w:autoSpaceDE w:val="0"/>
                    <w:autoSpaceDN w:val="0"/>
                    <w:adjustRightInd w:val="0"/>
                    <w:snapToGrid w:val="0"/>
                    <w:jc w:val="center"/>
                    <w:rPr>
                      <w:kern w:val="0"/>
                      <w:szCs w:val="21"/>
                    </w:rPr>
                  </w:pPr>
                </w:p>
              </w:tc>
            </w:tr>
            <w:tr w14:paraId="021B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restart"/>
                  <w:vAlign w:val="center"/>
                </w:tcPr>
                <w:p w14:paraId="216F0CC5">
                  <w:pPr>
                    <w:autoSpaceDE w:val="0"/>
                    <w:autoSpaceDN w:val="0"/>
                    <w:adjustRightInd w:val="0"/>
                    <w:snapToGrid w:val="0"/>
                    <w:jc w:val="center"/>
                    <w:rPr>
                      <w:kern w:val="0"/>
                      <w:szCs w:val="21"/>
                    </w:rPr>
                  </w:pPr>
                  <w:r>
                    <w:rPr>
                      <w:kern w:val="0"/>
                      <w:szCs w:val="21"/>
                    </w:rPr>
                    <w:t>拆解后处置</w:t>
                  </w:r>
                </w:p>
              </w:tc>
              <w:tc>
                <w:tcPr>
                  <w:tcW w:w="4042" w:type="dxa"/>
                  <w:vAlign w:val="center"/>
                </w:tcPr>
                <w:p w14:paraId="3C49AD2B">
                  <w:pPr>
                    <w:autoSpaceDE w:val="0"/>
                    <w:autoSpaceDN w:val="0"/>
                    <w:adjustRightInd w:val="0"/>
                    <w:snapToGrid w:val="0"/>
                    <w:jc w:val="center"/>
                    <w:rPr>
                      <w:kern w:val="0"/>
                      <w:szCs w:val="21"/>
                    </w:rPr>
                  </w:pPr>
                  <w:r>
                    <w:rPr>
                      <w:kern w:val="0"/>
                      <w:szCs w:val="21"/>
                    </w:rPr>
                    <w:t>8.1 废液应使用专用密闭容积存储，防漏、防洒溅、防挥发，并交给具有相应资质的废液回收处理企业处置。</w:t>
                  </w:r>
                </w:p>
              </w:tc>
              <w:tc>
                <w:tcPr>
                  <w:tcW w:w="2839" w:type="dxa"/>
                  <w:vMerge w:val="restart"/>
                  <w:vAlign w:val="center"/>
                </w:tcPr>
                <w:p w14:paraId="71852F06">
                  <w:pPr>
                    <w:autoSpaceDE w:val="0"/>
                    <w:autoSpaceDN w:val="0"/>
                    <w:adjustRightInd w:val="0"/>
                    <w:snapToGrid w:val="0"/>
                    <w:rPr>
                      <w:kern w:val="0"/>
                      <w:szCs w:val="21"/>
                    </w:rPr>
                  </w:pPr>
                  <w:r>
                    <w:rPr>
                      <w:kern w:val="0"/>
                      <w:szCs w:val="21"/>
                    </w:rPr>
                    <w:t>本项目废旧农机拆除的金属类和非金属类废物分类存放后定期外售给废旧物资回收公司；项目</w:t>
                  </w:r>
                  <w:r>
                    <w:rPr>
                      <w:szCs w:val="21"/>
                    </w:rPr>
                    <w:t>拆解后的可再利用零部件量较少，不会长期贮存，因此无需清洗和防锈操作；</w:t>
                  </w:r>
                  <w:r>
                    <w:rPr>
                      <w:kern w:val="0"/>
                      <w:szCs w:val="21"/>
                    </w:rPr>
                    <w:t>拆解过程产生的碎皮革、碎玻璃等不可回收物以及生活垃圾一同交由环卫部门统一清运处理；危险废物收集后委托有资质单位处置，根据后文固体废物分析，本项目所产生的固体废物处置符合（GB18599-2020）、（GB18597-2023）中相关规定。</w:t>
                  </w:r>
                </w:p>
              </w:tc>
              <w:tc>
                <w:tcPr>
                  <w:tcW w:w="674" w:type="dxa"/>
                  <w:vMerge w:val="restart"/>
                  <w:vAlign w:val="center"/>
                </w:tcPr>
                <w:p w14:paraId="1D69E24E">
                  <w:pPr>
                    <w:autoSpaceDE w:val="0"/>
                    <w:autoSpaceDN w:val="0"/>
                    <w:adjustRightInd w:val="0"/>
                    <w:snapToGrid w:val="0"/>
                    <w:jc w:val="center"/>
                    <w:rPr>
                      <w:kern w:val="0"/>
                      <w:szCs w:val="21"/>
                    </w:rPr>
                  </w:pPr>
                  <w:r>
                    <w:rPr>
                      <w:kern w:val="0"/>
                      <w:szCs w:val="21"/>
                    </w:rPr>
                    <w:t>相符</w:t>
                  </w:r>
                </w:p>
              </w:tc>
            </w:tr>
            <w:tr w14:paraId="3F96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78902E5D">
                  <w:pPr>
                    <w:autoSpaceDE w:val="0"/>
                    <w:autoSpaceDN w:val="0"/>
                    <w:adjustRightInd w:val="0"/>
                    <w:snapToGrid w:val="0"/>
                    <w:jc w:val="center"/>
                    <w:rPr>
                      <w:kern w:val="0"/>
                      <w:szCs w:val="21"/>
                    </w:rPr>
                  </w:pPr>
                </w:p>
              </w:tc>
              <w:tc>
                <w:tcPr>
                  <w:tcW w:w="4042" w:type="dxa"/>
                  <w:vAlign w:val="center"/>
                </w:tcPr>
                <w:p w14:paraId="4E4F95F4">
                  <w:pPr>
                    <w:autoSpaceDE w:val="0"/>
                    <w:autoSpaceDN w:val="0"/>
                    <w:adjustRightInd w:val="0"/>
                    <w:snapToGrid w:val="0"/>
                    <w:jc w:val="center"/>
                    <w:rPr>
                      <w:kern w:val="0"/>
                      <w:szCs w:val="21"/>
                    </w:rPr>
                  </w:pPr>
                  <w:r>
                    <w:rPr>
                      <w:kern w:val="0"/>
                      <w:szCs w:val="21"/>
                    </w:rPr>
                    <w:t>8.2 拆解后的可再利用零部件存储前，应做好清洗和防锈等处理后在室内存储，并标明“回用件”。</w:t>
                  </w:r>
                </w:p>
              </w:tc>
              <w:tc>
                <w:tcPr>
                  <w:tcW w:w="2839" w:type="dxa"/>
                  <w:vMerge w:val="continue"/>
                  <w:vAlign w:val="center"/>
                </w:tcPr>
                <w:p w14:paraId="5E389F42">
                  <w:pPr>
                    <w:autoSpaceDE w:val="0"/>
                    <w:autoSpaceDN w:val="0"/>
                    <w:adjustRightInd w:val="0"/>
                    <w:snapToGrid w:val="0"/>
                    <w:jc w:val="center"/>
                    <w:rPr>
                      <w:kern w:val="0"/>
                      <w:szCs w:val="21"/>
                    </w:rPr>
                  </w:pPr>
                </w:p>
              </w:tc>
              <w:tc>
                <w:tcPr>
                  <w:tcW w:w="674" w:type="dxa"/>
                  <w:vMerge w:val="continue"/>
                  <w:vAlign w:val="center"/>
                </w:tcPr>
                <w:p w14:paraId="3D429D37">
                  <w:pPr>
                    <w:autoSpaceDE w:val="0"/>
                    <w:autoSpaceDN w:val="0"/>
                    <w:adjustRightInd w:val="0"/>
                    <w:snapToGrid w:val="0"/>
                    <w:jc w:val="center"/>
                    <w:rPr>
                      <w:kern w:val="0"/>
                      <w:szCs w:val="21"/>
                    </w:rPr>
                  </w:pPr>
                </w:p>
              </w:tc>
            </w:tr>
            <w:tr w14:paraId="4E8F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7B53C288">
                  <w:pPr>
                    <w:autoSpaceDE w:val="0"/>
                    <w:autoSpaceDN w:val="0"/>
                    <w:adjustRightInd w:val="0"/>
                    <w:snapToGrid w:val="0"/>
                    <w:jc w:val="center"/>
                    <w:rPr>
                      <w:kern w:val="0"/>
                      <w:szCs w:val="21"/>
                    </w:rPr>
                  </w:pPr>
                </w:p>
              </w:tc>
              <w:tc>
                <w:tcPr>
                  <w:tcW w:w="4042" w:type="dxa"/>
                  <w:vAlign w:val="center"/>
                </w:tcPr>
                <w:p w14:paraId="575AC488">
                  <w:pPr>
                    <w:autoSpaceDE w:val="0"/>
                    <w:autoSpaceDN w:val="0"/>
                    <w:adjustRightInd w:val="0"/>
                    <w:snapToGrid w:val="0"/>
                    <w:jc w:val="center"/>
                    <w:rPr>
                      <w:kern w:val="0"/>
                      <w:szCs w:val="21"/>
                    </w:rPr>
                  </w:pPr>
                  <w:r>
                    <w:rPr>
                      <w:kern w:val="0"/>
                      <w:szCs w:val="21"/>
                    </w:rPr>
                    <w:t>8.3 拆解后的所有的零部件、材料，废物，应按照GB18484的规定分类存储和标识，废物不得焚烧、丢弃。</w:t>
                  </w:r>
                </w:p>
              </w:tc>
              <w:tc>
                <w:tcPr>
                  <w:tcW w:w="2839" w:type="dxa"/>
                  <w:vMerge w:val="continue"/>
                  <w:vAlign w:val="center"/>
                </w:tcPr>
                <w:p w14:paraId="50326940">
                  <w:pPr>
                    <w:autoSpaceDE w:val="0"/>
                    <w:autoSpaceDN w:val="0"/>
                    <w:adjustRightInd w:val="0"/>
                    <w:snapToGrid w:val="0"/>
                    <w:jc w:val="center"/>
                    <w:rPr>
                      <w:kern w:val="0"/>
                      <w:szCs w:val="21"/>
                    </w:rPr>
                  </w:pPr>
                </w:p>
              </w:tc>
              <w:tc>
                <w:tcPr>
                  <w:tcW w:w="674" w:type="dxa"/>
                  <w:vMerge w:val="continue"/>
                  <w:vAlign w:val="center"/>
                </w:tcPr>
                <w:p w14:paraId="38FC9FE8">
                  <w:pPr>
                    <w:autoSpaceDE w:val="0"/>
                    <w:autoSpaceDN w:val="0"/>
                    <w:adjustRightInd w:val="0"/>
                    <w:snapToGrid w:val="0"/>
                    <w:jc w:val="center"/>
                    <w:rPr>
                      <w:kern w:val="0"/>
                      <w:szCs w:val="21"/>
                    </w:rPr>
                  </w:pPr>
                </w:p>
              </w:tc>
            </w:tr>
            <w:tr w14:paraId="2E48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jc w:val="center"/>
              </w:trPr>
              <w:tc>
                <w:tcPr>
                  <w:tcW w:w="596" w:type="dxa"/>
                  <w:vMerge w:val="continue"/>
                  <w:vAlign w:val="center"/>
                </w:tcPr>
                <w:p w14:paraId="6B268F9B">
                  <w:pPr>
                    <w:autoSpaceDE w:val="0"/>
                    <w:autoSpaceDN w:val="0"/>
                    <w:adjustRightInd w:val="0"/>
                    <w:snapToGrid w:val="0"/>
                    <w:jc w:val="center"/>
                    <w:rPr>
                      <w:kern w:val="0"/>
                      <w:szCs w:val="21"/>
                    </w:rPr>
                  </w:pPr>
                </w:p>
              </w:tc>
              <w:tc>
                <w:tcPr>
                  <w:tcW w:w="4042" w:type="dxa"/>
                  <w:vAlign w:val="center"/>
                </w:tcPr>
                <w:p w14:paraId="41602C9D">
                  <w:pPr>
                    <w:autoSpaceDE w:val="0"/>
                    <w:autoSpaceDN w:val="0"/>
                    <w:adjustRightInd w:val="0"/>
                    <w:snapToGrid w:val="0"/>
                    <w:jc w:val="center"/>
                    <w:rPr>
                      <w:kern w:val="0"/>
                      <w:szCs w:val="21"/>
                    </w:rPr>
                  </w:pPr>
                  <w:r>
                    <w:rPr>
                      <w:kern w:val="0"/>
                      <w:szCs w:val="21"/>
                    </w:rPr>
                    <w:t>8.4 对列入国家危险废物名录的危险废物应按照GB18599的规定进行储存和污染控制管理。</w:t>
                  </w:r>
                </w:p>
              </w:tc>
              <w:tc>
                <w:tcPr>
                  <w:tcW w:w="2839" w:type="dxa"/>
                  <w:vMerge w:val="continue"/>
                  <w:vAlign w:val="center"/>
                </w:tcPr>
                <w:p w14:paraId="219C4DE4">
                  <w:pPr>
                    <w:autoSpaceDE w:val="0"/>
                    <w:autoSpaceDN w:val="0"/>
                    <w:adjustRightInd w:val="0"/>
                    <w:snapToGrid w:val="0"/>
                    <w:jc w:val="center"/>
                    <w:rPr>
                      <w:kern w:val="0"/>
                      <w:szCs w:val="21"/>
                    </w:rPr>
                  </w:pPr>
                </w:p>
              </w:tc>
              <w:tc>
                <w:tcPr>
                  <w:tcW w:w="674" w:type="dxa"/>
                  <w:vMerge w:val="continue"/>
                  <w:vAlign w:val="center"/>
                </w:tcPr>
                <w:p w14:paraId="0464E8EA">
                  <w:pPr>
                    <w:autoSpaceDE w:val="0"/>
                    <w:autoSpaceDN w:val="0"/>
                    <w:adjustRightInd w:val="0"/>
                    <w:snapToGrid w:val="0"/>
                    <w:jc w:val="center"/>
                    <w:rPr>
                      <w:kern w:val="0"/>
                      <w:szCs w:val="21"/>
                    </w:rPr>
                  </w:pPr>
                </w:p>
              </w:tc>
            </w:tr>
            <w:tr w14:paraId="082D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1FCB636D">
                  <w:pPr>
                    <w:autoSpaceDE w:val="0"/>
                    <w:autoSpaceDN w:val="0"/>
                    <w:adjustRightInd w:val="0"/>
                    <w:snapToGrid w:val="0"/>
                    <w:jc w:val="center"/>
                    <w:rPr>
                      <w:kern w:val="0"/>
                      <w:szCs w:val="21"/>
                    </w:rPr>
                  </w:pPr>
                </w:p>
              </w:tc>
              <w:tc>
                <w:tcPr>
                  <w:tcW w:w="4042" w:type="dxa"/>
                  <w:vAlign w:val="center"/>
                </w:tcPr>
                <w:p w14:paraId="58B1FFC6">
                  <w:pPr>
                    <w:autoSpaceDE w:val="0"/>
                    <w:autoSpaceDN w:val="0"/>
                    <w:adjustRightInd w:val="0"/>
                    <w:snapToGrid w:val="0"/>
                    <w:jc w:val="center"/>
                    <w:rPr>
                      <w:kern w:val="0"/>
                      <w:szCs w:val="21"/>
                    </w:rPr>
                  </w:pPr>
                  <w:r>
                    <w:rPr>
                      <w:kern w:val="0"/>
                      <w:szCs w:val="21"/>
                    </w:rPr>
                    <w:t>8.5 拆解后有毒有害的危险废物的存储和处置应符合GB18597的规定，危险废物应交由具有相应资质的企业进行处置。</w:t>
                  </w:r>
                </w:p>
              </w:tc>
              <w:tc>
                <w:tcPr>
                  <w:tcW w:w="2839" w:type="dxa"/>
                  <w:vMerge w:val="continue"/>
                  <w:vAlign w:val="center"/>
                </w:tcPr>
                <w:p w14:paraId="3FAE2B18">
                  <w:pPr>
                    <w:autoSpaceDE w:val="0"/>
                    <w:autoSpaceDN w:val="0"/>
                    <w:adjustRightInd w:val="0"/>
                    <w:snapToGrid w:val="0"/>
                    <w:jc w:val="center"/>
                    <w:rPr>
                      <w:kern w:val="0"/>
                      <w:szCs w:val="21"/>
                    </w:rPr>
                  </w:pPr>
                </w:p>
              </w:tc>
              <w:tc>
                <w:tcPr>
                  <w:tcW w:w="674" w:type="dxa"/>
                  <w:vMerge w:val="continue"/>
                  <w:vAlign w:val="center"/>
                </w:tcPr>
                <w:p w14:paraId="17B7FB3B">
                  <w:pPr>
                    <w:autoSpaceDE w:val="0"/>
                    <w:autoSpaceDN w:val="0"/>
                    <w:adjustRightInd w:val="0"/>
                    <w:snapToGrid w:val="0"/>
                    <w:jc w:val="center"/>
                    <w:rPr>
                      <w:kern w:val="0"/>
                      <w:szCs w:val="21"/>
                    </w:rPr>
                  </w:pPr>
                </w:p>
              </w:tc>
            </w:tr>
            <w:tr w14:paraId="5837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596" w:type="dxa"/>
                  <w:vMerge w:val="continue"/>
                  <w:vAlign w:val="center"/>
                </w:tcPr>
                <w:p w14:paraId="610AA5BB">
                  <w:pPr>
                    <w:autoSpaceDE w:val="0"/>
                    <w:autoSpaceDN w:val="0"/>
                    <w:adjustRightInd w:val="0"/>
                    <w:snapToGrid w:val="0"/>
                    <w:jc w:val="center"/>
                    <w:rPr>
                      <w:kern w:val="0"/>
                      <w:szCs w:val="21"/>
                    </w:rPr>
                  </w:pPr>
                </w:p>
              </w:tc>
              <w:tc>
                <w:tcPr>
                  <w:tcW w:w="4042" w:type="dxa"/>
                  <w:vAlign w:val="center"/>
                </w:tcPr>
                <w:p w14:paraId="7084EEF7">
                  <w:pPr>
                    <w:autoSpaceDE w:val="0"/>
                    <w:autoSpaceDN w:val="0"/>
                    <w:adjustRightInd w:val="0"/>
                    <w:snapToGrid w:val="0"/>
                    <w:jc w:val="center"/>
                    <w:rPr>
                      <w:kern w:val="0"/>
                      <w:szCs w:val="21"/>
                    </w:rPr>
                  </w:pPr>
                  <w:r>
                    <w:rPr>
                      <w:kern w:val="0"/>
                      <w:szCs w:val="21"/>
                    </w:rPr>
                    <w:t>8.6 动力蓄电池、电子元件拆解后应单独存放，对锂电池进行整体拆解存放，做好防止自燃措施，并交由有资质的处置企业进行回收处理，电子元器件应交由废电器资质企业拆解，不可自行拆解。</w:t>
                  </w:r>
                </w:p>
              </w:tc>
              <w:tc>
                <w:tcPr>
                  <w:tcW w:w="2839" w:type="dxa"/>
                  <w:vMerge w:val="continue"/>
                  <w:vAlign w:val="center"/>
                </w:tcPr>
                <w:p w14:paraId="36D0797C">
                  <w:pPr>
                    <w:autoSpaceDE w:val="0"/>
                    <w:autoSpaceDN w:val="0"/>
                    <w:adjustRightInd w:val="0"/>
                    <w:snapToGrid w:val="0"/>
                    <w:jc w:val="center"/>
                    <w:rPr>
                      <w:kern w:val="0"/>
                      <w:szCs w:val="21"/>
                    </w:rPr>
                  </w:pPr>
                </w:p>
              </w:tc>
              <w:tc>
                <w:tcPr>
                  <w:tcW w:w="674" w:type="dxa"/>
                  <w:vMerge w:val="continue"/>
                  <w:vAlign w:val="center"/>
                </w:tcPr>
                <w:p w14:paraId="76D15858">
                  <w:pPr>
                    <w:autoSpaceDE w:val="0"/>
                    <w:autoSpaceDN w:val="0"/>
                    <w:adjustRightInd w:val="0"/>
                    <w:snapToGrid w:val="0"/>
                    <w:jc w:val="center"/>
                    <w:rPr>
                      <w:kern w:val="0"/>
                      <w:szCs w:val="21"/>
                    </w:rPr>
                  </w:pPr>
                </w:p>
              </w:tc>
            </w:tr>
          </w:tbl>
          <w:p w14:paraId="55FBDDF1">
            <w:pPr>
              <w:autoSpaceDE w:val="0"/>
              <w:autoSpaceDN w:val="0"/>
              <w:adjustRightInd w:val="0"/>
              <w:snapToGrid w:val="0"/>
              <w:spacing w:line="360" w:lineRule="auto"/>
              <w:ind w:firstLine="480" w:firstLineChars="200"/>
              <w:rPr>
                <w:kern w:val="0"/>
                <w:sz w:val="24"/>
              </w:rPr>
            </w:pPr>
            <w:r>
              <w:rPr>
                <w:kern w:val="0"/>
                <w:sz w:val="24"/>
              </w:rPr>
              <w:t>综上，本项目建设符合《报废农机机械回收拆解技术规范》（NY/T2900-2022）相关要求。</w:t>
            </w:r>
          </w:p>
          <w:p w14:paraId="3A7E47CF">
            <w:pPr>
              <w:pStyle w:val="32"/>
              <w:tabs>
                <w:tab w:val="left" w:pos="312"/>
              </w:tabs>
              <w:adjustRightInd w:val="0"/>
              <w:snapToGrid w:val="0"/>
              <w:spacing w:line="360" w:lineRule="auto"/>
              <w:ind w:firstLine="482"/>
              <w:rPr>
                <w:b/>
                <w:bCs/>
                <w:kern w:val="0"/>
                <w:sz w:val="24"/>
                <w:szCs w:val="20"/>
              </w:rPr>
            </w:pPr>
            <w:r>
              <w:rPr>
                <w:b/>
                <w:bCs/>
                <w:kern w:val="0"/>
                <w:sz w:val="24"/>
                <w:szCs w:val="20"/>
              </w:rPr>
              <w:t>4.本项目与《河南省生态环境厅办公室关于做好2025年夏季挥发性有机物综合治理工作的通知》（豫环办[2025]25号）相符性分析</w:t>
            </w:r>
          </w:p>
          <w:p w14:paraId="1995A133">
            <w:pPr>
              <w:pStyle w:val="32"/>
              <w:tabs>
                <w:tab w:val="left" w:pos="312"/>
              </w:tabs>
              <w:adjustRightInd w:val="0"/>
              <w:snapToGrid w:val="0"/>
              <w:spacing w:line="360" w:lineRule="auto"/>
              <w:ind w:firstLine="480"/>
              <w:rPr>
                <w:kern w:val="0"/>
                <w:sz w:val="24"/>
                <w:szCs w:val="20"/>
              </w:rPr>
            </w:pPr>
            <w:r>
              <w:rPr>
                <w:kern w:val="0"/>
                <w:sz w:val="24"/>
                <w:szCs w:val="20"/>
              </w:rPr>
              <w:t>本项目与《河南省生态环境厅办公室关于做好2025年夏季挥发性有机物综合治理工作的通知》（豫环办[2025]25号）相符性分析见下表。</w:t>
            </w:r>
          </w:p>
          <w:p w14:paraId="1C55E291">
            <w:pPr>
              <w:pStyle w:val="32"/>
              <w:tabs>
                <w:tab w:val="left" w:pos="312"/>
              </w:tabs>
              <w:adjustRightInd w:val="0"/>
              <w:snapToGrid w:val="0"/>
              <w:ind w:left="420" w:firstLine="0" w:firstLineChars="0"/>
              <w:rPr>
                <w:b/>
                <w:bCs/>
                <w:sz w:val="24"/>
                <w:szCs w:val="32"/>
              </w:rPr>
            </w:pPr>
            <w:r>
              <w:rPr>
                <w:b/>
                <w:bCs/>
                <w:sz w:val="24"/>
                <w:szCs w:val="32"/>
              </w:rPr>
              <w:t>表4  本项目与</w:t>
            </w:r>
            <w:r>
              <w:rPr>
                <w:b/>
                <w:bCs/>
                <w:spacing w:val="-3"/>
                <w:sz w:val="24"/>
              </w:rPr>
              <w:t>（</w:t>
            </w:r>
            <w:r>
              <w:rPr>
                <w:b/>
                <w:bCs/>
                <w:sz w:val="24"/>
              </w:rPr>
              <w:t>豫环办[2025]25号文</w:t>
            </w:r>
            <w:r>
              <w:rPr>
                <w:b/>
                <w:bCs/>
                <w:spacing w:val="-3"/>
                <w:sz w:val="24"/>
              </w:rPr>
              <w:t>）</w:t>
            </w:r>
            <w:r>
              <w:rPr>
                <w:b/>
                <w:bCs/>
                <w:sz w:val="24"/>
                <w:szCs w:val="32"/>
              </w:rPr>
              <w:t>相符性分析一览表</w:t>
            </w:r>
          </w:p>
          <w:tbl>
            <w:tblPr>
              <w:tblStyle w:val="23"/>
              <w:tblW w:w="807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06"/>
              <w:gridCol w:w="4165"/>
              <w:gridCol w:w="2409"/>
              <w:gridCol w:w="799"/>
            </w:tblGrid>
            <w:tr w14:paraId="3372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4871" w:type="dxa"/>
                  <w:gridSpan w:val="2"/>
                  <w:tcBorders>
                    <w:top w:val="single" w:color="auto" w:sz="4" w:space="0"/>
                    <w:left w:val="single" w:color="auto" w:sz="4" w:space="0"/>
                    <w:bottom w:val="single" w:color="auto" w:sz="4" w:space="0"/>
                    <w:right w:val="single" w:color="auto" w:sz="4" w:space="0"/>
                  </w:tcBorders>
                  <w:vAlign w:val="center"/>
                </w:tcPr>
                <w:p w14:paraId="25E1A1A1">
                  <w:pPr>
                    <w:pStyle w:val="56"/>
                  </w:pPr>
                  <w:r>
                    <w:t>文件内容</w:t>
                  </w:r>
                </w:p>
              </w:tc>
              <w:tc>
                <w:tcPr>
                  <w:tcW w:w="2409" w:type="dxa"/>
                  <w:tcBorders>
                    <w:top w:val="single" w:color="auto" w:sz="4" w:space="0"/>
                    <w:left w:val="single" w:color="auto" w:sz="4" w:space="0"/>
                    <w:bottom w:val="single" w:color="auto" w:sz="4" w:space="0"/>
                    <w:right w:val="single" w:color="auto" w:sz="4" w:space="0"/>
                  </w:tcBorders>
                  <w:vAlign w:val="center"/>
                </w:tcPr>
                <w:p w14:paraId="5C0265DE">
                  <w:pPr>
                    <w:pStyle w:val="56"/>
                  </w:pPr>
                  <w:r>
                    <w:t>本项目情况</w:t>
                  </w:r>
                </w:p>
              </w:tc>
              <w:tc>
                <w:tcPr>
                  <w:tcW w:w="799" w:type="dxa"/>
                  <w:tcBorders>
                    <w:top w:val="single" w:color="auto" w:sz="4" w:space="0"/>
                    <w:left w:val="single" w:color="auto" w:sz="4" w:space="0"/>
                    <w:bottom w:val="single" w:color="auto" w:sz="4" w:space="0"/>
                    <w:right w:val="single" w:color="auto" w:sz="4" w:space="0"/>
                  </w:tcBorders>
                  <w:vAlign w:val="center"/>
                </w:tcPr>
                <w:p w14:paraId="630AE152">
                  <w:pPr>
                    <w:pStyle w:val="56"/>
                  </w:pPr>
                  <w:r>
                    <w:t>相符性</w:t>
                  </w:r>
                </w:p>
              </w:tc>
            </w:tr>
            <w:tr w14:paraId="75B2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706" w:type="dxa"/>
                  <w:tcBorders>
                    <w:top w:val="single" w:color="auto" w:sz="4" w:space="0"/>
                    <w:left w:val="single" w:color="auto" w:sz="4" w:space="0"/>
                    <w:bottom w:val="single" w:color="auto" w:sz="4" w:space="0"/>
                    <w:right w:val="single" w:color="auto" w:sz="4" w:space="0"/>
                  </w:tcBorders>
                  <w:vAlign w:val="center"/>
                </w:tcPr>
                <w:p w14:paraId="593A30FF">
                  <w:pPr>
                    <w:pStyle w:val="56"/>
                  </w:pPr>
                  <w:r>
                    <w:t>加强低VOCs含量原辅材料替代</w:t>
                  </w:r>
                </w:p>
              </w:tc>
              <w:tc>
                <w:tcPr>
                  <w:tcW w:w="4165" w:type="dxa"/>
                  <w:tcBorders>
                    <w:top w:val="single" w:color="auto" w:sz="4" w:space="0"/>
                    <w:left w:val="single" w:color="auto" w:sz="4" w:space="0"/>
                    <w:bottom w:val="single" w:color="auto" w:sz="4" w:space="0"/>
                    <w:right w:val="single" w:color="auto" w:sz="4" w:space="0"/>
                  </w:tcBorders>
                  <w:vAlign w:val="center"/>
                </w:tcPr>
                <w:p w14:paraId="2876814D">
                  <w:pPr>
                    <w:pStyle w:val="56"/>
                    <w:jc w:val="both"/>
                  </w:pPr>
                  <w:r>
                    <w:t>组织工业涂装、包装印刷、家具制造、电子制造等重点行业，加大低（无）VOCs含量原辅材料替代力度，采用符合《低挥发性有机化合物含量涂料产品技术要求》（GB/T38597-2020）、《油墨中可挥发性有机化合物含量的限值》（GB38507-2020）、《胶粘剂挥发性有机化合物限量》（GB 33372-2020）、《清洗剂挥发性有机化合物含量限值》（GB38508-2020）等VOCs含量限值标准的涂料、油墨、胶粘剂、清洗剂。按照“可替尽替、应代尽代”的原则，结合行业特点和企业实际，2025年4月底前完成低（无）VOCs原辅材料替代，纳入2025年大气攻坚重点治理任务。已完成源头替代的企业要严格低（无）VOCs含量原辅材料使用管理，未完成的企业要确保达标排放。</w:t>
                  </w:r>
                </w:p>
              </w:tc>
              <w:tc>
                <w:tcPr>
                  <w:tcW w:w="2409" w:type="dxa"/>
                  <w:tcBorders>
                    <w:top w:val="single" w:color="auto" w:sz="4" w:space="0"/>
                    <w:left w:val="single" w:color="auto" w:sz="4" w:space="0"/>
                    <w:bottom w:val="single" w:color="auto" w:sz="4" w:space="0"/>
                    <w:right w:val="single" w:color="auto" w:sz="4" w:space="0"/>
                  </w:tcBorders>
                  <w:vAlign w:val="center"/>
                </w:tcPr>
                <w:p w14:paraId="654B3891">
                  <w:pPr>
                    <w:pStyle w:val="56"/>
                  </w:pPr>
                  <w:r>
                    <w:t>本项目为废旧农机拆解项目，不属于工业涂装、包装印刷、家具制造、电子制造等重点行业。项目运行过程中主要为废油液抽取时产生的少量有机废气，集中收集经活性炭吸附处理后达标排放。</w:t>
                  </w:r>
                </w:p>
              </w:tc>
              <w:tc>
                <w:tcPr>
                  <w:tcW w:w="799" w:type="dxa"/>
                  <w:tcBorders>
                    <w:top w:val="single" w:color="auto" w:sz="4" w:space="0"/>
                    <w:left w:val="single" w:color="auto" w:sz="4" w:space="0"/>
                    <w:bottom w:val="single" w:color="auto" w:sz="4" w:space="0"/>
                    <w:right w:val="single" w:color="auto" w:sz="4" w:space="0"/>
                  </w:tcBorders>
                  <w:vAlign w:val="center"/>
                </w:tcPr>
                <w:p w14:paraId="11C60B77">
                  <w:pPr>
                    <w:pStyle w:val="56"/>
                  </w:pPr>
                  <w:r>
                    <w:t>相符</w:t>
                  </w:r>
                </w:p>
              </w:tc>
            </w:tr>
            <w:tr w14:paraId="5FF9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706" w:type="dxa"/>
                  <w:vMerge w:val="restart"/>
                  <w:tcBorders>
                    <w:top w:val="nil"/>
                    <w:left w:val="single" w:color="auto" w:sz="4" w:space="0"/>
                    <w:bottom w:val="single" w:color="auto" w:sz="4" w:space="0"/>
                    <w:right w:val="single" w:color="auto" w:sz="4" w:space="0"/>
                  </w:tcBorders>
                  <w:vAlign w:val="center"/>
                </w:tcPr>
                <w:p w14:paraId="5BED895B">
                  <w:pPr>
                    <w:pStyle w:val="56"/>
                  </w:pPr>
                  <w:r>
                    <w:t>提升有组织治理能力</w:t>
                  </w:r>
                </w:p>
              </w:tc>
              <w:tc>
                <w:tcPr>
                  <w:tcW w:w="4165" w:type="dxa"/>
                  <w:tcBorders>
                    <w:top w:val="single" w:color="auto" w:sz="4" w:space="0"/>
                    <w:left w:val="single" w:color="auto" w:sz="4" w:space="0"/>
                    <w:bottom w:val="single" w:color="auto" w:sz="4" w:space="0"/>
                    <w:right w:val="single" w:color="auto" w:sz="4" w:space="0"/>
                  </w:tcBorders>
                  <w:vAlign w:val="center"/>
                </w:tcPr>
                <w:p w14:paraId="42BB5E12">
                  <w:pPr>
                    <w:pStyle w:val="56"/>
                    <w:jc w:val="both"/>
                  </w:pPr>
                  <w:r>
                    <w:t>开展低效失效污染治理设施排查整治。持续推进涉VOCs企业低效失效污染治理设施排查整治，淘汰不成熟、不适用、无法稳定达标排放的治理设施。对于能立行立改的问题，督促企业立即整改到位。对于《国家污染防治技术指导目录（2024年，限制类和淘汰类）》（公示稿）列出的低温等离子、光催化、光氧化等淘汰类VOCs治理工艺（恶臭异味治理除外），以及不成熟、不适用、无法稳定达标排放的治理工艺，应依据排放废气特征、VOCs组分及浓度、生产工况等，通过更换适宜高效治理工艺、原辅材料源头替代等方式实施分类整治。对于采用活性炭吸附工艺的企业，应根据废气排放特征，按照相关工程技术规范设计，使废气在吸附装置中有足够的停留时间。对于治理难度大、单一治理工艺难以稳定达标的企业，宜采用多种技术的组合工艺。加大蓄热式氧化燃烧（RTO）、蓄热式催化燃烧（RCO）、催化燃烧（CO）、沸石转轮吸附浓缩等高效治理技术推广力度。</w:t>
                  </w:r>
                </w:p>
              </w:tc>
              <w:tc>
                <w:tcPr>
                  <w:tcW w:w="2409" w:type="dxa"/>
                  <w:tcBorders>
                    <w:top w:val="single" w:color="auto" w:sz="4" w:space="0"/>
                    <w:left w:val="single" w:color="auto" w:sz="4" w:space="0"/>
                    <w:bottom w:val="single" w:color="auto" w:sz="4" w:space="0"/>
                    <w:right w:val="single" w:color="auto" w:sz="4" w:space="0"/>
                  </w:tcBorders>
                  <w:vAlign w:val="center"/>
                </w:tcPr>
                <w:p w14:paraId="2914B59A">
                  <w:pPr>
                    <w:pStyle w:val="56"/>
                    <w:jc w:val="both"/>
                  </w:pPr>
                  <w:r>
                    <w:t>项目运行过程中主要为废油液抽取时产生的少量有机废气，污染物成分简单，且排污量小，拟采用活性炭吸附装置处理。本项目活性炭吸附装置按照《活性炭吸附法处理挥发性有机物污染防治技术规范》（DB4101/T131-2024）要求进行设计，保证废气在活性炭吸附装置中有足够的停留时间。</w:t>
                  </w:r>
                </w:p>
              </w:tc>
              <w:tc>
                <w:tcPr>
                  <w:tcW w:w="799" w:type="dxa"/>
                  <w:tcBorders>
                    <w:top w:val="single" w:color="auto" w:sz="4" w:space="0"/>
                    <w:left w:val="single" w:color="auto" w:sz="4" w:space="0"/>
                    <w:bottom w:val="single" w:color="auto" w:sz="4" w:space="0"/>
                    <w:right w:val="single" w:color="auto" w:sz="4" w:space="0"/>
                  </w:tcBorders>
                  <w:vAlign w:val="center"/>
                </w:tcPr>
                <w:p w14:paraId="1A879F5A">
                  <w:pPr>
                    <w:pStyle w:val="56"/>
                  </w:pPr>
                  <w:r>
                    <w:t>相符</w:t>
                  </w:r>
                </w:p>
              </w:tc>
            </w:tr>
            <w:tr w14:paraId="4D5D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706" w:type="dxa"/>
                  <w:vMerge w:val="continue"/>
                  <w:tcBorders>
                    <w:top w:val="nil"/>
                    <w:left w:val="single" w:color="auto" w:sz="4" w:space="0"/>
                    <w:bottom w:val="single" w:color="auto" w:sz="4" w:space="0"/>
                    <w:right w:val="single" w:color="auto" w:sz="4" w:space="0"/>
                  </w:tcBorders>
                  <w:vAlign w:val="center"/>
                </w:tcPr>
                <w:p w14:paraId="6EB4F836">
                  <w:pPr>
                    <w:widowControl/>
                    <w:jc w:val="left"/>
                    <w:rPr>
                      <w:szCs w:val="21"/>
                    </w:rPr>
                  </w:pPr>
                </w:p>
              </w:tc>
              <w:tc>
                <w:tcPr>
                  <w:tcW w:w="4165" w:type="dxa"/>
                  <w:tcBorders>
                    <w:top w:val="single" w:color="auto" w:sz="4" w:space="0"/>
                    <w:left w:val="single" w:color="auto" w:sz="4" w:space="0"/>
                    <w:bottom w:val="single" w:color="auto" w:sz="4" w:space="0"/>
                    <w:right w:val="single" w:color="auto" w:sz="4" w:space="0"/>
                  </w:tcBorders>
                  <w:vAlign w:val="center"/>
                </w:tcPr>
                <w:p w14:paraId="2FA323C2">
                  <w:pPr>
                    <w:pStyle w:val="56"/>
                    <w:jc w:val="both"/>
                  </w:pPr>
                  <w:r>
                    <w:t>做好污染治理设施耗材更新更换。组织涉VOCs企业及时更换吸附剂、吸收剂、催化剂、蓄热体、过滤棉、电器元件等治理设施耗材，确保治理设施稳定高效运行；及时清运VOCs治理设施产生的废过滤棉、废催化剂、废吸附剂、废吸收剂、废有机溶剂等，规范处理处置危险废物。做好生产设备和治理设施启停机时间、检维修情况、治理设施耗材维护更换、处置情况等台账记录。2025年4月底前组织企业开展一轮次活性炭更换。</w:t>
                  </w:r>
                </w:p>
              </w:tc>
              <w:tc>
                <w:tcPr>
                  <w:tcW w:w="2409" w:type="dxa"/>
                  <w:tcBorders>
                    <w:top w:val="single" w:color="auto" w:sz="4" w:space="0"/>
                    <w:left w:val="single" w:color="auto" w:sz="4" w:space="0"/>
                    <w:bottom w:val="single" w:color="auto" w:sz="4" w:space="0"/>
                    <w:right w:val="single" w:color="auto" w:sz="4" w:space="0"/>
                  </w:tcBorders>
                  <w:vAlign w:val="center"/>
                </w:tcPr>
                <w:p w14:paraId="209F91EF">
                  <w:pPr>
                    <w:pStyle w:val="56"/>
                  </w:pPr>
                  <w:r>
                    <w:t>本项目按要求及时更换活性炭，并按危险废物要求进行贮存，定期交由有资质单位处置；按要求建立</w:t>
                  </w:r>
                  <w:r>
                    <w:rPr>
                      <w:rFonts w:hint="eastAsia"/>
                    </w:rPr>
                    <w:t>生产</w:t>
                  </w:r>
                  <w:r>
                    <w:t>设备和治理设施启停机时间、检维修情况、活性炭更换、处置情况的台账记录。</w:t>
                  </w:r>
                </w:p>
              </w:tc>
              <w:tc>
                <w:tcPr>
                  <w:tcW w:w="799" w:type="dxa"/>
                  <w:tcBorders>
                    <w:top w:val="single" w:color="auto" w:sz="4" w:space="0"/>
                    <w:left w:val="single" w:color="auto" w:sz="4" w:space="0"/>
                    <w:bottom w:val="single" w:color="auto" w:sz="4" w:space="0"/>
                    <w:right w:val="single" w:color="auto" w:sz="4" w:space="0"/>
                  </w:tcBorders>
                  <w:vAlign w:val="center"/>
                </w:tcPr>
                <w:p w14:paraId="24AE4A1A">
                  <w:pPr>
                    <w:pStyle w:val="56"/>
                  </w:pPr>
                  <w:r>
                    <w:t>相符</w:t>
                  </w:r>
                </w:p>
              </w:tc>
            </w:tr>
            <w:tr w14:paraId="65B9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706" w:type="dxa"/>
                  <w:vMerge w:val="continue"/>
                  <w:tcBorders>
                    <w:top w:val="nil"/>
                    <w:left w:val="single" w:color="auto" w:sz="4" w:space="0"/>
                    <w:bottom w:val="single" w:color="auto" w:sz="4" w:space="0"/>
                    <w:right w:val="single" w:color="auto" w:sz="4" w:space="0"/>
                  </w:tcBorders>
                  <w:vAlign w:val="center"/>
                </w:tcPr>
                <w:p w14:paraId="1B7D0525">
                  <w:pPr>
                    <w:widowControl/>
                    <w:jc w:val="left"/>
                    <w:rPr>
                      <w:szCs w:val="21"/>
                    </w:rPr>
                  </w:pPr>
                </w:p>
              </w:tc>
              <w:tc>
                <w:tcPr>
                  <w:tcW w:w="4165" w:type="dxa"/>
                  <w:tcBorders>
                    <w:top w:val="single" w:color="auto" w:sz="4" w:space="0"/>
                    <w:left w:val="single" w:color="auto" w:sz="4" w:space="0"/>
                    <w:bottom w:val="single" w:color="auto" w:sz="4" w:space="0"/>
                    <w:right w:val="single" w:color="auto" w:sz="4" w:space="0"/>
                  </w:tcBorders>
                  <w:vAlign w:val="center"/>
                </w:tcPr>
                <w:p w14:paraId="263B0D39">
                  <w:pPr>
                    <w:pStyle w:val="56"/>
                    <w:jc w:val="both"/>
                  </w:pPr>
                  <w:r>
                    <w:t>加强污染治理设施运行维护。指导督促企业加强污染治理设施运行维护管理，做到治理设施较生产设备“先启后停”。直燃式废气燃烧炉（TO）、RTO、采用高温炉（窑）处理有机废气的，废气在燃烧装置的停留时间不少于0.75s，正常运行时燃烧温度不低于760℃；CO和RCO等燃烧温度一般不低于300℃。采用催化燃烧工艺的企业催化剂床层的设计空速宜低于40000h</w:t>
                  </w:r>
                  <w:r>
                    <w:rPr>
                      <w:vertAlign w:val="superscript"/>
                    </w:rPr>
                    <w:t>-1</w:t>
                  </w:r>
                  <w:r>
                    <w:t>。对于采用一次性吸附工艺的，宜采用颗粒活性炭作为吸附剂，并按设计要求定期更换，更换的吸附剂应封闭保存；对采用吸附—脱附再生工艺的，应定期脱附，并进行回收或销毁处理。采用活性炭吸附工艺的企业，颗粒活性炭碘值不宜低于800mg/g，蜂窝活性炭碘值不宜低于650mg/g；采用活性炭纤维作为吸附剂时，其比表面积不低于1100m</w:t>
                  </w:r>
                  <w:r>
                    <w:rPr>
                      <w:vertAlign w:val="superscript"/>
                    </w:rPr>
                    <w:t>2</w:t>
                  </w:r>
                  <w:r>
                    <w:t>/g（BET法）。采用冷凝工艺的，运行温度不应低于设计温度；油气回收的冷凝温度一般控制在-75℃以下。采用吸收工艺的，吸收剂宜选择低（无）挥发性且对废气中有机组分具有高吸收能力的介质。</w:t>
                  </w:r>
                </w:p>
              </w:tc>
              <w:tc>
                <w:tcPr>
                  <w:tcW w:w="2409" w:type="dxa"/>
                  <w:tcBorders>
                    <w:top w:val="single" w:color="auto" w:sz="4" w:space="0"/>
                    <w:left w:val="single" w:color="auto" w:sz="4" w:space="0"/>
                    <w:bottom w:val="single" w:color="auto" w:sz="4" w:space="0"/>
                    <w:right w:val="single" w:color="auto" w:sz="4" w:space="0"/>
                  </w:tcBorders>
                  <w:vAlign w:val="center"/>
                </w:tcPr>
                <w:p w14:paraId="427700B3">
                  <w:pPr>
                    <w:pStyle w:val="56"/>
                  </w:pPr>
                  <w:r>
                    <w:t>本项目采用活性炭吸附装置处理非甲烷总烃。主要使用颗粒物活性炭作为耗材，碘值不低于800mg/g。</w:t>
                  </w:r>
                </w:p>
              </w:tc>
              <w:tc>
                <w:tcPr>
                  <w:tcW w:w="799" w:type="dxa"/>
                  <w:tcBorders>
                    <w:top w:val="single" w:color="auto" w:sz="4" w:space="0"/>
                    <w:left w:val="single" w:color="auto" w:sz="4" w:space="0"/>
                    <w:bottom w:val="single" w:color="auto" w:sz="4" w:space="0"/>
                    <w:right w:val="single" w:color="auto" w:sz="4" w:space="0"/>
                  </w:tcBorders>
                  <w:vAlign w:val="center"/>
                </w:tcPr>
                <w:p w14:paraId="6A62A752">
                  <w:pPr>
                    <w:pStyle w:val="56"/>
                  </w:pPr>
                  <w:r>
                    <w:t>相符</w:t>
                  </w:r>
                </w:p>
              </w:tc>
            </w:tr>
            <w:tr w14:paraId="5F43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706" w:type="dxa"/>
                  <w:tcBorders>
                    <w:top w:val="single" w:color="auto" w:sz="4" w:space="0"/>
                    <w:left w:val="single" w:color="auto" w:sz="4" w:space="0"/>
                    <w:bottom w:val="single" w:color="auto" w:sz="4" w:space="0"/>
                    <w:right w:val="single" w:color="auto" w:sz="4" w:space="0"/>
                  </w:tcBorders>
                  <w:vAlign w:val="center"/>
                </w:tcPr>
                <w:p w14:paraId="26359145">
                  <w:pPr>
                    <w:pStyle w:val="56"/>
                  </w:pPr>
                  <w:r>
                    <w:t>强化无组织排放管控</w:t>
                  </w:r>
                </w:p>
              </w:tc>
              <w:tc>
                <w:tcPr>
                  <w:tcW w:w="4165" w:type="dxa"/>
                  <w:tcBorders>
                    <w:top w:val="single" w:color="auto" w:sz="4" w:space="0"/>
                    <w:left w:val="single" w:color="auto" w:sz="4" w:space="0"/>
                    <w:bottom w:val="single" w:color="auto" w:sz="4" w:space="0"/>
                    <w:right w:val="single" w:color="auto" w:sz="4" w:space="0"/>
                  </w:tcBorders>
                  <w:vAlign w:val="center"/>
                </w:tcPr>
                <w:p w14:paraId="7012DCEE">
                  <w:pPr>
                    <w:pStyle w:val="56"/>
                    <w:jc w:val="both"/>
                  </w:pPr>
                  <w:r>
                    <w:t>提升VOCs废气收集能力。指导督促企业按照“应收尽收、分质收集”的原则，科学设计废气收集系统，提升废气收集效率。产生VOCs的生产环节优先采用密闭设备、在密闭空间中操作或采用全密闭集气罩收集方式，并保持负压运行；采用集气罩、侧吸风等方式收集无组织废气的，距集气罩开口面最远处的控制风速不低于0.3米/秒或按相关行业要求规定执行；推广以生产线或设备为单位设置隔间，收集风量应确保隔间保持微负压；含VOCs物料输送应采用重力流或泵送方式，严禁敞开式转运含VOCs物料，有机液体进料鼓励采用底部、浸入管给料方式；废气收集系统的输送管道应密闭、无破损。2025年5月底前，各地对VOCs废气密闭收集能力进行全面排查，对采用集气罩、侧吸风等措施收集VOCs废气的企业开展一轮风速实测，对于敞开式生产未配备收集设施、废气收集系统控制风速达不到标准要求、废气收集系统输送管道破损泄漏严重等问题限期进行整治提升，并将整治提升任务纳入2025年大气攻坚重点治理任务。</w:t>
                  </w:r>
                </w:p>
              </w:tc>
              <w:tc>
                <w:tcPr>
                  <w:tcW w:w="2409" w:type="dxa"/>
                  <w:tcBorders>
                    <w:top w:val="single" w:color="auto" w:sz="4" w:space="0"/>
                    <w:left w:val="single" w:color="auto" w:sz="4" w:space="0"/>
                    <w:bottom w:val="single" w:color="auto" w:sz="4" w:space="0"/>
                    <w:right w:val="single" w:color="auto" w:sz="4" w:space="0"/>
                  </w:tcBorders>
                  <w:vAlign w:val="center"/>
                </w:tcPr>
                <w:p w14:paraId="1EB280A3">
                  <w:pPr>
                    <w:pStyle w:val="56"/>
                  </w:pPr>
                  <w:r>
                    <w:t>本项目集气罩开口面最远处的控制风速不低于0.3米/秒，产生的VOCs废气经负压收集后进入活性炭吸附装置进行处理，处理后达标排放。</w:t>
                  </w:r>
                </w:p>
              </w:tc>
              <w:tc>
                <w:tcPr>
                  <w:tcW w:w="799" w:type="dxa"/>
                  <w:tcBorders>
                    <w:top w:val="single" w:color="auto" w:sz="4" w:space="0"/>
                    <w:left w:val="single" w:color="auto" w:sz="4" w:space="0"/>
                    <w:bottom w:val="single" w:color="auto" w:sz="4" w:space="0"/>
                    <w:right w:val="single" w:color="auto" w:sz="4" w:space="0"/>
                  </w:tcBorders>
                  <w:vAlign w:val="center"/>
                </w:tcPr>
                <w:p w14:paraId="40FDAF87">
                  <w:pPr>
                    <w:pStyle w:val="56"/>
                  </w:pPr>
                  <w:r>
                    <w:t>相符</w:t>
                  </w:r>
                </w:p>
              </w:tc>
            </w:tr>
          </w:tbl>
          <w:p w14:paraId="401F4B33">
            <w:pPr>
              <w:pStyle w:val="55"/>
              <w:ind w:firstLine="480"/>
              <w:rPr>
                <w:rFonts w:cs="Times New Roman"/>
              </w:rPr>
            </w:pPr>
            <w:r>
              <w:rPr>
                <w:rFonts w:cs="Times New Roman"/>
              </w:rPr>
              <w:t>由上表可知，本项目建设符合《河南省生态环境厅办公室关于做好2025年夏季挥发性有机物综合治理工作的通知》（豫环办[2025]25号）要求。</w:t>
            </w:r>
          </w:p>
          <w:p w14:paraId="0B94AF35">
            <w:pPr>
              <w:pStyle w:val="32"/>
              <w:tabs>
                <w:tab w:val="left" w:pos="312"/>
              </w:tabs>
              <w:adjustRightInd w:val="0"/>
              <w:snapToGrid w:val="0"/>
              <w:spacing w:line="360" w:lineRule="auto"/>
              <w:ind w:firstLine="482"/>
              <w:rPr>
                <w:b/>
                <w:bCs/>
                <w:kern w:val="0"/>
                <w:sz w:val="24"/>
                <w:szCs w:val="20"/>
                <w:u w:val="single"/>
              </w:rPr>
            </w:pPr>
            <w:r>
              <w:rPr>
                <w:b/>
                <w:bCs/>
                <w:kern w:val="0"/>
                <w:sz w:val="24"/>
                <w:szCs w:val="20"/>
                <w:u w:val="single"/>
              </w:rPr>
              <w:t>5.本项目</w:t>
            </w:r>
            <w:r>
              <w:rPr>
                <w:rFonts w:hint="eastAsia"/>
                <w:b/>
                <w:bCs/>
                <w:kern w:val="0"/>
                <w:sz w:val="24"/>
                <w:szCs w:val="20"/>
                <w:u w:val="single"/>
              </w:rPr>
              <w:t>与《商丘市生态环境局关于印发商丘市2025年夏季空气质量提升工作方案的通知》</w:t>
            </w:r>
            <w:r>
              <w:rPr>
                <w:b/>
                <w:bCs/>
                <w:kern w:val="0"/>
                <w:sz w:val="24"/>
                <w:szCs w:val="20"/>
                <w:u w:val="single"/>
              </w:rPr>
              <w:t>相符性分析</w:t>
            </w:r>
          </w:p>
          <w:p w14:paraId="62124943">
            <w:pPr>
              <w:pStyle w:val="32"/>
              <w:tabs>
                <w:tab w:val="left" w:pos="312"/>
              </w:tabs>
              <w:adjustRightInd w:val="0"/>
              <w:snapToGrid w:val="0"/>
              <w:spacing w:line="360" w:lineRule="auto"/>
              <w:ind w:firstLine="482"/>
              <w:rPr>
                <w:b/>
                <w:bCs/>
                <w:kern w:val="0"/>
                <w:sz w:val="24"/>
                <w:szCs w:val="20"/>
                <w:u w:val="single"/>
              </w:rPr>
            </w:pPr>
            <w:r>
              <w:rPr>
                <w:rFonts w:hint="eastAsia"/>
                <w:b/>
                <w:bCs/>
                <w:kern w:val="0"/>
                <w:sz w:val="24"/>
                <w:szCs w:val="20"/>
                <w:u w:val="single"/>
              </w:rPr>
              <w:t>本项目与《商丘市生态环境局关于印发商丘市2025年夏季空气质量提升工作方案的通知》相符性分析</w:t>
            </w:r>
            <w:r>
              <w:rPr>
                <w:b/>
                <w:bCs/>
                <w:kern w:val="0"/>
                <w:sz w:val="24"/>
                <w:szCs w:val="20"/>
                <w:u w:val="single"/>
              </w:rPr>
              <w:t>见下表。</w:t>
            </w:r>
          </w:p>
          <w:p w14:paraId="72917457">
            <w:pPr>
              <w:pStyle w:val="32"/>
              <w:tabs>
                <w:tab w:val="left" w:pos="312"/>
              </w:tabs>
              <w:adjustRightInd w:val="0"/>
              <w:snapToGrid w:val="0"/>
              <w:ind w:left="420" w:firstLine="0" w:firstLineChars="0"/>
              <w:rPr>
                <w:b/>
                <w:bCs/>
                <w:sz w:val="24"/>
                <w:szCs w:val="32"/>
                <w:u w:val="single"/>
              </w:rPr>
            </w:pPr>
            <w:r>
              <w:rPr>
                <w:b/>
                <w:bCs/>
                <w:sz w:val="24"/>
                <w:szCs w:val="32"/>
                <w:u w:val="single"/>
              </w:rPr>
              <w:t>表5  本项目与</w:t>
            </w:r>
            <w:r>
              <w:rPr>
                <w:rFonts w:hint="eastAsia"/>
                <w:b/>
                <w:bCs/>
                <w:spacing w:val="-3"/>
                <w:sz w:val="24"/>
                <w:u w:val="single"/>
              </w:rPr>
              <w:t>《商丘市2025年夏季空气质量提升工作方案》</w:t>
            </w:r>
            <w:r>
              <w:rPr>
                <w:b/>
                <w:bCs/>
                <w:sz w:val="24"/>
                <w:szCs w:val="32"/>
                <w:u w:val="single"/>
              </w:rPr>
              <w:t>相符性</w:t>
            </w:r>
          </w:p>
          <w:tbl>
            <w:tblPr>
              <w:tblStyle w:val="23"/>
              <w:tblW w:w="807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06"/>
              <w:gridCol w:w="4165"/>
              <w:gridCol w:w="2409"/>
              <w:gridCol w:w="799"/>
            </w:tblGrid>
            <w:tr w14:paraId="0100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4871" w:type="dxa"/>
                  <w:gridSpan w:val="2"/>
                  <w:tcBorders>
                    <w:top w:val="single" w:color="auto" w:sz="4" w:space="0"/>
                    <w:left w:val="single" w:color="auto" w:sz="4" w:space="0"/>
                    <w:bottom w:val="single" w:color="auto" w:sz="4" w:space="0"/>
                    <w:right w:val="single" w:color="auto" w:sz="4" w:space="0"/>
                  </w:tcBorders>
                  <w:vAlign w:val="center"/>
                </w:tcPr>
                <w:p w14:paraId="5129281D">
                  <w:pPr>
                    <w:pStyle w:val="56"/>
                    <w:rPr>
                      <w:b/>
                      <w:bCs/>
                      <w:u w:val="single"/>
                    </w:rPr>
                  </w:pPr>
                  <w:r>
                    <w:rPr>
                      <w:b/>
                      <w:bCs/>
                      <w:u w:val="single"/>
                    </w:rPr>
                    <w:t>文件内容</w:t>
                  </w:r>
                </w:p>
              </w:tc>
              <w:tc>
                <w:tcPr>
                  <w:tcW w:w="2409" w:type="dxa"/>
                  <w:tcBorders>
                    <w:top w:val="single" w:color="auto" w:sz="4" w:space="0"/>
                    <w:left w:val="single" w:color="auto" w:sz="4" w:space="0"/>
                    <w:bottom w:val="single" w:color="auto" w:sz="4" w:space="0"/>
                    <w:right w:val="single" w:color="auto" w:sz="4" w:space="0"/>
                  </w:tcBorders>
                  <w:vAlign w:val="center"/>
                </w:tcPr>
                <w:p w14:paraId="32F4B9C7">
                  <w:pPr>
                    <w:pStyle w:val="56"/>
                    <w:rPr>
                      <w:b/>
                      <w:bCs/>
                      <w:u w:val="single"/>
                    </w:rPr>
                  </w:pPr>
                  <w:r>
                    <w:rPr>
                      <w:b/>
                      <w:bCs/>
                      <w:u w:val="single"/>
                    </w:rPr>
                    <w:t>本项目情况</w:t>
                  </w:r>
                </w:p>
              </w:tc>
              <w:tc>
                <w:tcPr>
                  <w:tcW w:w="799" w:type="dxa"/>
                  <w:tcBorders>
                    <w:top w:val="single" w:color="auto" w:sz="4" w:space="0"/>
                    <w:left w:val="single" w:color="auto" w:sz="4" w:space="0"/>
                    <w:bottom w:val="single" w:color="auto" w:sz="4" w:space="0"/>
                    <w:right w:val="single" w:color="auto" w:sz="4" w:space="0"/>
                  </w:tcBorders>
                  <w:vAlign w:val="center"/>
                </w:tcPr>
                <w:p w14:paraId="7187C794">
                  <w:pPr>
                    <w:pStyle w:val="56"/>
                    <w:rPr>
                      <w:b/>
                      <w:bCs/>
                      <w:u w:val="single"/>
                    </w:rPr>
                  </w:pPr>
                  <w:r>
                    <w:rPr>
                      <w:b/>
                      <w:bCs/>
                      <w:u w:val="single"/>
                    </w:rPr>
                    <w:t>相符性</w:t>
                  </w:r>
                </w:p>
              </w:tc>
            </w:tr>
            <w:tr w14:paraId="6AE7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706" w:type="dxa"/>
                  <w:vMerge w:val="restart"/>
                  <w:tcBorders>
                    <w:top w:val="single" w:color="auto" w:sz="4" w:space="0"/>
                    <w:left w:val="single" w:color="auto" w:sz="4" w:space="0"/>
                    <w:right w:val="single" w:color="auto" w:sz="4" w:space="0"/>
                  </w:tcBorders>
                  <w:vAlign w:val="center"/>
                </w:tcPr>
                <w:p w14:paraId="094D5DEE">
                  <w:pPr>
                    <w:pStyle w:val="56"/>
                    <w:rPr>
                      <w:b/>
                      <w:bCs/>
                      <w:u w:val="single"/>
                    </w:rPr>
                  </w:pPr>
                  <w:r>
                    <w:rPr>
                      <w:rFonts w:hint="eastAsia"/>
                      <w:b/>
                      <w:bCs/>
                      <w:u w:val="single"/>
                    </w:rPr>
                    <w:t>工业源污染综合整治</w:t>
                  </w:r>
                </w:p>
              </w:tc>
              <w:tc>
                <w:tcPr>
                  <w:tcW w:w="4165" w:type="dxa"/>
                  <w:tcBorders>
                    <w:top w:val="single" w:color="auto" w:sz="4" w:space="0"/>
                    <w:left w:val="single" w:color="auto" w:sz="4" w:space="0"/>
                    <w:bottom w:val="single" w:color="auto" w:sz="4" w:space="0"/>
                    <w:right w:val="single" w:color="auto" w:sz="4" w:space="0"/>
                  </w:tcBorders>
                  <w:vAlign w:val="center"/>
                </w:tcPr>
                <w:p w14:paraId="78193BFD">
                  <w:pPr>
                    <w:pStyle w:val="56"/>
                    <w:jc w:val="both"/>
                    <w:rPr>
                      <w:b/>
                      <w:bCs/>
                      <w:u w:val="single"/>
                    </w:rPr>
                  </w:pPr>
                  <w:r>
                    <w:rPr>
                      <w:rFonts w:hint="eastAsia"/>
                      <w:b/>
                      <w:bCs/>
                      <w:u w:val="single"/>
                    </w:rPr>
                    <w:t>1.VOCs治理设备耗材更新更换。2025年5月底前，使用活性炭吸附法、活性炭吸脱附+蓄热式催化燃烧炉(RCO)/蓄热式热力燃烧炉(RTO)/催化燃烧炉(C0)组合以及采用催化燃烧工艺的企业，V0Cs不能稳定达标的，应及时全部更换活性炭及催化剂；V0Cs处理涉及的吸附剂、吸收剂、蓄热体、过滤棉、灯管、电器元件等治理设施耗材，企业应及时清理、更换，确保设施能够稳定高效运行；对于V0C</w:t>
                  </w:r>
                  <w:r>
                    <w:rPr>
                      <w:rFonts w:hint="eastAsia"/>
                      <w:b/>
                      <w:bCs/>
                      <w:u w:val="single"/>
                      <w:vertAlign w:val="subscript"/>
                    </w:rPr>
                    <w:t>S</w:t>
                  </w:r>
                  <w:r>
                    <w:rPr>
                      <w:rFonts w:hint="eastAsia"/>
                      <w:b/>
                      <w:bCs/>
                      <w:u w:val="single"/>
                    </w:rPr>
                    <w:t>治理设施产生的废过滤棉、废催化剂、废吸附剂、废吸收剂、废有机溶剂等，企业应及时清运；属于危险废物的应及时处理处置，禁止露天存放，坚决杜绝“跑冒滴漏”现象。</w:t>
                  </w:r>
                </w:p>
              </w:tc>
              <w:tc>
                <w:tcPr>
                  <w:tcW w:w="2409" w:type="dxa"/>
                  <w:tcBorders>
                    <w:top w:val="single" w:color="auto" w:sz="4" w:space="0"/>
                    <w:left w:val="single" w:color="auto" w:sz="4" w:space="0"/>
                    <w:bottom w:val="single" w:color="auto" w:sz="4" w:space="0"/>
                    <w:right w:val="single" w:color="auto" w:sz="4" w:space="0"/>
                  </w:tcBorders>
                  <w:vAlign w:val="center"/>
                </w:tcPr>
                <w:p w14:paraId="7B1F5E04">
                  <w:pPr>
                    <w:pStyle w:val="56"/>
                    <w:rPr>
                      <w:b/>
                      <w:bCs/>
                      <w:u w:val="single"/>
                    </w:rPr>
                  </w:pPr>
                  <w:r>
                    <w:rPr>
                      <w:b/>
                      <w:bCs/>
                      <w:u w:val="single"/>
                    </w:rPr>
                    <w:t>本项目按要求及时更换活性炭，并按危险废物要求</w:t>
                  </w:r>
                  <w:r>
                    <w:rPr>
                      <w:rFonts w:hint="eastAsia"/>
                      <w:b/>
                      <w:bCs/>
                      <w:u w:val="single"/>
                    </w:rPr>
                    <w:t>在危废间内</w:t>
                  </w:r>
                  <w:r>
                    <w:rPr>
                      <w:b/>
                      <w:bCs/>
                      <w:u w:val="single"/>
                    </w:rPr>
                    <w:t>贮存，定期交由有资质单位处置；按要求建立</w:t>
                  </w:r>
                  <w:r>
                    <w:rPr>
                      <w:rFonts w:hint="eastAsia"/>
                      <w:b/>
                      <w:bCs/>
                      <w:u w:val="single"/>
                    </w:rPr>
                    <w:t>生产</w:t>
                  </w:r>
                  <w:r>
                    <w:rPr>
                      <w:b/>
                      <w:bCs/>
                      <w:u w:val="single"/>
                    </w:rPr>
                    <w:t>设备和治理设施启停机时间、检维修情况、活性炭更换、处置情况的台账记录。</w:t>
                  </w:r>
                </w:p>
              </w:tc>
              <w:tc>
                <w:tcPr>
                  <w:tcW w:w="799" w:type="dxa"/>
                  <w:tcBorders>
                    <w:top w:val="single" w:color="auto" w:sz="4" w:space="0"/>
                    <w:left w:val="single" w:color="auto" w:sz="4" w:space="0"/>
                    <w:bottom w:val="single" w:color="auto" w:sz="4" w:space="0"/>
                    <w:right w:val="single" w:color="auto" w:sz="4" w:space="0"/>
                  </w:tcBorders>
                  <w:vAlign w:val="center"/>
                </w:tcPr>
                <w:p w14:paraId="7D66C6D8">
                  <w:pPr>
                    <w:pStyle w:val="56"/>
                    <w:rPr>
                      <w:b/>
                      <w:bCs/>
                      <w:u w:val="single"/>
                    </w:rPr>
                  </w:pPr>
                  <w:r>
                    <w:rPr>
                      <w:b/>
                      <w:bCs/>
                      <w:u w:val="single"/>
                    </w:rPr>
                    <w:t>相符</w:t>
                  </w:r>
                </w:p>
              </w:tc>
            </w:tr>
            <w:tr w14:paraId="047F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706" w:type="dxa"/>
                  <w:vMerge w:val="continue"/>
                  <w:tcBorders>
                    <w:left w:val="single" w:color="auto" w:sz="4" w:space="0"/>
                    <w:right w:val="single" w:color="auto" w:sz="4" w:space="0"/>
                  </w:tcBorders>
                  <w:vAlign w:val="center"/>
                </w:tcPr>
                <w:p w14:paraId="47C2A53B">
                  <w:pPr>
                    <w:pStyle w:val="56"/>
                    <w:rPr>
                      <w:b/>
                      <w:bCs/>
                      <w:u w:val="single"/>
                    </w:rPr>
                  </w:pPr>
                </w:p>
              </w:tc>
              <w:tc>
                <w:tcPr>
                  <w:tcW w:w="4165" w:type="dxa"/>
                  <w:tcBorders>
                    <w:top w:val="single" w:color="auto" w:sz="4" w:space="0"/>
                    <w:left w:val="single" w:color="auto" w:sz="4" w:space="0"/>
                    <w:bottom w:val="single" w:color="auto" w:sz="4" w:space="0"/>
                    <w:right w:val="single" w:color="auto" w:sz="4" w:space="0"/>
                  </w:tcBorders>
                  <w:vAlign w:val="center"/>
                </w:tcPr>
                <w:p w14:paraId="11499730">
                  <w:pPr>
                    <w:pStyle w:val="56"/>
                    <w:jc w:val="both"/>
                    <w:rPr>
                      <w:b/>
                      <w:bCs/>
                      <w:u w:val="single"/>
                    </w:rPr>
                  </w:pPr>
                  <w:r>
                    <w:rPr>
                      <w:rFonts w:hint="eastAsia"/>
                      <w:b/>
                      <w:bCs/>
                      <w:u w:val="single"/>
                    </w:rPr>
                    <w:t>2.低效失效VOCs治理设施整改。采取单一低温等离子体、光氧化、光催化，以及非水溶性VOCs废气采用单一喷淋吸收等治理技术且无法稳定达标的企业，应全面完成升级改造；未完成整改前应实施生产调控。直燃式废气燃烧炉(T</w:t>
                  </w:r>
                  <w:r>
                    <w:rPr>
                      <w:b/>
                      <w:bCs/>
                      <w:u w:val="single"/>
                    </w:rPr>
                    <w:t>O</w:t>
                  </w:r>
                  <w:r>
                    <w:rPr>
                      <w:rFonts w:hint="eastAsia"/>
                      <w:b/>
                      <w:bCs/>
                      <w:u w:val="single"/>
                    </w:rPr>
                    <w:t>)RT</w:t>
                  </w:r>
                  <w:r>
                    <w:rPr>
                      <w:b/>
                      <w:bCs/>
                      <w:u w:val="single"/>
                    </w:rPr>
                    <w:t>O</w:t>
                  </w:r>
                  <w:r>
                    <w:rPr>
                      <w:rFonts w:hint="eastAsia"/>
                      <w:b/>
                      <w:bCs/>
                      <w:u w:val="single"/>
                    </w:rPr>
                    <w:t>、采用高温炉(窑)处理有机废气的，废气在燃烧装置的停留时间不少于0.75</w:t>
                  </w:r>
                  <w:r>
                    <w:rPr>
                      <w:b/>
                      <w:bCs/>
                      <w:u w:val="single"/>
                    </w:rPr>
                    <w:t>,</w:t>
                  </w:r>
                  <w:r>
                    <w:rPr>
                      <w:rFonts w:hint="eastAsia"/>
                      <w:b/>
                      <w:bCs/>
                      <w:u w:val="single"/>
                    </w:rPr>
                    <w:t>正常运行时燃烧温度不低于760℃；CO和RCO等燃烧温度一般不低于300℃。采用催化燃烧工艺的企业催化剂床层的设计空速宜低于40000h</w:t>
                  </w:r>
                  <w:r>
                    <w:rPr>
                      <w:b/>
                      <w:bCs/>
                      <w:u w:val="single"/>
                      <w:vertAlign w:val="superscript"/>
                    </w:rPr>
                    <w:t>-1</w:t>
                  </w:r>
                  <w:r>
                    <w:rPr>
                      <w:rFonts w:hint="eastAsia"/>
                      <w:b/>
                      <w:bCs/>
                      <w:u w:val="single"/>
                    </w:rPr>
                    <w:t>。对于采用一次性吸附工艺的，宜采用颗粒活性炭作为吸附剂，并按设计要求定期更换，更换的吸附剂应封闭保存；对采用吸附一脱附再生工艺的，应定期脱附，并进行回收或销毁处理。采用活性炭吸附工艺的企业，颗粒活性炭碘值不宜低于800mg/g，蜂窝活性炭碘值不宜低于650mg/g；采用活性炭纤维作为吸附剂时，其比表面积不低于1100m/g(BET法)。采用冷凝工艺的，运行温度不应低于设计温度；油气回收的冷凝温度一般控制在-75℃以下。采用吸收工艺的，吸收剂宜选择低(无)挥发性且对废气中有机组分具有高吸收能力的介质。2025年9月底前，完成低效失效治理设施提升改造企业400家以上，未按时完成提升改造的纳入秋冬季生产调控范围。</w:t>
                  </w:r>
                </w:p>
              </w:tc>
              <w:tc>
                <w:tcPr>
                  <w:tcW w:w="2409" w:type="dxa"/>
                  <w:tcBorders>
                    <w:top w:val="single" w:color="auto" w:sz="4" w:space="0"/>
                    <w:left w:val="single" w:color="auto" w:sz="4" w:space="0"/>
                    <w:bottom w:val="single" w:color="auto" w:sz="4" w:space="0"/>
                    <w:right w:val="single" w:color="auto" w:sz="4" w:space="0"/>
                  </w:tcBorders>
                  <w:vAlign w:val="center"/>
                </w:tcPr>
                <w:p w14:paraId="4F39BC3E">
                  <w:pPr>
                    <w:pStyle w:val="56"/>
                    <w:jc w:val="both"/>
                    <w:rPr>
                      <w:b/>
                      <w:bCs/>
                      <w:u w:val="single"/>
                    </w:rPr>
                  </w:pPr>
                  <w:r>
                    <w:rPr>
                      <w:b/>
                      <w:bCs/>
                      <w:u w:val="single"/>
                    </w:rPr>
                    <w:t>项目运行过程中主要为废油液抽取时产生的少量有机废气，污染物成分简单，且排污量小，拟采用活性炭吸附装置处理</w:t>
                  </w:r>
                  <w:r>
                    <w:rPr>
                      <w:rFonts w:hint="eastAsia"/>
                      <w:b/>
                      <w:bCs/>
                      <w:u w:val="single"/>
                    </w:rPr>
                    <w:t>，拟采用颗粒活性炭作为吸附剂，碘值不宜低于800mg/g。</w:t>
                  </w:r>
                </w:p>
                <w:p w14:paraId="74F76C04">
                  <w:pPr>
                    <w:pStyle w:val="56"/>
                    <w:jc w:val="both"/>
                    <w:rPr>
                      <w:b/>
                      <w:bCs/>
                      <w:u w:val="single"/>
                    </w:rPr>
                  </w:pPr>
                  <w:r>
                    <w:rPr>
                      <w:b/>
                      <w:bCs/>
                      <w:u w:val="single"/>
                    </w:rPr>
                    <w:t>本项目活性炭吸附装置按照《活性炭吸附法处理挥发性有机物污染防治技术规范》（DB4101/T131-2024）要求进行设计，保证废气在活性炭吸附装置中有足够的停留时间。</w:t>
                  </w:r>
                </w:p>
              </w:tc>
              <w:tc>
                <w:tcPr>
                  <w:tcW w:w="799" w:type="dxa"/>
                  <w:tcBorders>
                    <w:top w:val="single" w:color="auto" w:sz="4" w:space="0"/>
                    <w:left w:val="single" w:color="auto" w:sz="4" w:space="0"/>
                    <w:bottom w:val="single" w:color="auto" w:sz="4" w:space="0"/>
                    <w:right w:val="single" w:color="auto" w:sz="4" w:space="0"/>
                  </w:tcBorders>
                  <w:vAlign w:val="center"/>
                </w:tcPr>
                <w:p w14:paraId="52F7B8F5">
                  <w:pPr>
                    <w:pStyle w:val="56"/>
                    <w:rPr>
                      <w:b/>
                      <w:bCs/>
                      <w:u w:val="single"/>
                    </w:rPr>
                  </w:pPr>
                  <w:r>
                    <w:rPr>
                      <w:b/>
                      <w:bCs/>
                      <w:u w:val="single"/>
                    </w:rPr>
                    <w:t>相符</w:t>
                  </w:r>
                </w:p>
              </w:tc>
            </w:tr>
            <w:tr w14:paraId="5FDB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706" w:type="dxa"/>
                  <w:vMerge w:val="continue"/>
                  <w:tcBorders>
                    <w:left w:val="single" w:color="auto" w:sz="4" w:space="0"/>
                    <w:bottom w:val="single" w:color="auto" w:sz="4" w:space="0"/>
                    <w:right w:val="single" w:color="auto" w:sz="4" w:space="0"/>
                  </w:tcBorders>
                  <w:vAlign w:val="center"/>
                </w:tcPr>
                <w:p w14:paraId="2827E9A8">
                  <w:pPr>
                    <w:pStyle w:val="56"/>
                    <w:rPr>
                      <w:b/>
                      <w:bCs/>
                      <w:u w:val="single"/>
                    </w:rPr>
                  </w:pPr>
                </w:p>
              </w:tc>
              <w:tc>
                <w:tcPr>
                  <w:tcW w:w="4165" w:type="dxa"/>
                  <w:tcBorders>
                    <w:top w:val="single" w:color="auto" w:sz="4" w:space="0"/>
                    <w:left w:val="single" w:color="auto" w:sz="4" w:space="0"/>
                    <w:bottom w:val="single" w:color="auto" w:sz="4" w:space="0"/>
                    <w:right w:val="single" w:color="auto" w:sz="4" w:space="0"/>
                  </w:tcBorders>
                  <w:vAlign w:val="center"/>
                </w:tcPr>
                <w:p w14:paraId="1E3BAA39">
                  <w:pPr>
                    <w:pStyle w:val="56"/>
                    <w:jc w:val="both"/>
                    <w:rPr>
                      <w:b/>
                      <w:bCs/>
                      <w:u w:val="single"/>
                    </w:rPr>
                  </w:pPr>
                  <w:r>
                    <w:rPr>
                      <w:rFonts w:hint="eastAsia"/>
                      <w:b/>
                      <w:bCs/>
                      <w:u w:val="single"/>
                    </w:rPr>
                    <w:t>11.涉VOCs企业废气收集。产生V0Cs的生产环节优先采用密闭设备、在密闭空间中操作或采用全密闭集气罩收集方式，并保持负压运行。对采用局部收集方式的企业，距废气收集系统排风置开口面最远处的V0Cs无组织排放位置控制风速不应低于0.3m/s；推广以生产线或设备为单位设置隔间，收集风量应确保隔间保持微负压。当废气产生点较多彼此距离较远时，在满足设计规范、风压平衡的基础上，宜分设多套收集系统或中继风机。废气收集系统的输送管道应密闭、无破损。采用车间整体换风收集的，车间厂房在确保安全的前提下应保持封闭状态，除人员、车辆、设备、物料进出时，以及依法设立的排气筒、通风口外，门窗及其他开口(孔)部位应随时保持关闭，鼓励使用双层门、自动门；涉VOCs环节的生产车间应保持微负压，鼓励安装负压计。</w:t>
                  </w:r>
                </w:p>
              </w:tc>
              <w:tc>
                <w:tcPr>
                  <w:tcW w:w="2409" w:type="dxa"/>
                  <w:tcBorders>
                    <w:top w:val="single" w:color="auto" w:sz="4" w:space="0"/>
                    <w:left w:val="single" w:color="auto" w:sz="4" w:space="0"/>
                    <w:bottom w:val="single" w:color="auto" w:sz="4" w:space="0"/>
                    <w:right w:val="single" w:color="auto" w:sz="4" w:space="0"/>
                  </w:tcBorders>
                  <w:vAlign w:val="center"/>
                </w:tcPr>
                <w:p w14:paraId="71FE1E87">
                  <w:pPr>
                    <w:pStyle w:val="56"/>
                    <w:rPr>
                      <w:b/>
                      <w:bCs/>
                      <w:u w:val="single"/>
                    </w:rPr>
                  </w:pPr>
                  <w:r>
                    <w:rPr>
                      <w:b/>
                      <w:bCs/>
                      <w:u w:val="single"/>
                    </w:rPr>
                    <w:t>本项目运行过程中主要为废油液抽取时产生的少量有机废气</w:t>
                  </w:r>
                  <w:r>
                    <w:rPr>
                      <w:rFonts w:hint="eastAsia"/>
                      <w:b/>
                      <w:bCs/>
                      <w:u w:val="single"/>
                    </w:rPr>
                    <w:t>，工位上方设置</w:t>
                  </w:r>
                  <w:r>
                    <w:rPr>
                      <w:b/>
                      <w:bCs/>
                      <w:u w:val="single"/>
                    </w:rPr>
                    <w:t>集气罩</w:t>
                  </w:r>
                  <w:r>
                    <w:rPr>
                      <w:rFonts w:hint="eastAsia"/>
                      <w:b/>
                      <w:bCs/>
                      <w:u w:val="single"/>
                    </w:rPr>
                    <w:t>，</w:t>
                  </w:r>
                  <w:r>
                    <w:rPr>
                      <w:b/>
                      <w:bCs/>
                      <w:u w:val="single"/>
                    </w:rPr>
                    <w:t>开口面最远处的控制风速不低于0.3米/秒，产生的VOCs废气经</w:t>
                  </w:r>
                  <w:r>
                    <w:rPr>
                      <w:rFonts w:hint="eastAsia"/>
                      <w:b/>
                      <w:bCs/>
                      <w:u w:val="single"/>
                    </w:rPr>
                    <w:t>进行集中</w:t>
                  </w:r>
                  <w:r>
                    <w:rPr>
                      <w:b/>
                      <w:bCs/>
                      <w:u w:val="single"/>
                    </w:rPr>
                    <w:t>收集。</w:t>
                  </w:r>
                  <w:r>
                    <w:rPr>
                      <w:rFonts w:hint="eastAsia"/>
                      <w:b/>
                      <w:bCs/>
                      <w:u w:val="single"/>
                    </w:rPr>
                    <w:t>废气收集系统的输送管道保证密闭、无破损。车间厂房在确保安全的前提下应保持封闭状态，除人员、车辆、设备、物料进出时，以及依法设立的排气筒、通风口外，门窗及其他开口(孔)部位随时保持关闭。</w:t>
                  </w:r>
                </w:p>
              </w:tc>
              <w:tc>
                <w:tcPr>
                  <w:tcW w:w="799" w:type="dxa"/>
                  <w:tcBorders>
                    <w:top w:val="single" w:color="auto" w:sz="4" w:space="0"/>
                    <w:left w:val="single" w:color="auto" w:sz="4" w:space="0"/>
                    <w:bottom w:val="single" w:color="auto" w:sz="4" w:space="0"/>
                    <w:right w:val="single" w:color="auto" w:sz="4" w:space="0"/>
                  </w:tcBorders>
                  <w:vAlign w:val="center"/>
                </w:tcPr>
                <w:p w14:paraId="3CE6085F">
                  <w:pPr>
                    <w:pStyle w:val="56"/>
                    <w:rPr>
                      <w:b/>
                      <w:bCs/>
                      <w:u w:val="single"/>
                    </w:rPr>
                  </w:pPr>
                  <w:r>
                    <w:rPr>
                      <w:b/>
                      <w:bCs/>
                      <w:u w:val="single"/>
                    </w:rPr>
                    <w:t>相符</w:t>
                  </w:r>
                </w:p>
              </w:tc>
            </w:tr>
          </w:tbl>
          <w:p w14:paraId="12C2B683">
            <w:pPr>
              <w:pStyle w:val="55"/>
              <w:ind w:firstLine="482"/>
              <w:rPr>
                <w:rFonts w:cs="Times New Roman"/>
                <w:b/>
                <w:bCs/>
                <w:u w:val="single"/>
              </w:rPr>
            </w:pPr>
            <w:r>
              <w:rPr>
                <w:rFonts w:cs="Times New Roman"/>
                <w:b/>
                <w:bCs/>
                <w:u w:val="single"/>
              </w:rPr>
              <w:t>由上表可知，本项目建设符合</w:t>
            </w:r>
            <w:r>
              <w:rPr>
                <w:rFonts w:hint="eastAsia" w:cs="Times New Roman"/>
                <w:b/>
                <w:bCs/>
                <w:u w:val="single"/>
              </w:rPr>
              <w:t>《商丘市生态环境局关于印发商丘市2025年夏季空气质量提升工作方案的通知》</w:t>
            </w:r>
            <w:r>
              <w:rPr>
                <w:rFonts w:cs="Times New Roman"/>
                <w:b/>
                <w:bCs/>
                <w:u w:val="single"/>
              </w:rPr>
              <w:t>要求。</w:t>
            </w:r>
          </w:p>
          <w:p w14:paraId="52E08067">
            <w:pPr>
              <w:pStyle w:val="4"/>
              <w:spacing w:before="0" w:beforeAutospacing="0" w:after="0" w:afterAutospacing="0" w:line="360" w:lineRule="auto"/>
              <w:ind w:firstLine="241" w:firstLineChars="100"/>
              <w:rPr>
                <w:rFonts w:hint="default" w:ascii="Times New Roman" w:hAnsi="Times New Roman"/>
                <w:bCs w:val="0"/>
                <w:sz w:val="24"/>
              </w:rPr>
            </w:pPr>
            <w:r>
              <w:rPr>
                <w:rFonts w:hint="default" w:ascii="Times New Roman" w:hAnsi="Times New Roman"/>
                <w:sz w:val="24"/>
                <w:szCs w:val="24"/>
              </w:rPr>
              <w:t>6.与关于印发《商丘市2025年蓝天保卫战实施方案》《商丘市2025年碧水保卫战实施方案》《商丘市2025年净土保卫战实施方案》《商丘市2025年柴油货车污染治理攻坚战实施方案》的通知（商环委办[2025]2号）相符性分析</w:t>
            </w:r>
          </w:p>
          <w:p w14:paraId="09AACDD5">
            <w:pPr>
              <w:pStyle w:val="41"/>
              <w:spacing w:line="360" w:lineRule="auto"/>
              <w:ind w:firstLine="480" w:firstLineChars="200"/>
              <w:jc w:val="both"/>
              <w:rPr>
                <w:rFonts w:eastAsia="宋体" w:cs="Times New Roman"/>
                <w:b w:val="0"/>
                <w:bCs/>
                <w:sz w:val="24"/>
              </w:rPr>
            </w:pPr>
            <w:r>
              <w:rPr>
                <w:rFonts w:eastAsia="宋体" w:cs="Times New Roman"/>
                <w:b w:val="0"/>
                <w:bCs/>
                <w:sz w:val="24"/>
              </w:rPr>
              <w:t>本项目与商丘市生态环境保护委员会办公室关于印发《商丘市2025年蓝天保卫战实施方案》《商丘市2025年碧水保卫战实施方案》《商丘市2025年净土保卫战实施方案》《商丘市2025年柴油货车污染治理攻坚战实施方案》的通知（商环委办[2025]2号）相符性分析见下表。</w:t>
            </w:r>
          </w:p>
          <w:p w14:paraId="78A712C2">
            <w:pPr>
              <w:jc w:val="center"/>
              <w:rPr>
                <w:b/>
                <w:bCs/>
                <w:sz w:val="24"/>
              </w:rPr>
            </w:pPr>
            <w:r>
              <w:rPr>
                <w:b/>
                <w:bCs/>
                <w:sz w:val="24"/>
              </w:rPr>
              <w:t>表6  本项目与商环委办[2025]2号的相符性分析</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7"/>
              <w:gridCol w:w="5266"/>
              <w:gridCol w:w="1552"/>
              <w:gridCol w:w="507"/>
            </w:tblGrid>
            <w:tr w14:paraId="660B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3737" w:type="pct"/>
                  <w:gridSpan w:val="2"/>
                  <w:vAlign w:val="center"/>
                </w:tcPr>
                <w:p w14:paraId="3C878706">
                  <w:pPr>
                    <w:spacing w:line="240" w:lineRule="exact"/>
                    <w:jc w:val="center"/>
                    <w:rPr>
                      <w:szCs w:val="21"/>
                    </w:rPr>
                  </w:pPr>
                  <w:r>
                    <w:rPr>
                      <w:szCs w:val="21"/>
                    </w:rPr>
                    <w:t>与本项目相关内容</w:t>
                  </w:r>
                </w:p>
              </w:tc>
              <w:tc>
                <w:tcPr>
                  <w:tcW w:w="952" w:type="pct"/>
                  <w:vAlign w:val="center"/>
                </w:tcPr>
                <w:p w14:paraId="3653D669">
                  <w:pPr>
                    <w:spacing w:line="240" w:lineRule="exact"/>
                    <w:jc w:val="center"/>
                    <w:rPr>
                      <w:szCs w:val="21"/>
                    </w:rPr>
                  </w:pPr>
                  <w:r>
                    <w:rPr>
                      <w:szCs w:val="21"/>
                    </w:rPr>
                    <w:t>本项目情况</w:t>
                  </w:r>
                </w:p>
              </w:tc>
              <w:tc>
                <w:tcPr>
                  <w:tcW w:w="312" w:type="pct"/>
                  <w:vAlign w:val="center"/>
                </w:tcPr>
                <w:p w14:paraId="49553CD5">
                  <w:pPr>
                    <w:spacing w:line="240" w:lineRule="exact"/>
                    <w:jc w:val="center"/>
                    <w:rPr>
                      <w:szCs w:val="21"/>
                    </w:rPr>
                  </w:pPr>
                  <w:r>
                    <w:rPr>
                      <w:szCs w:val="21"/>
                    </w:rPr>
                    <w:t>相符性</w:t>
                  </w:r>
                </w:p>
              </w:tc>
            </w:tr>
            <w:tr w14:paraId="7C0B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5000" w:type="pct"/>
                  <w:gridSpan w:val="4"/>
                  <w:vAlign w:val="center"/>
                </w:tcPr>
                <w:p w14:paraId="62DAB984">
                  <w:pPr>
                    <w:pStyle w:val="57"/>
                    <w:spacing w:line="240" w:lineRule="exact"/>
                    <w:rPr>
                      <w:rFonts w:ascii="Times New Roman"/>
                      <w:szCs w:val="21"/>
                    </w:rPr>
                  </w:pPr>
                  <w:r>
                    <w:rPr>
                      <w:rFonts w:ascii="Times New Roman"/>
                      <w:szCs w:val="21"/>
                    </w:rPr>
                    <w:t>《商丘市2025年蓝天保卫战实施方案》</w:t>
                  </w:r>
                </w:p>
              </w:tc>
            </w:tr>
            <w:tr w14:paraId="4EEA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507" w:type="pct"/>
                  <w:vAlign w:val="center"/>
                </w:tcPr>
                <w:p w14:paraId="71244E69">
                  <w:pPr>
                    <w:pStyle w:val="57"/>
                    <w:spacing w:line="240" w:lineRule="exact"/>
                    <w:rPr>
                      <w:rFonts w:ascii="Times New Roman"/>
                      <w:szCs w:val="21"/>
                    </w:rPr>
                  </w:pPr>
                  <w:r>
                    <w:rPr>
                      <w:rFonts w:ascii="Times New Roman"/>
                      <w:szCs w:val="21"/>
                    </w:rPr>
                    <w:t>（一）结构优化升级专项攻坚</w:t>
                  </w:r>
                </w:p>
              </w:tc>
              <w:tc>
                <w:tcPr>
                  <w:tcW w:w="3230" w:type="pct"/>
                  <w:vAlign w:val="center"/>
                </w:tcPr>
                <w:p w14:paraId="18E1035D">
                  <w:pPr>
                    <w:pStyle w:val="57"/>
                    <w:spacing w:line="240" w:lineRule="exact"/>
                    <w:rPr>
                      <w:rFonts w:ascii="Times New Roman"/>
                      <w:szCs w:val="21"/>
                    </w:rPr>
                  </w:pPr>
                  <w:r>
                    <w:rPr>
                      <w:rFonts w:ascii="Times New Roman"/>
                      <w:szCs w:val="21"/>
                    </w:rPr>
                    <w:t>1.依法依规淘汰落后低效产能。严格落实《产业结构调整指导目录（2024 年本）》《河南省淘汰落后产能综合标准体系（2023 年本）》《国家污染防治技术指导目录（2024 年，限制类和淘汰类）》要求，加快落后生产工艺装备和过剩产能淘汰退出，列入 2025 年去产能计划的生产设施 9 月底前停止排污。全市严禁新改扩建烧结砖瓦项目，加快退出 6000 万标砖/年以下、城市规划区内的烧结砖及烧结空心砌块生产线。各县（市、区）在 2025 年 5 月组织开展烧结砖瓦行业专项整治“回头看”，原则上对达不到 B 级及以上绩效水平的烧结砖瓦企业实施停产整治；持续推动生物质小锅炉关停整合。2025 年5 月底前，各县（市、区）制定年度落后产能淘汰退出工作方案，排查建立淘汰退出任务台账；2025年8月底前，淘汰退出柘城县鑫海建材有限公司、柘城县怀全建材有限公司、永城市城厢乡晓光新型墙体材料厂、永城市金顺德新型墙体材料有限公司4条6000万标砖/年以下烧结砖生产线；整合淘汰现有的8台2蒸吨及以下和未采用专用炉具的生物质锅炉。</w:t>
                  </w:r>
                </w:p>
              </w:tc>
              <w:tc>
                <w:tcPr>
                  <w:tcW w:w="952" w:type="pct"/>
                  <w:vAlign w:val="center"/>
                </w:tcPr>
                <w:p w14:paraId="0B4ACBF3">
                  <w:pPr>
                    <w:pStyle w:val="57"/>
                    <w:spacing w:line="240" w:lineRule="exact"/>
                    <w:rPr>
                      <w:rFonts w:ascii="Times New Roman"/>
                      <w:szCs w:val="21"/>
                    </w:rPr>
                  </w:pPr>
                  <w:r>
                    <w:rPr>
                      <w:rFonts w:ascii="Times New Roman"/>
                      <w:szCs w:val="21"/>
                    </w:rPr>
                    <w:t>本项目不涉及落后生产工艺装备及过剩产能，项目不涉及烧结砖、生物质锅炉。</w:t>
                  </w:r>
                </w:p>
              </w:tc>
              <w:tc>
                <w:tcPr>
                  <w:tcW w:w="312" w:type="pct"/>
                  <w:vAlign w:val="center"/>
                </w:tcPr>
                <w:p w14:paraId="4F7ECF7D">
                  <w:pPr>
                    <w:pStyle w:val="57"/>
                    <w:spacing w:line="240" w:lineRule="exact"/>
                    <w:rPr>
                      <w:rFonts w:ascii="Times New Roman"/>
                      <w:szCs w:val="21"/>
                    </w:rPr>
                  </w:pPr>
                  <w:r>
                    <w:rPr>
                      <w:rFonts w:ascii="Times New Roman"/>
                      <w:szCs w:val="21"/>
                    </w:rPr>
                    <w:t>相符</w:t>
                  </w:r>
                </w:p>
              </w:tc>
            </w:tr>
            <w:tr w14:paraId="657F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507" w:type="pct"/>
                  <w:vMerge w:val="restart"/>
                  <w:vAlign w:val="center"/>
                </w:tcPr>
                <w:p w14:paraId="23BA26C3">
                  <w:pPr>
                    <w:pStyle w:val="57"/>
                    <w:spacing w:line="240" w:lineRule="exact"/>
                    <w:rPr>
                      <w:rFonts w:ascii="Times New Roman"/>
                      <w:szCs w:val="21"/>
                    </w:rPr>
                  </w:pPr>
                  <w:r>
                    <w:rPr>
                      <w:rFonts w:ascii="Times New Roman"/>
                      <w:szCs w:val="21"/>
                    </w:rPr>
                    <w:t>（二）工业企业提标治理专项攻坚</w:t>
                  </w:r>
                </w:p>
              </w:tc>
              <w:tc>
                <w:tcPr>
                  <w:tcW w:w="3230" w:type="pct"/>
                  <w:vAlign w:val="center"/>
                </w:tcPr>
                <w:p w14:paraId="376DDF7B">
                  <w:pPr>
                    <w:pStyle w:val="57"/>
                    <w:spacing w:line="240" w:lineRule="exact"/>
                    <w:rPr>
                      <w:rFonts w:ascii="Times New Roman"/>
                      <w:szCs w:val="21"/>
                    </w:rPr>
                  </w:pPr>
                  <w:r>
                    <w:rPr>
                      <w:rFonts w:ascii="Times New Roman"/>
                      <w:szCs w:val="21"/>
                    </w:rPr>
                    <w:t>7.深入开展低效失效治理设施排查整治。对照《低效失效大气污染治理设施排查整治技术要点》，持续开展低效失效大气污染治理设施排查，淘汰不成熟、不适用、无法稳定达标排放的治理工艺，整治关键组件缺失、质量低劣、自动化水平低的治理设施，纳入年度重点治理任务限期完成提升改造。2025 年9月底前，完成低效失效治理设施提升改造企业400家以上，未按时完成提升改造的纳入秋冬季生产调控范围。</w:t>
                  </w:r>
                </w:p>
              </w:tc>
              <w:tc>
                <w:tcPr>
                  <w:tcW w:w="952" w:type="pct"/>
                  <w:vAlign w:val="center"/>
                </w:tcPr>
                <w:p w14:paraId="0D2346F5">
                  <w:pPr>
                    <w:pStyle w:val="57"/>
                    <w:spacing w:line="240" w:lineRule="exact"/>
                    <w:rPr>
                      <w:rFonts w:ascii="Times New Roman"/>
                      <w:szCs w:val="21"/>
                    </w:rPr>
                  </w:pPr>
                  <w:r>
                    <w:rPr>
                      <w:rFonts w:ascii="Times New Roman"/>
                      <w:szCs w:val="21"/>
                    </w:rPr>
                    <w:t>本项目颗粒物采用袋式除尘器进行处理，VOCs废气采用活性炭吸附装置，均不属于低效失效治理设施。</w:t>
                  </w:r>
                </w:p>
              </w:tc>
              <w:tc>
                <w:tcPr>
                  <w:tcW w:w="312" w:type="pct"/>
                  <w:vAlign w:val="center"/>
                </w:tcPr>
                <w:p w14:paraId="1D65CD3E">
                  <w:pPr>
                    <w:pStyle w:val="57"/>
                    <w:spacing w:line="240" w:lineRule="exact"/>
                    <w:rPr>
                      <w:rFonts w:ascii="Times New Roman"/>
                      <w:szCs w:val="21"/>
                    </w:rPr>
                  </w:pPr>
                  <w:r>
                    <w:rPr>
                      <w:rFonts w:ascii="Times New Roman"/>
                      <w:szCs w:val="21"/>
                    </w:rPr>
                    <w:t>相符</w:t>
                  </w:r>
                </w:p>
              </w:tc>
            </w:tr>
            <w:tr w14:paraId="2867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507" w:type="pct"/>
                  <w:vMerge w:val="continue"/>
                  <w:vAlign w:val="center"/>
                </w:tcPr>
                <w:p w14:paraId="692148D9">
                  <w:pPr>
                    <w:pStyle w:val="57"/>
                    <w:spacing w:line="240" w:lineRule="exact"/>
                    <w:rPr>
                      <w:rFonts w:ascii="Times New Roman"/>
                      <w:szCs w:val="21"/>
                    </w:rPr>
                  </w:pPr>
                </w:p>
              </w:tc>
              <w:tc>
                <w:tcPr>
                  <w:tcW w:w="3230" w:type="pct"/>
                  <w:vAlign w:val="center"/>
                </w:tcPr>
                <w:p w14:paraId="3CF48F97">
                  <w:pPr>
                    <w:pStyle w:val="57"/>
                    <w:spacing w:line="240" w:lineRule="exact"/>
                    <w:rPr>
                      <w:rFonts w:ascii="Times New Roman"/>
                      <w:szCs w:val="21"/>
                    </w:rPr>
                  </w:pPr>
                  <w:r>
                    <w:rPr>
                      <w:rFonts w:ascii="Times New Roman"/>
                      <w:szCs w:val="21"/>
                    </w:rPr>
                    <w:t>8.实施挥发性有机物综合治理。5月底前，各县(市、区)完成涉VOCs企业针对挥发性有机液体储罐、装卸、敞开液面、泄漏检测与修复(LDAR)、废气收集、废气旁路、治理设施、加油站、非正常工况、产品VOCs含量等10个关键环节开展VOCs治理突出问题排查整治，在汽车、机械制造、家具、汽修、塑料软包装、印铁制罐、包装印刷等领域推广使用低(无)VOCs含量涂料和油墨，对完成源头替代的企业纳入“白名单”管理，在重污染天气预警期间实施自主减排。</w:t>
                  </w:r>
                </w:p>
              </w:tc>
              <w:tc>
                <w:tcPr>
                  <w:tcW w:w="952" w:type="pct"/>
                  <w:vAlign w:val="center"/>
                </w:tcPr>
                <w:p w14:paraId="0D3556C5">
                  <w:pPr>
                    <w:pStyle w:val="57"/>
                    <w:spacing w:line="240" w:lineRule="exact"/>
                    <w:rPr>
                      <w:rFonts w:ascii="Times New Roman"/>
                      <w:szCs w:val="21"/>
                    </w:rPr>
                  </w:pPr>
                  <w:r>
                    <w:rPr>
                      <w:rFonts w:ascii="Times New Roman"/>
                      <w:kern w:val="0"/>
                      <w:szCs w:val="21"/>
                    </w:rPr>
                    <w:t>本项目原料不涉及VOCs，仅拆解过程涉及少量有机废气，经活性炭吸附装置处理后达标排放；项目将使用符合碘值要求的活性炭，活性炭填充量、更换频次满足环评要求，活性炭购买发票、更换记录、碘值报告等支撑材料保存3年以上；本项目不涉及。</w:t>
                  </w:r>
                </w:p>
              </w:tc>
              <w:tc>
                <w:tcPr>
                  <w:tcW w:w="312" w:type="pct"/>
                  <w:vAlign w:val="center"/>
                </w:tcPr>
                <w:p w14:paraId="524E7EE9">
                  <w:pPr>
                    <w:pStyle w:val="57"/>
                    <w:spacing w:line="240" w:lineRule="exact"/>
                    <w:rPr>
                      <w:rFonts w:ascii="Times New Roman"/>
                      <w:szCs w:val="21"/>
                    </w:rPr>
                  </w:pPr>
                  <w:r>
                    <w:rPr>
                      <w:rFonts w:ascii="Times New Roman"/>
                      <w:szCs w:val="21"/>
                    </w:rPr>
                    <w:t>相符</w:t>
                  </w:r>
                </w:p>
              </w:tc>
            </w:tr>
            <w:tr w14:paraId="3B14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5000" w:type="pct"/>
                  <w:gridSpan w:val="4"/>
                  <w:vAlign w:val="center"/>
                </w:tcPr>
                <w:p w14:paraId="26699208">
                  <w:pPr>
                    <w:pStyle w:val="57"/>
                    <w:spacing w:line="240" w:lineRule="exact"/>
                    <w:rPr>
                      <w:rFonts w:ascii="Times New Roman"/>
                      <w:szCs w:val="21"/>
                    </w:rPr>
                  </w:pPr>
                  <w:r>
                    <w:rPr>
                      <w:rFonts w:ascii="Times New Roman"/>
                      <w:szCs w:val="21"/>
                    </w:rPr>
                    <w:t>《商丘市2025年碧水保卫战实施方案》</w:t>
                  </w:r>
                </w:p>
              </w:tc>
            </w:tr>
            <w:tr w14:paraId="1BC2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507" w:type="pct"/>
                  <w:vAlign w:val="center"/>
                </w:tcPr>
                <w:p w14:paraId="0B21416D">
                  <w:pPr>
                    <w:pStyle w:val="57"/>
                    <w:spacing w:line="240" w:lineRule="exact"/>
                    <w:rPr>
                      <w:rFonts w:ascii="Times New Roman"/>
                      <w:szCs w:val="21"/>
                    </w:rPr>
                  </w:pPr>
                  <w:r>
                    <w:rPr>
                      <w:rFonts w:ascii="Times New Roman"/>
                      <w:szCs w:val="21"/>
                    </w:rPr>
                    <w:t>（一）推动构建上下游贯通一体的生态环境治理体系</w:t>
                  </w:r>
                </w:p>
              </w:tc>
              <w:tc>
                <w:tcPr>
                  <w:tcW w:w="3230" w:type="pct"/>
                  <w:vAlign w:val="center"/>
                </w:tcPr>
                <w:p w14:paraId="15D7AF5E">
                  <w:pPr>
                    <w:pStyle w:val="57"/>
                    <w:spacing w:line="240" w:lineRule="exact"/>
                    <w:rPr>
                      <w:rFonts w:ascii="Times New Roman"/>
                      <w:szCs w:val="21"/>
                    </w:rPr>
                  </w:pPr>
                  <w:r>
                    <w:rPr>
                      <w:rFonts w:ascii="Times New Roman"/>
                      <w:szCs w:val="21"/>
                    </w:rPr>
                    <w:t>5.持续推动企业绿色转型发展。坚决遏制“两高一低”项目盲目发展，严格新建项目准入把关；严格落实生态环境分区管控；加快推进工业企业绿色转型发展；深入推进重点水污染物排放行业清洁生产审核;培育壮大节能、节水、环保和资源综合利用产业，提高能源资源利用效率；对焦化、有色金属、化工、电镀制革、造纸、印染、农副食品加工等行业，全面推进清洁生产改造或清洁化改造。</w:t>
                  </w:r>
                </w:p>
              </w:tc>
              <w:tc>
                <w:tcPr>
                  <w:tcW w:w="952" w:type="pct"/>
                  <w:vAlign w:val="center"/>
                </w:tcPr>
                <w:p w14:paraId="0E6F688B">
                  <w:pPr>
                    <w:pStyle w:val="57"/>
                    <w:spacing w:line="240" w:lineRule="exact"/>
                    <w:rPr>
                      <w:rFonts w:ascii="Times New Roman"/>
                      <w:szCs w:val="21"/>
                    </w:rPr>
                  </w:pPr>
                  <w:r>
                    <w:rPr>
                      <w:rFonts w:ascii="Times New Roman"/>
                      <w:szCs w:val="21"/>
                    </w:rPr>
                    <w:t>本项目不属于“两高一低”建设项目，项目建设符合生态环境分区管控要求，本项目废水主要为职工生活污水，经厂区化粪池暂存后</w:t>
                  </w:r>
                  <w:r>
                    <w:rPr>
                      <w:rFonts w:ascii="Times New Roman"/>
                      <w:snapToGrid w:val="0"/>
                      <w:kern w:val="0"/>
                      <w:szCs w:val="21"/>
                    </w:rPr>
                    <w:t>定期清掏，外运肥田。</w:t>
                  </w:r>
                </w:p>
              </w:tc>
              <w:tc>
                <w:tcPr>
                  <w:tcW w:w="312" w:type="pct"/>
                  <w:vAlign w:val="center"/>
                </w:tcPr>
                <w:p w14:paraId="630A433B">
                  <w:pPr>
                    <w:pStyle w:val="57"/>
                    <w:spacing w:line="240" w:lineRule="exact"/>
                    <w:rPr>
                      <w:rFonts w:ascii="Times New Roman"/>
                      <w:szCs w:val="21"/>
                    </w:rPr>
                  </w:pPr>
                  <w:r>
                    <w:rPr>
                      <w:rFonts w:ascii="Times New Roman"/>
                      <w:szCs w:val="21"/>
                    </w:rPr>
                    <w:t>相符</w:t>
                  </w:r>
                </w:p>
              </w:tc>
            </w:tr>
            <w:tr w14:paraId="78D7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507" w:type="pct"/>
                  <w:vAlign w:val="center"/>
                </w:tcPr>
                <w:p w14:paraId="02FCDAF8">
                  <w:pPr>
                    <w:pStyle w:val="57"/>
                    <w:spacing w:line="240" w:lineRule="exact"/>
                    <w:rPr>
                      <w:rFonts w:ascii="Times New Roman"/>
                      <w:szCs w:val="21"/>
                    </w:rPr>
                  </w:pPr>
                  <w:r>
                    <w:rPr>
                      <w:rFonts w:ascii="Times New Roman"/>
                      <w:szCs w:val="21"/>
                    </w:rPr>
                    <w:t>（四）不断提升环境监督管理能力水平</w:t>
                  </w:r>
                </w:p>
              </w:tc>
              <w:tc>
                <w:tcPr>
                  <w:tcW w:w="3230" w:type="pct"/>
                  <w:vAlign w:val="center"/>
                </w:tcPr>
                <w:p w14:paraId="396910FE">
                  <w:pPr>
                    <w:pStyle w:val="57"/>
                    <w:spacing w:line="240" w:lineRule="exact"/>
                    <w:jc w:val="both"/>
                    <w:rPr>
                      <w:rFonts w:ascii="Times New Roman"/>
                      <w:szCs w:val="21"/>
                    </w:rPr>
                  </w:pPr>
                  <w:r>
                    <w:rPr>
                      <w:rFonts w:ascii="Times New Roman"/>
                      <w:szCs w:val="21"/>
                    </w:rPr>
                    <w:t>17. 严格防范水生态环境风险。严格新(改、扩)建尾矿库环境准入，强化尾矿库环境风险隐患排查治理:加强有毒有害物质环境监管，加强危险废物风险防控:积极推动化工园区“一园一策一图”试点示范工作，完善突发水污染事件环境应急三级防控体系建设;健全流域上下游突发水污染事件联防联控机制，深化“一河一策一图”应用；加大灾害风险隐患排查治理力度；加强汛期水环境风险防控，强化次生环境事件风险管控。</w:t>
                  </w:r>
                </w:p>
              </w:tc>
              <w:tc>
                <w:tcPr>
                  <w:tcW w:w="952" w:type="pct"/>
                  <w:vAlign w:val="center"/>
                </w:tcPr>
                <w:p w14:paraId="0EBDC342">
                  <w:pPr>
                    <w:pStyle w:val="57"/>
                    <w:spacing w:line="240" w:lineRule="exact"/>
                    <w:rPr>
                      <w:rFonts w:ascii="Times New Roman"/>
                      <w:szCs w:val="21"/>
                    </w:rPr>
                  </w:pPr>
                  <w:r>
                    <w:rPr>
                      <w:rFonts w:ascii="Times New Roman"/>
                      <w:szCs w:val="21"/>
                    </w:rPr>
                    <w:t>项目固体废物分类收集处置，建设有危废暂存间，危险废物定期交由有资质单位进行处置。</w:t>
                  </w:r>
                </w:p>
              </w:tc>
              <w:tc>
                <w:tcPr>
                  <w:tcW w:w="312" w:type="pct"/>
                  <w:vAlign w:val="center"/>
                </w:tcPr>
                <w:p w14:paraId="20F8836F">
                  <w:pPr>
                    <w:pStyle w:val="57"/>
                    <w:spacing w:line="240" w:lineRule="exact"/>
                    <w:rPr>
                      <w:rFonts w:ascii="Times New Roman"/>
                      <w:szCs w:val="21"/>
                    </w:rPr>
                  </w:pPr>
                  <w:r>
                    <w:rPr>
                      <w:rFonts w:ascii="Times New Roman"/>
                      <w:szCs w:val="21"/>
                    </w:rPr>
                    <w:t>相符</w:t>
                  </w:r>
                </w:p>
              </w:tc>
            </w:tr>
          </w:tbl>
          <w:p w14:paraId="6BFEBB56">
            <w:pPr>
              <w:spacing w:line="360" w:lineRule="auto"/>
              <w:ind w:firstLine="480" w:firstLineChars="200"/>
              <w:rPr>
                <w:kern w:val="0"/>
                <w:sz w:val="24"/>
              </w:rPr>
            </w:pPr>
            <w:r>
              <w:rPr>
                <w:kern w:val="0"/>
                <w:sz w:val="24"/>
              </w:rPr>
              <w:t>由上表可知，本项目符合关于印发《商丘市2025年蓝天保卫战实施方案》《商丘市2025年碧水保卫战实施方案》《商丘市2025年净土保卫战实施方案》《商丘市2025年柴油货车污染治理攻坚战实施方案》的通知（商环委办[2025]2号）相关要求。</w:t>
            </w:r>
          </w:p>
          <w:p w14:paraId="2665BCB8">
            <w:pPr>
              <w:tabs>
                <w:tab w:val="left" w:pos="312"/>
              </w:tabs>
              <w:spacing w:line="360" w:lineRule="auto"/>
              <w:ind w:firstLine="241" w:firstLineChars="100"/>
              <w:rPr>
                <w:b/>
                <w:bCs/>
                <w:kern w:val="0"/>
                <w:sz w:val="24"/>
              </w:rPr>
            </w:pPr>
            <w:r>
              <w:rPr>
                <w:b/>
                <w:bCs/>
                <w:kern w:val="0"/>
                <w:sz w:val="24"/>
              </w:rPr>
              <w:t>7.与《挥发性有机物无组织排放控制标准》</w:t>
            </w:r>
            <w:r>
              <w:rPr>
                <w:b/>
                <w:bCs/>
                <w:snapToGrid w:val="0"/>
                <w:sz w:val="24"/>
              </w:rPr>
              <w:t>（GB37822-2019）</w:t>
            </w:r>
            <w:r>
              <w:rPr>
                <w:b/>
                <w:bCs/>
                <w:kern w:val="0"/>
                <w:sz w:val="24"/>
              </w:rPr>
              <w:t>相符性分析</w:t>
            </w:r>
          </w:p>
          <w:p w14:paraId="280596AB">
            <w:pPr>
              <w:spacing w:line="360" w:lineRule="auto"/>
              <w:jc w:val="center"/>
              <w:rPr>
                <w:b/>
                <w:bCs/>
                <w:kern w:val="0"/>
                <w:sz w:val="24"/>
              </w:rPr>
            </w:pPr>
            <w:r>
              <w:rPr>
                <w:b/>
                <w:bCs/>
                <w:kern w:val="0"/>
                <w:sz w:val="24"/>
              </w:rPr>
              <w:t>表7  本项目与《挥发性有机物无组织排放控制标准》相符性分析一览表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5"/>
              <w:gridCol w:w="600"/>
              <w:gridCol w:w="4078"/>
              <w:gridCol w:w="2001"/>
              <w:gridCol w:w="668"/>
            </w:tblGrid>
            <w:tr w14:paraId="2E73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621" w:type="dxa"/>
                  <w:gridSpan w:val="3"/>
                  <w:vAlign w:val="center"/>
                </w:tcPr>
                <w:p w14:paraId="7971DDF5">
                  <w:pPr>
                    <w:jc w:val="center"/>
                    <w:rPr>
                      <w:kern w:val="0"/>
                      <w:szCs w:val="21"/>
                    </w:rPr>
                  </w:pPr>
                  <w:r>
                    <w:rPr>
                      <w:kern w:val="0"/>
                      <w:szCs w:val="21"/>
                    </w:rPr>
                    <w:t>文件相关要求</w:t>
                  </w:r>
                </w:p>
              </w:tc>
              <w:tc>
                <w:tcPr>
                  <w:tcW w:w="2049" w:type="dxa"/>
                  <w:vAlign w:val="center"/>
                </w:tcPr>
                <w:p w14:paraId="205CF6EB">
                  <w:pPr>
                    <w:jc w:val="center"/>
                    <w:rPr>
                      <w:kern w:val="0"/>
                      <w:szCs w:val="21"/>
                    </w:rPr>
                  </w:pPr>
                  <w:r>
                    <w:rPr>
                      <w:kern w:val="0"/>
                      <w:szCs w:val="21"/>
                    </w:rPr>
                    <w:t>本项目建设情况</w:t>
                  </w:r>
                </w:p>
              </w:tc>
              <w:tc>
                <w:tcPr>
                  <w:tcW w:w="689" w:type="dxa"/>
                  <w:vAlign w:val="center"/>
                </w:tcPr>
                <w:p w14:paraId="2979530A">
                  <w:pPr>
                    <w:jc w:val="center"/>
                    <w:rPr>
                      <w:kern w:val="0"/>
                      <w:szCs w:val="21"/>
                    </w:rPr>
                  </w:pPr>
                  <w:r>
                    <w:rPr>
                      <w:kern w:val="0"/>
                      <w:szCs w:val="21"/>
                    </w:rPr>
                    <w:t>相符性</w:t>
                  </w:r>
                </w:p>
              </w:tc>
            </w:tr>
            <w:tr w14:paraId="3C31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restart"/>
                  <w:vAlign w:val="center"/>
                </w:tcPr>
                <w:p w14:paraId="1D263563">
                  <w:pPr>
                    <w:jc w:val="center"/>
                    <w:rPr>
                      <w:kern w:val="0"/>
                      <w:szCs w:val="21"/>
                    </w:rPr>
                  </w:pPr>
                  <w:r>
                    <w:rPr>
                      <w:szCs w:val="21"/>
                    </w:rPr>
                    <w:t>VOCs物料储存无组织排放控制要求</w:t>
                  </w:r>
                </w:p>
              </w:tc>
              <w:tc>
                <w:tcPr>
                  <w:tcW w:w="603" w:type="dxa"/>
                  <w:vMerge w:val="restart"/>
                  <w:vAlign w:val="center"/>
                </w:tcPr>
                <w:p w14:paraId="5DDACB6A">
                  <w:pPr>
                    <w:jc w:val="center"/>
                    <w:rPr>
                      <w:kern w:val="0"/>
                      <w:szCs w:val="21"/>
                    </w:rPr>
                  </w:pPr>
                  <w:r>
                    <w:rPr>
                      <w:kern w:val="0"/>
                      <w:szCs w:val="21"/>
                    </w:rPr>
                    <w:t>基本要求</w:t>
                  </w:r>
                </w:p>
              </w:tc>
              <w:tc>
                <w:tcPr>
                  <w:tcW w:w="4200" w:type="dxa"/>
                  <w:vAlign w:val="center"/>
                </w:tcPr>
                <w:p w14:paraId="2DBA810B">
                  <w:pPr>
                    <w:jc w:val="left"/>
                    <w:rPr>
                      <w:kern w:val="0"/>
                      <w:szCs w:val="21"/>
                    </w:rPr>
                  </w:pPr>
                  <w:r>
                    <w:rPr>
                      <w:szCs w:val="21"/>
                    </w:rPr>
                    <w:t>VOCs物料应储存于密闭的容器、包装袋、储罐、储库、料仓中。</w:t>
                  </w:r>
                </w:p>
              </w:tc>
              <w:tc>
                <w:tcPr>
                  <w:tcW w:w="2049" w:type="dxa"/>
                  <w:vMerge w:val="restart"/>
                  <w:vAlign w:val="center"/>
                </w:tcPr>
                <w:p w14:paraId="66F54D2C">
                  <w:pPr>
                    <w:jc w:val="center"/>
                    <w:rPr>
                      <w:kern w:val="0"/>
                      <w:szCs w:val="21"/>
                    </w:rPr>
                  </w:pPr>
                  <w:r>
                    <w:rPr>
                      <w:kern w:val="0"/>
                      <w:szCs w:val="21"/>
                    </w:rPr>
                    <w:t>本项目拆解过程中产生少量有机废气，含VOCs物料主要为废油液，按要求储存于密闭的容器内，并放于危废暂存间。</w:t>
                  </w:r>
                </w:p>
              </w:tc>
              <w:tc>
                <w:tcPr>
                  <w:tcW w:w="689" w:type="dxa"/>
                  <w:vMerge w:val="restart"/>
                  <w:vAlign w:val="center"/>
                </w:tcPr>
                <w:p w14:paraId="6B9E8A71">
                  <w:pPr>
                    <w:jc w:val="center"/>
                    <w:rPr>
                      <w:kern w:val="0"/>
                      <w:szCs w:val="21"/>
                    </w:rPr>
                  </w:pPr>
                  <w:r>
                    <w:rPr>
                      <w:kern w:val="0"/>
                      <w:szCs w:val="21"/>
                    </w:rPr>
                    <w:t>相符</w:t>
                  </w:r>
                </w:p>
              </w:tc>
            </w:tr>
            <w:tr w14:paraId="013D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continue"/>
                  <w:vAlign w:val="center"/>
                </w:tcPr>
                <w:p w14:paraId="6493C166">
                  <w:pPr>
                    <w:jc w:val="left"/>
                  </w:pPr>
                </w:p>
              </w:tc>
              <w:tc>
                <w:tcPr>
                  <w:tcW w:w="603" w:type="dxa"/>
                  <w:vMerge w:val="continue"/>
                  <w:vAlign w:val="center"/>
                </w:tcPr>
                <w:p w14:paraId="136F5F4B">
                  <w:pPr>
                    <w:jc w:val="left"/>
                  </w:pPr>
                </w:p>
              </w:tc>
              <w:tc>
                <w:tcPr>
                  <w:tcW w:w="4200" w:type="dxa"/>
                  <w:vAlign w:val="center"/>
                </w:tcPr>
                <w:p w14:paraId="32A76FAD">
                  <w:pPr>
                    <w:jc w:val="left"/>
                    <w:rPr>
                      <w:szCs w:val="21"/>
                    </w:rPr>
                  </w:pPr>
                  <w:r>
                    <w:rPr>
                      <w:szCs w:val="21"/>
                    </w:rPr>
                    <w:t>盛装VOCs物料的容器或包装袋应存放于室内，或存放于设置有雨棚、遮阳和防渗设施的专用场地。盛装VOCs物料的容器或包装袋在非取用状态时应加盖、封口，保持密闭。</w:t>
                  </w:r>
                </w:p>
              </w:tc>
              <w:tc>
                <w:tcPr>
                  <w:tcW w:w="2049" w:type="dxa"/>
                  <w:vMerge w:val="continue"/>
                  <w:vAlign w:val="center"/>
                </w:tcPr>
                <w:p w14:paraId="5C7418DC">
                  <w:pPr>
                    <w:jc w:val="left"/>
                    <w:rPr>
                      <w:szCs w:val="21"/>
                    </w:rPr>
                  </w:pPr>
                </w:p>
              </w:tc>
              <w:tc>
                <w:tcPr>
                  <w:tcW w:w="689" w:type="dxa"/>
                  <w:vMerge w:val="continue"/>
                  <w:vAlign w:val="center"/>
                </w:tcPr>
                <w:p w14:paraId="6CEAA808">
                  <w:pPr>
                    <w:jc w:val="left"/>
                    <w:rPr>
                      <w:szCs w:val="21"/>
                    </w:rPr>
                  </w:pPr>
                </w:p>
              </w:tc>
            </w:tr>
            <w:tr w14:paraId="05FC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continue"/>
                  <w:vAlign w:val="center"/>
                </w:tcPr>
                <w:p w14:paraId="204BC9F6">
                  <w:pPr>
                    <w:jc w:val="left"/>
                    <w:rPr>
                      <w:szCs w:val="21"/>
                    </w:rPr>
                  </w:pPr>
                </w:p>
              </w:tc>
              <w:tc>
                <w:tcPr>
                  <w:tcW w:w="603" w:type="dxa"/>
                  <w:vMerge w:val="continue"/>
                  <w:vAlign w:val="center"/>
                </w:tcPr>
                <w:p w14:paraId="168F9612">
                  <w:pPr>
                    <w:jc w:val="left"/>
                    <w:rPr>
                      <w:szCs w:val="21"/>
                    </w:rPr>
                  </w:pPr>
                </w:p>
              </w:tc>
              <w:tc>
                <w:tcPr>
                  <w:tcW w:w="4200" w:type="dxa"/>
                  <w:vAlign w:val="center"/>
                </w:tcPr>
                <w:p w14:paraId="1D7CFC42">
                  <w:pPr>
                    <w:jc w:val="left"/>
                    <w:rPr>
                      <w:szCs w:val="21"/>
                    </w:rPr>
                  </w:pPr>
                  <w:r>
                    <w:rPr>
                      <w:szCs w:val="21"/>
                    </w:rPr>
                    <w:t>VOCs物料储罐应密封良好，其中挥发性有机液体储罐应符合5.2条规定。</w:t>
                  </w:r>
                </w:p>
              </w:tc>
              <w:tc>
                <w:tcPr>
                  <w:tcW w:w="2049" w:type="dxa"/>
                  <w:vMerge w:val="continue"/>
                  <w:vAlign w:val="center"/>
                </w:tcPr>
                <w:p w14:paraId="5EE62549">
                  <w:pPr>
                    <w:jc w:val="left"/>
                    <w:rPr>
                      <w:szCs w:val="21"/>
                    </w:rPr>
                  </w:pPr>
                </w:p>
              </w:tc>
              <w:tc>
                <w:tcPr>
                  <w:tcW w:w="689" w:type="dxa"/>
                  <w:vMerge w:val="continue"/>
                  <w:vAlign w:val="center"/>
                </w:tcPr>
                <w:p w14:paraId="3E3157A5">
                  <w:pPr>
                    <w:jc w:val="left"/>
                    <w:rPr>
                      <w:szCs w:val="21"/>
                    </w:rPr>
                  </w:pPr>
                </w:p>
              </w:tc>
            </w:tr>
            <w:tr w14:paraId="3C79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continue"/>
                  <w:vAlign w:val="center"/>
                </w:tcPr>
                <w:p w14:paraId="35C9A9C5">
                  <w:pPr>
                    <w:jc w:val="left"/>
                    <w:rPr>
                      <w:szCs w:val="21"/>
                    </w:rPr>
                  </w:pPr>
                </w:p>
              </w:tc>
              <w:tc>
                <w:tcPr>
                  <w:tcW w:w="603" w:type="dxa"/>
                  <w:vMerge w:val="continue"/>
                  <w:vAlign w:val="center"/>
                </w:tcPr>
                <w:p w14:paraId="1482BDE4">
                  <w:pPr>
                    <w:jc w:val="left"/>
                    <w:rPr>
                      <w:szCs w:val="21"/>
                    </w:rPr>
                  </w:pPr>
                </w:p>
              </w:tc>
              <w:tc>
                <w:tcPr>
                  <w:tcW w:w="4200" w:type="dxa"/>
                  <w:vAlign w:val="center"/>
                </w:tcPr>
                <w:p w14:paraId="76BB86B4">
                  <w:pPr>
                    <w:jc w:val="left"/>
                    <w:rPr>
                      <w:szCs w:val="21"/>
                    </w:rPr>
                  </w:pPr>
                  <w:r>
                    <w:rPr>
                      <w:szCs w:val="21"/>
                    </w:rPr>
                    <w:t>VOCs物料储库、料仓应满足3.6条对密闭空间的要求。</w:t>
                  </w:r>
                </w:p>
              </w:tc>
              <w:tc>
                <w:tcPr>
                  <w:tcW w:w="2049" w:type="dxa"/>
                  <w:vMerge w:val="continue"/>
                  <w:vAlign w:val="center"/>
                </w:tcPr>
                <w:p w14:paraId="132B8E0C">
                  <w:pPr>
                    <w:jc w:val="left"/>
                    <w:rPr>
                      <w:szCs w:val="21"/>
                    </w:rPr>
                  </w:pPr>
                </w:p>
              </w:tc>
              <w:tc>
                <w:tcPr>
                  <w:tcW w:w="689" w:type="dxa"/>
                  <w:vMerge w:val="continue"/>
                  <w:vAlign w:val="center"/>
                </w:tcPr>
                <w:p w14:paraId="08F51025">
                  <w:pPr>
                    <w:jc w:val="left"/>
                    <w:rPr>
                      <w:szCs w:val="21"/>
                    </w:rPr>
                  </w:pPr>
                </w:p>
              </w:tc>
            </w:tr>
            <w:tr w14:paraId="2020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restart"/>
                  <w:vAlign w:val="center"/>
                </w:tcPr>
                <w:p w14:paraId="0B244036">
                  <w:pPr>
                    <w:jc w:val="center"/>
                    <w:rPr>
                      <w:szCs w:val="21"/>
                    </w:rPr>
                  </w:pPr>
                  <w:r>
                    <w:rPr>
                      <w:szCs w:val="21"/>
                    </w:rPr>
                    <w:t>VOCs物料转移和输送无组织排放控制要求</w:t>
                  </w:r>
                </w:p>
              </w:tc>
              <w:tc>
                <w:tcPr>
                  <w:tcW w:w="603" w:type="dxa"/>
                  <w:vMerge w:val="restart"/>
                  <w:vAlign w:val="center"/>
                </w:tcPr>
                <w:p w14:paraId="08C00960">
                  <w:pPr>
                    <w:jc w:val="center"/>
                    <w:rPr>
                      <w:kern w:val="0"/>
                      <w:szCs w:val="21"/>
                    </w:rPr>
                  </w:pPr>
                  <w:r>
                    <w:rPr>
                      <w:kern w:val="0"/>
                      <w:szCs w:val="21"/>
                    </w:rPr>
                    <w:t>基本要求</w:t>
                  </w:r>
                </w:p>
              </w:tc>
              <w:tc>
                <w:tcPr>
                  <w:tcW w:w="4200" w:type="dxa"/>
                  <w:vAlign w:val="center"/>
                </w:tcPr>
                <w:p w14:paraId="4A344C5D">
                  <w:pPr>
                    <w:jc w:val="left"/>
                    <w:rPr>
                      <w:szCs w:val="21"/>
                    </w:rPr>
                  </w:pPr>
                  <w:r>
                    <w:rPr>
                      <w:szCs w:val="21"/>
                    </w:rPr>
                    <w:t>液态VOCs物料应采用密闭管道输送。采用非管道输送方式转移液态VOCs物料时，应采用密闭容器、罐车。</w:t>
                  </w:r>
                </w:p>
              </w:tc>
              <w:tc>
                <w:tcPr>
                  <w:tcW w:w="2049" w:type="dxa"/>
                  <w:vMerge w:val="restart"/>
                  <w:vAlign w:val="center"/>
                </w:tcPr>
                <w:p w14:paraId="5362773B">
                  <w:pPr>
                    <w:jc w:val="center"/>
                    <w:rPr>
                      <w:kern w:val="0"/>
                      <w:szCs w:val="21"/>
                    </w:rPr>
                  </w:pPr>
                  <w:r>
                    <w:rPr>
                      <w:kern w:val="0"/>
                      <w:szCs w:val="21"/>
                    </w:rPr>
                    <w:t>本项目含VOCs物料主要为废旧农机内的废油液，采用</w:t>
                  </w:r>
                  <w:r>
                    <w:rPr>
                      <w:bCs/>
                      <w:szCs w:val="21"/>
                    </w:rPr>
                    <w:t>电动抽油机抽取，将抽取的废油液</w:t>
                  </w:r>
                  <w:r>
                    <w:rPr>
                      <w:kern w:val="0"/>
                      <w:szCs w:val="21"/>
                    </w:rPr>
                    <w:t>储存于密闭的容器内。</w:t>
                  </w:r>
                </w:p>
              </w:tc>
              <w:tc>
                <w:tcPr>
                  <w:tcW w:w="689" w:type="dxa"/>
                  <w:vMerge w:val="restart"/>
                  <w:vAlign w:val="center"/>
                </w:tcPr>
                <w:p w14:paraId="0384FE69">
                  <w:pPr>
                    <w:jc w:val="center"/>
                    <w:rPr>
                      <w:kern w:val="0"/>
                      <w:szCs w:val="21"/>
                    </w:rPr>
                  </w:pPr>
                  <w:r>
                    <w:rPr>
                      <w:kern w:val="0"/>
                      <w:szCs w:val="21"/>
                    </w:rPr>
                    <w:t>相符</w:t>
                  </w:r>
                </w:p>
              </w:tc>
            </w:tr>
            <w:tr w14:paraId="7692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continue"/>
                  <w:vAlign w:val="center"/>
                </w:tcPr>
                <w:p w14:paraId="206BD761">
                  <w:pPr>
                    <w:jc w:val="left"/>
                  </w:pPr>
                </w:p>
              </w:tc>
              <w:tc>
                <w:tcPr>
                  <w:tcW w:w="603" w:type="dxa"/>
                  <w:vMerge w:val="continue"/>
                  <w:vAlign w:val="center"/>
                </w:tcPr>
                <w:p w14:paraId="64325A09">
                  <w:pPr>
                    <w:jc w:val="left"/>
                  </w:pPr>
                </w:p>
              </w:tc>
              <w:tc>
                <w:tcPr>
                  <w:tcW w:w="4200" w:type="dxa"/>
                  <w:vAlign w:val="center"/>
                </w:tcPr>
                <w:p w14:paraId="7AB4F524">
                  <w:pPr>
                    <w:jc w:val="left"/>
                    <w:rPr>
                      <w:szCs w:val="21"/>
                    </w:rPr>
                  </w:pPr>
                  <w:r>
                    <w:rPr>
                      <w:szCs w:val="21"/>
                    </w:rPr>
                    <w:t>装载方式挥发性有机液体应采用底部装载方式；若采用顶部浸没式装载，出料管口距离槽（罐）底部高度应小于200mm。</w:t>
                  </w:r>
                </w:p>
              </w:tc>
              <w:tc>
                <w:tcPr>
                  <w:tcW w:w="2049" w:type="dxa"/>
                  <w:vMerge w:val="continue"/>
                  <w:vAlign w:val="center"/>
                </w:tcPr>
                <w:p w14:paraId="0B2D592C">
                  <w:pPr>
                    <w:jc w:val="left"/>
                    <w:rPr>
                      <w:szCs w:val="21"/>
                    </w:rPr>
                  </w:pPr>
                </w:p>
              </w:tc>
              <w:tc>
                <w:tcPr>
                  <w:tcW w:w="689" w:type="dxa"/>
                  <w:vMerge w:val="continue"/>
                  <w:vAlign w:val="center"/>
                </w:tcPr>
                <w:p w14:paraId="65C2A075">
                  <w:pPr>
                    <w:jc w:val="left"/>
                    <w:rPr>
                      <w:szCs w:val="21"/>
                    </w:rPr>
                  </w:pPr>
                </w:p>
              </w:tc>
            </w:tr>
            <w:tr w14:paraId="6D58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Align w:val="center"/>
                </w:tcPr>
                <w:p w14:paraId="7225A785">
                  <w:pPr>
                    <w:jc w:val="center"/>
                    <w:rPr>
                      <w:kern w:val="0"/>
                      <w:szCs w:val="21"/>
                    </w:rPr>
                  </w:pPr>
                  <w:r>
                    <w:t>工艺过程VOCs无组织排放控制要求</w:t>
                  </w:r>
                </w:p>
              </w:tc>
              <w:tc>
                <w:tcPr>
                  <w:tcW w:w="603" w:type="dxa"/>
                  <w:vAlign w:val="center"/>
                </w:tcPr>
                <w:p w14:paraId="29988DFB">
                  <w:pPr>
                    <w:jc w:val="center"/>
                    <w:rPr>
                      <w:kern w:val="0"/>
                      <w:szCs w:val="21"/>
                    </w:rPr>
                  </w:pPr>
                  <w:r>
                    <w:t>含VOCs产品的使用过程</w:t>
                  </w:r>
                </w:p>
              </w:tc>
              <w:tc>
                <w:tcPr>
                  <w:tcW w:w="4200" w:type="dxa"/>
                  <w:vAlign w:val="center"/>
                </w:tcPr>
                <w:p w14:paraId="5C8BA8FA">
                  <w:pPr>
                    <w:jc w:val="center"/>
                    <w:rPr>
                      <w:kern w:val="0"/>
                      <w:szCs w:val="21"/>
                    </w:rPr>
                  </w:pPr>
                  <w:r>
                    <w:t>VOCs质量占比大于等于10%的含VOCs产品，其使用过程应采用密闭设备或在密闭空间内操作，废气应排至VOCs废气收集处理系统；无法密闭的，应采取局部气体收集措施，废气应排至VOCs废气收集处理系统。</w:t>
                  </w:r>
                </w:p>
              </w:tc>
              <w:tc>
                <w:tcPr>
                  <w:tcW w:w="2049" w:type="dxa"/>
                  <w:vAlign w:val="center"/>
                </w:tcPr>
                <w:p w14:paraId="74DE7401">
                  <w:pPr>
                    <w:jc w:val="center"/>
                    <w:rPr>
                      <w:kern w:val="0"/>
                      <w:szCs w:val="21"/>
                    </w:rPr>
                  </w:pPr>
                  <w:r>
                    <w:rPr>
                      <w:kern w:val="0"/>
                      <w:szCs w:val="21"/>
                    </w:rPr>
                    <w:t>本项目生产过程在封闭车间内进行，有机废气经集气罩收集后采用活性炭吸附装置处理，由15m高排气筒达标排放。</w:t>
                  </w:r>
                </w:p>
              </w:tc>
              <w:tc>
                <w:tcPr>
                  <w:tcW w:w="689" w:type="dxa"/>
                  <w:vAlign w:val="center"/>
                </w:tcPr>
                <w:p w14:paraId="15154DDE">
                  <w:pPr>
                    <w:jc w:val="center"/>
                    <w:rPr>
                      <w:kern w:val="0"/>
                      <w:szCs w:val="21"/>
                    </w:rPr>
                  </w:pPr>
                  <w:r>
                    <w:rPr>
                      <w:kern w:val="0"/>
                      <w:szCs w:val="21"/>
                    </w:rPr>
                    <w:t>相符</w:t>
                  </w:r>
                </w:p>
              </w:tc>
            </w:tr>
            <w:tr w14:paraId="173A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restart"/>
                  <w:vAlign w:val="center"/>
                </w:tcPr>
                <w:p w14:paraId="06E538C9">
                  <w:pPr>
                    <w:jc w:val="center"/>
                    <w:rPr>
                      <w:kern w:val="0"/>
                      <w:szCs w:val="21"/>
                    </w:rPr>
                  </w:pPr>
                  <w:r>
                    <w:t>VOCs无组织排放废气收集处理系统要求</w:t>
                  </w:r>
                </w:p>
              </w:tc>
              <w:tc>
                <w:tcPr>
                  <w:tcW w:w="603" w:type="dxa"/>
                  <w:vAlign w:val="center"/>
                </w:tcPr>
                <w:p w14:paraId="22C02B66">
                  <w:pPr>
                    <w:jc w:val="center"/>
                    <w:rPr>
                      <w:kern w:val="0"/>
                      <w:szCs w:val="21"/>
                    </w:rPr>
                  </w:pPr>
                  <w:r>
                    <w:t>基本要求</w:t>
                  </w:r>
                </w:p>
              </w:tc>
              <w:tc>
                <w:tcPr>
                  <w:tcW w:w="4200" w:type="dxa"/>
                  <w:vAlign w:val="center"/>
                </w:tcPr>
                <w:p w14:paraId="414D9A42">
                  <w:pPr>
                    <w:jc w:val="center"/>
                    <w:rPr>
                      <w:kern w:val="0"/>
                      <w:szCs w:val="21"/>
                    </w:rPr>
                  </w:pPr>
                  <w:r>
                    <w:t>VOCs废气收集处理系统应与生产工艺设备同步运行。VOCs废气收集处理系统发生故障或检修时，对应的生产工艺设备应停止运行，待检修完毕后同步投入使用；生产工艺设备不能停止运行或不能及时停止运行的，应设置废气应急处理设施或采取其他替代措施。</w:t>
                  </w:r>
                </w:p>
              </w:tc>
              <w:tc>
                <w:tcPr>
                  <w:tcW w:w="2049" w:type="dxa"/>
                  <w:vAlign w:val="center"/>
                </w:tcPr>
                <w:p w14:paraId="5923A447">
                  <w:pPr>
                    <w:jc w:val="center"/>
                    <w:rPr>
                      <w:kern w:val="0"/>
                      <w:szCs w:val="21"/>
                    </w:rPr>
                  </w:pPr>
                  <w:r>
                    <w:rPr>
                      <w:kern w:val="0"/>
                      <w:szCs w:val="21"/>
                    </w:rPr>
                    <w:t>项目VOCs废气收集处理系统与生产工艺设备同步运行；项目VOCs处理设施故障和检修时，生产线应随时停止运行待检修完毕后同步投入使用。</w:t>
                  </w:r>
                </w:p>
              </w:tc>
              <w:tc>
                <w:tcPr>
                  <w:tcW w:w="689" w:type="dxa"/>
                  <w:vAlign w:val="center"/>
                </w:tcPr>
                <w:p w14:paraId="47620A84">
                  <w:pPr>
                    <w:jc w:val="center"/>
                    <w:rPr>
                      <w:kern w:val="0"/>
                      <w:szCs w:val="21"/>
                    </w:rPr>
                  </w:pPr>
                  <w:r>
                    <w:rPr>
                      <w:kern w:val="0"/>
                      <w:szCs w:val="21"/>
                    </w:rPr>
                    <w:t>相符</w:t>
                  </w:r>
                </w:p>
              </w:tc>
            </w:tr>
            <w:tr w14:paraId="609B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818" w:type="dxa"/>
                  <w:vMerge w:val="continue"/>
                  <w:vAlign w:val="center"/>
                </w:tcPr>
                <w:p w14:paraId="2E95B375">
                  <w:pPr>
                    <w:jc w:val="center"/>
                    <w:rPr>
                      <w:kern w:val="0"/>
                      <w:szCs w:val="21"/>
                    </w:rPr>
                  </w:pPr>
                </w:p>
              </w:tc>
              <w:tc>
                <w:tcPr>
                  <w:tcW w:w="603" w:type="dxa"/>
                  <w:vMerge w:val="restart"/>
                  <w:vAlign w:val="center"/>
                </w:tcPr>
                <w:p w14:paraId="40126080">
                  <w:pPr>
                    <w:jc w:val="center"/>
                    <w:rPr>
                      <w:kern w:val="0"/>
                      <w:szCs w:val="21"/>
                    </w:rPr>
                  </w:pPr>
                  <w:r>
                    <w:t>废气收集系统要求</w:t>
                  </w:r>
                </w:p>
              </w:tc>
              <w:tc>
                <w:tcPr>
                  <w:tcW w:w="4200" w:type="dxa"/>
                  <w:vAlign w:val="center"/>
                </w:tcPr>
                <w:p w14:paraId="1C0CF5E7">
                  <w:pPr>
                    <w:jc w:val="center"/>
                    <w:rPr>
                      <w:kern w:val="0"/>
                      <w:szCs w:val="21"/>
                    </w:rPr>
                  </w:pPr>
                  <w:r>
                    <w:t>企业应考虑生产工艺、操作方式、废气性质、处理方法等因素，对VOCs废气进行分类收集。</w:t>
                  </w:r>
                </w:p>
              </w:tc>
              <w:tc>
                <w:tcPr>
                  <w:tcW w:w="2049" w:type="dxa"/>
                  <w:vAlign w:val="center"/>
                </w:tcPr>
                <w:p w14:paraId="38426BDF">
                  <w:pPr>
                    <w:jc w:val="center"/>
                    <w:rPr>
                      <w:kern w:val="0"/>
                      <w:szCs w:val="21"/>
                    </w:rPr>
                  </w:pPr>
                  <w:r>
                    <w:rPr>
                      <w:kern w:val="0"/>
                      <w:szCs w:val="21"/>
                    </w:rPr>
                    <w:t>项目VOCs废气成分简单，主要为非甲烷总烃，采用活性炭吸附装置处理。</w:t>
                  </w:r>
                </w:p>
              </w:tc>
              <w:tc>
                <w:tcPr>
                  <w:tcW w:w="689" w:type="dxa"/>
                  <w:vAlign w:val="center"/>
                </w:tcPr>
                <w:p w14:paraId="67311264">
                  <w:pPr>
                    <w:jc w:val="center"/>
                    <w:rPr>
                      <w:kern w:val="0"/>
                      <w:szCs w:val="21"/>
                    </w:rPr>
                  </w:pPr>
                  <w:r>
                    <w:rPr>
                      <w:kern w:val="0"/>
                      <w:szCs w:val="21"/>
                    </w:rPr>
                    <w:t>相符</w:t>
                  </w:r>
                </w:p>
              </w:tc>
            </w:tr>
            <w:tr w14:paraId="0436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continue"/>
                  <w:vAlign w:val="center"/>
                </w:tcPr>
                <w:p w14:paraId="46714483">
                  <w:pPr>
                    <w:jc w:val="center"/>
                    <w:rPr>
                      <w:kern w:val="0"/>
                      <w:szCs w:val="21"/>
                    </w:rPr>
                  </w:pPr>
                </w:p>
              </w:tc>
              <w:tc>
                <w:tcPr>
                  <w:tcW w:w="603" w:type="dxa"/>
                  <w:vMerge w:val="continue"/>
                  <w:vAlign w:val="center"/>
                </w:tcPr>
                <w:p w14:paraId="025E3F9E">
                  <w:pPr>
                    <w:jc w:val="center"/>
                    <w:rPr>
                      <w:kern w:val="0"/>
                      <w:szCs w:val="21"/>
                    </w:rPr>
                  </w:pPr>
                </w:p>
              </w:tc>
              <w:tc>
                <w:tcPr>
                  <w:tcW w:w="4200" w:type="dxa"/>
                  <w:vAlign w:val="center"/>
                </w:tcPr>
                <w:p w14:paraId="74BB44B2">
                  <w:pPr>
                    <w:jc w:val="center"/>
                    <w:rPr>
                      <w:kern w:val="0"/>
                      <w:szCs w:val="21"/>
                    </w:rPr>
                  </w:pPr>
                  <w:r>
                    <w:t>废气收集系统排风罩（集气罩）的设置应符合GB/T16758的规定。采用外部排风罩的，应按GB/T16758、AQ/T4274—2016规定的方法测量控制风速，测量点应选取在距排风罩开口面最远处的VOCs无组织排放位置，控制风速不应低于0.3m/s（行业相关规范有具体规定的，按相关规定执行）。</w:t>
                  </w:r>
                </w:p>
              </w:tc>
              <w:tc>
                <w:tcPr>
                  <w:tcW w:w="2049" w:type="dxa"/>
                  <w:vAlign w:val="center"/>
                </w:tcPr>
                <w:p w14:paraId="4F4758A0">
                  <w:pPr>
                    <w:jc w:val="center"/>
                    <w:rPr>
                      <w:kern w:val="0"/>
                      <w:szCs w:val="21"/>
                    </w:rPr>
                  </w:pPr>
                  <w:r>
                    <w:rPr>
                      <w:kern w:val="0"/>
                      <w:szCs w:val="21"/>
                    </w:rPr>
                    <w:t>本项目废气收集系统排风罩（集气罩）的设置符合GB/T16758的规定。</w:t>
                  </w:r>
                </w:p>
              </w:tc>
              <w:tc>
                <w:tcPr>
                  <w:tcW w:w="689" w:type="dxa"/>
                  <w:vAlign w:val="center"/>
                </w:tcPr>
                <w:p w14:paraId="7F1FDB8C">
                  <w:pPr>
                    <w:jc w:val="center"/>
                    <w:rPr>
                      <w:kern w:val="0"/>
                      <w:szCs w:val="21"/>
                    </w:rPr>
                  </w:pPr>
                  <w:r>
                    <w:rPr>
                      <w:kern w:val="0"/>
                      <w:szCs w:val="21"/>
                    </w:rPr>
                    <w:t>相符</w:t>
                  </w:r>
                </w:p>
              </w:tc>
            </w:tr>
            <w:tr w14:paraId="2F86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continue"/>
                  <w:vAlign w:val="center"/>
                </w:tcPr>
                <w:p w14:paraId="38E01637">
                  <w:pPr>
                    <w:jc w:val="center"/>
                    <w:rPr>
                      <w:kern w:val="0"/>
                      <w:szCs w:val="21"/>
                    </w:rPr>
                  </w:pPr>
                </w:p>
              </w:tc>
              <w:tc>
                <w:tcPr>
                  <w:tcW w:w="603" w:type="dxa"/>
                  <w:vMerge w:val="restart"/>
                  <w:vAlign w:val="center"/>
                </w:tcPr>
                <w:p w14:paraId="07C11958">
                  <w:pPr>
                    <w:jc w:val="center"/>
                    <w:rPr>
                      <w:kern w:val="0"/>
                      <w:szCs w:val="21"/>
                    </w:rPr>
                  </w:pPr>
                  <w:r>
                    <w:t>VOCs排放控制要求</w:t>
                  </w:r>
                </w:p>
              </w:tc>
              <w:tc>
                <w:tcPr>
                  <w:tcW w:w="4200" w:type="dxa"/>
                  <w:vAlign w:val="center"/>
                </w:tcPr>
                <w:p w14:paraId="15F604E3">
                  <w:pPr>
                    <w:jc w:val="center"/>
                    <w:rPr>
                      <w:kern w:val="0"/>
                      <w:szCs w:val="21"/>
                    </w:rPr>
                  </w:pPr>
                  <w:r>
                    <w:t>收集的废气中NMHC初始排放速率≥3kg/h时，应配置VOCs处理设施，处理效率不应低于80%；对于重点地区，收集的废气中NMHC初始排放速率≥2kg/h时，应配置VOCs处理设施，处理效率不应低于80%；采用的原辅材料符合国家有关低VOCs含量产品规定的除外。</w:t>
                  </w:r>
                </w:p>
              </w:tc>
              <w:tc>
                <w:tcPr>
                  <w:tcW w:w="2049" w:type="dxa"/>
                  <w:vAlign w:val="center"/>
                </w:tcPr>
                <w:p w14:paraId="1A26299F">
                  <w:pPr>
                    <w:jc w:val="center"/>
                    <w:rPr>
                      <w:kern w:val="0"/>
                      <w:szCs w:val="21"/>
                    </w:rPr>
                  </w:pPr>
                  <w:r>
                    <w:rPr>
                      <w:snapToGrid w:val="0"/>
                      <w:szCs w:val="21"/>
                    </w:rPr>
                    <w:t>本项目生产过程中</w:t>
                  </w:r>
                  <w:r>
                    <w:t>收集的废气中NMHC初始排放速率</w:t>
                  </w:r>
                  <w:r>
                    <w:rPr>
                      <w:rFonts w:hint="eastAsia"/>
                    </w:rPr>
                    <w:t>小于2kg/h，</w:t>
                  </w:r>
                  <w:r>
                    <w:rPr>
                      <w:snapToGrid w:val="0"/>
                      <w:szCs w:val="21"/>
                    </w:rPr>
                    <w:t>有机废气采用活性炭吸附装置处理。</w:t>
                  </w:r>
                </w:p>
              </w:tc>
              <w:tc>
                <w:tcPr>
                  <w:tcW w:w="689" w:type="dxa"/>
                  <w:vAlign w:val="center"/>
                </w:tcPr>
                <w:p w14:paraId="4517723B">
                  <w:pPr>
                    <w:jc w:val="center"/>
                    <w:rPr>
                      <w:kern w:val="0"/>
                      <w:szCs w:val="21"/>
                    </w:rPr>
                  </w:pPr>
                  <w:r>
                    <w:rPr>
                      <w:kern w:val="0"/>
                      <w:szCs w:val="21"/>
                    </w:rPr>
                    <w:t>相符</w:t>
                  </w:r>
                </w:p>
              </w:tc>
            </w:tr>
            <w:tr w14:paraId="17A8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8" w:type="dxa"/>
                  <w:vMerge w:val="continue"/>
                  <w:vAlign w:val="center"/>
                </w:tcPr>
                <w:p w14:paraId="48A5A905">
                  <w:pPr>
                    <w:jc w:val="center"/>
                    <w:rPr>
                      <w:kern w:val="0"/>
                      <w:szCs w:val="21"/>
                    </w:rPr>
                  </w:pPr>
                </w:p>
              </w:tc>
              <w:tc>
                <w:tcPr>
                  <w:tcW w:w="603" w:type="dxa"/>
                  <w:vMerge w:val="continue"/>
                  <w:vAlign w:val="center"/>
                </w:tcPr>
                <w:p w14:paraId="16521104">
                  <w:pPr>
                    <w:jc w:val="center"/>
                    <w:rPr>
                      <w:kern w:val="0"/>
                      <w:szCs w:val="21"/>
                    </w:rPr>
                  </w:pPr>
                </w:p>
              </w:tc>
              <w:tc>
                <w:tcPr>
                  <w:tcW w:w="4200" w:type="dxa"/>
                  <w:vAlign w:val="center"/>
                </w:tcPr>
                <w:p w14:paraId="65638504">
                  <w:pPr>
                    <w:jc w:val="center"/>
                    <w:rPr>
                      <w:kern w:val="0"/>
                      <w:szCs w:val="21"/>
                    </w:rPr>
                  </w:pPr>
                  <w:r>
                    <w:t>吸附、吸收、冷凝、生物、膜分离等其他VOCs处理设施，以实测质量浓度作为达标判定依据，不得稀释排放。</w:t>
                  </w:r>
                </w:p>
              </w:tc>
              <w:tc>
                <w:tcPr>
                  <w:tcW w:w="2049" w:type="dxa"/>
                  <w:vAlign w:val="center"/>
                </w:tcPr>
                <w:p w14:paraId="35F2DDFE">
                  <w:pPr>
                    <w:jc w:val="center"/>
                    <w:rPr>
                      <w:kern w:val="0"/>
                      <w:szCs w:val="21"/>
                    </w:rPr>
                  </w:pPr>
                  <w:r>
                    <w:rPr>
                      <w:kern w:val="0"/>
                      <w:szCs w:val="21"/>
                    </w:rPr>
                    <w:t>本项目有机废气经活性炭吸附装置处理，不涉及稀释风机。</w:t>
                  </w:r>
                </w:p>
              </w:tc>
              <w:tc>
                <w:tcPr>
                  <w:tcW w:w="689" w:type="dxa"/>
                  <w:vAlign w:val="center"/>
                </w:tcPr>
                <w:p w14:paraId="413B368F">
                  <w:pPr>
                    <w:jc w:val="center"/>
                    <w:rPr>
                      <w:kern w:val="0"/>
                      <w:szCs w:val="21"/>
                    </w:rPr>
                  </w:pPr>
                  <w:r>
                    <w:rPr>
                      <w:kern w:val="0"/>
                      <w:szCs w:val="21"/>
                    </w:rPr>
                    <w:t>相符</w:t>
                  </w:r>
                </w:p>
              </w:tc>
            </w:tr>
          </w:tbl>
          <w:p w14:paraId="46561E9D">
            <w:pPr>
              <w:spacing w:line="360" w:lineRule="auto"/>
              <w:ind w:firstLine="480" w:firstLineChars="200"/>
              <w:rPr>
                <w:b/>
                <w:bCs/>
                <w:sz w:val="24"/>
              </w:rPr>
            </w:pPr>
            <w:r>
              <w:rPr>
                <w:kern w:val="0"/>
                <w:sz w:val="24"/>
              </w:rPr>
              <w:t>综上所述，本项目建设符合《挥发性有机物无组织排放控制标准》</w:t>
            </w:r>
            <w:r>
              <w:rPr>
                <w:kern w:val="0"/>
                <w:sz w:val="24"/>
                <w:szCs w:val="21"/>
              </w:rPr>
              <w:t>（GB37822-2019）要求。</w:t>
            </w:r>
          </w:p>
          <w:p w14:paraId="70E14C7E">
            <w:pPr>
              <w:pStyle w:val="14"/>
              <w:tabs>
                <w:tab w:val="left" w:pos="312"/>
              </w:tabs>
              <w:spacing w:before="0" w:after="0" w:line="360" w:lineRule="auto"/>
              <w:ind w:left="482" w:right="0"/>
              <w:rPr>
                <w:b/>
                <w:bCs/>
              </w:rPr>
            </w:pPr>
            <w:r>
              <w:rPr>
                <w:b/>
                <w:bCs/>
              </w:rPr>
              <w:t>8.</w:t>
            </w:r>
            <w:r>
              <w:rPr>
                <w:rFonts w:hint="eastAsia"/>
                <w:b/>
                <w:bCs/>
              </w:rPr>
              <w:t>本</w:t>
            </w:r>
            <w:r>
              <w:rPr>
                <w:b/>
                <w:bCs/>
              </w:rPr>
              <w:t>项目与民权县饮用水源保护区规划的相符性分析</w:t>
            </w:r>
          </w:p>
          <w:p w14:paraId="0E40675A">
            <w:pPr>
              <w:spacing w:line="360" w:lineRule="auto"/>
              <w:ind w:firstLine="480" w:firstLineChars="200"/>
              <w:rPr>
                <w:sz w:val="24"/>
                <w:szCs w:val="28"/>
              </w:rPr>
            </w:pPr>
            <w:r>
              <w:rPr>
                <w:sz w:val="24"/>
                <w:szCs w:val="28"/>
              </w:rPr>
              <w:t>根据《关于印发河南省县级集中式饮用水水源保护区划的通知》（豫政办</w:t>
            </w:r>
            <w:r>
              <w:rPr>
                <w:rFonts w:hint="eastAsia"/>
                <w:sz w:val="24"/>
                <w:szCs w:val="28"/>
              </w:rPr>
              <w:t>[</w:t>
            </w:r>
            <w:r>
              <w:rPr>
                <w:sz w:val="24"/>
                <w:szCs w:val="28"/>
              </w:rPr>
              <w:t>2013</w:t>
            </w:r>
            <w:r>
              <w:rPr>
                <w:rFonts w:hint="eastAsia"/>
                <w:sz w:val="24"/>
                <w:szCs w:val="28"/>
              </w:rPr>
              <w:t>]</w:t>
            </w:r>
            <w:r>
              <w:rPr>
                <w:sz w:val="24"/>
                <w:szCs w:val="28"/>
              </w:rPr>
              <w:t>107号）和《关于印发河南省乡镇集中式饮用水水源保护区划的通知》（豫政办</w:t>
            </w:r>
            <w:r>
              <w:rPr>
                <w:rFonts w:hint="eastAsia"/>
                <w:sz w:val="24"/>
                <w:szCs w:val="28"/>
              </w:rPr>
              <w:t>[</w:t>
            </w:r>
            <w:r>
              <w:rPr>
                <w:sz w:val="24"/>
                <w:szCs w:val="28"/>
              </w:rPr>
              <w:t>2016]23号），民权县共有2处县级集中式饮用水水源和16处乡镇集中式饮用水水源。</w:t>
            </w:r>
          </w:p>
          <w:p w14:paraId="57C9989F">
            <w:pPr>
              <w:spacing w:line="360" w:lineRule="auto"/>
              <w:ind w:firstLine="480" w:firstLineChars="200"/>
              <w:rPr>
                <w:sz w:val="24"/>
                <w:szCs w:val="28"/>
              </w:rPr>
            </w:pPr>
            <w:r>
              <w:rPr>
                <w:sz w:val="24"/>
                <w:szCs w:val="28"/>
              </w:rPr>
              <w:t>县级集中式饮用水水源：</w:t>
            </w:r>
          </w:p>
          <w:p w14:paraId="6BF0FD0D">
            <w:pPr>
              <w:spacing w:line="360" w:lineRule="auto"/>
              <w:ind w:firstLine="480" w:firstLineChars="200"/>
              <w:rPr>
                <w:sz w:val="24"/>
                <w:szCs w:val="28"/>
              </w:rPr>
            </w:pPr>
            <w:r>
              <w:rPr>
                <w:sz w:val="24"/>
                <w:szCs w:val="28"/>
              </w:rPr>
              <w:t>（1）民权县一水厂地下水井群（共6眼井）</w:t>
            </w:r>
          </w:p>
          <w:p w14:paraId="1728CE24">
            <w:pPr>
              <w:spacing w:line="360" w:lineRule="auto"/>
              <w:ind w:firstLine="480" w:firstLineChars="200"/>
              <w:rPr>
                <w:sz w:val="24"/>
                <w:szCs w:val="28"/>
              </w:rPr>
            </w:pPr>
            <w:r>
              <w:rPr>
                <w:sz w:val="24"/>
                <w:szCs w:val="28"/>
              </w:rPr>
              <w:t>一级保护区范围：水厂厂区及外围东30米、南30米、北30米、西50米的区域（1～3号取水井）；4～6号取水井外围30米的区域。</w:t>
            </w:r>
          </w:p>
          <w:p w14:paraId="1378FCA5">
            <w:pPr>
              <w:spacing w:line="360" w:lineRule="auto"/>
              <w:ind w:firstLine="480" w:firstLineChars="200"/>
              <w:rPr>
                <w:sz w:val="24"/>
                <w:szCs w:val="28"/>
              </w:rPr>
            </w:pPr>
            <w:r>
              <w:rPr>
                <w:sz w:val="24"/>
                <w:szCs w:val="28"/>
              </w:rPr>
              <w:t>（2）民权县二水厂地下水井群（共5眼井）</w:t>
            </w:r>
          </w:p>
          <w:p w14:paraId="2380F6F2">
            <w:pPr>
              <w:spacing w:line="360" w:lineRule="auto"/>
              <w:ind w:firstLine="480" w:firstLineChars="200"/>
              <w:rPr>
                <w:sz w:val="24"/>
                <w:szCs w:val="28"/>
              </w:rPr>
            </w:pPr>
            <w:r>
              <w:rPr>
                <w:sz w:val="24"/>
                <w:szCs w:val="28"/>
              </w:rPr>
              <w:t>一级保护区范围：水厂厂区及外围30米的区域。</w:t>
            </w:r>
          </w:p>
          <w:p w14:paraId="258E73D0">
            <w:pPr>
              <w:spacing w:line="360" w:lineRule="auto"/>
              <w:ind w:firstLine="480" w:firstLineChars="200"/>
              <w:rPr>
                <w:sz w:val="24"/>
                <w:szCs w:val="28"/>
              </w:rPr>
            </w:pPr>
            <w:r>
              <w:rPr>
                <w:sz w:val="24"/>
                <w:szCs w:val="28"/>
              </w:rPr>
              <w:t>乡镇集中式饮用水水源：</w:t>
            </w:r>
          </w:p>
          <w:p w14:paraId="64FDBA7E">
            <w:pPr>
              <w:spacing w:line="360" w:lineRule="auto"/>
              <w:ind w:firstLine="480" w:firstLineChars="200"/>
              <w:rPr>
                <w:sz w:val="24"/>
                <w:szCs w:val="28"/>
              </w:rPr>
            </w:pPr>
            <w:r>
              <w:rPr>
                <w:sz w:val="24"/>
                <w:szCs w:val="28"/>
              </w:rPr>
              <w:t>（1）民权县伯党乡地下水井（共1眼井）</w:t>
            </w:r>
          </w:p>
          <w:p w14:paraId="74E85BFF">
            <w:pPr>
              <w:spacing w:line="360" w:lineRule="auto"/>
              <w:ind w:firstLine="480" w:firstLineChars="200"/>
              <w:rPr>
                <w:sz w:val="24"/>
                <w:szCs w:val="28"/>
              </w:rPr>
            </w:pPr>
            <w:r>
              <w:rPr>
                <w:sz w:val="24"/>
                <w:szCs w:val="28"/>
              </w:rPr>
              <w:t>一级保护区范围：水厂厂区及外围东20米的区域。</w:t>
            </w:r>
          </w:p>
          <w:p w14:paraId="111E38E1">
            <w:pPr>
              <w:spacing w:line="360" w:lineRule="auto"/>
              <w:ind w:firstLine="480" w:firstLineChars="200"/>
              <w:rPr>
                <w:sz w:val="24"/>
                <w:szCs w:val="28"/>
              </w:rPr>
            </w:pPr>
            <w:r>
              <w:rPr>
                <w:sz w:val="24"/>
                <w:szCs w:val="28"/>
              </w:rPr>
              <w:t>（2）民权县龙塘镇地下水井（共1眼井）</w:t>
            </w:r>
          </w:p>
          <w:p w14:paraId="4F78D14D">
            <w:pPr>
              <w:spacing w:line="360" w:lineRule="auto"/>
              <w:ind w:firstLine="480" w:firstLineChars="200"/>
              <w:rPr>
                <w:sz w:val="24"/>
                <w:szCs w:val="28"/>
              </w:rPr>
            </w:pPr>
            <w:r>
              <w:rPr>
                <w:sz w:val="24"/>
                <w:szCs w:val="28"/>
              </w:rPr>
              <w:t>一级保护区范围：水厂厂区及外围西10米、北10米的区域。</w:t>
            </w:r>
          </w:p>
          <w:p w14:paraId="69024E56">
            <w:pPr>
              <w:spacing w:line="360" w:lineRule="auto"/>
              <w:ind w:firstLine="480" w:firstLineChars="200"/>
              <w:rPr>
                <w:sz w:val="24"/>
                <w:szCs w:val="28"/>
              </w:rPr>
            </w:pPr>
            <w:r>
              <w:rPr>
                <w:sz w:val="24"/>
                <w:szCs w:val="28"/>
              </w:rPr>
              <w:t>（3）民权县花园乡地下水井（共1眼井）</w:t>
            </w:r>
          </w:p>
          <w:p w14:paraId="18843181">
            <w:pPr>
              <w:spacing w:line="360" w:lineRule="auto"/>
              <w:ind w:firstLine="480" w:firstLineChars="200"/>
              <w:rPr>
                <w:sz w:val="24"/>
                <w:szCs w:val="28"/>
              </w:rPr>
            </w:pPr>
            <w:r>
              <w:rPr>
                <w:sz w:val="24"/>
                <w:szCs w:val="28"/>
              </w:rPr>
              <w:t>一级保护区范围：水厂厂区及外围西15米、南18米的区域。</w:t>
            </w:r>
          </w:p>
          <w:p w14:paraId="226BE9CC">
            <w:pPr>
              <w:spacing w:line="360" w:lineRule="auto"/>
              <w:ind w:firstLine="480" w:firstLineChars="200"/>
              <w:rPr>
                <w:sz w:val="24"/>
                <w:szCs w:val="28"/>
              </w:rPr>
            </w:pPr>
            <w:r>
              <w:rPr>
                <w:sz w:val="24"/>
                <w:szCs w:val="28"/>
              </w:rPr>
              <w:t>（4）民权县白云寺镇地下水井群（共2眼井）</w:t>
            </w:r>
          </w:p>
          <w:p w14:paraId="20F4F8F9">
            <w:pPr>
              <w:spacing w:line="360" w:lineRule="auto"/>
              <w:ind w:firstLine="480" w:firstLineChars="200"/>
              <w:rPr>
                <w:sz w:val="24"/>
                <w:szCs w:val="28"/>
              </w:rPr>
            </w:pPr>
            <w:r>
              <w:rPr>
                <w:sz w:val="24"/>
                <w:szCs w:val="28"/>
              </w:rPr>
              <w:t>一级保护区范围：水厂厂区及外围东20米、南28米的区域（1号取水井），2号取水井外围30米的区域。</w:t>
            </w:r>
          </w:p>
          <w:p w14:paraId="71003555">
            <w:pPr>
              <w:spacing w:line="360" w:lineRule="auto"/>
              <w:ind w:firstLine="480" w:firstLineChars="200"/>
              <w:rPr>
                <w:sz w:val="24"/>
                <w:szCs w:val="28"/>
              </w:rPr>
            </w:pPr>
            <w:r>
              <w:rPr>
                <w:sz w:val="24"/>
                <w:szCs w:val="28"/>
              </w:rPr>
              <w:t>（5）民权县双塔乡地下水井（共1眼井）</w:t>
            </w:r>
          </w:p>
          <w:p w14:paraId="300AE5A8">
            <w:pPr>
              <w:spacing w:line="360" w:lineRule="auto"/>
              <w:ind w:firstLine="480" w:firstLineChars="200"/>
              <w:rPr>
                <w:sz w:val="24"/>
                <w:szCs w:val="28"/>
              </w:rPr>
            </w:pPr>
            <w:r>
              <w:rPr>
                <w:sz w:val="24"/>
                <w:szCs w:val="28"/>
              </w:rPr>
              <w:t>一级保护区范围：水厂厂区及外围东13米、北20米的区域。</w:t>
            </w:r>
          </w:p>
          <w:p w14:paraId="2D19278A">
            <w:pPr>
              <w:spacing w:line="360" w:lineRule="auto"/>
              <w:ind w:firstLine="480" w:firstLineChars="200"/>
              <w:rPr>
                <w:sz w:val="24"/>
                <w:szCs w:val="28"/>
              </w:rPr>
            </w:pPr>
            <w:r>
              <w:rPr>
                <w:sz w:val="24"/>
                <w:szCs w:val="28"/>
              </w:rPr>
              <w:t>（6）民权县人和镇地下水井群（共2眼井）</w:t>
            </w:r>
          </w:p>
          <w:p w14:paraId="390E93E1">
            <w:pPr>
              <w:spacing w:line="360" w:lineRule="auto"/>
              <w:ind w:firstLine="480" w:firstLineChars="200"/>
              <w:rPr>
                <w:sz w:val="24"/>
                <w:szCs w:val="28"/>
              </w:rPr>
            </w:pPr>
            <w:r>
              <w:rPr>
                <w:sz w:val="24"/>
                <w:szCs w:val="28"/>
              </w:rPr>
              <w:t>一级保护区范围：水厂厂区及外围西18米的区域（1号取水井），2号取水井外围30米、北至310国道的区域。</w:t>
            </w:r>
          </w:p>
          <w:p w14:paraId="7F4BE1CC">
            <w:pPr>
              <w:spacing w:line="360" w:lineRule="auto"/>
              <w:ind w:firstLine="480" w:firstLineChars="200"/>
              <w:rPr>
                <w:sz w:val="24"/>
                <w:szCs w:val="28"/>
              </w:rPr>
            </w:pPr>
            <w:r>
              <w:rPr>
                <w:sz w:val="24"/>
                <w:szCs w:val="28"/>
              </w:rPr>
              <w:t>（7）民权县野岗乡地下水井（共1眼井）</w:t>
            </w:r>
          </w:p>
          <w:p w14:paraId="1D223EC1">
            <w:pPr>
              <w:spacing w:line="360" w:lineRule="auto"/>
              <w:ind w:firstLine="480" w:firstLineChars="200"/>
              <w:rPr>
                <w:sz w:val="24"/>
                <w:szCs w:val="28"/>
              </w:rPr>
            </w:pPr>
            <w:r>
              <w:rPr>
                <w:sz w:val="24"/>
                <w:szCs w:val="28"/>
              </w:rPr>
              <w:t>一级保护区范围：水厂厂区及外围东20米、南25米的区域。</w:t>
            </w:r>
          </w:p>
          <w:p w14:paraId="45CE3E77">
            <w:pPr>
              <w:spacing w:line="360" w:lineRule="auto"/>
              <w:ind w:firstLine="480" w:firstLineChars="200"/>
              <w:rPr>
                <w:sz w:val="24"/>
                <w:szCs w:val="28"/>
              </w:rPr>
            </w:pPr>
            <w:r>
              <w:rPr>
                <w:sz w:val="24"/>
                <w:szCs w:val="28"/>
              </w:rPr>
              <w:t>（8）民权县孙六乡地下水井（共1眼井）</w:t>
            </w:r>
          </w:p>
          <w:p w14:paraId="143F3898">
            <w:pPr>
              <w:spacing w:line="360" w:lineRule="auto"/>
              <w:ind w:firstLine="480" w:firstLineChars="200"/>
              <w:rPr>
                <w:sz w:val="24"/>
                <w:szCs w:val="28"/>
              </w:rPr>
            </w:pPr>
            <w:r>
              <w:rPr>
                <w:sz w:val="24"/>
                <w:szCs w:val="28"/>
              </w:rPr>
              <w:t>一级保护区范围：水厂厂区及外围东10米、南20米的区域。</w:t>
            </w:r>
          </w:p>
          <w:p w14:paraId="586ADF22">
            <w:pPr>
              <w:spacing w:line="360" w:lineRule="auto"/>
              <w:ind w:firstLine="480" w:firstLineChars="200"/>
              <w:rPr>
                <w:sz w:val="24"/>
                <w:szCs w:val="28"/>
              </w:rPr>
            </w:pPr>
            <w:r>
              <w:rPr>
                <w:sz w:val="24"/>
                <w:szCs w:val="28"/>
              </w:rPr>
              <w:t>（9）民权县王庄寨镇地下水井群（共2眼井）</w:t>
            </w:r>
          </w:p>
          <w:p w14:paraId="16FEF2DF">
            <w:pPr>
              <w:spacing w:line="360" w:lineRule="auto"/>
              <w:ind w:firstLine="480" w:firstLineChars="200"/>
              <w:rPr>
                <w:sz w:val="24"/>
                <w:szCs w:val="28"/>
              </w:rPr>
            </w:pPr>
            <w:r>
              <w:rPr>
                <w:sz w:val="24"/>
                <w:szCs w:val="28"/>
              </w:rPr>
              <w:t>一级保护区范围：水厂厂区及外围东20米、南至324省道的区域（1号取水井），2号取水井外围30米的区域。</w:t>
            </w:r>
          </w:p>
          <w:p w14:paraId="4DB80E7B">
            <w:pPr>
              <w:spacing w:line="360" w:lineRule="auto"/>
              <w:ind w:firstLine="480" w:firstLineChars="200"/>
              <w:rPr>
                <w:sz w:val="24"/>
                <w:szCs w:val="28"/>
              </w:rPr>
            </w:pPr>
            <w:r>
              <w:rPr>
                <w:sz w:val="24"/>
                <w:szCs w:val="28"/>
              </w:rPr>
              <w:t>（10）民权县老颜集乡地下水井（共1眼井）</w:t>
            </w:r>
          </w:p>
          <w:p w14:paraId="29106ABD">
            <w:pPr>
              <w:spacing w:line="360" w:lineRule="auto"/>
              <w:ind w:firstLine="480" w:firstLineChars="200"/>
              <w:rPr>
                <w:sz w:val="24"/>
                <w:szCs w:val="28"/>
              </w:rPr>
            </w:pPr>
            <w:r>
              <w:rPr>
                <w:sz w:val="24"/>
                <w:szCs w:val="28"/>
              </w:rPr>
              <w:t>一级保护区范围：水厂厂区及外围西20米、南22米的区域。</w:t>
            </w:r>
          </w:p>
          <w:p w14:paraId="75DB9745">
            <w:pPr>
              <w:spacing w:line="360" w:lineRule="auto"/>
              <w:ind w:firstLine="480" w:firstLineChars="200"/>
              <w:rPr>
                <w:sz w:val="24"/>
                <w:szCs w:val="28"/>
              </w:rPr>
            </w:pPr>
            <w:r>
              <w:rPr>
                <w:sz w:val="24"/>
                <w:szCs w:val="28"/>
              </w:rPr>
              <w:t>（11）民权县林七乡地下水井群（共2眼井）</w:t>
            </w:r>
          </w:p>
          <w:p w14:paraId="04471E44">
            <w:pPr>
              <w:spacing w:line="360" w:lineRule="auto"/>
              <w:ind w:firstLine="480" w:firstLineChars="200"/>
              <w:rPr>
                <w:sz w:val="24"/>
                <w:szCs w:val="28"/>
              </w:rPr>
            </w:pPr>
            <w:r>
              <w:rPr>
                <w:sz w:val="24"/>
                <w:szCs w:val="28"/>
              </w:rPr>
              <w:t>一级保护区范围：水厂厂区及外围西20米、南25米的区域（1号取水井），2号取水井外围30米的区域。</w:t>
            </w:r>
          </w:p>
          <w:p w14:paraId="3760D545">
            <w:pPr>
              <w:spacing w:line="360" w:lineRule="auto"/>
              <w:ind w:firstLine="480" w:firstLineChars="200"/>
              <w:rPr>
                <w:sz w:val="24"/>
                <w:szCs w:val="28"/>
              </w:rPr>
            </w:pPr>
            <w:r>
              <w:rPr>
                <w:sz w:val="24"/>
                <w:szCs w:val="28"/>
              </w:rPr>
              <w:t>（12）民权县褚庙乡地下水井（共1眼井）</w:t>
            </w:r>
          </w:p>
          <w:p w14:paraId="18E2853F">
            <w:pPr>
              <w:spacing w:line="360" w:lineRule="auto"/>
              <w:ind w:firstLine="480" w:firstLineChars="200"/>
              <w:rPr>
                <w:sz w:val="24"/>
                <w:szCs w:val="28"/>
              </w:rPr>
            </w:pPr>
            <w:r>
              <w:rPr>
                <w:sz w:val="24"/>
                <w:szCs w:val="28"/>
              </w:rPr>
              <w:t>一级保护区范围：供水站厂区及外围西25米、南25米的区域。</w:t>
            </w:r>
          </w:p>
          <w:p w14:paraId="451E78CF">
            <w:pPr>
              <w:spacing w:line="360" w:lineRule="auto"/>
              <w:ind w:firstLine="480" w:firstLineChars="200"/>
              <w:rPr>
                <w:sz w:val="24"/>
                <w:szCs w:val="28"/>
              </w:rPr>
            </w:pPr>
            <w:r>
              <w:rPr>
                <w:sz w:val="24"/>
                <w:szCs w:val="28"/>
              </w:rPr>
              <w:t>（13）民权县庄子镇地下水井（共1眼井）</w:t>
            </w:r>
          </w:p>
          <w:p w14:paraId="3D0D7C82">
            <w:pPr>
              <w:spacing w:line="360" w:lineRule="auto"/>
              <w:ind w:firstLine="480" w:firstLineChars="200"/>
              <w:rPr>
                <w:sz w:val="24"/>
                <w:szCs w:val="28"/>
              </w:rPr>
            </w:pPr>
            <w:r>
              <w:rPr>
                <w:sz w:val="24"/>
                <w:szCs w:val="28"/>
              </w:rPr>
              <w:t>一级保护区范围：水厂厂区及外围东24米、北10米的区域。</w:t>
            </w:r>
          </w:p>
          <w:p w14:paraId="496E62DD">
            <w:pPr>
              <w:spacing w:line="360" w:lineRule="auto"/>
              <w:ind w:firstLine="480" w:firstLineChars="200"/>
              <w:rPr>
                <w:sz w:val="24"/>
                <w:szCs w:val="28"/>
              </w:rPr>
            </w:pPr>
            <w:r>
              <w:rPr>
                <w:sz w:val="24"/>
                <w:szCs w:val="28"/>
              </w:rPr>
              <w:t>（14）民权县北关镇地下水井群（共2眼井）</w:t>
            </w:r>
          </w:p>
          <w:p w14:paraId="2AD397BF">
            <w:pPr>
              <w:spacing w:line="360" w:lineRule="auto"/>
              <w:ind w:firstLine="480" w:firstLineChars="200"/>
              <w:rPr>
                <w:sz w:val="24"/>
                <w:szCs w:val="28"/>
              </w:rPr>
            </w:pPr>
            <w:r>
              <w:rPr>
                <w:sz w:val="24"/>
                <w:szCs w:val="28"/>
              </w:rPr>
              <w:t>一级保护区范围：水厂厂区及外围西5米的区域（1号取水井），2号取水井外围30米的区域。</w:t>
            </w:r>
          </w:p>
          <w:p w14:paraId="12713D9A">
            <w:pPr>
              <w:spacing w:line="360" w:lineRule="auto"/>
              <w:ind w:firstLine="480" w:firstLineChars="200"/>
              <w:rPr>
                <w:sz w:val="24"/>
                <w:szCs w:val="28"/>
              </w:rPr>
            </w:pPr>
            <w:r>
              <w:rPr>
                <w:sz w:val="24"/>
                <w:szCs w:val="28"/>
              </w:rPr>
              <w:t>（15）民权县胡集乡地下水井（共1眼井）</w:t>
            </w:r>
          </w:p>
          <w:p w14:paraId="1D54EDCD">
            <w:pPr>
              <w:spacing w:line="360" w:lineRule="auto"/>
              <w:ind w:firstLine="480" w:firstLineChars="200"/>
              <w:rPr>
                <w:sz w:val="24"/>
                <w:szCs w:val="28"/>
              </w:rPr>
            </w:pPr>
            <w:r>
              <w:rPr>
                <w:sz w:val="24"/>
                <w:szCs w:val="28"/>
              </w:rPr>
              <w:t>一级保护区范围：水厂厂区及外围东17米、西20米、北18米的区域。</w:t>
            </w:r>
          </w:p>
          <w:p w14:paraId="5E33956E">
            <w:pPr>
              <w:spacing w:line="360" w:lineRule="auto"/>
              <w:ind w:firstLine="480" w:firstLineChars="200"/>
              <w:rPr>
                <w:sz w:val="24"/>
                <w:szCs w:val="28"/>
              </w:rPr>
            </w:pPr>
            <w:r>
              <w:rPr>
                <w:sz w:val="24"/>
                <w:szCs w:val="28"/>
              </w:rPr>
              <w:t>（16）民权县程庄镇地下水井群（共2眼井）</w:t>
            </w:r>
          </w:p>
          <w:p w14:paraId="7BF8937F">
            <w:pPr>
              <w:spacing w:line="360" w:lineRule="auto"/>
              <w:ind w:firstLine="480" w:firstLineChars="200"/>
              <w:rPr>
                <w:sz w:val="24"/>
                <w:szCs w:val="28"/>
              </w:rPr>
            </w:pPr>
            <w:r>
              <w:rPr>
                <w:sz w:val="24"/>
                <w:szCs w:val="28"/>
              </w:rPr>
              <w:t>一级保护区范围：水厂厂区及外围西10米、南15米的区域（1号取水井），2号取水井外围30米的区域。</w:t>
            </w:r>
          </w:p>
          <w:p w14:paraId="0A3F569E">
            <w:pPr>
              <w:spacing w:line="360" w:lineRule="auto"/>
              <w:ind w:firstLine="480" w:firstLineChars="200"/>
            </w:pPr>
            <w:r>
              <w:rPr>
                <w:kern w:val="0"/>
                <w:sz w:val="24"/>
              </w:rPr>
              <w:t>本项目选址位于</w:t>
            </w:r>
            <w:r>
              <w:rPr>
                <w:sz w:val="24"/>
              </w:rPr>
              <w:t>商丘市民权县人和镇工业园区310国道北侧</w:t>
            </w:r>
            <w:r>
              <w:rPr>
                <w:kern w:val="0"/>
                <w:sz w:val="24"/>
              </w:rPr>
              <w:t>，根据现场调查，距离最近的水源地保护地为民权县人和镇地下水井群，项目厂址距该水源保护区约2.7km，不在饮用水水源保护区范围内，因此项目建设符合饮用水源保护规划要求。</w:t>
            </w:r>
          </w:p>
          <w:p w14:paraId="3AEA9908">
            <w:pPr>
              <w:tabs>
                <w:tab w:val="left" w:pos="312"/>
              </w:tabs>
              <w:autoSpaceDE w:val="0"/>
              <w:autoSpaceDN w:val="0"/>
              <w:adjustRightInd w:val="0"/>
              <w:snapToGrid w:val="0"/>
              <w:spacing w:line="360" w:lineRule="auto"/>
              <w:ind w:firstLine="482" w:firstLineChars="200"/>
              <w:rPr>
                <w:b/>
                <w:bCs/>
                <w:kern w:val="0"/>
                <w:sz w:val="24"/>
              </w:rPr>
            </w:pPr>
            <w:r>
              <w:rPr>
                <w:b/>
                <w:bCs/>
                <w:kern w:val="0"/>
                <w:sz w:val="24"/>
              </w:rPr>
              <w:t>9.与《河南省重污染天气通用行业应急减排措施制定技术指南》（2024年修订版）相符性分析</w:t>
            </w:r>
          </w:p>
          <w:p w14:paraId="54FD9322">
            <w:pPr>
              <w:pStyle w:val="39"/>
              <w:spacing w:line="360" w:lineRule="auto"/>
              <w:ind w:firstLine="480" w:firstLineChars="200"/>
              <w:jc w:val="both"/>
              <w:rPr>
                <w:b w:val="0"/>
              </w:rPr>
            </w:pPr>
            <w:r>
              <w:rPr>
                <w:b w:val="0"/>
              </w:rPr>
              <w:t>本项目为废旧农机拆解，属于废弃资源综合利用行业，对照《河南省重污染天气通用行业应急减排措施制定技术指南》（2024年修订版）中通用行业的涉PM及</w:t>
            </w:r>
            <w:bookmarkStart w:id="4" w:name="OLE_LINK74"/>
            <w:r>
              <w:rPr>
                <w:b w:val="0"/>
              </w:rPr>
              <w:t>VOCs企业</w:t>
            </w:r>
            <w:bookmarkEnd w:id="4"/>
            <w:r>
              <w:rPr>
                <w:b w:val="0"/>
              </w:rPr>
              <w:t>，本项目与其相符性分析见下表。</w:t>
            </w:r>
          </w:p>
          <w:p w14:paraId="1F026748">
            <w:pPr>
              <w:ind w:firstLine="482" w:firstLineChars="200"/>
              <w:jc w:val="center"/>
              <w:rPr>
                <w:b/>
                <w:bCs/>
                <w:sz w:val="24"/>
              </w:rPr>
            </w:pPr>
          </w:p>
          <w:p w14:paraId="3A40E629">
            <w:pPr>
              <w:ind w:firstLine="482" w:firstLineChars="200"/>
              <w:jc w:val="center"/>
              <w:rPr>
                <w:b/>
                <w:bCs/>
                <w:sz w:val="24"/>
              </w:rPr>
            </w:pPr>
            <w:r>
              <w:rPr>
                <w:b/>
                <w:bCs/>
                <w:sz w:val="24"/>
              </w:rPr>
              <w:t>表8  与通用行业涉PM、VOCs企业绩效引领相符性分析一览表</w:t>
            </w:r>
          </w:p>
          <w:tbl>
            <w:tblPr>
              <w:tblStyle w:val="23"/>
              <w:tblW w:w="8162"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62"/>
              <w:gridCol w:w="506"/>
              <w:gridCol w:w="4172"/>
              <w:gridCol w:w="2440"/>
              <w:gridCol w:w="682"/>
            </w:tblGrid>
            <w:tr w14:paraId="076FA5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3088" w:type="pct"/>
                  <w:gridSpan w:val="3"/>
                  <w:tcBorders>
                    <w:left w:val="single" w:color="auto" w:sz="0" w:space="0"/>
                  </w:tcBorders>
                  <w:vAlign w:val="center"/>
                </w:tcPr>
                <w:p w14:paraId="66CA84CA">
                  <w:pPr>
                    <w:jc w:val="center"/>
                  </w:pPr>
                  <w:r>
                    <w:t>基本要求</w:t>
                  </w:r>
                </w:p>
              </w:tc>
              <w:tc>
                <w:tcPr>
                  <w:tcW w:w="1495" w:type="pct"/>
                  <w:vAlign w:val="center"/>
                </w:tcPr>
                <w:p w14:paraId="025527AE">
                  <w:pPr>
                    <w:autoSpaceDE w:val="0"/>
                    <w:autoSpaceDN w:val="0"/>
                    <w:adjustRightInd w:val="0"/>
                    <w:snapToGrid w:val="0"/>
                    <w:jc w:val="center"/>
                    <w:rPr>
                      <w:szCs w:val="21"/>
                    </w:rPr>
                  </w:pPr>
                  <w:r>
                    <w:rPr>
                      <w:szCs w:val="21"/>
                    </w:rPr>
                    <w:t>本项目情况</w:t>
                  </w:r>
                </w:p>
              </w:tc>
              <w:tc>
                <w:tcPr>
                  <w:tcW w:w="417" w:type="pct"/>
                  <w:tcBorders>
                    <w:right w:val="single" w:color="auto" w:sz="4" w:space="0"/>
                  </w:tcBorders>
                  <w:vAlign w:val="center"/>
                </w:tcPr>
                <w:p w14:paraId="17E00013">
                  <w:pPr>
                    <w:autoSpaceDE w:val="0"/>
                    <w:autoSpaceDN w:val="0"/>
                    <w:adjustRightInd w:val="0"/>
                    <w:snapToGrid w:val="0"/>
                    <w:jc w:val="center"/>
                    <w:rPr>
                      <w:szCs w:val="21"/>
                    </w:rPr>
                  </w:pPr>
                  <w:r>
                    <w:rPr>
                      <w:szCs w:val="21"/>
                    </w:rPr>
                    <w:t>相符性</w:t>
                  </w:r>
                </w:p>
              </w:tc>
            </w:tr>
            <w:tr w14:paraId="331D13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00" w:type="pct"/>
                  <w:gridSpan w:val="5"/>
                  <w:tcBorders>
                    <w:left w:val="single" w:color="auto" w:sz="4" w:space="0"/>
                    <w:right w:val="single" w:color="auto" w:sz="4" w:space="0"/>
                  </w:tcBorders>
                  <w:vAlign w:val="center"/>
                </w:tcPr>
                <w:p w14:paraId="6137C212">
                  <w:pPr>
                    <w:autoSpaceDE w:val="0"/>
                    <w:autoSpaceDN w:val="0"/>
                    <w:adjustRightInd w:val="0"/>
                    <w:snapToGrid w:val="0"/>
                    <w:jc w:val="center"/>
                    <w:rPr>
                      <w:szCs w:val="21"/>
                    </w:rPr>
                  </w:pPr>
                  <w:r>
                    <w:rPr>
                      <w:szCs w:val="21"/>
                    </w:rPr>
                    <w:t>涉PM企业绩效引领性指标</w:t>
                  </w:r>
                </w:p>
              </w:tc>
            </w:tr>
            <w:tr w14:paraId="09D376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right w:val="single" w:color="auto" w:sz="4" w:space="0"/>
                  </w:tcBorders>
                  <w:vAlign w:val="center"/>
                </w:tcPr>
                <w:p w14:paraId="7D78F2AA">
                  <w:pPr>
                    <w:autoSpaceDE w:val="0"/>
                    <w:autoSpaceDN w:val="0"/>
                    <w:adjustRightInd w:val="0"/>
                    <w:snapToGrid w:val="0"/>
                    <w:jc w:val="center"/>
                    <w:rPr>
                      <w:szCs w:val="21"/>
                    </w:rPr>
                  </w:pPr>
                  <w:r>
                    <w:rPr>
                      <w:szCs w:val="21"/>
                    </w:rPr>
                    <w:t>生产工艺和装备</w:t>
                  </w:r>
                </w:p>
              </w:tc>
              <w:tc>
                <w:tcPr>
                  <w:tcW w:w="2556" w:type="pct"/>
                  <w:tcBorders>
                    <w:left w:val="single" w:color="auto" w:sz="4" w:space="0"/>
                    <w:right w:val="single" w:color="auto" w:sz="4" w:space="0"/>
                  </w:tcBorders>
                  <w:vAlign w:val="center"/>
                </w:tcPr>
                <w:p w14:paraId="2402513B">
                  <w:pPr>
                    <w:autoSpaceDE w:val="0"/>
                    <w:autoSpaceDN w:val="0"/>
                    <w:adjustRightInd w:val="0"/>
                    <w:snapToGrid w:val="0"/>
                    <w:rPr>
                      <w:szCs w:val="21"/>
                    </w:rPr>
                  </w:pPr>
                  <w:r>
                    <w:rPr>
                      <w:szCs w:val="21"/>
                    </w:rPr>
                    <w:t>不属于《产业结构调整指导目录（2024年版）》淘汰类，不属于省级和市级政府部门明确列入已经限期淘汰类项目。</w:t>
                  </w:r>
                </w:p>
              </w:tc>
              <w:tc>
                <w:tcPr>
                  <w:tcW w:w="1495" w:type="pct"/>
                  <w:tcBorders>
                    <w:left w:val="single" w:color="auto" w:sz="4" w:space="0"/>
                    <w:right w:val="single" w:color="auto" w:sz="4" w:space="0"/>
                  </w:tcBorders>
                  <w:vAlign w:val="center"/>
                </w:tcPr>
                <w:p w14:paraId="07F30673">
                  <w:pPr>
                    <w:autoSpaceDE w:val="0"/>
                    <w:autoSpaceDN w:val="0"/>
                    <w:adjustRightInd w:val="0"/>
                    <w:snapToGrid w:val="0"/>
                    <w:jc w:val="center"/>
                    <w:rPr>
                      <w:szCs w:val="21"/>
                    </w:rPr>
                  </w:pPr>
                  <w:r>
                    <w:rPr>
                      <w:szCs w:val="21"/>
                    </w:rPr>
                    <w:t>本项目不属于淘汰类。</w:t>
                  </w:r>
                </w:p>
              </w:tc>
              <w:tc>
                <w:tcPr>
                  <w:tcW w:w="417" w:type="pct"/>
                  <w:tcBorders>
                    <w:left w:val="single" w:color="auto" w:sz="4" w:space="0"/>
                    <w:right w:val="single" w:color="auto" w:sz="4" w:space="0"/>
                  </w:tcBorders>
                  <w:vAlign w:val="center"/>
                </w:tcPr>
                <w:p w14:paraId="114B1E3B">
                  <w:pPr>
                    <w:autoSpaceDE w:val="0"/>
                    <w:autoSpaceDN w:val="0"/>
                    <w:adjustRightInd w:val="0"/>
                    <w:snapToGrid w:val="0"/>
                    <w:jc w:val="center"/>
                    <w:rPr>
                      <w:szCs w:val="21"/>
                    </w:rPr>
                  </w:pPr>
                  <w:r>
                    <w:rPr>
                      <w:szCs w:val="21"/>
                    </w:rPr>
                    <w:t>相符</w:t>
                  </w:r>
                </w:p>
              </w:tc>
            </w:tr>
            <w:tr w14:paraId="7647AD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1079E27E">
                  <w:pPr>
                    <w:jc w:val="center"/>
                  </w:pPr>
                  <w:r>
                    <w:t>物料</w:t>
                  </w:r>
                </w:p>
                <w:p w14:paraId="2EF2A882">
                  <w:pPr>
                    <w:jc w:val="center"/>
                  </w:pPr>
                  <w:r>
                    <w:t>装卸</w:t>
                  </w:r>
                </w:p>
              </w:tc>
              <w:tc>
                <w:tcPr>
                  <w:tcW w:w="2556" w:type="pct"/>
                  <w:vAlign w:val="center"/>
                </w:tcPr>
                <w:p w14:paraId="2E374790">
                  <w:r>
                    <w:t>1、车辆运输的物料应采取封闭措施。粉状、粒状、块状散装物料在封闭料场内装卸，装卸过程中产尘点应设置集气除尘装置，料堆应采取有效抑尘措施。</w:t>
                  </w:r>
                </w:p>
                <w:p w14:paraId="19C12BF8">
                  <w:r>
                    <w:t>2、不易产尘的袋装物料宜在料棚中装卸，如需露天装卸应采取防止破袋及粉尘外逸措施。</w:t>
                  </w:r>
                </w:p>
              </w:tc>
              <w:tc>
                <w:tcPr>
                  <w:tcW w:w="1495" w:type="pct"/>
                  <w:vAlign w:val="center"/>
                </w:tcPr>
                <w:p w14:paraId="22C0759A">
                  <w:pPr>
                    <w:autoSpaceDE w:val="0"/>
                    <w:autoSpaceDN w:val="0"/>
                    <w:adjustRightInd w:val="0"/>
                    <w:snapToGrid w:val="0"/>
                    <w:jc w:val="center"/>
                    <w:rPr>
                      <w:szCs w:val="21"/>
                    </w:rPr>
                  </w:pPr>
                  <w:r>
                    <w:rPr>
                      <w:szCs w:val="21"/>
                    </w:rPr>
                    <w:t>项目为废旧农机拆解，不涉及粉状、粒状、块状散装物料。</w:t>
                  </w:r>
                </w:p>
              </w:tc>
              <w:tc>
                <w:tcPr>
                  <w:tcW w:w="417" w:type="pct"/>
                  <w:tcBorders>
                    <w:right w:val="single" w:color="auto" w:sz="4" w:space="0"/>
                  </w:tcBorders>
                  <w:vAlign w:val="center"/>
                </w:tcPr>
                <w:p w14:paraId="4C6C6ABD">
                  <w:pPr>
                    <w:autoSpaceDE w:val="0"/>
                    <w:autoSpaceDN w:val="0"/>
                    <w:adjustRightInd w:val="0"/>
                    <w:snapToGrid w:val="0"/>
                    <w:jc w:val="center"/>
                    <w:rPr>
                      <w:szCs w:val="21"/>
                    </w:rPr>
                  </w:pPr>
                  <w:r>
                    <w:rPr>
                      <w:szCs w:val="21"/>
                    </w:rPr>
                    <w:t>相符</w:t>
                  </w:r>
                </w:p>
              </w:tc>
            </w:tr>
            <w:tr w14:paraId="5BD7A8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36DE9798">
                  <w:pPr>
                    <w:jc w:val="center"/>
                  </w:pPr>
                  <w:r>
                    <w:t>物料</w:t>
                  </w:r>
                </w:p>
                <w:p w14:paraId="146A82A8">
                  <w:pPr>
                    <w:jc w:val="center"/>
                  </w:pPr>
                  <w:r>
                    <w:t>储存</w:t>
                  </w:r>
                </w:p>
              </w:tc>
              <w:tc>
                <w:tcPr>
                  <w:tcW w:w="2556" w:type="pct"/>
                  <w:vAlign w:val="center"/>
                </w:tcPr>
                <w:p w14:paraId="552311BD">
                  <w:r>
                    <w:t>粉状物料应储存于密闭/封闭料仓中；粒状、块状物料应储存于封闭料场中，并采取喷淋、清扫或其他有效抑尘措施；袋装物料应储存于封闭/半封闭料场中。封闭料场顶棚和四周围墙完整，料场内路面全部硬化，料场货物进出大门为硬质材料门或自动感应门，在确保安全的情况下，所有门窗保持常闭状态。不产尘物料（如钢材、管件）及产品如露天储存应在规定的存储区域码放整齐。</w:t>
                  </w:r>
                </w:p>
              </w:tc>
              <w:tc>
                <w:tcPr>
                  <w:tcW w:w="1495" w:type="pct"/>
                  <w:vAlign w:val="center"/>
                </w:tcPr>
                <w:p w14:paraId="3D6C6E08">
                  <w:pPr>
                    <w:autoSpaceDE w:val="0"/>
                    <w:autoSpaceDN w:val="0"/>
                    <w:adjustRightInd w:val="0"/>
                    <w:snapToGrid w:val="0"/>
                    <w:jc w:val="center"/>
                    <w:rPr>
                      <w:szCs w:val="21"/>
                    </w:rPr>
                  </w:pPr>
                  <w:r>
                    <w:rPr>
                      <w:szCs w:val="21"/>
                    </w:rPr>
                    <w:t>本项目不涉及粉状、粒状、块状物料，拆解车间产生的灰尘及时清扫；拆解区全部封闭空间，厂区地面全部硬化。废旧农机进出大门为硬质材料门，所有门窗保持常闭状态。本项目物料及产品不涉及露天储存，均贮存在密闭厂房后交由有资质单位处置。项目不涉及物料转移和输送、成品包装环节，仅拆解过程产生的少量粉尘要求定期清扫，保持地面无明显积尘。</w:t>
                  </w:r>
                </w:p>
              </w:tc>
              <w:tc>
                <w:tcPr>
                  <w:tcW w:w="417" w:type="pct"/>
                  <w:tcBorders>
                    <w:right w:val="single" w:color="auto" w:sz="4" w:space="0"/>
                  </w:tcBorders>
                  <w:vAlign w:val="center"/>
                </w:tcPr>
                <w:p w14:paraId="03C5F1BE">
                  <w:pPr>
                    <w:autoSpaceDE w:val="0"/>
                    <w:autoSpaceDN w:val="0"/>
                    <w:adjustRightInd w:val="0"/>
                    <w:snapToGrid w:val="0"/>
                    <w:jc w:val="center"/>
                    <w:rPr>
                      <w:szCs w:val="21"/>
                    </w:rPr>
                  </w:pPr>
                  <w:r>
                    <w:rPr>
                      <w:szCs w:val="21"/>
                    </w:rPr>
                    <w:t>相符</w:t>
                  </w:r>
                </w:p>
              </w:tc>
            </w:tr>
            <w:tr w14:paraId="2EED52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7B64D2A8">
                  <w:pPr>
                    <w:jc w:val="center"/>
                  </w:pPr>
                  <w:r>
                    <w:t>物料转移和输送</w:t>
                  </w:r>
                </w:p>
              </w:tc>
              <w:tc>
                <w:tcPr>
                  <w:tcW w:w="2556" w:type="pct"/>
                  <w:vAlign w:val="center"/>
                </w:tcPr>
                <w:p w14:paraId="65F2634D">
                  <w:r>
                    <w:t>1、粉状、粒状等易产尘物料厂内转移、输送过程应采用气力输送、密闭输送，块状和粘湿粉状物料采用封闭输送；</w:t>
                  </w:r>
                </w:p>
                <w:p w14:paraId="1ED86CF2">
                  <w:r>
                    <w:t>2、无法封闭的产尘点（物料转载、下料口等）应采取集气除尘措施，或有效抑尘措施。</w:t>
                  </w:r>
                </w:p>
              </w:tc>
              <w:tc>
                <w:tcPr>
                  <w:tcW w:w="1495" w:type="pct"/>
                  <w:vAlign w:val="center"/>
                </w:tcPr>
                <w:p w14:paraId="6FD84FEF">
                  <w:pPr>
                    <w:autoSpaceDE w:val="0"/>
                    <w:autoSpaceDN w:val="0"/>
                    <w:adjustRightInd w:val="0"/>
                    <w:snapToGrid w:val="0"/>
                    <w:jc w:val="center"/>
                    <w:rPr>
                      <w:szCs w:val="21"/>
                    </w:rPr>
                  </w:pPr>
                  <w:r>
                    <w:rPr>
                      <w:szCs w:val="21"/>
                    </w:rPr>
                    <w:t>本项目不涉及易产尘物料、块状和粘湿状物料输送；不涉及无法封闭的产尘点。</w:t>
                  </w:r>
                </w:p>
              </w:tc>
              <w:tc>
                <w:tcPr>
                  <w:tcW w:w="417" w:type="pct"/>
                  <w:tcBorders>
                    <w:right w:val="single" w:color="auto" w:sz="4" w:space="0"/>
                  </w:tcBorders>
                  <w:vAlign w:val="center"/>
                </w:tcPr>
                <w:p w14:paraId="587F83BA">
                  <w:pPr>
                    <w:autoSpaceDE w:val="0"/>
                    <w:autoSpaceDN w:val="0"/>
                    <w:adjustRightInd w:val="0"/>
                    <w:snapToGrid w:val="0"/>
                    <w:jc w:val="center"/>
                    <w:rPr>
                      <w:szCs w:val="21"/>
                    </w:rPr>
                  </w:pPr>
                  <w:r>
                    <w:rPr>
                      <w:szCs w:val="21"/>
                    </w:rPr>
                    <w:t>相符</w:t>
                  </w:r>
                </w:p>
              </w:tc>
            </w:tr>
            <w:tr w14:paraId="56ADCA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618E99AD">
                  <w:pPr>
                    <w:jc w:val="center"/>
                  </w:pPr>
                  <w:r>
                    <w:t>工艺</w:t>
                  </w:r>
                </w:p>
                <w:p w14:paraId="36AA70D1">
                  <w:pPr>
                    <w:jc w:val="center"/>
                  </w:pPr>
                  <w:r>
                    <w:t>过程</w:t>
                  </w:r>
                </w:p>
              </w:tc>
              <w:tc>
                <w:tcPr>
                  <w:tcW w:w="2556" w:type="pct"/>
                  <w:vAlign w:val="center"/>
                </w:tcPr>
                <w:p w14:paraId="43B6DC24">
                  <w:r>
                    <w:t>1.各种物料破碎、筛分、配料、混料等过程应在封闭厂房内进行，并采取收尘/抑尘措施；</w:t>
                  </w:r>
                </w:p>
                <w:p w14:paraId="59281F3A">
                  <w:r>
                    <w:t>2.破碎筛分设备在进、出料口和配料混料过程等产尘点应设置集气除尘设施。</w:t>
                  </w:r>
                </w:p>
              </w:tc>
              <w:tc>
                <w:tcPr>
                  <w:tcW w:w="1495" w:type="pct"/>
                  <w:vAlign w:val="center"/>
                </w:tcPr>
                <w:p w14:paraId="7342DF37">
                  <w:pPr>
                    <w:autoSpaceDE w:val="0"/>
                    <w:autoSpaceDN w:val="0"/>
                    <w:adjustRightInd w:val="0"/>
                    <w:snapToGrid w:val="0"/>
                    <w:jc w:val="center"/>
                    <w:rPr>
                      <w:szCs w:val="21"/>
                    </w:rPr>
                  </w:pPr>
                  <w:r>
                    <w:t>项目废旧农机拆解后废钢铁不涉及破碎工序，不会产生粉尘。</w:t>
                  </w:r>
                </w:p>
              </w:tc>
              <w:tc>
                <w:tcPr>
                  <w:tcW w:w="417" w:type="pct"/>
                  <w:tcBorders>
                    <w:right w:val="single" w:color="auto" w:sz="4" w:space="0"/>
                  </w:tcBorders>
                  <w:vAlign w:val="center"/>
                </w:tcPr>
                <w:p w14:paraId="677A3771">
                  <w:pPr>
                    <w:autoSpaceDE w:val="0"/>
                    <w:autoSpaceDN w:val="0"/>
                    <w:adjustRightInd w:val="0"/>
                    <w:snapToGrid w:val="0"/>
                    <w:jc w:val="center"/>
                    <w:rPr>
                      <w:szCs w:val="21"/>
                    </w:rPr>
                  </w:pPr>
                  <w:r>
                    <w:rPr>
                      <w:szCs w:val="21"/>
                    </w:rPr>
                    <w:t>相符</w:t>
                  </w:r>
                </w:p>
              </w:tc>
            </w:tr>
            <w:tr w14:paraId="558820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2" w:type="pct"/>
                  <w:gridSpan w:val="2"/>
                  <w:tcBorders>
                    <w:left w:val="single" w:color="auto" w:sz="4" w:space="0"/>
                  </w:tcBorders>
                  <w:vAlign w:val="center"/>
                </w:tcPr>
                <w:p w14:paraId="644387DC">
                  <w:pPr>
                    <w:jc w:val="center"/>
                  </w:pPr>
                  <w:r>
                    <w:t>成品</w:t>
                  </w:r>
                </w:p>
                <w:p w14:paraId="0DBFE90D">
                  <w:pPr>
                    <w:jc w:val="center"/>
                  </w:pPr>
                  <w:r>
                    <w:t>包装</w:t>
                  </w:r>
                </w:p>
              </w:tc>
              <w:tc>
                <w:tcPr>
                  <w:tcW w:w="2556" w:type="pct"/>
                  <w:vAlign w:val="center"/>
                </w:tcPr>
                <w:p w14:paraId="165C614E">
                  <w:r>
                    <w:t>1.粉状、粒状产品包装卸料口应完全封闭，如不能封闭应采取局部集气除尘措施。卸料口地面应及时清扫，地面无明显积尘；</w:t>
                  </w:r>
                </w:p>
                <w:p w14:paraId="710DAF0C">
                  <w:r>
                    <w:t>2.各生产工序的车间地面干净，无积料、积灰现象；</w:t>
                  </w:r>
                </w:p>
                <w:p w14:paraId="350144AA">
                  <w:r>
                    <w:t>3.生产车间不得有可见烟（粉）尘外逸。</w:t>
                  </w:r>
                </w:p>
              </w:tc>
              <w:tc>
                <w:tcPr>
                  <w:tcW w:w="1495" w:type="pct"/>
                  <w:vAlign w:val="center"/>
                </w:tcPr>
                <w:p w14:paraId="0CB3F76A">
                  <w:pPr>
                    <w:autoSpaceDE w:val="0"/>
                    <w:autoSpaceDN w:val="0"/>
                    <w:adjustRightInd w:val="0"/>
                    <w:snapToGrid w:val="0"/>
                    <w:jc w:val="center"/>
                    <w:rPr>
                      <w:szCs w:val="21"/>
                    </w:rPr>
                  </w:pPr>
                  <w:r>
                    <w:t>各生产工序的车间地面保持干净，无积料、积灰现象。</w:t>
                  </w:r>
                  <w:r>
                    <w:rPr>
                      <w:szCs w:val="21"/>
                    </w:rPr>
                    <w:t>项目生产车间应及时打扫，</w:t>
                  </w:r>
                  <w:r>
                    <w:t>不得有可见烟粉尘外逸。</w:t>
                  </w:r>
                </w:p>
              </w:tc>
              <w:tc>
                <w:tcPr>
                  <w:tcW w:w="417" w:type="pct"/>
                  <w:tcBorders>
                    <w:right w:val="single" w:color="auto" w:sz="4" w:space="0"/>
                  </w:tcBorders>
                  <w:vAlign w:val="center"/>
                </w:tcPr>
                <w:p w14:paraId="6F276630">
                  <w:pPr>
                    <w:autoSpaceDE w:val="0"/>
                    <w:autoSpaceDN w:val="0"/>
                    <w:adjustRightInd w:val="0"/>
                    <w:snapToGrid w:val="0"/>
                    <w:jc w:val="center"/>
                    <w:rPr>
                      <w:szCs w:val="21"/>
                    </w:rPr>
                  </w:pPr>
                  <w:r>
                    <w:rPr>
                      <w:szCs w:val="21"/>
                    </w:rPr>
                    <w:t>相符</w:t>
                  </w:r>
                </w:p>
              </w:tc>
            </w:tr>
            <w:tr w14:paraId="71F6D3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62583DDD">
                  <w:pPr>
                    <w:jc w:val="center"/>
                  </w:pPr>
                  <w:r>
                    <w:t>排放限值</w:t>
                  </w:r>
                </w:p>
              </w:tc>
              <w:tc>
                <w:tcPr>
                  <w:tcW w:w="2556" w:type="pct"/>
                  <w:vAlign w:val="center"/>
                </w:tcPr>
                <w:p w14:paraId="6E4A39C6">
                  <w:r>
                    <w:t>PM排放限值不高于10mg/m</w:t>
                  </w:r>
                  <w:r>
                    <w:rPr>
                      <w:vertAlign w:val="superscript"/>
                    </w:rPr>
                    <w:t>3</w:t>
                  </w:r>
                  <w:r>
                    <w:t>；其他污染物排放浓度达到相关污染物排放标准。</w:t>
                  </w:r>
                </w:p>
              </w:tc>
              <w:tc>
                <w:tcPr>
                  <w:tcW w:w="1495" w:type="pct"/>
                  <w:vAlign w:val="center"/>
                </w:tcPr>
                <w:p w14:paraId="30974FC0">
                  <w:pPr>
                    <w:autoSpaceDE w:val="0"/>
                    <w:autoSpaceDN w:val="0"/>
                    <w:adjustRightInd w:val="0"/>
                    <w:snapToGrid w:val="0"/>
                    <w:rPr>
                      <w:szCs w:val="21"/>
                    </w:rPr>
                  </w:pPr>
                  <w:r>
                    <w:rPr>
                      <w:szCs w:val="21"/>
                    </w:rPr>
                    <w:t>根据分析，项目颗粒物排放浓度不高于10</w:t>
                  </w:r>
                  <w:r>
                    <w:t>mg/m</w:t>
                  </w:r>
                  <w:r>
                    <w:rPr>
                      <w:vertAlign w:val="superscript"/>
                    </w:rPr>
                    <w:t>3</w:t>
                  </w:r>
                  <w:r>
                    <w:t>；。其他污染物排放浓度达到相关污染物排放标准。</w:t>
                  </w:r>
                </w:p>
              </w:tc>
              <w:tc>
                <w:tcPr>
                  <w:tcW w:w="417" w:type="pct"/>
                  <w:tcBorders>
                    <w:right w:val="single" w:color="auto" w:sz="4" w:space="0"/>
                  </w:tcBorders>
                  <w:vAlign w:val="center"/>
                </w:tcPr>
                <w:p w14:paraId="37DB451A">
                  <w:pPr>
                    <w:autoSpaceDE w:val="0"/>
                    <w:autoSpaceDN w:val="0"/>
                    <w:adjustRightInd w:val="0"/>
                    <w:snapToGrid w:val="0"/>
                    <w:jc w:val="center"/>
                    <w:rPr>
                      <w:szCs w:val="21"/>
                    </w:rPr>
                  </w:pPr>
                  <w:r>
                    <w:rPr>
                      <w:szCs w:val="21"/>
                    </w:rPr>
                    <w:t>相符</w:t>
                  </w:r>
                </w:p>
              </w:tc>
            </w:tr>
            <w:tr w14:paraId="1AC86C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00" w:type="pct"/>
                  <w:gridSpan w:val="5"/>
                  <w:tcBorders>
                    <w:left w:val="single" w:color="auto" w:sz="4" w:space="0"/>
                    <w:right w:val="single" w:color="auto" w:sz="4" w:space="0"/>
                  </w:tcBorders>
                  <w:vAlign w:val="center"/>
                </w:tcPr>
                <w:p w14:paraId="25286C1D">
                  <w:pPr>
                    <w:autoSpaceDE w:val="0"/>
                    <w:autoSpaceDN w:val="0"/>
                    <w:adjustRightInd w:val="0"/>
                    <w:snapToGrid w:val="0"/>
                    <w:jc w:val="center"/>
                    <w:rPr>
                      <w:szCs w:val="21"/>
                    </w:rPr>
                  </w:pPr>
                  <w:bookmarkStart w:id="5" w:name="OLE_LINK101"/>
                  <w:r>
                    <w:t>涉VOCs企业绩效引领性指标</w:t>
                  </w:r>
                  <w:bookmarkEnd w:id="5"/>
                </w:p>
              </w:tc>
            </w:tr>
            <w:tr w14:paraId="433CCC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15E8EE6E">
                  <w:pPr>
                    <w:jc w:val="center"/>
                  </w:pPr>
                  <w:r>
                    <w:t>生产工艺和装备</w:t>
                  </w:r>
                </w:p>
              </w:tc>
              <w:tc>
                <w:tcPr>
                  <w:tcW w:w="2556" w:type="pct"/>
                  <w:vAlign w:val="center"/>
                </w:tcPr>
                <w:p w14:paraId="240FAD88">
                  <w:r>
                    <w:t>不属于《产业结构调整指导目录(2024 年版)》淘汰类，不属于省级和市级政府部门明确列入已经限期淘汰类项目。</w:t>
                  </w:r>
                </w:p>
              </w:tc>
              <w:tc>
                <w:tcPr>
                  <w:tcW w:w="1495" w:type="pct"/>
                  <w:vAlign w:val="center"/>
                </w:tcPr>
                <w:p w14:paraId="0880FD65">
                  <w:pPr>
                    <w:autoSpaceDE w:val="0"/>
                    <w:autoSpaceDN w:val="0"/>
                    <w:adjustRightInd w:val="0"/>
                    <w:snapToGrid w:val="0"/>
                    <w:jc w:val="center"/>
                    <w:rPr>
                      <w:szCs w:val="21"/>
                    </w:rPr>
                  </w:pPr>
                  <w:r>
                    <w:rPr>
                      <w:szCs w:val="21"/>
                    </w:rPr>
                    <w:t>本项目不属于淘汰类。</w:t>
                  </w:r>
                </w:p>
              </w:tc>
              <w:tc>
                <w:tcPr>
                  <w:tcW w:w="417" w:type="pct"/>
                  <w:tcBorders>
                    <w:right w:val="single" w:color="auto" w:sz="4" w:space="0"/>
                  </w:tcBorders>
                  <w:vAlign w:val="center"/>
                </w:tcPr>
                <w:p w14:paraId="5785CE00">
                  <w:pPr>
                    <w:autoSpaceDE w:val="0"/>
                    <w:autoSpaceDN w:val="0"/>
                    <w:adjustRightInd w:val="0"/>
                    <w:snapToGrid w:val="0"/>
                    <w:jc w:val="center"/>
                    <w:rPr>
                      <w:szCs w:val="21"/>
                    </w:rPr>
                  </w:pPr>
                  <w:r>
                    <w:rPr>
                      <w:szCs w:val="21"/>
                    </w:rPr>
                    <w:t>相符</w:t>
                  </w:r>
                </w:p>
              </w:tc>
            </w:tr>
            <w:tr w14:paraId="284DC4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0E854AFD">
                  <w:pPr>
                    <w:jc w:val="center"/>
                  </w:pPr>
                  <w:r>
                    <w:t>物料</w:t>
                  </w:r>
                </w:p>
                <w:p w14:paraId="2A9A9797">
                  <w:pPr>
                    <w:jc w:val="center"/>
                  </w:pPr>
                  <w:r>
                    <w:t>储存</w:t>
                  </w:r>
                </w:p>
              </w:tc>
              <w:tc>
                <w:tcPr>
                  <w:tcW w:w="2556" w:type="pct"/>
                  <w:vAlign w:val="center"/>
                </w:tcPr>
                <w:p w14:paraId="07B640DE">
                  <w:pPr>
                    <w:numPr>
                      <w:ilvl w:val="0"/>
                      <w:numId w:val="4"/>
                    </w:numPr>
                  </w:pPr>
                  <w:r>
                    <w:t>涂料、稀释剂、清洗剂等原辅材料密闭存储；</w:t>
                  </w:r>
                </w:p>
                <w:p w14:paraId="75E34349">
                  <w:pPr>
                    <w:numPr>
                      <w:ilvl w:val="0"/>
                      <w:numId w:val="4"/>
                    </w:numPr>
                  </w:pPr>
                  <w:r>
                    <w:t>盛装过VOCs物料的包装容器、含VOCs废料（渣、液）、废吸附剂等通过加盖、封装等方式密闭储存；</w:t>
                  </w:r>
                </w:p>
                <w:p w14:paraId="2A994207">
                  <w:pPr>
                    <w:numPr>
                      <w:ilvl w:val="0"/>
                      <w:numId w:val="4"/>
                    </w:numPr>
                  </w:pPr>
                  <w:r>
                    <w:t>生产车间内涉VOCs物料应密闭储存。</w:t>
                  </w:r>
                </w:p>
              </w:tc>
              <w:tc>
                <w:tcPr>
                  <w:tcW w:w="1495" w:type="pct"/>
                  <w:vAlign w:val="center"/>
                </w:tcPr>
                <w:p w14:paraId="5486DFC8">
                  <w:pPr>
                    <w:autoSpaceDE w:val="0"/>
                    <w:autoSpaceDN w:val="0"/>
                    <w:adjustRightInd w:val="0"/>
                    <w:snapToGrid w:val="0"/>
                    <w:jc w:val="center"/>
                    <w:rPr>
                      <w:szCs w:val="21"/>
                    </w:rPr>
                  </w:pPr>
                  <w:r>
                    <w:rPr>
                      <w:szCs w:val="21"/>
                    </w:rPr>
                    <w:t>项目废旧农机拆解过程中拆解产生的废油液、废活性炭等均采用防渗桶密闭存于危废间暂存间。</w:t>
                  </w:r>
                </w:p>
              </w:tc>
              <w:tc>
                <w:tcPr>
                  <w:tcW w:w="417" w:type="pct"/>
                  <w:tcBorders>
                    <w:right w:val="single" w:color="auto" w:sz="4" w:space="0"/>
                  </w:tcBorders>
                  <w:vAlign w:val="center"/>
                </w:tcPr>
                <w:p w14:paraId="5543E24F">
                  <w:pPr>
                    <w:autoSpaceDE w:val="0"/>
                    <w:autoSpaceDN w:val="0"/>
                    <w:adjustRightInd w:val="0"/>
                    <w:snapToGrid w:val="0"/>
                    <w:jc w:val="center"/>
                    <w:rPr>
                      <w:szCs w:val="21"/>
                    </w:rPr>
                  </w:pPr>
                  <w:r>
                    <w:rPr>
                      <w:szCs w:val="21"/>
                    </w:rPr>
                    <w:t>相符</w:t>
                  </w:r>
                </w:p>
              </w:tc>
            </w:tr>
            <w:tr w14:paraId="72C16C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4A7FABE4">
                  <w:pPr>
                    <w:jc w:val="center"/>
                  </w:pPr>
                  <w:r>
                    <w:t>物料转移和输送</w:t>
                  </w:r>
                </w:p>
              </w:tc>
              <w:tc>
                <w:tcPr>
                  <w:tcW w:w="2556" w:type="pct"/>
                  <w:vAlign w:val="center"/>
                </w:tcPr>
                <w:p w14:paraId="1EF231C2">
                  <w:r>
                    <w:t>涉VOCs物料采用密闭管道或密闭容器等输送。</w:t>
                  </w:r>
                </w:p>
              </w:tc>
              <w:tc>
                <w:tcPr>
                  <w:tcW w:w="1495" w:type="pct"/>
                  <w:vAlign w:val="center"/>
                </w:tcPr>
                <w:p w14:paraId="4C6B907B">
                  <w:pPr>
                    <w:autoSpaceDE w:val="0"/>
                    <w:autoSpaceDN w:val="0"/>
                    <w:adjustRightInd w:val="0"/>
                    <w:snapToGrid w:val="0"/>
                    <w:jc w:val="center"/>
                    <w:rPr>
                      <w:szCs w:val="21"/>
                    </w:rPr>
                  </w:pPr>
                  <w:r>
                    <w:rPr>
                      <w:szCs w:val="21"/>
                    </w:rPr>
                    <w:t>项目废旧农机拆解过程产生废油液、废活性炭等均采用桶装加盖密闭转移。</w:t>
                  </w:r>
                </w:p>
              </w:tc>
              <w:tc>
                <w:tcPr>
                  <w:tcW w:w="417" w:type="pct"/>
                  <w:tcBorders>
                    <w:right w:val="single" w:color="auto" w:sz="4" w:space="0"/>
                  </w:tcBorders>
                  <w:vAlign w:val="center"/>
                </w:tcPr>
                <w:p w14:paraId="55929094">
                  <w:pPr>
                    <w:autoSpaceDE w:val="0"/>
                    <w:autoSpaceDN w:val="0"/>
                    <w:adjustRightInd w:val="0"/>
                    <w:snapToGrid w:val="0"/>
                    <w:jc w:val="center"/>
                    <w:rPr>
                      <w:szCs w:val="21"/>
                    </w:rPr>
                  </w:pPr>
                  <w:r>
                    <w:rPr>
                      <w:szCs w:val="21"/>
                    </w:rPr>
                    <w:t>相符</w:t>
                  </w:r>
                </w:p>
              </w:tc>
            </w:tr>
            <w:tr w14:paraId="1CB384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015B63AE">
                  <w:pPr>
                    <w:jc w:val="center"/>
                  </w:pPr>
                  <w:r>
                    <w:t>工艺</w:t>
                  </w:r>
                </w:p>
                <w:p w14:paraId="2A0BB0CD">
                  <w:pPr>
                    <w:jc w:val="center"/>
                  </w:pPr>
                  <w:r>
                    <w:t>过程</w:t>
                  </w:r>
                </w:p>
              </w:tc>
              <w:tc>
                <w:tcPr>
                  <w:tcW w:w="2556" w:type="pct"/>
                  <w:vAlign w:val="center"/>
                </w:tcPr>
                <w:p w14:paraId="1D8A70DB">
                  <w:r>
                    <w:t>1、原辅材料调配、使用（施胶、喷涂、干燥等）、回收等过程采用密闭设备或在密闭空间内操作。</w:t>
                  </w:r>
                </w:p>
                <w:p w14:paraId="6318525E">
                  <w:r>
                    <w:t>2、涉VOCs原料装卸、储存、转移和输送、工艺过程等环节的废气全部收集引至VOCs处理系统。</w:t>
                  </w:r>
                </w:p>
              </w:tc>
              <w:tc>
                <w:tcPr>
                  <w:tcW w:w="1495" w:type="pct"/>
                  <w:vAlign w:val="center"/>
                </w:tcPr>
                <w:p w14:paraId="371CC950">
                  <w:pPr>
                    <w:autoSpaceDE w:val="0"/>
                    <w:autoSpaceDN w:val="0"/>
                    <w:adjustRightInd w:val="0"/>
                    <w:snapToGrid w:val="0"/>
                    <w:jc w:val="center"/>
                    <w:rPr>
                      <w:szCs w:val="21"/>
                    </w:rPr>
                  </w:pPr>
                  <w:r>
                    <w:rPr>
                      <w:szCs w:val="21"/>
                    </w:rPr>
                    <w:t>项目生产过程中废油液采用电动抽油机进行密闭抽取，废油液抽取、暂存和废活性炭暂存过程中产生的挥发性有机废气</w:t>
                  </w:r>
                  <w:r>
                    <w:t>经集气罩或负压收集后由1套</w:t>
                  </w:r>
                  <w:r>
                    <w:rPr>
                      <w:rFonts w:hint="eastAsia"/>
                    </w:rPr>
                    <w:t>两级</w:t>
                  </w:r>
                  <w:r>
                    <w:t>活性炭吸附装置处理。</w:t>
                  </w:r>
                </w:p>
              </w:tc>
              <w:tc>
                <w:tcPr>
                  <w:tcW w:w="417" w:type="pct"/>
                  <w:tcBorders>
                    <w:right w:val="single" w:color="auto" w:sz="4" w:space="0"/>
                  </w:tcBorders>
                  <w:vAlign w:val="center"/>
                </w:tcPr>
                <w:p w14:paraId="6663C618">
                  <w:pPr>
                    <w:autoSpaceDE w:val="0"/>
                    <w:autoSpaceDN w:val="0"/>
                    <w:adjustRightInd w:val="0"/>
                    <w:snapToGrid w:val="0"/>
                    <w:jc w:val="center"/>
                    <w:rPr>
                      <w:szCs w:val="21"/>
                    </w:rPr>
                  </w:pPr>
                  <w:r>
                    <w:rPr>
                      <w:szCs w:val="21"/>
                    </w:rPr>
                    <w:t>相符</w:t>
                  </w:r>
                </w:p>
              </w:tc>
            </w:tr>
            <w:tr w14:paraId="30AECF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2DE46210">
                  <w:pPr>
                    <w:jc w:val="center"/>
                  </w:pPr>
                  <w:r>
                    <w:t>排放</w:t>
                  </w:r>
                </w:p>
                <w:p w14:paraId="2D92D41C">
                  <w:pPr>
                    <w:jc w:val="center"/>
                  </w:pPr>
                  <w:r>
                    <w:t>限值</w:t>
                  </w:r>
                </w:p>
              </w:tc>
              <w:tc>
                <w:tcPr>
                  <w:tcW w:w="2556" w:type="pct"/>
                  <w:vAlign w:val="center"/>
                </w:tcPr>
                <w:p w14:paraId="74DFF6E8">
                  <w:r>
                    <w:t>NMHC排放限值不高于30mg/m</w:t>
                  </w:r>
                  <w:r>
                    <w:rPr>
                      <w:vertAlign w:val="superscript"/>
                    </w:rPr>
                    <w:t>3</w:t>
                  </w:r>
                  <w:r>
                    <w:t>；其他污染物排放浓度达到相关污染物排放标准。</w:t>
                  </w:r>
                </w:p>
              </w:tc>
              <w:tc>
                <w:tcPr>
                  <w:tcW w:w="1495" w:type="pct"/>
                  <w:vAlign w:val="center"/>
                </w:tcPr>
                <w:p w14:paraId="4F102016">
                  <w:pPr>
                    <w:autoSpaceDE w:val="0"/>
                    <w:autoSpaceDN w:val="0"/>
                    <w:adjustRightInd w:val="0"/>
                    <w:snapToGrid w:val="0"/>
                    <w:jc w:val="center"/>
                    <w:rPr>
                      <w:szCs w:val="21"/>
                    </w:rPr>
                  </w:pPr>
                  <w:r>
                    <w:rPr>
                      <w:szCs w:val="21"/>
                    </w:rPr>
                    <w:t>本项目非甲烷总烃排放浓度均不高于30mg/m</w:t>
                  </w:r>
                  <w:r>
                    <w:rPr>
                      <w:szCs w:val="21"/>
                      <w:vertAlign w:val="superscript"/>
                    </w:rPr>
                    <w:t>3</w:t>
                  </w:r>
                  <w:r>
                    <w:rPr>
                      <w:szCs w:val="21"/>
                    </w:rPr>
                    <w:t>。</w:t>
                  </w:r>
                </w:p>
              </w:tc>
              <w:tc>
                <w:tcPr>
                  <w:tcW w:w="417" w:type="pct"/>
                  <w:tcBorders>
                    <w:right w:val="single" w:color="auto" w:sz="4" w:space="0"/>
                  </w:tcBorders>
                  <w:vAlign w:val="center"/>
                </w:tcPr>
                <w:p w14:paraId="38ABC4EF">
                  <w:pPr>
                    <w:autoSpaceDE w:val="0"/>
                    <w:autoSpaceDN w:val="0"/>
                    <w:adjustRightInd w:val="0"/>
                    <w:snapToGrid w:val="0"/>
                    <w:jc w:val="center"/>
                    <w:rPr>
                      <w:szCs w:val="21"/>
                    </w:rPr>
                  </w:pPr>
                  <w:r>
                    <w:rPr>
                      <w:szCs w:val="21"/>
                    </w:rPr>
                    <w:t>相符</w:t>
                  </w:r>
                </w:p>
              </w:tc>
            </w:tr>
            <w:tr w14:paraId="0AF072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3D5F2B6D">
                  <w:pPr>
                    <w:jc w:val="center"/>
                  </w:pPr>
                  <w:r>
                    <w:t>监测监控水平</w:t>
                  </w:r>
                </w:p>
              </w:tc>
              <w:tc>
                <w:tcPr>
                  <w:tcW w:w="2556" w:type="pct"/>
                  <w:vAlign w:val="center"/>
                </w:tcPr>
                <w:p w14:paraId="0711BE55">
                  <w:r>
                    <w:t>1.有组织排放口按排污许可、环境影响评价或环境现状评估等要求安装烟气排放自动监控设施（CEMS），并按要求与省厅联网；重点排污单位风量大于10000m</w:t>
                  </w:r>
                  <w:r>
                    <w:rPr>
                      <w:vertAlign w:val="superscript"/>
                    </w:rPr>
                    <w:t>3</w:t>
                  </w:r>
                  <w:r>
                    <w:t>/h的主要排放口安装NMHC在线监测设施（FID检测器）并按要求与省厅联网；其他企业NMHC初始排放速率大于2kg/h且排放口风量大于20000m</w:t>
                  </w:r>
                  <w:r>
                    <w:rPr>
                      <w:vertAlign w:val="superscript"/>
                    </w:rPr>
                    <w:t>3</w:t>
                  </w:r>
                  <w:r>
                    <w:t>/h的废气排放口安装NMHC在线监测设施（FID检测器），并按要求与省厅联网；在线监测数据至少保存最近12个月的1分钟均值、36个月的1小时均值及60个月的日均值和月均值。（投产或安装时间不满一年以上的企业，以现有数据为准）；</w:t>
                  </w:r>
                </w:p>
                <w:p w14:paraId="4EBF6C2A">
                  <w:r>
                    <w:t>2.按生态环境部门要求规范设置废气排放口标志牌、二维码标识和采样平台、采样孔；各废气排放口按照排污许可要求开展自行监测；</w:t>
                  </w:r>
                </w:p>
                <w:p w14:paraId="20A56452">
                  <w:r>
                    <w:t>3.未安装自动在线监控的企业，应在主要生产设备（投料口、卸料口等位置）安装视频监控设施，相关数据保存6个月以上。</w:t>
                  </w:r>
                </w:p>
              </w:tc>
              <w:tc>
                <w:tcPr>
                  <w:tcW w:w="1495" w:type="pct"/>
                  <w:vAlign w:val="center"/>
                </w:tcPr>
                <w:p w14:paraId="04066832">
                  <w:pPr>
                    <w:autoSpaceDE w:val="0"/>
                    <w:autoSpaceDN w:val="0"/>
                    <w:adjustRightInd w:val="0"/>
                    <w:snapToGrid w:val="0"/>
                    <w:rPr>
                      <w:szCs w:val="21"/>
                    </w:rPr>
                  </w:pPr>
                  <w:r>
                    <w:rPr>
                      <w:szCs w:val="21"/>
                    </w:rPr>
                    <w:t>1、本项目不涉及；</w:t>
                  </w:r>
                </w:p>
                <w:p w14:paraId="04D807CE">
                  <w:pPr>
                    <w:autoSpaceDE w:val="0"/>
                    <w:autoSpaceDN w:val="0"/>
                    <w:adjustRightInd w:val="0"/>
                    <w:snapToGrid w:val="0"/>
                    <w:rPr>
                      <w:szCs w:val="21"/>
                    </w:rPr>
                  </w:pPr>
                  <w:r>
                    <w:rPr>
                      <w:szCs w:val="21"/>
                    </w:rPr>
                    <w:t>2、本项目按生态环境部门要求规范设置废气排放口标志牌、二维码标识和采样平台、采样孔；各废气排放口按相关要求开展自行监测；</w:t>
                  </w:r>
                </w:p>
                <w:p w14:paraId="6EB021CE">
                  <w:pPr>
                    <w:autoSpaceDE w:val="0"/>
                    <w:autoSpaceDN w:val="0"/>
                    <w:adjustRightInd w:val="0"/>
                    <w:snapToGrid w:val="0"/>
                    <w:rPr>
                      <w:szCs w:val="21"/>
                    </w:rPr>
                  </w:pPr>
                  <w:r>
                    <w:rPr>
                      <w:szCs w:val="21"/>
                    </w:rPr>
                    <w:t>3、本项目按要求安装视频监控设施，相关数据保存6个月以上。</w:t>
                  </w:r>
                </w:p>
              </w:tc>
              <w:tc>
                <w:tcPr>
                  <w:tcW w:w="417" w:type="pct"/>
                  <w:tcBorders>
                    <w:right w:val="single" w:color="auto" w:sz="4" w:space="0"/>
                  </w:tcBorders>
                  <w:vAlign w:val="center"/>
                </w:tcPr>
                <w:p w14:paraId="760DCFF9">
                  <w:pPr>
                    <w:autoSpaceDE w:val="0"/>
                    <w:autoSpaceDN w:val="0"/>
                    <w:adjustRightInd w:val="0"/>
                    <w:snapToGrid w:val="0"/>
                    <w:jc w:val="center"/>
                    <w:rPr>
                      <w:szCs w:val="21"/>
                    </w:rPr>
                  </w:pPr>
                  <w:r>
                    <w:rPr>
                      <w:szCs w:val="21"/>
                    </w:rPr>
                    <w:t>相符</w:t>
                  </w:r>
                </w:p>
              </w:tc>
            </w:tr>
            <w:tr w14:paraId="52AF0B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455CDA25">
                  <w:pPr>
                    <w:jc w:val="center"/>
                  </w:pPr>
                  <w:r>
                    <w:t>厂容厂貌</w:t>
                  </w:r>
                </w:p>
              </w:tc>
              <w:tc>
                <w:tcPr>
                  <w:tcW w:w="2556" w:type="pct"/>
                  <w:vAlign w:val="center"/>
                </w:tcPr>
                <w:p w14:paraId="16299ACE">
                  <w:r>
                    <w:t>1.厂区内道路、原辅材料和燃料堆场等路面应硬化；</w:t>
                  </w:r>
                </w:p>
                <w:p w14:paraId="552490C0">
                  <w:r>
                    <w:t>2.厂区内道路采取定期清扫、洒水等措施，保持清洁，路面无明显可见积尘；</w:t>
                  </w:r>
                </w:p>
                <w:p w14:paraId="76D1ED43">
                  <w:r>
                    <w:t>3.其他未利用地优先绿化，或进行硬化，无成片裸露土地。</w:t>
                  </w:r>
                </w:p>
              </w:tc>
              <w:tc>
                <w:tcPr>
                  <w:tcW w:w="1495" w:type="pct"/>
                  <w:vAlign w:val="center"/>
                </w:tcPr>
                <w:p w14:paraId="6E882989">
                  <w:pPr>
                    <w:autoSpaceDE w:val="0"/>
                    <w:autoSpaceDN w:val="0"/>
                    <w:adjustRightInd w:val="0"/>
                    <w:snapToGrid w:val="0"/>
                    <w:jc w:val="center"/>
                    <w:rPr>
                      <w:szCs w:val="21"/>
                    </w:rPr>
                  </w:pPr>
                  <w:r>
                    <w:rPr>
                      <w:szCs w:val="21"/>
                    </w:rPr>
                    <w:t>厂区路面硬化，采取定期清扫、洒水等措施，保持清洁，路面无明显可见积尘。</w:t>
                  </w:r>
                </w:p>
              </w:tc>
              <w:tc>
                <w:tcPr>
                  <w:tcW w:w="417" w:type="pct"/>
                  <w:tcBorders>
                    <w:right w:val="single" w:color="auto" w:sz="4" w:space="0"/>
                  </w:tcBorders>
                  <w:vAlign w:val="center"/>
                </w:tcPr>
                <w:p w14:paraId="78AE52E5">
                  <w:pPr>
                    <w:autoSpaceDE w:val="0"/>
                    <w:autoSpaceDN w:val="0"/>
                    <w:adjustRightInd w:val="0"/>
                    <w:snapToGrid w:val="0"/>
                    <w:jc w:val="center"/>
                    <w:rPr>
                      <w:szCs w:val="21"/>
                    </w:rPr>
                  </w:pPr>
                  <w:r>
                    <w:rPr>
                      <w:szCs w:val="21"/>
                    </w:rPr>
                    <w:t>相符</w:t>
                  </w:r>
                </w:p>
              </w:tc>
            </w:tr>
            <w:tr w14:paraId="12E20C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22" w:type="pct"/>
                  <w:vMerge w:val="restart"/>
                  <w:tcBorders>
                    <w:left w:val="single" w:color="auto" w:sz="4" w:space="0"/>
                  </w:tcBorders>
                  <w:vAlign w:val="center"/>
                </w:tcPr>
                <w:p w14:paraId="204DDF60">
                  <w:pPr>
                    <w:jc w:val="center"/>
                  </w:pPr>
                  <w:r>
                    <w:t>环境管理水平</w:t>
                  </w:r>
                </w:p>
              </w:tc>
              <w:tc>
                <w:tcPr>
                  <w:tcW w:w="310" w:type="pct"/>
                  <w:tcBorders>
                    <w:left w:val="single" w:color="auto" w:sz="4" w:space="0"/>
                  </w:tcBorders>
                  <w:vAlign w:val="center"/>
                </w:tcPr>
                <w:p w14:paraId="667F27A9">
                  <w:pPr>
                    <w:jc w:val="center"/>
                  </w:pPr>
                  <w:r>
                    <w:t>环保档案</w:t>
                  </w:r>
                </w:p>
              </w:tc>
              <w:tc>
                <w:tcPr>
                  <w:tcW w:w="2556" w:type="pct"/>
                  <w:vAlign w:val="center"/>
                </w:tcPr>
                <w:p w14:paraId="37216AAB">
                  <w:r>
                    <w:t>1.环评批复文件和竣工验收文件/现状评估文件；</w:t>
                  </w:r>
                </w:p>
                <w:p w14:paraId="1805E7A8">
                  <w:r>
                    <w:t>2.废气治理设施运行管理规程；</w:t>
                  </w:r>
                </w:p>
                <w:p w14:paraId="3594E116">
                  <w:r>
                    <w:t>3.一年内废气监测报告；</w:t>
                  </w:r>
                </w:p>
                <w:p w14:paraId="2B8BE6A7">
                  <w:r>
                    <w:t>4.国家版排污许可证，并按要求开展自行监测和信息披露，规范设置废气排放口标志牌、二维码标识和采样平台、采样孔。</w:t>
                  </w:r>
                </w:p>
              </w:tc>
              <w:tc>
                <w:tcPr>
                  <w:tcW w:w="1495" w:type="pct"/>
                  <w:vAlign w:val="center"/>
                </w:tcPr>
                <w:p w14:paraId="311C7075">
                  <w:pPr>
                    <w:autoSpaceDE w:val="0"/>
                    <w:autoSpaceDN w:val="0"/>
                    <w:adjustRightInd w:val="0"/>
                    <w:snapToGrid w:val="0"/>
                    <w:jc w:val="center"/>
                    <w:rPr>
                      <w:szCs w:val="21"/>
                    </w:rPr>
                  </w:pPr>
                  <w:r>
                    <w:rPr>
                      <w:szCs w:val="21"/>
                    </w:rPr>
                    <w:t>本项目正在进行环境影响评价工作，项目正常运行后应按照要求进行竣工环保验收、排污许可证申报及自行监测，制定相关环境管理制度及废气治理设施运行管理规程，并及时将上述材料存档。</w:t>
                  </w:r>
                </w:p>
              </w:tc>
              <w:tc>
                <w:tcPr>
                  <w:tcW w:w="417" w:type="pct"/>
                  <w:vMerge w:val="restart"/>
                  <w:tcBorders>
                    <w:right w:val="single" w:color="auto" w:sz="4" w:space="0"/>
                  </w:tcBorders>
                  <w:vAlign w:val="center"/>
                </w:tcPr>
                <w:p w14:paraId="2B12FF8A">
                  <w:pPr>
                    <w:autoSpaceDE w:val="0"/>
                    <w:autoSpaceDN w:val="0"/>
                    <w:adjustRightInd w:val="0"/>
                    <w:snapToGrid w:val="0"/>
                    <w:jc w:val="center"/>
                    <w:rPr>
                      <w:szCs w:val="21"/>
                    </w:rPr>
                  </w:pPr>
                  <w:r>
                    <w:rPr>
                      <w:szCs w:val="21"/>
                    </w:rPr>
                    <w:t>相符</w:t>
                  </w:r>
                </w:p>
              </w:tc>
            </w:tr>
            <w:tr w14:paraId="366607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22" w:type="pct"/>
                  <w:vMerge w:val="continue"/>
                  <w:tcBorders>
                    <w:left w:val="single" w:color="auto" w:sz="4" w:space="0"/>
                  </w:tcBorders>
                  <w:vAlign w:val="center"/>
                </w:tcPr>
                <w:p w14:paraId="04F7196A">
                  <w:pPr>
                    <w:jc w:val="center"/>
                  </w:pPr>
                </w:p>
              </w:tc>
              <w:tc>
                <w:tcPr>
                  <w:tcW w:w="310" w:type="pct"/>
                  <w:tcBorders>
                    <w:left w:val="single" w:color="auto" w:sz="4" w:space="0"/>
                  </w:tcBorders>
                  <w:vAlign w:val="center"/>
                </w:tcPr>
                <w:p w14:paraId="1696B46D">
                  <w:pPr>
                    <w:jc w:val="center"/>
                  </w:pPr>
                  <w:r>
                    <w:t>台账记录</w:t>
                  </w:r>
                </w:p>
              </w:tc>
              <w:tc>
                <w:tcPr>
                  <w:tcW w:w="2556" w:type="pct"/>
                  <w:vAlign w:val="center"/>
                </w:tcPr>
                <w:p w14:paraId="2E9486ED">
                  <w:pPr>
                    <w:jc w:val="left"/>
                  </w:pPr>
                  <w:r>
                    <w:t>1.生产设施运行管理信息（生产时间、运行负荷、产品产量等）；</w:t>
                  </w:r>
                </w:p>
                <w:p w14:paraId="1308F6F6">
                  <w:pPr>
                    <w:jc w:val="left"/>
                  </w:pPr>
                  <w:r>
                    <w:t>2.废气污染治理设施运行管理信息（除尘滤料、活性炭等更换量和时间）；</w:t>
                  </w:r>
                </w:p>
                <w:p w14:paraId="59F6EC12">
                  <w:pPr>
                    <w:jc w:val="left"/>
                  </w:pPr>
                  <w:r>
                    <w:t>3.监测记录信息（主要污染排放口废气排放记录（手工监测和在线监测）等）；</w:t>
                  </w:r>
                </w:p>
                <w:p w14:paraId="70CB4AEC">
                  <w:pPr>
                    <w:jc w:val="left"/>
                  </w:pPr>
                  <w:r>
                    <w:t>4.主要原辅材料、燃料消耗记录；</w:t>
                  </w:r>
                </w:p>
                <w:p w14:paraId="42063E83">
                  <w:pPr>
                    <w:jc w:val="left"/>
                  </w:pPr>
                  <w:r>
                    <w:t>5.电消耗记录。</w:t>
                  </w:r>
                </w:p>
              </w:tc>
              <w:tc>
                <w:tcPr>
                  <w:tcW w:w="1495" w:type="pct"/>
                  <w:vAlign w:val="center"/>
                </w:tcPr>
                <w:p w14:paraId="04990E52">
                  <w:pPr>
                    <w:jc w:val="center"/>
                  </w:pPr>
                  <w:r>
                    <w:t>本项目正在进行环境影响评价工作，项目正常运行后应按照要求进行台账记录并存档。</w:t>
                  </w:r>
                </w:p>
              </w:tc>
              <w:tc>
                <w:tcPr>
                  <w:tcW w:w="417" w:type="pct"/>
                  <w:vMerge w:val="continue"/>
                  <w:tcBorders>
                    <w:right w:val="single" w:color="auto" w:sz="4" w:space="0"/>
                  </w:tcBorders>
                  <w:vAlign w:val="center"/>
                </w:tcPr>
                <w:p w14:paraId="7EC71463">
                  <w:pPr>
                    <w:jc w:val="center"/>
                  </w:pPr>
                </w:p>
              </w:tc>
            </w:tr>
            <w:tr w14:paraId="21FBFF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22" w:type="pct"/>
                  <w:vMerge w:val="continue"/>
                  <w:tcBorders>
                    <w:left w:val="single" w:color="auto" w:sz="4" w:space="0"/>
                  </w:tcBorders>
                  <w:vAlign w:val="center"/>
                </w:tcPr>
                <w:p w14:paraId="033815B4">
                  <w:pPr>
                    <w:jc w:val="center"/>
                  </w:pPr>
                </w:p>
              </w:tc>
              <w:tc>
                <w:tcPr>
                  <w:tcW w:w="310" w:type="pct"/>
                  <w:tcBorders>
                    <w:left w:val="single" w:color="auto" w:sz="4" w:space="0"/>
                  </w:tcBorders>
                  <w:vAlign w:val="center"/>
                </w:tcPr>
                <w:p w14:paraId="19A54ED8">
                  <w:pPr>
                    <w:jc w:val="center"/>
                  </w:pPr>
                  <w:r>
                    <w:t>人员配置</w:t>
                  </w:r>
                </w:p>
              </w:tc>
              <w:tc>
                <w:tcPr>
                  <w:tcW w:w="2556" w:type="pct"/>
                  <w:vAlign w:val="center"/>
                </w:tcPr>
                <w:p w14:paraId="75CE6DA3">
                  <w:pPr>
                    <w:jc w:val="center"/>
                  </w:pPr>
                  <w:r>
                    <w:t>配备专职环保人员，并具备相应的环境管理能力（学历、培训、从业经验等）。</w:t>
                  </w:r>
                </w:p>
              </w:tc>
              <w:tc>
                <w:tcPr>
                  <w:tcW w:w="1495" w:type="pct"/>
                  <w:vAlign w:val="center"/>
                </w:tcPr>
                <w:p w14:paraId="0B510DC3">
                  <w:pPr>
                    <w:jc w:val="center"/>
                  </w:pPr>
                  <w:r>
                    <w:t>聘请专、兼职环保人员负责厂区环保管理。</w:t>
                  </w:r>
                </w:p>
              </w:tc>
              <w:tc>
                <w:tcPr>
                  <w:tcW w:w="417" w:type="pct"/>
                  <w:vMerge w:val="continue"/>
                  <w:tcBorders>
                    <w:right w:val="single" w:color="auto" w:sz="4" w:space="0"/>
                  </w:tcBorders>
                  <w:vAlign w:val="center"/>
                </w:tcPr>
                <w:p w14:paraId="3F89BBF2">
                  <w:pPr>
                    <w:jc w:val="center"/>
                  </w:pPr>
                </w:p>
              </w:tc>
            </w:tr>
            <w:tr w14:paraId="5C025C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5B741173">
                  <w:pPr>
                    <w:jc w:val="center"/>
                  </w:pPr>
                  <w:r>
                    <w:t>运输方式</w:t>
                  </w:r>
                </w:p>
              </w:tc>
              <w:tc>
                <w:tcPr>
                  <w:tcW w:w="2556" w:type="pct"/>
                  <w:vAlign w:val="center"/>
                </w:tcPr>
                <w:p w14:paraId="0ECE5B6C">
                  <w:r>
                    <w:t>1.物料、产品等公路运输全部使用国五及以上排放标准重型载货车辆（重型燃气车辆达到国六排放标准）或新能源车辆；</w:t>
                  </w:r>
                </w:p>
                <w:p w14:paraId="1D95EE44">
                  <w:r>
                    <w:t>2.厂内运输全部使用国五及以上排放标准（重型燃气车辆达到国六排放标准）或使用新能源车辆</w:t>
                  </w:r>
                </w:p>
                <w:p w14:paraId="1BE26ABE">
                  <w:r>
                    <w:t>3.危险品及危废运输全部使用国五及以上排放标准（重型燃气车辆达到国六排放标准）或新能源车辆；</w:t>
                  </w:r>
                </w:p>
                <w:p w14:paraId="5825ABCD">
                  <w:r>
                    <w:t>4.厂内非道路移动机械全部使用国三及以上排放标准或使用新能源（电动、氢能）机械。</w:t>
                  </w:r>
                </w:p>
              </w:tc>
              <w:tc>
                <w:tcPr>
                  <w:tcW w:w="1495" w:type="pct"/>
                  <w:vAlign w:val="center"/>
                </w:tcPr>
                <w:p w14:paraId="383CBAD4">
                  <w:pPr>
                    <w:autoSpaceDE w:val="0"/>
                    <w:autoSpaceDN w:val="0"/>
                    <w:adjustRightInd w:val="0"/>
                    <w:snapToGrid w:val="0"/>
                    <w:jc w:val="center"/>
                    <w:rPr>
                      <w:szCs w:val="21"/>
                    </w:rPr>
                  </w:pPr>
                  <w:r>
                    <w:rPr>
                      <w:szCs w:val="21"/>
                    </w:rPr>
                    <w:t>运输车辆、厂区车辆达到国五排放标准；非道路移动机械达到国三标准或使用新能源机械。</w:t>
                  </w:r>
                </w:p>
              </w:tc>
              <w:tc>
                <w:tcPr>
                  <w:tcW w:w="417" w:type="pct"/>
                  <w:tcBorders>
                    <w:right w:val="single" w:color="auto" w:sz="4" w:space="0"/>
                  </w:tcBorders>
                  <w:vAlign w:val="center"/>
                </w:tcPr>
                <w:p w14:paraId="0CD82B50">
                  <w:pPr>
                    <w:autoSpaceDE w:val="0"/>
                    <w:autoSpaceDN w:val="0"/>
                    <w:adjustRightInd w:val="0"/>
                    <w:snapToGrid w:val="0"/>
                    <w:jc w:val="center"/>
                    <w:rPr>
                      <w:szCs w:val="21"/>
                    </w:rPr>
                  </w:pPr>
                  <w:r>
                    <w:rPr>
                      <w:szCs w:val="21"/>
                    </w:rPr>
                    <w:t>相符</w:t>
                  </w:r>
                </w:p>
              </w:tc>
            </w:tr>
            <w:tr w14:paraId="666932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2" w:type="pct"/>
                  <w:gridSpan w:val="2"/>
                  <w:tcBorders>
                    <w:left w:val="single" w:color="auto" w:sz="4" w:space="0"/>
                  </w:tcBorders>
                  <w:vAlign w:val="center"/>
                </w:tcPr>
                <w:p w14:paraId="61AEFBEA">
                  <w:pPr>
                    <w:jc w:val="center"/>
                  </w:pPr>
                  <w:r>
                    <w:t>运输监管</w:t>
                  </w:r>
                </w:p>
              </w:tc>
              <w:tc>
                <w:tcPr>
                  <w:tcW w:w="2556" w:type="pct"/>
                  <w:vAlign w:val="center"/>
                </w:tcPr>
                <w:p w14:paraId="110318E0">
                  <w:r>
                    <w:t>日均进出货物150 吨（或载货车辆日进出10辆次）及以上（货物包括原料、辅料、燃料、产品和其他与生产相关物料）的企业，参照《重污染天气重点行业移动源应急管理技术指南》建立门禁视频监控系统和电子台账；其他企业安装车辆运输视频监控（数据能保存6 个月），并建立车辆运输手工台账。</w:t>
                  </w:r>
                </w:p>
              </w:tc>
              <w:tc>
                <w:tcPr>
                  <w:tcW w:w="1495" w:type="pct"/>
                  <w:vAlign w:val="center"/>
                </w:tcPr>
                <w:p w14:paraId="3EDE0D2F">
                  <w:pPr>
                    <w:autoSpaceDE w:val="0"/>
                    <w:autoSpaceDN w:val="0"/>
                    <w:adjustRightInd w:val="0"/>
                    <w:snapToGrid w:val="0"/>
                    <w:jc w:val="center"/>
                    <w:rPr>
                      <w:szCs w:val="21"/>
                    </w:rPr>
                  </w:pPr>
                  <w:r>
                    <w:rPr>
                      <w:szCs w:val="21"/>
                    </w:rPr>
                    <w:t>评价要求企业参照《重污染天气重点行业移动源应急管理技术指南》的要求建立门禁系统和电子台账。</w:t>
                  </w:r>
                </w:p>
              </w:tc>
              <w:tc>
                <w:tcPr>
                  <w:tcW w:w="417" w:type="pct"/>
                  <w:tcBorders>
                    <w:right w:val="single" w:color="auto" w:sz="4" w:space="0"/>
                  </w:tcBorders>
                  <w:vAlign w:val="center"/>
                </w:tcPr>
                <w:p w14:paraId="67ACACAC">
                  <w:pPr>
                    <w:autoSpaceDE w:val="0"/>
                    <w:autoSpaceDN w:val="0"/>
                    <w:adjustRightInd w:val="0"/>
                    <w:snapToGrid w:val="0"/>
                    <w:jc w:val="center"/>
                    <w:rPr>
                      <w:szCs w:val="21"/>
                    </w:rPr>
                  </w:pPr>
                  <w:r>
                    <w:rPr>
                      <w:szCs w:val="21"/>
                    </w:rPr>
                    <w:t>相符</w:t>
                  </w:r>
                </w:p>
              </w:tc>
            </w:tr>
          </w:tbl>
          <w:p w14:paraId="6CB7C80F">
            <w:pPr>
              <w:pStyle w:val="14"/>
              <w:widowControl w:val="0"/>
              <w:autoSpaceDE w:val="0"/>
              <w:spacing w:before="0" w:after="0" w:line="360" w:lineRule="auto"/>
              <w:ind w:right="0" w:firstLine="480" w:firstLineChars="200"/>
              <w:rPr>
                <w:b/>
                <w:kern w:val="2"/>
                <w:szCs w:val="24"/>
              </w:rPr>
            </w:pPr>
            <w:r>
              <w:rPr>
                <w:szCs w:val="24"/>
              </w:rPr>
              <w:t>综上所述，本项目建成后在严格落实上述要求情况下，符合</w:t>
            </w:r>
            <w:r>
              <w:rPr>
                <w:bCs/>
                <w:kern w:val="2"/>
                <w:szCs w:val="24"/>
              </w:rPr>
              <w:t>《河南省重污染天气通用行业应急减排措施制定技术指南》（2024年修订版）涉PM企业及</w:t>
            </w:r>
            <w:r>
              <w:rPr>
                <w:szCs w:val="24"/>
              </w:rPr>
              <w:t>涉VOCs企业绩效引领指标要求。</w:t>
            </w:r>
          </w:p>
          <w:p w14:paraId="6182D91D">
            <w:pPr>
              <w:autoSpaceDE w:val="0"/>
              <w:autoSpaceDN w:val="0"/>
              <w:adjustRightInd w:val="0"/>
              <w:snapToGrid w:val="0"/>
              <w:spacing w:line="360" w:lineRule="auto"/>
              <w:ind w:firstLine="480" w:firstLineChars="200"/>
              <w:rPr>
                <w:kern w:val="0"/>
                <w:sz w:val="24"/>
              </w:rPr>
            </w:pPr>
          </w:p>
        </w:tc>
      </w:tr>
    </w:tbl>
    <w:p w14:paraId="11E25B15">
      <w:pPr>
        <w:spacing w:line="360" w:lineRule="auto"/>
        <w:rPr>
          <w:rFonts w:eastAsia="黑体"/>
          <w:sz w:val="30"/>
        </w:rPr>
        <w:sectPr>
          <w:pgSz w:w="11906" w:h="16838"/>
          <w:pgMar w:top="1701" w:right="1531" w:bottom="1701" w:left="1531" w:header="851" w:footer="1077" w:gutter="0"/>
          <w:pgNumType w:start="1"/>
          <w:cols w:space="720" w:num="1"/>
          <w:docGrid w:linePitch="312" w:charSpace="0"/>
        </w:sectPr>
      </w:pPr>
    </w:p>
    <w:p w14:paraId="33CCDC6B">
      <w:pPr>
        <w:pStyle w:val="20"/>
        <w:jc w:val="center"/>
        <w:outlineLvl w:val="0"/>
        <w:rPr>
          <w:rFonts w:ascii="Times New Roman" w:hAnsi="Times New Roman" w:eastAsia="黑体"/>
          <w:snapToGrid w:val="0"/>
          <w:sz w:val="30"/>
          <w:szCs w:val="30"/>
        </w:rPr>
      </w:pPr>
      <w:bookmarkStart w:id="6" w:name="_Toc23964"/>
      <w:r>
        <w:rPr>
          <w:rFonts w:ascii="Times New Roman" w:hAnsi="Times New Roman" w:eastAsia="黑体"/>
          <w:snapToGrid w:val="0"/>
          <w:sz w:val="30"/>
          <w:szCs w:val="30"/>
        </w:rPr>
        <w:t>二、建设项目工程分析</w:t>
      </w:r>
      <w:bookmarkEnd w:id="6"/>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6"/>
        <w:gridCol w:w="8568"/>
      </w:tblGrid>
      <w:tr w14:paraId="11E9B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52" w:hRule="atLeast"/>
          <w:jc w:val="center"/>
        </w:trPr>
        <w:tc>
          <w:tcPr>
            <w:tcW w:w="416" w:type="dxa"/>
            <w:vAlign w:val="center"/>
          </w:tcPr>
          <w:p w14:paraId="5530B9A8">
            <w:pPr>
              <w:pStyle w:val="20"/>
              <w:adjustRightInd w:val="0"/>
              <w:snapToGrid w:val="0"/>
              <w:spacing w:before="0" w:beforeAutospacing="0" w:after="0" w:afterAutospacing="0"/>
              <w:jc w:val="center"/>
              <w:rPr>
                <w:rFonts w:ascii="Times New Roman" w:hAnsi="Times New Roman"/>
                <w:szCs w:val="24"/>
              </w:rPr>
            </w:pPr>
            <w:r>
              <w:rPr>
                <w:rFonts w:ascii="Times New Roman" w:hAnsi="Times New Roman"/>
                <w:szCs w:val="24"/>
              </w:rPr>
              <w:t>建设内容</w:t>
            </w:r>
          </w:p>
        </w:tc>
        <w:tc>
          <w:tcPr>
            <w:tcW w:w="8568" w:type="dxa"/>
          </w:tcPr>
          <w:p w14:paraId="494F3221">
            <w:pPr>
              <w:numPr>
                <w:ilvl w:val="0"/>
                <w:numId w:val="5"/>
              </w:numPr>
              <w:adjustRightInd w:val="0"/>
              <w:snapToGrid w:val="0"/>
              <w:spacing w:line="360" w:lineRule="auto"/>
              <w:ind w:firstLine="482" w:firstLineChars="200"/>
              <w:jc w:val="left"/>
              <w:rPr>
                <w:b/>
                <w:sz w:val="24"/>
              </w:rPr>
            </w:pPr>
            <w:r>
              <w:rPr>
                <w:b/>
                <w:sz w:val="24"/>
              </w:rPr>
              <w:t>项目基本情况及组成</w:t>
            </w:r>
          </w:p>
          <w:p w14:paraId="7E42FC7E">
            <w:pPr>
              <w:adjustRightInd w:val="0"/>
              <w:snapToGrid w:val="0"/>
              <w:spacing w:line="360" w:lineRule="auto"/>
              <w:ind w:firstLine="480" w:firstLineChars="200"/>
              <w:jc w:val="left"/>
              <w:rPr>
                <w:bCs/>
                <w:sz w:val="24"/>
              </w:rPr>
            </w:pPr>
            <w:r>
              <w:rPr>
                <w:bCs/>
                <w:sz w:val="24"/>
              </w:rPr>
              <w:t>民权县朝大再生资源回收利用有限公司拟租用现有闲置厂房建设年回收50台农业机械建设项目。本项目基本情况见表</w:t>
            </w:r>
            <w:r>
              <w:rPr>
                <w:rFonts w:hint="eastAsia"/>
                <w:bCs/>
                <w:sz w:val="24"/>
              </w:rPr>
              <w:t>9</w:t>
            </w:r>
            <w:r>
              <w:rPr>
                <w:bCs/>
                <w:sz w:val="24"/>
              </w:rPr>
              <w:t>，项目建设组成见表</w:t>
            </w:r>
            <w:r>
              <w:rPr>
                <w:rFonts w:hint="eastAsia"/>
                <w:bCs/>
                <w:sz w:val="24"/>
              </w:rPr>
              <w:t>10</w:t>
            </w:r>
            <w:r>
              <w:rPr>
                <w:bCs/>
                <w:sz w:val="24"/>
              </w:rPr>
              <w:t>。</w:t>
            </w:r>
          </w:p>
          <w:p w14:paraId="6ADD6C2D">
            <w:pPr>
              <w:adjustRightInd w:val="0"/>
              <w:snapToGrid w:val="0"/>
              <w:jc w:val="center"/>
              <w:rPr>
                <w:b/>
                <w:sz w:val="24"/>
              </w:rPr>
            </w:pPr>
            <w:r>
              <w:rPr>
                <w:b/>
                <w:sz w:val="24"/>
              </w:rPr>
              <w:t>表</w:t>
            </w:r>
            <w:r>
              <w:rPr>
                <w:rFonts w:hint="eastAsia"/>
                <w:b/>
                <w:sz w:val="24"/>
              </w:rPr>
              <w:t>9</w:t>
            </w:r>
            <w:r>
              <w:rPr>
                <w:b/>
                <w:sz w:val="24"/>
              </w:rPr>
              <w:t xml:space="preserve">  项目基本情况一览表</w:t>
            </w:r>
          </w:p>
          <w:tbl>
            <w:tblPr>
              <w:tblStyle w:val="24"/>
              <w:tblW w:w="8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5"/>
              <w:gridCol w:w="2063"/>
              <w:gridCol w:w="5541"/>
            </w:tblGrid>
            <w:tr w14:paraId="7519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4B8BE4AC">
                  <w:pPr>
                    <w:adjustRightInd w:val="0"/>
                    <w:snapToGrid w:val="0"/>
                    <w:spacing w:line="240" w:lineRule="exact"/>
                    <w:jc w:val="center"/>
                  </w:pPr>
                  <w:r>
                    <w:t>序号</w:t>
                  </w:r>
                </w:p>
              </w:tc>
              <w:tc>
                <w:tcPr>
                  <w:tcW w:w="2063" w:type="dxa"/>
                  <w:vAlign w:val="center"/>
                </w:tcPr>
                <w:p w14:paraId="50D06ABB">
                  <w:pPr>
                    <w:adjustRightInd w:val="0"/>
                    <w:snapToGrid w:val="0"/>
                    <w:spacing w:line="240" w:lineRule="exact"/>
                    <w:jc w:val="center"/>
                  </w:pPr>
                  <w:r>
                    <w:t>项目</w:t>
                  </w:r>
                </w:p>
              </w:tc>
              <w:tc>
                <w:tcPr>
                  <w:tcW w:w="5541" w:type="dxa"/>
                  <w:vAlign w:val="center"/>
                </w:tcPr>
                <w:p w14:paraId="669B7660">
                  <w:pPr>
                    <w:adjustRightInd w:val="0"/>
                    <w:snapToGrid w:val="0"/>
                    <w:spacing w:line="240" w:lineRule="exact"/>
                    <w:jc w:val="center"/>
                  </w:pPr>
                  <w:r>
                    <w:t>建设内容</w:t>
                  </w:r>
                </w:p>
              </w:tc>
            </w:tr>
            <w:tr w14:paraId="7770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63613F44">
                  <w:pPr>
                    <w:adjustRightInd w:val="0"/>
                    <w:snapToGrid w:val="0"/>
                    <w:spacing w:line="240" w:lineRule="exact"/>
                    <w:jc w:val="center"/>
                  </w:pPr>
                  <w:r>
                    <w:t>1</w:t>
                  </w:r>
                </w:p>
              </w:tc>
              <w:tc>
                <w:tcPr>
                  <w:tcW w:w="2063" w:type="dxa"/>
                  <w:vAlign w:val="center"/>
                </w:tcPr>
                <w:p w14:paraId="24C4FC3B">
                  <w:pPr>
                    <w:adjustRightInd w:val="0"/>
                    <w:snapToGrid w:val="0"/>
                    <w:spacing w:line="240" w:lineRule="exact"/>
                    <w:jc w:val="center"/>
                  </w:pPr>
                  <w:r>
                    <w:t>建设内容及规模</w:t>
                  </w:r>
                </w:p>
              </w:tc>
              <w:tc>
                <w:tcPr>
                  <w:tcW w:w="5541" w:type="dxa"/>
                  <w:vAlign w:val="center"/>
                </w:tcPr>
                <w:p w14:paraId="340D25D2">
                  <w:pPr>
                    <w:adjustRightInd w:val="0"/>
                    <w:snapToGrid w:val="0"/>
                    <w:spacing w:line="240" w:lineRule="exact"/>
                    <w:jc w:val="center"/>
                  </w:pPr>
                  <w:r>
                    <w:t>年回收50台农业机械</w:t>
                  </w:r>
                </w:p>
              </w:tc>
            </w:tr>
            <w:tr w14:paraId="2D29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3B98DF0F">
                  <w:pPr>
                    <w:adjustRightInd w:val="0"/>
                    <w:snapToGrid w:val="0"/>
                    <w:spacing w:line="240" w:lineRule="exact"/>
                    <w:jc w:val="center"/>
                  </w:pPr>
                  <w:r>
                    <w:t>2</w:t>
                  </w:r>
                </w:p>
              </w:tc>
              <w:tc>
                <w:tcPr>
                  <w:tcW w:w="2063" w:type="dxa"/>
                  <w:vAlign w:val="center"/>
                </w:tcPr>
                <w:p w14:paraId="72B20E80">
                  <w:pPr>
                    <w:adjustRightInd w:val="0"/>
                    <w:snapToGrid w:val="0"/>
                    <w:spacing w:line="240" w:lineRule="exact"/>
                    <w:jc w:val="center"/>
                  </w:pPr>
                  <w:r>
                    <w:t>建设性质</w:t>
                  </w:r>
                </w:p>
              </w:tc>
              <w:tc>
                <w:tcPr>
                  <w:tcW w:w="5541" w:type="dxa"/>
                  <w:vAlign w:val="center"/>
                </w:tcPr>
                <w:p w14:paraId="33E32C5A">
                  <w:pPr>
                    <w:adjustRightInd w:val="0"/>
                    <w:snapToGrid w:val="0"/>
                    <w:spacing w:line="240" w:lineRule="exact"/>
                    <w:jc w:val="center"/>
                  </w:pPr>
                  <w:r>
                    <w:t>新建</w:t>
                  </w:r>
                </w:p>
              </w:tc>
            </w:tr>
            <w:tr w14:paraId="56FD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23EBB37B">
                  <w:pPr>
                    <w:adjustRightInd w:val="0"/>
                    <w:snapToGrid w:val="0"/>
                    <w:spacing w:line="240" w:lineRule="exact"/>
                    <w:jc w:val="center"/>
                  </w:pPr>
                  <w:r>
                    <w:t>3</w:t>
                  </w:r>
                </w:p>
              </w:tc>
              <w:tc>
                <w:tcPr>
                  <w:tcW w:w="2063" w:type="dxa"/>
                  <w:vAlign w:val="center"/>
                </w:tcPr>
                <w:p w14:paraId="24513500">
                  <w:pPr>
                    <w:adjustRightInd w:val="0"/>
                    <w:snapToGrid w:val="0"/>
                    <w:spacing w:line="240" w:lineRule="exact"/>
                    <w:jc w:val="center"/>
                  </w:pPr>
                  <w:r>
                    <w:t>所属行业</w:t>
                  </w:r>
                </w:p>
              </w:tc>
              <w:tc>
                <w:tcPr>
                  <w:tcW w:w="5541" w:type="dxa"/>
                  <w:vAlign w:val="center"/>
                </w:tcPr>
                <w:p w14:paraId="5A6B0722">
                  <w:pPr>
                    <w:adjustRightInd w:val="0"/>
                    <w:snapToGrid w:val="0"/>
                    <w:spacing w:line="240" w:lineRule="exact"/>
                    <w:jc w:val="center"/>
                  </w:pPr>
                  <w:r>
                    <w:t>C4210金属废料和碎屑加工处理</w:t>
                  </w:r>
                </w:p>
              </w:tc>
            </w:tr>
            <w:tr w14:paraId="2E4C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55CF9170">
                  <w:pPr>
                    <w:adjustRightInd w:val="0"/>
                    <w:snapToGrid w:val="0"/>
                    <w:spacing w:line="240" w:lineRule="exact"/>
                    <w:jc w:val="center"/>
                  </w:pPr>
                  <w:r>
                    <w:t>4</w:t>
                  </w:r>
                </w:p>
              </w:tc>
              <w:tc>
                <w:tcPr>
                  <w:tcW w:w="2063" w:type="dxa"/>
                  <w:vAlign w:val="center"/>
                </w:tcPr>
                <w:p w14:paraId="170B547A">
                  <w:pPr>
                    <w:adjustRightInd w:val="0"/>
                    <w:snapToGrid w:val="0"/>
                    <w:spacing w:line="240" w:lineRule="exact"/>
                    <w:jc w:val="center"/>
                  </w:pPr>
                  <w:r>
                    <w:t>建设地点</w:t>
                  </w:r>
                </w:p>
              </w:tc>
              <w:tc>
                <w:tcPr>
                  <w:tcW w:w="5541" w:type="dxa"/>
                  <w:vAlign w:val="center"/>
                </w:tcPr>
                <w:p w14:paraId="28B4772E">
                  <w:pPr>
                    <w:adjustRightInd w:val="0"/>
                    <w:snapToGrid w:val="0"/>
                    <w:spacing w:line="240" w:lineRule="exact"/>
                    <w:jc w:val="center"/>
                  </w:pPr>
                  <w:r>
                    <w:t>商丘市民权县人和镇工业园区310国道北侧</w:t>
                  </w:r>
                </w:p>
              </w:tc>
            </w:tr>
            <w:tr w14:paraId="3D08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5978EE9E">
                  <w:pPr>
                    <w:adjustRightInd w:val="0"/>
                    <w:snapToGrid w:val="0"/>
                    <w:spacing w:line="240" w:lineRule="exact"/>
                    <w:jc w:val="center"/>
                  </w:pPr>
                  <w:r>
                    <w:t>5</w:t>
                  </w:r>
                </w:p>
              </w:tc>
              <w:tc>
                <w:tcPr>
                  <w:tcW w:w="2063" w:type="dxa"/>
                  <w:vAlign w:val="center"/>
                </w:tcPr>
                <w:p w14:paraId="0F671345">
                  <w:pPr>
                    <w:adjustRightInd w:val="0"/>
                    <w:snapToGrid w:val="0"/>
                    <w:spacing w:line="240" w:lineRule="exact"/>
                    <w:jc w:val="center"/>
                  </w:pPr>
                  <w:r>
                    <w:t>建设单位</w:t>
                  </w:r>
                </w:p>
              </w:tc>
              <w:tc>
                <w:tcPr>
                  <w:tcW w:w="5541" w:type="dxa"/>
                  <w:vAlign w:val="center"/>
                </w:tcPr>
                <w:p w14:paraId="005AF8D0">
                  <w:pPr>
                    <w:adjustRightInd w:val="0"/>
                    <w:snapToGrid w:val="0"/>
                    <w:spacing w:line="240" w:lineRule="exact"/>
                    <w:jc w:val="center"/>
                  </w:pPr>
                  <w:r>
                    <w:t>民权县朝大再生资源回收利用有限公司</w:t>
                  </w:r>
                </w:p>
              </w:tc>
            </w:tr>
            <w:tr w14:paraId="15FB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77F2F167">
                  <w:pPr>
                    <w:adjustRightInd w:val="0"/>
                    <w:snapToGrid w:val="0"/>
                    <w:spacing w:line="240" w:lineRule="exact"/>
                    <w:jc w:val="center"/>
                  </w:pPr>
                  <w:r>
                    <w:t>6</w:t>
                  </w:r>
                </w:p>
              </w:tc>
              <w:tc>
                <w:tcPr>
                  <w:tcW w:w="2063" w:type="dxa"/>
                  <w:vAlign w:val="center"/>
                </w:tcPr>
                <w:p w14:paraId="3E23FD5F">
                  <w:pPr>
                    <w:adjustRightInd w:val="0"/>
                    <w:snapToGrid w:val="0"/>
                    <w:spacing w:line="240" w:lineRule="exact"/>
                    <w:jc w:val="center"/>
                  </w:pPr>
                  <w:r>
                    <w:t>总投资</w:t>
                  </w:r>
                </w:p>
              </w:tc>
              <w:tc>
                <w:tcPr>
                  <w:tcW w:w="5541" w:type="dxa"/>
                  <w:vAlign w:val="center"/>
                </w:tcPr>
                <w:p w14:paraId="05BBF038">
                  <w:pPr>
                    <w:adjustRightInd w:val="0"/>
                    <w:snapToGrid w:val="0"/>
                    <w:spacing w:line="240" w:lineRule="exact"/>
                    <w:jc w:val="center"/>
                  </w:pPr>
                  <w:r>
                    <w:t>100万</w:t>
                  </w:r>
                </w:p>
              </w:tc>
            </w:tr>
            <w:tr w14:paraId="0468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648BEE9F">
                  <w:pPr>
                    <w:adjustRightInd w:val="0"/>
                    <w:snapToGrid w:val="0"/>
                    <w:spacing w:line="240" w:lineRule="exact"/>
                    <w:jc w:val="center"/>
                  </w:pPr>
                  <w:r>
                    <w:t>7</w:t>
                  </w:r>
                </w:p>
              </w:tc>
              <w:tc>
                <w:tcPr>
                  <w:tcW w:w="2063" w:type="dxa"/>
                  <w:vAlign w:val="center"/>
                </w:tcPr>
                <w:p w14:paraId="674E3F66">
                  <w:pPr>
                    <w:adjustRightInd w:val="0"/>
                    <w:snapToGrid w:val="0"/>
                    <w:spacing w:line="240" w:lineRule="exact"/>
                    <w:jc w:val="center"/>
                  </w:pPr>
                  <w:r>
                    <w:t>劳动定员及工作制度</w:t>
                  </w:r>
                </w:p>
              </w:tc>
              <w:tc>
                <w:tcPr>
                  <w:tcW w:w="5541" w:type="dxa"/>
                  <w:vAlign w:val="center"/>
                </w:tcPr>
                <w:p w14:paraId="3FE30CA3">
                  <w:pPr>
                    <w:adjustRightInd w:val="0"/>
                    <w:snapToGrid w:val="0"/>
                    <w:spacing w:line="240" w:lineRule="exact"/>
                    <w:jc w:val="center"/>
                  </w:pPr>
                  <w:r>
                    <w:t>劳动定员5人，实行单班制，每班8h，年工作150天</w:t>
                  </w:r>
                </w:p>
              </w:tc>
            </w:tr>
            <w:tr w14:paraId="5576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95" w:type="dxa"/>
                  <w:vAlign w:val="center"/>
                </w:tcPr>
                <w:p w14:paraId="3E0A78D6">
                  <w:pPr>
                    <w:adjustRightInd w:val="0"/>
                    <w:snapToGrid w:val="0"/>
                    <w:spacing w:line="240" w:lineRule="exact"/>
                    <w:jc w:val="center"/>
                  </w:pPr>
                  <w:r>
                    <w:t>8</w:t>
                  </w:r>
                </w:p>
              </w:tc>
              <w:tc>
                <w:tcPr>
                  <w:tcW w:w="2063" w:type="dxa"/>
                  <w:vAlign w:val="center"/>
                </w:tcPr>
                <w:p w14:paraId="32CA7353">
                  <w:pPr>
                    <w:adjustRightInd w:val="0"/>
                    <w:snapToGrid w:val="0"/>
                    <w:spacing w:line="240" w:lineRule="exact"/>
                    <w:jc w:val="center"/>
                  </w:pPr>
                  <w:r>
                    <w:t>占地面积</w:t>
                  </w:r>
                </w:p>
              </w:tc>
              <w:tc>
                <w:tcPr>
                  <w:tcW w:w="5541" w:type="dxa"/>
                  <w:vAlign w:val="center"/>
                </w:tcPr>
                <w:p w14:paraId="1BB6F8DE">
                  <w:pPr>
                    <w:adjustRightInd w:val="0"/>
                    <w:snapToGrid w:val="0"/>
                    <w:spacing w:line="240" w:lineRule="exact"/>
                    <w:jc w:val="center"/>
                  </w:pPr>
                  <w:r>
                    <w:t>2860m</w:t>
                  </w:r>
                  <w:r>
                    <w:rPr>
                      <w:vertAlign w:val="superscript"/>
                    </w:rPr>
                    <w:t>2</w:t>
                  </w:r>
                </w:p>
              </w:tc>
            </w:tr>
          </w:tbl>
          <w:p w14:paraId="2F0D3983">
            <w:pPr>
              <w:adjustRightInd w:val="0"/>
              <w:snapToGrid w:val="0"/>
              <w:jc w:val="center"/>
              <w:rPr>
                <w:bCs/>
                <w:sz w:val="24"/>
              </w:rPr>
            </w:pPr>
            <w:r>
              <w:rPr>
                <w:b/>
                <w:bCs/>
                <w:sz w:val="24"/>
              </w:rPr>
              <w:t>表</w:t>
            </w:r>
            <w:r>
              <w:rPr>
                <w:rFonts w:hint="eastAsia"/>
                <w:b/>
                <w:bCs/>
                <w:sz w:val="24"/>
              </w:rPr>
              <w:t>10</w:t>
            </w:r>
            <w:r>
              <w:rPr>
                <w:b/>
                <w:bCs/>
                <w:sz w:val="24"/>
              </w:rPr>
              <w:t xml:space="preserve">  项目建设组成一览表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1"/>
              <w:gridCol w:w="862"/>
              <w:gridCol w:w="6218"/>
              <w:gridCol w:w="711"/>
            </w:tblGrid>
            <w:tr w14:paraId="617B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551" w:type="dxa"/>
                  <w:vAlign w:val="center"/>
                </w:tcPr>
                <w:p w14:paraId="29641F46">
                  <w:pPr>
                    <w:adjustRightInd w:val="0"/>
                    <w:snapToGrid w:val="0"/>
                    <w:jc w:val="center"/>
                    <w:rPr>
                      <w:szCs w:val="21"/>
                    </w:rPr>
                  </w:pPr>
                  <w:r>
                    <w:rPr>
                      <w:szCs w:val="21"/>
                    </w:rPr>
                    <w:t>类别</w:t>
                  </w:r>
                </w:p>
              </w:tc>
              <w:tc>
                <w:tcPr>
                  <w:tcW w:w="862" w:type="dxa"/>
                  <w:vAlign w:val="center"/>
                </w:tcPr>
                <w:p w14:paraId="01107B41">
                  <w:pPr>
                    <w:adjustRightInd w:val="0"/>
                    <w:snapToGrid w:val="0"/>
                    <w:jc w:val="center"/>
                    <w:rPr>
                      <w:szCs w:val="21"/>
                    </w:rPr>
                  </w:pPr>
                  <w:r>
                    <w:rPr>
                      <w:szCs w:val="21"/>
                    </w:rPr>
                    <w:t>单项工程</w:t>
                  </w:r>
                </w:p>
              </w:tc>
              <w:tc>
                <w:tcPr>
                  <w:tcW w:w="6218" w:type="dxa"/>
                  <w:vAlign w:val="center"/>
                </w:tcPr>
                <w:p w14:paraId="70551047">
                  <w:pPr>
                    <w:adjustRightInd w:val="0"/>
                    <w:snapToGrid w:val="0"/>
                    <w:jc w:val="center"/>
                    <w:rPr>
                      <w:szCs w:val="21"/>
                    </w:rPr>
                  </w:pPr>
                  <w:r>
                    <w:rPr>
                      <w:szCs w:val="21"/>
                    </w:rPr>
                    <w:t>工程内容</w:t>
                  </w:r>
                </w:p>
              </w:tc>
              <w:tc>
                <w:tcPr>
                  <w:tcW w:w="711" w:type="dxa"/>
                  <w:vAlign w:val="center"/>
                </w:tcPr>
                <w:p w14:paraId="0A5E5F52">
                  <w:pPr>
                    <w:adjustRightInd w:val="0"/>
                    <w:snapToGrid w:val="0"/>
                    <w:jc w:val="center"/>
                    <w:rPr>
                      <w:szCs w:val="21"/>
                    </w:rPr>
                  </w:pPr>
                  <w:r>
                    <w:rPr>
                      <w:szCs w:val="21"/>
                    </w:rPr>
                    <w:t>备注</w:t>
                  </w:r>
                </w:p>
              </w:tc>
            </w:tr>
            <w:tr w14:paraId="48A5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551" w:type="dxa"/>
                  <w:vAlign w:val="center"/>
                </w:tcPr>
                <w:p w14:paraId="59B54538">
                  <w:pPr>
                    <w:adjustRightInd w:val="0"/>
                    <w:snapToGrid w:val="0"/>
                    <w:jc w:val="center"/>
                    <w:rPr>
                      <w:szCs w:val="21"/>
                    </w:rPr>
                  </w:pPr>
                  <w:r>
                    <w:rPr>
                      <w:szCs w:val="21"/>
                    </w:rPr>
                    <w:t>主体</w:t>
                  </w:r>
                </w:p>
                <w:p w14:paraId="1A2D5CAC">
                  <w:pPr>
                    <w:adjustRightInd w:val="0"/>
                    <w:snapToGrid w:val="0"/>
                    <w:jc w:val="center"/>
                    <w:rPr>
                      <w:szCs w:val="21"/>
                    </w:rPr>
                  </w:pPr>
                  <w:r>
                    <w:rPr>
                      <w:szCs w:val="21"/>
                    </w:rPr>
                    <w:t>工程</w:t>
                  </w:r>
                </w:p>
              </w:tc>
              <w:tc>
                <w:tcPr>
                  <w:tcW w:w="862" w:type="dxa"/>
                  <w:vAlign w:val="center"/>
                </w:tcPr>
                <w:p w14:paraId="5948F877">
                  <w:pPr>
                    <w:adjustRightInd w:val="0"/>
                    <w:snapToGrid w:val="0"/>
                    <w:jc w:val="center"/>
                    <w:rPr>
                      <w:szCs w:val="21"/>
                    </w:rPr>
                  </w:pPr>
                  <w:r>
                    <w:rPr>
                      <w:szCs w:val="21"/>
                    </w:rPr>
                    <w:t>拆解车间</w:t>
                  </w:r>
                </w:p>
              </w:tc>
              <w:tc>
                <w:tcPr>
                  <w:tcW w:w="6218" w:type="dxa"/>
                  <w:vAlign w:val="center"/>
                </w:tcPr>
                <w:p w14:paraId="5F70E018">
                  <w:pPr>
                    <w:adjustRightInd w:val="0"/>
                    <w:snapToGrid w:val="0"/>
                    <w:jc w:val="left"/>
                    <w:rPr>
                      <w:szCs w:val="21"/>
                    </w:rPr>
                  </w:pPr>
                  <w:r>
                    <w:rPr>
                      <w:szCs w:val="21"/>
                    </w:rPr>
                    <w:t>占地面积1300m</w:t>
                  </w:r>
                  <w:r>
                    <w:rPr>
                      <w:szCs w:val="21"/>
                      <w:vertAlign w:val="superscript"/>
                    </w:rPr>
                    <w:t>2</w:t>
                  </w:r>
                  <w:r>
                    <w:rPr>
                      <w:szCs w:val="21"/>
                    </w:rPr>
                    <w:t>，高度5m，</w:t>
                  </w:r>
                  <w:r>
                    <w:rPr>
                      <w:rFonts w:hint="eastAsia"/>
                      <w:szCs w:val="21"/>
                    </w:rPr>
                    <w:t>全封闭车间。</w:t>
                  </w:r>
                  <w:r>
                    <w:rPr>
                      <w:szCs w:val="21"/>
                    </w:rPr>
                    <w:t>车间</w:t>
                  </w:r>
                  <w:r>
                    <w:rPr>
                      <w:rFonts w:hint="eastAsia"/>
                      <w:szCs w:val="21"/>
                    </w:rPr>
                    <w:t>内</w:t>
                  </w:r>
                  <w:r>
                    <w:rPr>
                      <w:szCs w:val="21"/>
                    </w:rPr>
                    <w:t>按不同功能分区划分为：预拆解区、切割区、总成拆解区、危废暂存间等</w:t>
                  </w:r>
                </w:p>
              </w:tc>
              <w:tc>
                <w:tcPr>
                  <w:tcW w:w="711" w:type="dxa"/>
                  <w:vAlign w:val="center"/>
                </w:tcPr>
                <w:p w14:paraId="0851E405">
                  <w:pPr>
                    <w:adjustRightInd w:val="0"/>
                    <w:snapToGrid w:val="0"/>
                    <w:jc w:val="center"/>
                    <w:rPr>
                      <w:szCs w:val="21"/>
                    </w:rPr>
                  </w:pPr>
                  <w:r>
                    <w:rPr>
                      <w:szCs w:val="21"/>
                    </w:rPr>
                    <w:t>依托现有厂房</w:t>
                  </w:r>
                </w:p>
              </w:tc>
            </w:tr>
            <w:tr w14:paraId="4864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551" w:type="dxa"/>
                  <w:vMerge w:val="restart"/>
                  <w:vAlign w:val="center"/>
                </w:tcPr>
                <w:p w14:paraId="084DD2AE">
                  <w:pPr>
                    <w:adjustRightInd w:val="0"/>
                    <w:snapToGrid w:val="0"/>
                    <w:jc w:val="center"/>
                    <w:rPr>
                      <w:szCs w:val="21"/>
                    </w:rPr>
                  </w:pPr>
                  <w:r>
                    <w:rPr>
                      <w:szCs w:val="21"/>
                    </w:rPr>
                    <w:t>储运</w:t>
                  </w:r>
                </w:p>
                <w:p w14:paraId="2C980FA4">
                  <w:pPr>
                    <w:adjustRightInd w:val="0"/>
                    <w:snapToGrid w:val="0"/>
                    <w:jc w:val="center"/>
                    <w:rPr>
                      <w:szCs w:val="21"/>
                    </w:rPr>
                  </w:pPr>
                  <w:r>
                    <w:rPr>
                      <w:szCs w:val="21"/>
                    </w:rPr>
                    <w:t>工程</w:t>
                  </w:r>
                </w:p>
              </w:tc>
              <w:tc>
                <w:tcPr>
                  <w:tcW w:w="862" w:type="dxa"/>
                  <w:vAlign w:val="center"/>
                </w:tcPr>
                <w:p w14:paraId="609CC36B">
                  <w:pPr>
                    <w:adjustRightInd w:val="0"/>
                    <w:snapToGrid w:val="0"/>
                    <w:jc w:val="center"/>
                    <w:rPr>
                      <w:szCs w:val="21"/>
                    </w:rPr>
                  </w:pPr>
                  <w:r>
                    <w:rPr>
                      <w:rFonts w:hint="eastAsia"/>
                      <w:szCs w:val="21"/>
                    </w:rPr>
                    <w:t>储存库</w:t>
                  </w:r>
                </w:p>
              </w:tc>
              <w:tc>
                <w:tcPr>
                  <w:tcW w:w="6218" w:type="dxa"/>
                  <w:vAlign w:val="center"/>
                </w:tcPr>
                <w:p w14:paraId="7901CC97">
                  <w:pPr>
                    <w:adjustRightInd w:val="0"/>
                    <w:snapToGrid w:val="0"/>
                    <w:jc w:val="left"/>
                    <w:rPr>
                      <w:szCs w:val="21"/>
                    </w:rPr>
                  </w:pPr>
                  <w:r>
                    <w:rPr>
                      <w:szCs w:val="21"/>
                    </w:rPr>
                    <w:t>占地面积750m</w:t>
                  </w:r>
                  <w:r>
                    <w:rPr>
                      <w:szCs w:val="21"/>
                      <w:vertAlign w:val="superscript"/>
                    </w:rPr>
                    <w:t>2</w:t>
                  </w:r>
                  <w:r>
                    <w:rPr>
                      <w:szCs w:val="21"/>
                    </w:rPr>
                    <w:t>，按功能主要划分为：一般固废间、金属拆解物暂存区、非金属拆解物暂存区等</w:t>
                  </w:r>
                </w:p>
              </w:tc>
              <w:tc>
                <w:tcPr>
                  <w:tcW w:w="711" w:type="dxa"/>
                  <w:vMerge w:val="restart"/>
                  <w:vAlign w:val="center"/>
                </w:tcPr>
                <w:p w14:paraId="5512AC33">
                  <w:pPr>
                    <w:adjustRightInd w:val="0"/>
                    <w:snapToGrid w:val="0"/>
                    <w:jc w:val="center"/>
                    <w:rPr>
                      <w:szCs w:val="21"/>
                    </w:rPr>
                  </w:pPr>
                  <w:r>
                    <w:rPr>
                      <w:szCs w:val="21"/>
                    </w:rPr>
                    <w:t>依托现有厂房</w:t>
                  </w:r>
                </w:p>
              </w:tc>
            </w:tr>
            <w:tr w14:paraId="449E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551" w:type="dxa"/>
                  <w:vMerge w:val="continue"/>
                  <w:vAlign w:val="center"/>
                </w:tcPr>
                <w:p w14:paraId="6472BEFE">
                  <w:pPr>
                    <w:adjustRightInd w:val="0"/>
                    <w:snapToGrid w:val="0"/>
                    <w:jc w:val="center"/>
                    <w:rPr>
                      <w:szCs w:val="21"/>
                    </w:rPr>
                  </w:pPr>
                </w:p>
              </w:tc>
              <w:tc>
                <w:tcPr>
                  <w:tcW w:w="862" w:type="dxa"/>
                  <w:vAlign w:val="center"/>
                </w:tcPr>
                <w:p w14:paraId="2115FB0E">
                  <w:pPr>
                    <w:adjustRightInd w:val="0"/>
                    <w:snapToGrid w:val="0"/>
                    <w:jc w:val="center"/>
                    <w:rPr>
                      <w:szCs w:val="21"/>
                    </w:rPr>
                  </w:pPr>
                  <w:r>
                    <w:rPr>
                      <w:szCs w:val="21"/>
                    </w:rPr>
                    <w:t>废旧农机停放区</w:t>
                  </w:r>
                </w:p>
              </w:tc>
              <w:tc>
                <w:tcPr>
                  <w:tcW w:w="6218" w:type="dxa"/>
                  <w:vAlign w:val="center"/>
                </w:tcPr>
                <w:p w14:paraId="634D0753">
                  <w:pPr>
                    <w:adjustRightInd w:val="0"/>
                    <w:snapToGrid w:val="0"/>
                    <w:jc w:val="left"/>
                    <w:rPr>
                      <w:szCs w:val="21"/>
                    </w:rPr>
                  </w:pPr>
                  <w:r>
                    <w:rPr>
                      <w:szCs w:val="21"/>
                    </w:rPr>
                    <w:t>位于拆解车间内东侧，占地面积约200m</w:t>
                  </w:r>
                  <w:r>
                    <w:rPr>
                      <w:szCs w:val="21"/>
                      <w:vertAlign w:val="superscript"/>
                    </w:rPr>
                    <w:t>2</w:t>
                  </w:r>
                  <w:r>
                    <w:rPr>
                      <w:szCs w:val="21"/>
                    </w:rPr>
                    <w:t>，用于入厂废旧农机的暂时停放</w:t>
                  </w:r>
                </w:p>
              </w:tc>
              <w:tc>
                <w:tcPr>
                  <w:tcW w:w="711" w:type="dxa"/>
                  <w:vMerge w:val="continue"/>
                  <w:vAlign w:val="center"/>
                </w:tcPr>
                <w:p w14:paraId="1D1EE0AF">
                  <w:pPr>
                    <w:adjustRightInd w:val="0"/>
                    <w:snapToGrid w:val="0"/>
                    <w:jc w:val="center"/>
                    <w:rPr>
                      <w:szCs w:val="21"/>
                    </w:rPr>
                  </w:pPr>
                </w:p>
              </w:tc>
            </w:tr>
            <w:tr w14:paraId="1A05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551" w:type="dxa"/>
                  <w:vAlign w:val="center"/>
                </w:tcPr>
                <w:p w14:paraId="08B3D540">
                  <w:pPr>
                    <w:adjustRightInd w:val="0"/>
                    <w:snapToGrid w:val="0"/>
                    <w:jc w:val="center"/>
                    <w:rPr>
                      <w:szCs w:val="21"/>
                    </w:rPr>
                  </w:pPr>
                  <w:r>
                    <w:rPr>
                      <w:szCs w:val="21"/>
                    </w:rPr>
                    <w:t>辅助</w:t>
                  </w:r>
                </w:p>
                <w:p w14:paraId="7608B431">
                  <w:pPr>
                    <w:adjustRightInd w:val="0"/>
                    <w:snapToGrid w:val="0"/>
                    <w:jc w:val="center"/>
                    <w:rPr>
                      <w:szCs w:val="21"/>
                    </w:rPr>
                  </w:pPr>
                  <w:r>
                    <w:rPr>
                      <w:szCs w:val="21"/>
                    </w:rPr>
                    <w:t>工程</w:t>
                  </w:r>
                </w:p>
              </w:tc>
              <w:tc>
                <w:tcPr>
                  <w:tcW w:w="862" w:type="dxa"/>
                  <w:vAlign w:val="center"/>
                </w:tcPr>
                <w:p w14:paraId="46F5A1A1">
                  <w:pPr>
                    <w:adjustRightInd w:val="0"/>
                    <w:snapToGrid w:val="0"/>
                    <w:jc w:val="center"/>
                    <w:rPr>
                      <w:szCs w:val="21"/>
                    </w:rPr>
                  </w:pPr>
                  <w:r>
                    <w:rPr>
                      <w:szCs w:val="21"/>
                    </w:rPr>
                    <w:t>办公室</w:t>
                  </w:r>
                </w:p>
              </w:tc>
              <w:tc>
                <w:tcPr>
                  <w:tcW w:w="6218" w:type="dxa"/>
                  <w:vAlign w:val="center"/>
                </w:tcPr>
                <w:p w14:paraId="584671A2">
                  <w:pPr>
                    <w:adjustRightInd w:val="0"/>
                    <w:snapToGrid w:val="0"/>
                    <w:jc w:val="left"/>
                    <w:rPr>
                      <w:szCs w:val="21"/>
                    </w:rPr>
                  </w:pPr>
                  <w:r>
                    <w:rPr>
                      <w:szCs w:val="21"/>
                    </w:rPr>
                    <w:t>位于</w:t>
                  </w:r>
                  <w:r>
                    <w:rPr>
                      <w:rFonts w:hint="eastAsia"/>
                      <w:szCs w:val="21"/>
                    </w:rPr>
                    <w:t>储存库</w:t>
                  </w:r>
                  <w:r>
                    <w:rPr>
                      <w:szCs w:val="21"/>
                    </w:rPr>
                    <w:t>东北角，占地面积约30m</w:t>
                  </w:r>
                  <w:r>
                    <w:rPr>
                      <w:szCs w:val="21"/>
                      <w:vertAlign w:val="superscript"/>
                    </w:rPr>
                    <w:t>2</w:t>
                  </w:r>
                </w:p>
              </w:tc>
              <w:tc>
                <w:tcPr>
                  <w:tcW w:w="711" w:type="dxa"/>
                  <w:vMerge w:val="continue"/>
                  <w:vAlign w:val="center"/>
                </w:tcPr>
                <w:p w14:paraId="21822D05">
                  <w:pPr>
                    <w:adjustRightInd w:val="0"/>
                    <w:snapToGrid w:val="0"/>
                    <w:jc w:val="center"/>
                    <w:rPr>
                      <w:szCs w:val="21"/>
                    </w:rPr>
                  </w:pPr>
                </w:p>
              </w:tc>
            </w:tr>
            <w:tr w14:paraId="56F6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551" w:type="dxa"/>
                  <w:vMerge w:val="restart"/>
                  <w:vAlign w:val="center"/>
                </w:tcPr>
                <w:p w14:paraId="6C5B60D4">
                  <w:pPr>
                    <w:adjustRightInd w:val="0"/>
                    <w:snapToGrid w:val="0"/>
                    <w:jc w:val="center"/>
                    <w:rPr>
                      <w:szCs w:val="21"/>
                    </w:rPr>
                  </w:pPr>
                  <w:r>
                    <w:rPr>
                      <w:szCs w:val="21"/>
                    </w:rPr>
                    <w:t>公用</w:t>
                  </w:r>
                </w:p>
                <w:p w14:paraId="089E963C">
                  <w:pPr>
                    <w:adjustRightInd w:val="0"/>
                    <w:snapToGrid w:val="0"/>
                    <w:jc w:val="center"/>
                    <w:rPr>
                      <w:szCs w:val="21"/>
                    </w:rPr>
                  </w:pPr>
                  <w:r>
                    <w:rPr>
                      <w:szCs w:val="21"/>
                    </w:rPr>
                    <w:t>工程</w:t>
                  </w:r>
                </w:p>
              </w:tc>
              <w:tc>
                <w:tcPr>
                  <w:tcW w:w="862" w:type="dxa"/>
                  <w:shd w:val="clear" w:color="auto" w:fill="auto"/>
                  <w:vAlign w:val="center"/>
                </w:tcPr>
                <w:p w14:paraId="46F640F5">
                  <w:pPr>
                    <w:adjustRightInd w:val="0"/>
                    <w:snapToGrid w:val="0"/>
                    <w:jc w:val="center"/>
                    <w:rPr>
                      <w:szCs w:val="21"/>
                    </w:rPr>
                  </w:pPr>
                  <w:r>
                    <w:rPr>
                      <w:szCs w:val="21"/>
                    </w:rPr>
                    <w:t>供电</w:t>
                  </w:r>
                </w:p>
              </w:tc>
              <w:tc>
                <w:tcPr>
                  <w:tcW w:w="6218" w:type="dxa"/>
                  <w:shd w:val="clear" w:color="auto" w:fill="auto"/>
                  <w:vAlign w:val="center"/>
                </w:tcPr>
                <w:p w14:paraId="7026C394">
                  <w:pPr>
                    <w:adjustRightInd w:val="0"/>
                    <w:snapToGrid w:val="0"/>
                    <w:jc w:val="left"/>
                    <w:rPr>
                      <w:szCs w:val="21"/>
                    </w:rPr>
                  </w:pPr>
                  <w:r>
                    <w:rPr>
                      <w:szCs w:val="21"/>
                    </w:rPr>
                    <w:t>民权县人和镇集中供电</w:t>
                  </w:r>
                </w:p>
              </w:tc>
              <w:tc>
                <w:tcPr>
                  <w:tcW w:w="711" w:type="dxa"/>
                  <w:vAlign w:val="center"/>
                </w:tcPr>
                <w:p w14:paraId="1A29F709">
                  <w:pPr>
                    <w:adjustRightInd w:val="0"/>
                    <w:snapToGrid w:val="0"/>
                    <w:jc w:val="center"/>
                    <w:rPr>
                      <w:szCs w:val="21"/>
                    </w:rPr>
                  </w:pPr>
                  <w:r>
                    <w:rPr>
                      <w:szCs w:val="21"/>
                    </w:rPr>
                    <w:t>/</w:t>
                  </w:r>
                </w:p>
              </w:tc>
            </w:tr>
            <w:tr w14:paraId="6E27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551" w:type="dxa"/>
                  <w:vMerge w:val="continue"/>
                  <w:vAlign w:val="center"/>
                </w:tcPr>
                <w:p w14:paraId="545F7BCD">
                  <w:pPr>
                    <w:adjustRightInd w:val="0"/>
                    <w:snapToGrid w:val="0"/>
                    <w:jc w:val="center"/>
                    <w:rPr>
                      <w:szCs w:val="21"/>
                    </w:rPr>
                  </w:pPr>
                </w:p>
              </w:tc>
              <w:tc>
                <w:tcPr>
                  <w:tcW w:w="862" w:type="dxa"/>
                  <w:vAlign w:val="center"/>
                </w:tcPr>
                <w:p w14:paraId="6E1D389E">
                  <w:pPr>
                    <w:adjustRightInd w:val="0"/>
                    <w:snapToGrid w:val="0"/>
                    <w:jc w:val="center"/>
                    <w:rPr>
                      <w:szCs w:val="21"/>
                    </w:rPr>
                  </w:pPr>
                  <w:r>
                    <w:rPr>
                      <w:szCs w:val="21"/>
                    </w:rPr>
                    <w:t>给水</w:t>
                  </w:r>
                </w:p>
              </w:tc>
              <w:tc>
                <w:tcPr>
                  <w:tcW w:w="6218" w:type="dxa"/>
                  <w:vAlign w:val="center"/>
                </w:tcPr>
                <w:p w14:paraId="7211FABC">
                  <w:pPr>
                    <w:adjustRightInd w:val="0"/>
                    <w:snapToGrid w:val="0"/>
                    <w:jc w:val="left"/>
                    <w:rPr>
                      <w:szCs w:val="21"/>
                    </w:rPr>
                  </w:pPr>
                  <w:r>
                    <w:rPr>
                      <w:szCs w:val="21"/>
                    </w:rPr>
                    <w:t>民权县人和镇集中供水</w:t>
                  </w:r>
                </w:p>
              </w:tc>
              <w:tc>
                <w:tcPr>
                  <w:tcW w:w="711" w:type="dxa"/>
                  <w:vAlign w:val="center"/>
                </w:tcPr>
                <w:p w14:paraId="36CCE985">
                  <w:pPr>
                    <w:adjustRightInd w:val="0"/>
                    <w:snapToGrid w:val="0"/>
                    <w:jc w:val="center"/>
                    <w:rPr>
                      <w:szCs w:val="21"/>
                    </w:rPr>
                  </w:pPr>
                  <w:r>
                    <w:rPr>
                      <w:szCs w:val="21"/>
                    </w:rPr>
                    <w:t>/</w:t>
                  </w:r>
                </w:p>
              </w:tc>
            </w:tr>
            <w:tr w14:paraId="6BB3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551" w:type="dxa"/>
                  <w:vMerge w:val="continue"/>
                  <w:vAlign w:val="center"/>
                </w:tcPr>
                <w:p w14:paraId="792BEDDB">
                  <w:pPr>
                    <w:adjustRightInd w:val="0"/>
                    <w:snapToGrid w:val="0"/>
                    <w:jc w:val="center"/>
                  </w:pPr>
                </w:p>
              </w:tc>
              <w:tc>
                <w:tcPr>
                  <w:tcW w:w="862" w:type="dxa"/>
                  <w:vAlign w:val="center"/>
                </w:tcPr>
                <w:p w14:paraId="2550E55E">
                  <w:pPr>
                    <w:adjustRightInd w:val="0"/>
                    <w:snapToGrid w:val="0"/>
                    <w:jc w:val="center"/>
                    <w:rPr>
                      <w:szCs w:val="21"/>
                    </w:rPr>
                  </w:pPr>
                  <w:r>
                    <w:rPr>
                      <w:szCs w:val="21"/>
                    </w:rPr>
                    <w:t>排水</w:t>
                  </w:r>
                </w:p>
              </w:tc>
              <w:tc>
                <w:tcPr>
                  <w:tcW w:w="6218" w:type="dxa"/>
                  <w:vAlign w:val="center"/>
                </w:tcPr>
                <w:p w14:paraId="2B7C15E6">
                  <w:pPr>
                    <w:adjustRightInd w:val="0"/>
                    <w:snapToGrid w:val="0"/>
                    <w:jc w:val="left"/>
                    <w:rPr>
                      <w:szCs w:val="21"/>
                    </w:rPr>
                  </w:pPr>
                  <w:r>
                    <w:rPr>
                      <w:szCs w:val="21"/>
                    </w:rPr>
                    <w:t>生活污水经化粪池</w:t>
                  </w:r>
                  <w:r>
                    <w:t>暂存后，定期清掏，外运肥田</w:t>
                  </w:r>
                </w:p>
              </w:tc>
              <w:tc>
                <w:tcPr>
                  <w:tcW w:w="711" w:type="dxa"/>
                  <w:vAlign w:val="center"/>
                </w:tcPr>
                <w:p w14:paraId="5260EEB9">
                  <w:pPr>
                    <w:adjustRightInd w:val="0"/>
                    <w:snapToGrid w:val="0"/>
                    <w:jc w:val="center"/>
                    <w:rPr>
                      <w:szCs w:val="21"/>
                    </w:rPr>
                  </w:pPr>
                  <w:r>
                    <w:rPr>
                      <w:szCs w:val="21"/>
                    </w:rPr>
                    <w:t>/</w:t>
                  </w:r>
                </w:p>
              </w:tc>
            </w:tr>
            <w:tr w14:paraId="0831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551" w:type="dxa"/>
                  <w:vMerge w:val="restart"/>
                  <w:vAlign w:val="center"/>
                </w:tcPr>
                <w:p w14:paraId="4DC82A88">
                  <w:pPr>
                    <w:adjustRightInd w:val="0"/>
                    <w:snapToGrid w:val="0"/>
                    <w:jc w:val="center"/>
                    <w:rPr>
                      <w:szCs w:val="21"/>
                    </w:rPr>
                  </w:pPr>
                  <w:r>
                    <w:rPr>
                      <w:szCs w:val="21"/>
                    </w:rPr>
                    <w:t>环保</w:t>
                  </w:r>
                </w:p>
                <w:p w14:paraId="131485A4">
                  <w:pPr>
                    <w:adjustRightInd w:val="0"/>
                    <w:snapToGrid w:val="0"/>
                    <w:jc w:val="center"/>
                    <w:rPr>
                      <w:szCs w:val="21"/>
                    </w:rPr>
                  </w:pPr>
                  <w:r>
                    <w:rPr>
                      <w:szCs w:val="21"/>
                    </w:rPr>
                    <w:t>工程</w:t>
                  </w:r>
                </w:p>
              </w:tc>
              <w:tc>
                <w:tcPr>
                  <w:tcW w:w="862" w:type="dxa"/>
                  <w:vMerge w:val="restart"/>
                  <w:vAlign w:val="center"/>
                </w:tcPr>
                <w:p w14:paraId="15579D14">
                  <w:pPr>
                    <w:adjustRightInd w:val="0"/>
                    <w:snapToGrid w:val="0"/>
                    <w:jc w:val="center"/>
                    <w:rPr>
                      <w:szCs w:val="21"/>
                    </w:rPr>
                  </w:pPr>
                  <w:r>
                    <w:rPr>
                      <w:szCs w:val="21"/>
                    </w:rPr>
                    <w:t>废气治理</w:t>
                  </w:r>
                </w:p>
              </w:tc>
              <w:tc>
                <w:tcPr>
                  <w:tcW w:w="6218" w:type="dxa"/>
                  <w:vAlign w:val="center"/>
                </w:tcPr>
                <w:p w14:paraId="5D31BA17">
                  <w:pPr>
                    <w:rPr>
                      <w:szCs w:val="21"/>
                    </w:rPr>
                  </w:pPr>
                  <w:r>
                    <w:rPr>
                      <w:szCs w:val="21"/>
                    </w:rPr>
                    <w:t>废油液抽取和危废贮存有机废气：在油液回收工位上方设置集气罩，与危废间有机废气共同引至1套</w:t>
                  </w:r>
                  <w:r>
                    <w:rPr>
                      <w:rFonts w:hint="eastAsia"/>
                      <w:szCs w:val="21"/>
                    </w:rPr>
                    <w:t>两级</w:t>
                  </w:r>
                  <w:r>
                    <w:rPr>
                      <w:szCs w:val="21"/>
                    </w:rPr>
                    <w:t>活性炭吸附装置（TA001）处理后由15m高排气筒（DA001）达标排放</w:t>
                  </w:r>
                </w:p>
              </w:tc>
              <w:tc>
                <w:tcPr>
                  <w:tcW w:w="711" w:type="dxa"/>
                  <w:vMerge w:val="restart"/>
                  <w:vAlign w:val="center"/>
                </w:tcPr>
                <w:p w14:paraId="57BCFC8A">
                  <w:pPr>
                    <w:adjustRightInd w:val="0"/>
                    <w:snapToGrid w:val="0"/>
                    <w:jc w:val="center"/>
                    <w:rPr>
                      <w:szCs w:val="21"/>
                    </w:rPr>
                  </w:pPr>
                  <w:r>
                    <w:rPr>
                      <w:szCs w:val="21"/>
                    </w:rPr>
                    <w:t>新建</w:t>
                  </w:r>
                </w:p>
              </w:tc>
            </w:tr>
            <w:tr w14:paraId="319B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 w:hRule="atLeast"/>
                <w:jc w:val="center"/>
              </w:trPr>
              <w:tc>
                <w:tcPr>
                  <w:tcW w:w="551" w:type="dxa"/>
                  <w:vMerge w:val="continue"/>
                  <w:vAlign w:val="center"/>
                </w:tcPr>
                <w:p w14:paraId="5FDD71D9">
                  <w:pPr>
                    <w:jc w:val="center"/>
                  </w:pPr>
                </w:p>
              </w:tc>
              <w:tc>
                <w:tcPr>
                  <w:tcW w:w="862" w:type="dxa"/>
                  <w:vMerge w:val="continue"/>
                  <w:vAlign w:val="center"/>
                </w:tcPr>
                <w:p w14:paraId="4D6584B2">
                  <w:pPr>
                    <w:jc w:val="center"/>
                  </w:pPr>
                </w:p>
              </w:tc>
              <w:tc>
                <w:tcPr>
                  <w:tcW w:w="6218" w:type="dxa"/>
                  <w:vAlign w:val="center"/>
                </w:tcPr>
                <w:p w14:paraId="4AA08BF6">
                  <w:pPr>
                    <w:jc w:val="left"/>
                    <w:rPr>
                      <w:szCs w:val="21"/>
                    </w:rPr>
                  </w:pPr>
                  <w:r>
                    <w:rPr>
                      <w:szCs w:val="21"/>
                    </w:rPr>
                    <w:t>切割废气：切割机上方设置集气罩，经覆膜袋式除尘器（TA002）处理后由15m高排气筒（DA002）达标排放</w:t>
                  </w:r>
                </w:p>
              </w:tc>
              <w:tc>
                <w:tcPr>
                  <w:tcW w:w="711" w:type="dxa"/>
                  <w:vMerge w:val="continue"/>
                  <w:vAlign w:val="center"/>
                </w:tcPr>
                <w:p w14:paraId="0C263A68">
                  <w:pPr>
                    <w:jc w:val="center"/>
                    <w:rPr>
                      <w:szCs w:val="21"/>
                    </w:rPr>
                  </w:pPr>
                </w:p>
              </w:tc>
            </w:tr>
            <w:tr w14:paraId="39AC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551" w:type="dxa"/>
                  <w:vMerge w:val="continue"/>
                  <w:vAlign w:val="center"/>
                </w:tcPr>
                <w:p w14:paraId="2FCC675E">
                  <w:pPr>
                    <w:adjustRightInd w:val="0"/>
                    <w:snapToGrid w:val="0"/>
                    <w:jc w:val="center"/>
                    <w:rPr>
                      <w:szCs w:val="21"/>
                    </w:rPr>
                  </w:pPr>
                </w:p>
              </w:tc>
              <w:tc>
                <w:tcPr>
                  <w:tcW w:w="862" w:type="dxa"/>
                  <w:vAlign w:val="center"/>
                </w:tcPr>
                <w:p w14:paraId="4FA63DFD">
                  <w:pPr>
                    <w:adjustRightInd w:val="0"/>
                    <w:snapToGrid w:val="0"/>
                    <w:jc w:val="center"/>
                    <w:rPr>
                      <w:szCs w:val="21"/>
                    </w:rPr>
                  </w:pPr>
                  <w:r>
                    <w:rPr>
                      <w:szCs w:val="21"/>
                    </w:rPr>
                    <w:t>噪声治理</w:t>
                  </w:r>
                </w:p>
              </w:tc>
              <w:tc>
                <w:tcPr>
                  <w:tcW w:w="6218" w:type="dxa"/>
                  <w:vAlign w:val="center"/>
                </w:tcPr>
                <w:p w14:paraId="37A4FFA2">
                  <w:pPr>
                    <w:jc w:val="left"/>
                    <w:rPr>
                      <w:szCs w:val="21"/>
                    </w:rPr>
                  </w:pPr>
                  <w:r>
                    <w:rPr>
                      <w:szCs w:val="21"/>
                    </w:rPr>
                    <w:t>选用低噪声设备，基础减振、隔声、消声等措施</w:t>
                  </w:r>
                </w:p>
              </w:tc>
              <w:tc>
                <w:tcPr>
                  <w:tcW w:w="711" w:type="dxa"/>
                  <w:vAlign w:val="center"/>
                </w:tcPr>
                <w:p w14:paraId="4FEFB2D5">
                  <w:pPr>
                    <w:adjustRightInd w:val="0"/>
                    <w:snapToGrid w:val="0"/>
                    <w:jc w:val="center"/>
                    <w:rPr>
                      <w:szCs w:val="21"/>
                    </w:rPr>
                  </w:pPr>
                  <w:r>
                    <w:rPr>
                      <w:szCs w:val="21"/>
                    </w:rPr>
                    <w:t>新建</w:t>
                  </w:r>
                </w:p>
              </w:tc>
            </w:tr>
            <w:tr w14:paraId="52F5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551" w:type="dxa"/>
                  <w:vMerge w:val="continue"/>
                  <w:vAlign w:val="center"/>
                </w:tcPr>
                <w:p w14:paraId="26BACE73">
                  <w:pPr>
                    <w:adjustRightInd w:val="0"/>
                    <w:snapToGrid w:val="0"/>
                    <w:jc w:val="center"/>
                    <w:rPr>
                      <w:szCs w:val="21"/>
                    </w:rPr>
                  </w:pPr>
                </w:p>
              </w:tc>
              <w:tc>
                <w:tcPr>
                  <w:tcW w:w="862" w:type="dxa"/>
                  <w:vAlign w:val="center"/>
                </w:tcPr>
                <w:p w14:paraId="678ED86F">
                  <w:pPr>
                    <w:adjustRightInd w:val="0"/>
                    <w:snapToGrid w:val="0"/>
                    <w:jc w:val="center"/>
                    <w:rPr>
                      <w:szCs w:val="21"/>
                    </w:rPr>
                  </w:pPr>
                  <w:r>
                    <w:rPr>
                      <w:szCs w:val="21"/>
                    </w:rPr>
                    <w:t>废水治理</w:t>
                  </w:r>
                </w:p>
              </w:tc>
              <w:tc>
                <w:tcPr>
                  <w:tcW w:w="6218" w:type="dxa"/>
                  <w:vAlign w:val="center"/>
                </w:tcPr>
                <w:p w14:paraId="6E11FF2D">
                  <w:pPr>
                    <w:rPr>
                      <w:szCs w:val="21"/>
                    </w:rPr>
                  </w:pPr>
                  <w:r>
                    <w:rPr>
                      <w:szCs w:val="21"/>
                    </w:rPr>
                    <w:t>生活污水经10m</w:t>
                  </w:r>
                  <w:r>
                    <w:rPr>
                      <w:szCs w:val="21"/>
                      <w:vertAlign w:val="superscript"/>
                    </w:rPr>
                    <w:t>3</w:t>
                  </w:r>
                  <w:r>
                    <w:rPr>
                      <w:szCs w:val="21"/>
                    </w:rPr>
                    <w:t>化粪池暂存后，定期清掏，外运肥田</w:t>
                  </w:r>
                </w:p>
              </w:tc>
              <w:tc>
                <w:tcPr>
                  <w:tcW w:w="711" w:type="dxa"/>
                  <w:vAlign w:val="center"/>
                </w:tcPr>
                <w:p w14:paraId="43774DEB">
                  <w:pPr>
                    <w:adjustRightInd w:val="0"/>
                    <w:snapToGrid w:val="0"/>
                    <w:jc w:val="center"/>
                    <w:rPr>
                      <w:szCs w:val="21"/>
                    </w:rPr>
                  </w:pPr>
                  <w:r>
                    <w:rPr>
                      <w:szCs w:val="21"/>
                    </w:rPr>
                    <w:t>新建</w:t>
                  </w:r>
                </w:p>
              </w:tc>
            </w:tr>
            <w:tr w14:paraId="1D2E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9" w:hRule="atLeast"/>
                <w:jc w:val="center"/>
              </w:trPr>
              <w:tc>
                <w:tcPr>
                  <w:tcW w:w="551" w:type="dxa"/>
                  <w:vMerge w:val="continue"/>
                  <w:vAlign w:val="center"/>
                </w:tcPr>
                <w:p w14:paraId="1EBABE1A">
                  <w:pPr>
                    <w:adjustRightInd w:val="0"/>
                    <w:snapToGrid w:val="0"/>
                    <w:jc w:val="center"/>
                    <w:rPr>
                      <w:szCs w:val="21"/>
                    </w:rPr>
                  </w:pPr>
                </w:p>
              </w:tc>
              <w:tc>
                <w:tcPr>
                  <w:tcW w:w="862" w:type="dxa"/>
                  <w:vMerge w:val="restart"/>
                  <w:vAlign w:val="center"/>
                </w:tcPr>
                <w:p w14:paraId="7D1BA01E">
                  <w:pPr>
                    <w:adjustRightInd w:val="0"/>
                    <w:snapToGrid w:val="0"/>
                    <w:jc w:val="center"/>
                    <w:rPr>
                      <w:szCs w:val="21"/>
                    </w:rPr>
                  </w:pPr>
                  <w:r>
                    <w:rPr>
                      <w:szCs w:val="21"/>
                    </w:rPr>
                    <w:t>固废治理</w:t>
                  </w:r>
                </w:p>
              </w:tc>
              <w:tc>
                <w:tcPr>
                  <w:tcW w:w="6218" w:type="dxa"/>
                  <w:vAlign w:val="center"/>
                </w:tcPr>
                <w:p w14:paraId="27DA9357">
                  <w:pPr>
                    <w:jc w:val="left"/>
                    <w:rPr>
                      <w:szCs w:val="21"/>
                    </w:rPr>
                  </w:pPr>
                  <w:r>
                    <w:rPr>
                      <w:szCs w:val="21"/>
                    </w:rPr>
                    <w:t>设置40m</w:t>
                  </w:r>
                  <w:r>
                    <w:rPr>
                      <w:szCs w:val="21"/>
                      <w:vertAlign w:val="superscript"/>
                    </w:rPr>
                    <w:t>2</w:t>
                  </w:r>
                  <w:r>
                    <w:rPr>
                      <w:szCs w:val="21"/>
                    </w:rPr>
                    <w:t>危险废物暂存间，位于车间内北侧，独立封闭区域，用于存放废油液、废活性炭、废电子电器件</w:t>
                  </w:r>
                  <w:r>
                    <w:rPr>
                      <w:rFonts w:hint="eastAsia"/>
                      <w:szCs w:val="21"/>
                    </w:rPr>
                    <w:t>、</w:t>
                  </w:r>
                  <w:r>
                    <w:rPr>
                      <w:szCs w:val="21"/>
                    </w:rPr>
                    <w:t>含油抹布及手套等危险废物，危废暂存间要求分区、分类暂存</w:t>
                  </w:r>
                </w:p>
              </w:tc>
              <w:tc>
                <w:tcPr>
                  <w:tcW w:w="711" w:type="dxa"/>
                  <w:vMerge w:val="restart"/>
                  <w:vAlign w:val="center"/>
                </w:tcPr>
                <w:p w14:paraId="07532E93">
                  <w:pPr>
                    <w:adjustRightInd w:val="0"/>
                    <w:snapToGrid w:val="0"/>
                    <w:jc w:val="center"/>
                    <w:rPr>
                      <w:szCs w:val="21"/>
                    </w:rPr>
                  </w:pPr>
                  <w:r>
                    <w:rPr>
                      <w:szCs w:val="21"/>
                    </w:rPr>
                    <w:t>新建</w:t>
                  </w:r>
                </w:p>
              </w:tc>
            </w:tr>
            <w:tr w14:paraId="3A87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551" w:type="dxa"/>
                  <w:vMerge w:val="continue"/>
                  <w:vAlign w:val="center"/>
                </w:tcPr>
                <w:p w14:paraId="1AEC4B0F">
                  <w:pPr>
                    <w:adjustRightInd w:val="0"/>
                    <w:snapToGrid w:val="0"/>
                    <w:jc w:val="center"/>
                    <w:rPr>
                      <w:szCs w:val="21"/>
                    </w:rPr>
                  </w:pPr>
                </w:p>
              </w:tc>
              <w:tc>
                <w:tcPr>
                  <w:tcW w:w="862" w:type="dxa"/>
                  <w:vMerge w:val="continue"/>
                  <w:vAlign w:val="center"/>
                </w:tcPr>
                <w:p w14:paraId="76083465">
                  <w:pPr>
                    <w:adjustRightInd w:val="0"/>
                    <w:snapToGrid w:val="0"/>
                    <w:jc w:val="center"/>
                    <w:rPr>
                      <w:szCs w:val="21"/>
                    </w:rPr>
                  </w:pPr>
                </w:p>
              </w:tc>
              <w:tc>
                <w:tcPr>
                  <w:tcW w:w="6218" w:type="dxa"/>
                  <w:vAlign w:val="center"/>
                </w:tcPr>
                <w:p w14:paraId="33CEFE81">
                  <w:pPr>
                    <w:jc w:val="left"/>
                    <w:rPr>
                      <w:szCs w:val="21"/>
                    </w:rPr>
                  </w:pPr>
                  <w:r>
                    <w:rPr>
                      <w:szCs w:val="21"/>
                    </w:rPr>
                    <w:t>设置10m</w:t>
                  </w:r>
                  <w:r>
                    <w:rPr>
                      <w:szCs w:val="21"/>
                      <w:vertAlign w:val="superscript"/>
                    </w:rPr>
                    <w:t>2</w:t>
                  </w:r>
                  <w:r>
                    <w:rPr>
                      <w:szCs w:val="21"/>
                    </w:rPr>
                    <w:t>一般固废间，位于</w:t>
                  </w:r>
                  <w:r>
                    <w:rPr>
                      <w:rFonts w:hint="eastAsia"/>
                      <w:szCs w:val="21"/>
                    </w:rPr>
                    <w:t>储存库</w:t>
                  </w:r>
                  <w:r>
                    <w:rPr>
                      <w:szCs w:val="21"/>
                    </w:rPr>
                    <w:t>内西北侧，主要用于暂存拆解产生的不可回收废物，包括碎玻璃、碎皮革等，定期交由环卫部门统一处置</w:t>
                  </w:r>
                </w:p>
              </w:tc>
              <w:tc>
                <w:tcPr>
                  <w:tcW w:w="711" w:type="dxa"/>
                  <w:vMerge w:val="continue"/>
                  <w:vAlign w:val="center"/>
                </w:tcPr>
                <w:p w14:paraId="27065F6D">
                  <w:pPr>
                    <w:adjustRightInd w:val="0"/>
                    <w:snapToGrid w:val="0"/>
                    <w:jc w:val="center"/>
                    <w:rPr>
                      <w:szCs w:val="21"/>
                    </w:rPr>
                  </w:pPr>
                </w:p>
              </w:tc>
            </w:tr>
            <w:tr w14:paraId="40C5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551" w:type="dxa"/>
                  <w:vMerge w:val="continue"/>
                  <w:vAlign w:val="center"/>
                </w:tcPr>
                <w:p w14:paraId="7E3D9940">
                  <w:pPr>
                    <w:adjustRightInd w:val="0"/>
                    <w:snapToGrid w:val="0"/>
                    <w:jc w:val="center"/>
                    <w:rPr>
                      <w:szCs w:val="21"/>
                    </w:rPr>
                  </w:pPr>
                </w:p>
              </w:tc>
              <w:tc>
                <w:tcPr>
                  <w:tcW w:w="862" w:type="dxa"/>
                  <w:vAlign w:val="center"/>
                </w:tcPr>
                <w:p w14:paraId="1C2D2988">
                  <w:pPr>
                    <w:adjustRightInd w:val="0"/>
                    <w:snapToGrid w:val="0"/>
                    <w:jc w:val="center"/>
                    <w:rPr>
                      <w:szCs w:val="21"/>
                    </w:rPr>
                  </w:pPr>
                  <w:r>
                    <w:rPr>
                      <w:szCs w:val="21"/>
                    </w:rPr>
                    <w:t>风险防范措施</w:t>
                  </w:r>
                </w:p>
              </w:tc>
              <w:tc>
                <w:tcPr>
                  <w:tcW w:w="6218" w:type="dxa"/>
                  <w:vAlign w:val="center"/>
                </w:tcPr>
                <w:p w14:paraId="0B9F14DC">
                  <w:pPr>
                    <w:jc w:val="left"/>
                    <w:rPr>
                      <w:szCs w:val="21"/>
                    </w:rPr>
                  </w:pPr>
                  <w:r>
                    <w:rPr>
                      <w:szCs w:val="21"/>
                    </w:rPr>
                    <w:t>应急事故池150m</w:t>
                  </w:r>
                  <w:r>
                    <w:rPr>
                      <w:szCs w:val="21"/>
                      <w:vertAlign w:val="superscript"/>
                    </w:rPr>
                    <w:t>3</w:t>
                  </w:r>
                  <w:r>
                    <w:rPr>
                      <w:szCs w:val="21"/>
                    </w:rPr>
                    <w:t>；初期雨水池60m</w:t>
                  </w:r>
                  <w:r>
                    <w:rPr>
                      <w:szCs w:val="21"/>
                      <w:vertAlign w:val="superscript"/>
                    </w:rPr>
                    <w:t>3</w:t>
                  </w:r>
                  <w:r>
                    <w:rPr>
                      <w:szCs w:val="21"/>
                    </w:rPr>
                    <w:t>；危废间设置围堰和导流槽，废液收集池2m</w:t>
                  </w:r>
                  <w:r>
                    <w:rPr>
                      <w:szCs w:val="21"/>
                      <w:vertAlign w:val="superscript"/>
                    </w:rPr>
                    <w:t>3</w:t>
                  </w:r>
                  <w:r>
                    <w:rPr>
                      <w:szCs w:val="21"/>
                    </w:rPr>
                    <w:t>；灭火器、生石灰等应急物资，编制突发环境事件应急预案</w:t>
                  </w:r>
                </w:p>
              </w:tc>
              <w:tc>
                <w:tcPr>
                  <w:tcW w:w="711" w:type="dxa"/>
                  <w:vAlign w:val="center"/>
                </w:tcPr>
                <w:p w14:paraId="70EFF637">
                  <w:pPr>
                    <w:adjustRightInd w:val="0"/>
                    <w:snapToGrid w:val="0"/>
                    <w:jc w:val="center"/>
                    <w:rPr>
                      <w:szCs w:val="21"/>
                    </w:rPr>
                  </w:pPr>
                  <w:r>
                    <w:rPr>
                      <w:szCs w:val="21"/>
                    </w:rPr>
                    <w:t>新建</w:t>
                  </w:r>
                </w:p>
              </w:tc>
            </w:tr>
          </w:tbl>
          <w:p w14:paraId="74177615">
            <w:pPr>
              <w:numPr>
                <w:ilvl w:val="0"/>
                <w:numId w:val="5"/>
              </w:numPr>
              <w:adjustRightInd w:val="0"/>
              <w:snapToGrid w:val="0"/>
              <w:spacing w:line="360" w:lineRule="auto"/>
              <w:ind w:firstLine="482" w:firstLineChars="200"/>
              <w:jc w:val="left"/>
              <w:rPr>
                <w:b/>
                <w:sz w:val="24"/>
              </w:rPr>
            </w:pPr>
            <w:r>
              <w:rPr>
                <w:b/>
                <w:sz w:val="24"/>
              </w:rPr>
              <w:t>项目主要设备和原辅材料</w:t>
            </w:r>
          </w:p>
          <w:p w14:paraId="4319FAEA">
            <w:pPr>
              <w:numPr>
                <w:ilvl w:val="0"/>
                <w:numId w:val="6"/>
              </w:numPr>
              <w:adjustRightInd w:val="0"/>
              <w:snapToGrid w:val="0"/>
              <w:spacing w:line="360" w:lineRule="auto"/>
              <w:ind w:firstLine="480" w:firstLineChars="200"/>
              <w:jc w:val="left"/>
              <w:rPr>
                <w:bCs/>
                <w:sz w:val="24"/>
              </w:rPr>
            </w:pPr>
            <w:r>
              <w:rPr>
                <w:bCs/>
                <w:sz w:val="24"/>
              </w:rPr>
              <w:t>项目主要设备</w:t>
            </w:r>
          </w:p>
          <w:p w14:paraId="56BBC371">
            <w:pPr>
              <w:adjustRightInd w:val="0"/>
              <w:snapToGrid w:val="0"/>
              <w:spacing w:line="360" w:lineRule="auto"/>
              <w:ind w:firstLine="480" w:firstLineChars="200"/>
              <w:jc w:val="left"/>
              <w:rPr>
                <w:bCs/>
                <w:sz w:val="24"/>
              </w:rPr>
            </w:pPr>
            <w:r>
              <w:rPr>
                <w:bCs/>
                <w:sz w:val="24"/>
              </w:rPr>
              <w:t>本项目主要拆解设备见表</w:t>
            </w:r>
            <w:r>
              <w:rPr>
                <w:rFonts w:hint="eastAsia"/>
                <w:bCs/>
                <w:sz w:val="24"/>
              </w:rPr>
              <w:t>11</w:t>
            </w:r>
            <w:r>
              <w:rPr>
                <w:bCs/>
                <w:sz w:val="24"/>
              </w:rPr>
              <w:t>。</w:t>
            </w:r>
          </w:p>
          <w:p w14:paraId="7C45971F">
            <w:pPr>
              <w:adjustRightInd w:val="0"/>
              <w:snapToGrid w:val="0"/>
              <w:jc w:val="center"/>
              <w:rPr>
                <w:b/>
                <w:sz w:val="24"/>
                <w:u w:val="single"/>
              </w:rPr>
            </w:pPr>
            <w:r>
              <w:rPr>
                <w:b/>
                <w:sz w:val="24"/>
              </w:rPr>
              <w:t>表</w:t>
            </w:r>
            <w:r>
              <w:rPr>
                <w:rFonts w:hint="eastAsia"/>
                <w:b/>
                <w:sz w:val="24"/>
              </w:rPr>
              <w:t>11</w:t>
            </w:r>
            <w:r>
              <w:rPr>
                <w:b/>
                <w:sz w:val="24"/>
              </w:rPr>
              <w:t xml:space="preserve">   项目主要设备一览表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3"/>
              <w:gridCol w:w="3622"/>
              <w:gridCol w:w="1440"/>
              <w:gridCol w:w="735"/>
              <w:gridCol w:w="690"/>
              <w:gridCol w:w="1019"/>
            </w:tblGrid>
            <w:tr w14:paraId="7839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14C36EA2">
                  <w:pPr>
                    <w:adjustRightInd w:val="0"/>
                    <w:snapToGrid w:val="0"/>
                    <w:spacing w:line="240" w:lineRule="exact"/>
                    <w:jc w:val="center"/>
                    <w:rPr>
                      <w:bCs/>
                      <w:szCs w:val="21"/>
                    </w:rPr>
                  </w:pPr>
                  <w:r>
                    <w:rPr>
                      <w:bCs/>
                      <w:szCs w:val="21"/>
                    </w:rPr>
                    <w:t>序号</w:t>
                  </w:r>
                </w:p>
              </w:tc>
              <w:tc>
                <w:tcPr>
                  <w:tcW w:w="3622" w:type="dxa"/>
                  <w:vAlign w:val="center"/>
                </w:tcPr>
                <w:p w14:paraId="287805C2">
                  <w:pPr>
                    <w:adjustRightInd w:val="0"/>
                    <w:snapToGrid w:val="0"/>
                    <w:spacing w:line="240" w:lineRule="exact"/>
                    <w:jc w:val="center"/>
                    <w:rPr>
                      <w:bCs/>
                      <w:szCs w:val="21"/>
                    </w:rPr>
                  </w:pPr>
                  <w:r>
                    <w:rPr>
                      <w:bCs/>
                      <w:szCs w:val="21"/>
                    </w:rPr>
                    <w:t>设备名称</w:t>
                  </w:r>
                </w:p>
              </w:tc>
              <w:tc>
                <w:tcPr>
                  <w:tcW w:w="1440" w:type="dxa"/>
                  <w:vAlign w:val="center"/>
                </w:tcPr>
                <w:p w14:paraId="1F81B334">
                  <w:pPr>
                    <w:adjustRightInd w:val="0"/>
                    <w:snapToGrid w:val="0"/>
                    <w:spacing w:line="240" w:lineRule="exact"/>
                    <w:jc w:val="center"/>
                    <w:rPr>
                      <w:bCs/>
                      <w:szCs w:val="21"/>
                    </w:rPr>
                  </w:pPr>
                  <w:r>
                    <w:rPr>
                      <w:bCs/>
                      <w:szCs w:val="21"/>
                    </w:rPr>
                    <w:t>型号</w:t>
                  </w:r>
                </w:p>
              </w:tc>
              <w:tc>
                <w:tcPr>
                  <w:tcW w:w="735" w:type="dxa"/>
                  <w:vAlign w:val="center"/>
                </w:tcPr>
                <w:p w14:paraId="4DC48F8E">
                  <w:pPr>
                    <w:adjustRightInd w:val="0"/>
                    <w:snapToGrid w:val="0"/>
                    <w:spacing w:line="240" w:lineRule="exact"/>
                    <w:jc w:val="center"/>
                    <w:rPr>
                      <w:bCs/>
                      <w:szCs w:val="21"/>
                    </w:rPr>
                  </w:pPr>
                  <w:r>
                    <w:rPr>
                      <w:bCs/>
                      <w:szCs w:val="21"/>
                    </w:rPr>
                    <w:t>单位</w:t>
                  </w:r>
                </w:p>
              </w:tc>
              <w:tc>
                <w:tcPr>
                  <w:tcW w:w="690" w:type="dxa"/>
                  <w:vAlign w:val="center"/>
                </w:tcPr>
                <w:p w14:paraId="08C4273C">
                  <w:pPr>
                    <w:adjustRightInd w:val="0"/>
                    <w:snapToGrid w:val="0"/>
                    <w:spacing w:line="240" w:lineRule="exact"/>
                    <w:jc w:val="center"/>
                    <w:rPr>
                      <w:bCs/>
                      <w:szCs w:val="21"/>
                    </w:rPr>
                  </w:pPr>
                  <w:r>
                    <w:rPr>
                      <w:bCs/>
                      <w:szCs w:val="21"/>
                    </w:rPr>
                    <w:t>数量</w:t>
                  </w:r>
                </w:p>
              </w:tc>
              <w:tc>
                <w:tcPr>
                  <w:tcW w:w="1019" w:type="dxa"/>
                  <w:vAlign w:val="center"/>
                </w:tcPr>
                <w:p w14:paraId="6821EACE">
                  <w:pPr>
                    <w:adjustRightInd w:val="0"/>
                    <w:snapToGrid w:val="0"/>
                    <w:spacing w:line="240" w:lineRule="exact"/>
                    <w:jc w:val="center"/>
                    <w:rPr>
                      <w:bCs/>
                      <w:szCs w:val="21"/>
                    </w:rPr>
                  </w:pPr>
                  <w:r>
                    <w:rPr>
                      <w:bCs/>
                      <w:szCs w:val="21"/>
                    </w:rPr>
                    <w:t>用途</w:t>
                  </w:r>
                </w:p>
              </w:tc>
            </w:tr>
            <w:tr w14:paraId="4A53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5FA06C9F">
                  <w:pPr>
                    <w:adjustRightInd w:val="0"/>
                    <w:snapToGrid w:val="0"/>
                    <w:spacing w:line="240" w:lineRule="exact"/>
                    <w:jc w:val="center"/>
                    <w:rPr>
                      <w:bCs/>
                      <w:szCs w:val="21"/>
                    </w:rPr>
                  </w:pPr>
                  <w:r>
                    <w:rPr>
                      <w:bCs/>
                      <w:szCs w:val="21"/>
                    </w:rPr>
                    <w:t>1</w:t>
                  </w:r>
                </w:p>
              </w:tc>
              <w:tc>
                <w:tcPr>
                  <w:tcW w:w="3622" w:type="dxa"/>
                  <w:shd w:val="clear" w:color="auto" w:fill="auto"/>
                  <w:vAlign w:val="center"/>
                </w:tcPr>
                <w:p w14:paraId="28740061">
                  <w:pPr>
                    <w:adjustRightInd w:val="0"/>
                    <w:snapToGrid w:val="0"/>
                    <w:spacing w:line="240" w:lineRule="exact"/>
                    <w:jc w:val="center"/>
                    <w:rPr>
                      <w:bCs/>
                      <w:szCs w:val="21"/>
                    </w:rPr>
                  </w:pPr>
                  <w:r>
                    <w:rPr>
                      <w:bCs/>
                      <w:szCs w:val="21"/>
                    </w:rPr>
                    <w:t>地磅</w:t>
                  </w:r>
                </w:p>
              </w:tc>
              <w:tc>
                <w:tcPr>
                  <w:tcW w:w="1440" w:type="dxa"/>
                  <w:vAlign w:val="center"/>
                </w:tcPr>
                <w:p w14:paraId="053F634E">
                  <w:pPr>
                    <w:adjustRightInd w:val="0"/>
                    <w:snapToGrid w:val="0"/>
                    <w:spacing w:line="240" w:lineRule="exact"/>
                    <w:jc w:val="center"/>
                    <w:rPr>
                      <w:bCs/>
                      <w:szCs w:val="21"/>
                    </w:rPr>
                  </w:pPr>
                  <w:r>
                    <w:rPr>
                      <w:bCs/>
                      <w:szCs w:val="21"/>
                    </w:rPr>
                    <w:t>10T</w:t>
                  </w:r>
                </w:p>
              </w:tc>
              <w:tc>
                <w:tcPr>
                  <w:tcW w:w="735" w:type="dxa"/>
                  <w:vAlign w:val="center"/>
                </w:tcPr>
                <w:p w14:paraId="6BD1678C">
                  <w:pPr>
                    <w:adjustRightInd w:val="0"/>
                    <w:snapToGrid w:val="0"/>
                    <w:spacing w:line="240" w:lineRule="exact"/>
                    <w:jc w:val="center"/>
                    <w:rPr>
                      <w:bCs/>
                      <w:szCs w:val="21"/>
                    </w:rPr>
                  </w:pPr>
                  <w:r>
                    <w:rPr>
                      <w:bCs/>
                      <w:szCs w:val="21"/>
                    </w:rPr>
                    <w:t>台</w:t>
                  </w:r>
                </w:p>
              </w:tc>
              <w:tc>
                <w:tcPr>
                  <w:tcW w:w="690" w:type="dxa"/>
                  <w:vAlign w:val="center"/>
                </w:tcPr>
                <w:p w14:paraId="5B7E593F">
                  <w:pPr>
                    <w:adjustRightInd w:val="0"/>
                    <w:snapToGrid w:val="0"/>
                    <w:spacing w:line="240" w:lineRule="exact"/>
                    <w:jc w:val="center"/>
                    <w:rPr>
                      <w:bCs/>
                      <w:szCs w:val="21"/>
                    </w:rPr>
                  </w:pPr>
                  <w:r>
                    <w:rPr>
                      <w:bCs/>
                      <w:szCs w:val="21"/>
                    </w:rPr>
                    <w:t>1</w:t>
                  </w:r>
                </w:p>
              </w:tc>
              <w:tc>
                <w:tcPr>
                  <w:tcW w:w="1019" w:type="dxa"/>
                  <w:vAlign w:val="center"/>
                </w:tcPr>
                <w:p w14:paraId="1932BB9A">
                  <w:pPr>
                    <w:adjustRightInd w:val="0"/>
                    <w:snapToGrid w:val="0"/>
                    <w:spacing w:line="240" w:lineRule="exact"/>
                    <w:jc w:val="center"/>
                    <w:rPr>
                      <w:bCs/>
                      <w:szCs w:val="21"/>
                    </w:rPr>
                  </w:pPr>
                  <w:r>
                    <w:rPr>
                      <w:bCs/>
                      <w:szCs w:val="21"/>
                    </w:rPr>
                    <w:t>称重</w:t>
                  </w:r>
                </w:p>
              </w:tc>
            </w:tr>
            <w:tr w14:paraId="4EDA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0A98273E">
                  <w:pPr>
                    <w:adjustRightInd w:val="0"/>
                    <w:snapToGrid w:val="0"/>
                    <w:spacing w:line="240" w:lineRule="exact"/>
                    <w:jc w:val="center"/>
                    <w:rPr>
                      <w:bCs/>
                      <w:szCs w:val="21"/>
                    </w:rPr>
                  </w:pPr>
                  <w:r>
                    <w:rPr>
                      <w:bCs/>
                      <w:szCs w:val="21"/>
                    </w:rPr>
                    <w:t>2</w:t>
                  </w:r>
                </w:p>
              </w:tc>
              <w:tc>
                <w:tcPr>
                  <w:tcW w:w="3622" w:type="dxa"/>
                  <w:shd w:val="clear" w:color="auto" w:fill="auto"/>
                  <w:vAlign w:val="center"/>
                </w:tcPr>
                <w:p w14:paraId="0A2635AA">
                  <w:pPr>
                    <w:adjustRightInd w:val="0"/>
                    <w:snapToGrid w:val="0"/>
                    <w:spacing w:line="240" w:lineRule="exact"/>
                    <w:jc w:val="center"/>
                    <w:rPr>
                      <w:bCs/>
                      <w:szCs w:val="21"/>
                    </w:rPr>
                  </w:pPr>
                  <w:r>
                    <w:rPr>
                      <w:bCs/>
                      <w:szCs w:val="21"/>
                    </w:rPr>
                    <w:t>行车</w:t>
                  </w:r>
                </w:p>
              </w:tc>
              <w:tc>
                <w:tcPr>
                  <w:tcW w:w="1440" w:type="dxa"/>
                  <w:vAlign w:val="center"/>
                </w:tcPr>
                <w:p w14:paraId="76E580D0">
                  <w:pPr>
                    <w:adjustRightInd w:val="0"/>
                    <w:snapToGrid w:val="0"/>
                    <w:spacing w:line="240" w:lineRule="exact"/>
                    <w:jc w:val="center"/>
                    <w:rPr>
                      <w:bCs/>
                      <w:szCs w:val="21"/>
                    </w:rPr>
                  </w:pPr>
                  <w:r>
                    <w:rPr>
                      <w:bCs/>
                      <w:szCs w:val="21"/>
                    </w:rPr>
                    <w:t>10T</w:t>
                  </w:r>
                </w:p>
              </w:tc>
              <w:tc>
                <w:tcPr>
                  <w:tcW w:w="735" w:type="dxa"/>
                  <w:vAlign w:val="center"/>
                </w:tcPr>
                <w:p w14:paraId="5D8BA565">
                  <w:pPr>
                    <w:adjustRightInd w:val="0"/>
                    <w:snapToGrid w:val="0"/>
                    <w:spacing w:line="240" w:lineRule="exact"/>
                    <w:jc w:val="center"/>
                    <w:rPr>
                      <w:bCs/>
                      <w:szCs w:val="21"/>
                    </w:rPr>
                  </w:pPr>
                  <w:r>
                    <w:rPr>
                      <w:bCs/>
                      <w:szCs w:val="21"/>
                    </w:rPr>
                    <w:t>台</w:t>
                  </w:r>
                </w:p>
              </w:tc>
              <w:tc>
                <w:tcPr>
                  <w:tcW w:w="690" w:type="dxa"/>
                  <w:vAlign w:val="center"/>
                </w:tcPr>
                <w:p w14:paraId="5154FB04">
                  <w:pPr>
                    <w:adjustRightInd w:val="0"/>
                    <w:snapToGrid w:val="0"/>
                    <w:spacing w:line="240" w:lineRule="exact"/>
                    <w:jc w:val="center"/>
                    <w:rPr>
                      <w:bCs/>
                      <w:szCs w:val="21"/>
                    </w:rPr>
                  </w:pPr>
                  <w:r>
                    <w:rPr>
                      <w:bCs/>
                      <w:szCs w:val="21"/>
                    </w:rPr>
                    <w:t>1</w:t>
                  </w:r>
                </w:p>
              </w:tc>
              <w:tc>
                <w:tcPr>
                  <w:tcW w:w="1019" w:type="dxa"/>
                  <w:vAlign w:val="center"/>
                </w:tcPr>
                <w:p w14:paraId="442EB4CD">
                  <w:pPr>
                    <w:adjustRightInd w:val="0"/>
                    <w:snapToGrid w:val="0"/>
                    <w:spacing w:line="240" w:lineRule="exact"/>
                    <w:jc w:val="center"/>
                    <w:rPr>
                      <w:bCs/>
                      <w:szCs w:val="21"/>
                    </w:rPr>
                  </w:pPr>
                  <w:r>
                    <w:rPr>
                      <w:bCs/>
                      <w:szCs w:val="21"/>
                    </w:rPr>
                    <w:t>搬运车辆</w:t>
                  </w:r>
                </w:p>
              </w:tc>
            </w:tr>
            <w:tr w14:paraId="2B02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3F2883C1">
                  <w:pPr>
                    <w:adjustRightInd w:val="0"/>
                    <w:snapToGrid w:val="0"/>
                    <w:spacing w:line="240" w:lineRule="exact"/>
                    <w:jc w:val="center"/>
                    <w:rPr>
                      <w:bCs/>
                      <w:szCs w:val="21"/>
                    </w:rPr>
                  </w:pPr>
                  <w:r>
                    <w:rPr>
                      <w:bCs/>
                      <w:szCs w:val="21"/>
                    </w:rPr>
                    <w:t>3</w:t>
                  </w:r>
                </w:p>
              </w:tc>
              <w:tc>
                <w:tcPr>
                  <w:tcW w:w="3622" w:type="dxa"/>
                  <w:shd w:val="clear" w:color="auto" w:fill="auto"/>
                  <w:vAlign w:val="center"/>
                </w:tcPr>
                <w:p w14:paraId="10536127">
                  <w:pPr>
                    <w:adjustRightInd w:val="0"/>
                    <w:snapToGrid w:val="0"/>
                    <w:spacing w:line="240" w:lineRule="exact"/>
                    <w:jc w:val="center"/>
                    <w:rPr>
                      <w:bCs/>
                      <w:szCs w:val="21"/>
                    </w:rPr>
                  </w:pPr>
                  <w:r>
                    <w:rPr>
                      <w:bCs/>
                      <w:szCs w:val="21"/>
                    </w:rPr>
                    <w:t>铲车</w:t>
                  </w:r>
                </w:p>
              </w:tc>
              <w:tc>
                <w:tcPr>
                  <w:tcW w:w="1440" w:type="dxa"/>
                  <w:vAlign w:val="center"/>
                </w:tcPr>
                <w:p w14:paraId="69C2C711">
                  <w:pPr>
                    <w:adjustRightInd w:val="0"/>
                    <w:snapToGrid w:val="0"/>
                    <w:spacing w:line="240" w:lineRule="exact"/>
                    <w:jc w:val="center"/>
                    <w:rPr>
                      <w:bCs/>
                      <w:szCs w:val="21"/>
                    </w:rPr>
                  </w:pPr>
                  <w:r>
                    <w:rPr>
                      <w:bCs/>
                      <w:szCs w:val="21"/>
                    </w:rPr>
                    <w:t>50型</w:t>
                  </w:r>
                </w:p>
              </w:tc>
              <w:tc>
                <w:tcPr>
                  <w:tcW w:w="735" w:type="dxa"/>
                  <w:vAlign w:val="center"/>
                </w:tcPr>
                <w:p w14:paraId="705BD654">
                  <w:pPr>
                    <w:adjustRightInd w:val="0"/>
                    <w:snapToGrid w:val="0"/>
                    <w:spacing w:line="240" w:lineRule="exact"/>
                    <w:jc w:val="center"/>
                    <w:rPr>
                      <w:bCs/>
                      <w:szCs w:val="21"/>
                    </w:rPr>
                  </w:pPr>
                  <w:r>
                    <w:rPr>
                      <w:bCs/>
                      <w:szCs w:val="21"/>
                    </w:rPr>
                    <w:t>辆</w:t>
                  </w:r>
                </w:p>
              </w:tc>
              <w:tc>
                <w:tcPr>
                  <w:tcW w:w="690" w:type="dxa"/>
                  <w:vAlign w:val="center"/>
                </w:tcPr>
                <w:p w14:paraId="0E3A37B9">
                  <w:pPr>
                    <w:adjustRightInd w:val="0"/>
                    <w:snapToGrid w:val="0"/>
                    <w:spacing w:line="240" w:lineRule="exact"/>
                    <w:jc w:val="center"/>
                    <w:rPr>
                      <w:bCs/>
                      <w:szCs w:val="21"/>
                    </w:rPr>
                  </w:pPr>
                  <w:r>
                    <w:rPr>
                      <w:bCs/>
                      <w:szCs w:val="21"/>
                    </w:rPr>
                    <w:t>1</w:t>
                  </w:r>
                </w:p>
              </w:tc>
              <w:tc>
                <w:tcPr>
                  <w:tcW w:w="1019" w:type="dxa"/>
                  <w:vAlign w:val="center"/>
                </w:tcPr>
                <w:p w14:paraId="6A787A90">
                  <w:pPr>
                    <w:adjustRightInd w:val="0"/>
                    <w:snapToGrid w:val="0"/>
                    <w:spacing w:line="240" w:lineRule="exact"/>
                    <w:jc w:val="center"/>
                    <w:rPr>
                      <w:bCs/>
                      <w:szCs w:val="21"/>
                    </w:rPr>
                  </w:pPr>
                  <w:r>
                    <w:rPr>
                      <w:bCs/>
                      <w:szCs w:val="21"/>
                    </w:rPr>
                    <w:t>搬运钢铁</w:t>
                  </w:r>
                </w:p>
              </w:tc>
            </w:tr>
            <w:tr w14:paraId="3388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26CB64BA">
                  <w:pPr>
                    <w:adjustRightInd w:val="0"/>
                    <w:snapToGrid w:val="0"/>
                    <w:spacing w:line="240" w:lineRule="exact"/>
                    <w:jc w:val="center"/>
                    <w:rPr>
                      <w:bCs/>
                      <w:szCs w:val="21"/>
                    </w:rPr>
                  </w:pPr>
                  <w:r>
                    <w:rPr>
                      <w:bCs/>
                      <w:szCs w:val="21"/>
                    </w:rPr>
                    <w:t>4</w:t>
                  </w:r>
                </w:p>
              </w:tc>
              <w:tc>
                <w:tcPr>
                  <w:tcW w:w="3622" w:type="dxa"/>
                  <w:shd w:val="clear" w:color="auto" w:fill="auto"/>
                  <w:vAlign w:val="center"/>
                </w:tcPr>
                <w:p w14:paraId="63E3ED1D">
                  <w:pPr>
                    <w:adjustRightInd w:val="0"/>
                    <w:snapToGrid w:val="0"/>
                    <w:spacing w:line="240" w:lineRule="exact"/>
                    <w:jc w:val="center"/>
                    <w:rPr>
                      <w:bCs/>
                      <w:szCs w:val="21"/>
                    </w:rPr>
                  </w:pPr>
                  <w:r>
                    <w:rPr>
                      <w:bCs/>
                      <w:szCs w:val="21"/>
                    </w:rPr>
                    <w:t>叉车</w:t>
                  </w:r>
                </w:p>
              </w:tc>
              <w:tc>
                <w:tcPr>
                  <w:tcW w:w="1440" w:type="dxa"/>
                  <w:vAlign w:val="center"/>
                </w:tcPr>
                <w:p w14:paraId="3A0C5E8E">
                  <w:pPr>
                    <w:adjustRightInd w:val="0"/>
                    <w:snapToGrid w:val="0"/>
                    <w:spacing w:line="240" w:lineRule="exact"/>
                    <w:jc w:val="center"/>
                    <w:rPr>
                      <w:bCs/>
                      <w:szCs w:val="21"/>
                    </w:rPr>
                  </w:pPr>
                  <w:r>
                    <w:rPr>
                      <w:bCs/>
                      <w:szCs w:val="21"/>
                    </w:rPr>
                    <w:t>/</w:t>
                  </w:r>
                </w:p>
              </w:tc>
              <w:tc>
                <w:tcPr>
                  <w:tcW w:w="735" w:type="dxa"/>
                  <w:vAlign w:val="center"/>
                </w:tcPr>
                <w:p w14:paraId="07945271">
                  <w:pPr>
                    <w:adjustRightInd w:val="0"/>
                    <w:snapToGrid w:val="0"/>
                    <w:spacing w:line="240" w:lineRule="exact"/>
                    <w:jc w:val="center"/>
                    <w:rPr>
                      <w:bCs/>
                      <w:szCs w:val="21"/>
                    </w:rPr>
                  </w:pPr>
                  <w:r>
                    <w:rPr>
                      <w:bCs/>
                      <w:szCs w:val="21"/>
                    </w:rPr>
                    <w:t>辆</w:t>
                  </w:r>
                </w:p>
              </w:tc>
              <w:tc>
                <w:tcPr>
                  <w:tcW w:w="690" w:type="dxa"/>
                  <w:vAlign w:val="center"/>
                </w:tcPr>
                <w:p w14:paraId="602B7F42">
                  <w:pPr>
                    <w:adjustRightInd w:val="0"/>
                    <w:snapToGrid w:val="0"/>
                    <w:spacing w:line="240" w:lineRule="exact"/>
                    <w:jc w:val="center"/>
                    <w:rPr>
                      <w:bCs/>
                      <w:szCs w:val="21"/>
                    </w:rPr>
                  </w:pPr>
                  <w:r>
                    <w:rPr>
                      <w:bCs/>
                      <w:szCs w:val="21"/>
                    </w:rPr>
                    <w:t>1</w:t>
                  </w:r>
                </w:p>
              </w:tc>
              <w:tc>
                <w:tcPr>
                  <w:tcW w:w="1019" w:type="dxa"/>
                  <w:vAlign w:val="center"/>
                </w:tcPr>
                <w:p w14:paraId="7FBDE861">
                  <w:pPr>
                    <w:adjustRightInd w:val="0"/>
                    <w:snapToGrid w:val="0"/>
                    <w:spacing w:line="240" w:lineRule="exact"/>
                    <w:jc w:val="center"/>
                    <w:rPr>
                      <w:bCs/>
                      <w:szCs w:val="21"/>
                    </w:rPr>
                  </w:pPr>
                  <w:r>
                    <w:rPr>
                      <w:bCs/>
                      <w:szCs w:val="21"/>
                    </w:rPr>
                    <w:t>搬运车辆</w:t>
                  </w:r>
                </w:p>
              </w:tc>
            </w:tr>
            <w:tr w14:paraId="0989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239B2501">
                  <w:pPr>
                    <w:adjustRightInd w:val="0"/>
                    <w:snapToGrid w:val="0"/>
                    <w:spacing w:line="240" w:lineRule="exact"/>
                    <w:jc w:val="center"/>
                    <w:rPr>
                      <w:bCs/>
                      <w:szCs w:val="21"/>
                    </w:rPr>
                  </w:pPr>
                  <w:r>
                    <w:rPr>
                      <w:bCs/>
                      <w:szCs w:val="21"/>
                    </w:rPr>
                    <w:t>5</w:t>
                  </w:r>
                </w:p>
              </w:tc>
              <w:tc>
                <w:tcPr>
                  <w:tcW w:w="3622" w:type="dxa"/>
                  <w:shd w:val="clear" w:color="auto" w:fill="auto"/>
                  <w:vAlign w:val="center"/>
                </w:tcPr>
                <w:p w14:paraId="11E76C09">
                  <w:pPr>
                    <w:adjustRightInd w:val="0"/>
                    <w:snapToGrid w:val="0"/>
                    <w:spacing w:line="240" w:lineRule="exact"/>
                    <w:jc w:val="center"/>
                    <w:rPr>
                      <w:bCs/>
                      <w:szCs w:val="21"/>
                    </w:rPr>
                  </w:pPr>
                  <w:r>
                    <w:rPr>
                      <w:bCs/>
                      <w:szCs w:val="21"/>
                    </w:rPr>
                    <w:t>挖掘机</w:t>
                  </w:r>
                </w:p>
              </w:tc>
              <w:tc>
                <w:tcPr>
                  <w:tcW w:w="1440" w:type="dxa"/>
                  <w:vAlign w:val="center"/>
                </w:tcPr>
                <w:p w14:paraId="7628527C">
                  <w:pPr>
                    <w:adjustRightInd w:val="0"/>
                    <w:snapToGrid w:val="0"/>
                    <w:spacing w:line="240" w:lineRule="exact"/>
                    <w:jc w:val="center"/>
                    <w:rPr>
                      <w:bCs/>
                      <w:szCs w:val="21"/>
                    </w:rPr>
                  </w:pPr>
                  <w:r>
                    <w:rPr>
                      <w:szCs w:val="21"/>
                    </w:rPr>
                    <w:t>山河智能150</w:t>
                  </w:r>
                </w:p>
              </w:tc>
              <w:tc>
                <w:tcPr>
                  <w:tcW w:w="735" w:type="dxa"/>
                  <w:vAlign w:val="center"/>
                </w:tcPr>
                <w:p w14:paraId="03F14840">
                  <w:pPr>
                    <w:adjustRightInd w:val="0"/>
                    <w:snapToGrid w:val="0"/>
                    <w:spacing w:line="240" w:lineRule="exact"/>
                    <w:jc w:val="center"/>
                    <w:rPr>
                      <w:bCs/>
                      <w:szCs w:val="21"/>
                    </w:rPr>
                  </w:pPr>
                  <w:r>
                    <w:rPr>
                      <w:bCs/>
                      <w:szCs w:val="21"/>
                    </w:rPr>
                    <w:t>辆</w:t>
                  </w:r>
                </w:p>
              </w:tc>
              <w:tc>
                <w:tcPr>
                  <w:tcW w:w="690" w:type="dxa"/>
                  <w:vAlign w:val="center"/>
                </w:tcPr>
                <w:p w14:paraId="5A6D73A0">
                  <w:pPr>
                    <w:adjustRightInd w:val="0"/>
                    <w:snapToGrid w:val="0"/>
                    <w:spacing w:line="240" w:lineRule="exact"/>
                    <w:jc w:val="center"/>
                    <w:rPr>
                      <w:bCs/>
                      <w:szCs w:val="21"/>
                    </w:rPr>
                  </w:pPr>
                  <w:r>
                    <w:rPr>
                      <w:bCs/>
                      <w:szCs w:val="21"/>
                    </w:rPr>
                    <w:t>1</w:t>
                  </w:r>
                </w:p>
              </w:tc>
              <w:tc>
                <w:tcPr>
                  <w:tcW w:w="1019" w:type="dxa"/>
                  <w:vAlign w:val="center"/>
                </w:tcPr>
                <w:p w14:paraId="33F999B1">
                  <w:pPr>
                    <w:adjustRightInd w:val="0"/>
                    <w:snapToGrid w:val="0"/>
                    <w:spacing w:line="240" w:lineRule="exact"/>
                    <w:jc w:val="center"/>
                    <w:rPr>
                      <w:bCs/>
                      <w:szCs w:val="21"/>
                    </w:rPr>
                  </w:pPr>
                  <w:r>
                    <w:rPr>
                      <w:bCs/>
                      <w:szCs w:val="21"/>
                    </w:rPr>
                    <w:t>拆卸重物</w:t>
                  </w:r>
                </w:p>
              </w:tc>
            </w:tr>
            <w:tr w14:paraId="6A11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0AD38BAB">
                  <w:pPr>
                    <w:adjustRightInd w:val="0"/>
                    <w:snapToGrid w:val="0"/>
                    <w:spacing w:line="240" w:lineRule="exact"/>
                    <w:jc w:val="center"/>
                    <w:rPr>
                      <w:bCs/>
                      <w:szCs w:val="21"/>
                    </w:rPr>
                  </w:pPr>
                  <w:r>
                    <w:rPr>
                      <w:bCs/>
                      <w:szCs w:val="21"/>
                    </w:rPr>
                    <w:t>6</w:t>
                  </w:r>
                </w:p>
              </w:tc>
              <w:tc>
                <w:tcPr>
                  <w:tcW w:w="3622" w:type="dxa"/>
                  <w:shd w:val="clear" w:color="auto" w:fill="auto"/>
                  <w:vAlign w:val="center"/>
                </w:tcPr>
                <w:p w14:paraId="70A1E6FA">
                  <w:pPr>
                    <w:adjustRightInd w:val="0"/>
                    <w:snapToGrid w:val="0"/>
                    <w:spacing w:line="240" w:lineRule="exact"/>
                    <w:jc w:val="center"/>
                    <w:rPr>
                      <w:bCs/>
                      <w:szCs w:val="21"/>
                    </w:rPr>
                  </w:pPr>
                  <w:r>
                    <w:rPr>
                      <w:bCs/>
                      <w:szCs w:val="21"/>
                    </w:rPr>
                    <w:t>装载机</w:t>
                  </w:r>
                </w:p>
              </w:tc>
              <w:tc>
                <w:tcPr>
                  <w:tcW w:w="1440" w:type="dxa"/>
                  <w:vAlign w:val="center"/>
                </w:tcPr>
                <w:p w14:paraId="0E26E615">
                  <w:pPr>
                    <w:adjustRightInd w:val="0"/>
                    <w:snapToGrid w:val="0"/>
                    <w:spacing w:line="240" w:lineRule="exact"/>
                    <w:jc w:val="center"/>
                    <w:rPr>
                      <w:szCs w:val="21"/>
                    </w:rPr>
                  </w:pPr>
                  <w:r>
                    <w:rPr>
                      <w:szCs w:val="21"/>
                    </w:rPr>
                    <w:t>930型</w:t>
                  </w:r>
                </w:p>
              </w:tc>
              <w:tc>
                <w:tcPr>
                  <w:tcW w:w="735" w:type="dxa"/>
                  <w:vAlign w:val="center"/>
                </w:tcPr>
                <w:p w14:paraId="05555E6B">
                  <w:pPr>
                    <w:adjustRightInd w:val="0"/>
                    <w:snapToGrid w:val="0"/>
                    <w:spacing w:line="240" w:lineRule="exact"/>
                    <w:jc w:val="center"/>
                    <w:rPr>
                      <w:bCs/>
                      <w:szCs w:val="21"/>
                    </w:rPr>
                  </w:pPr>
                  <w:r>
                    <w:rPr>
                      <w:bCs/>
                      <w:szCs w:val="21"/>
                    </w:rPr>
                    <w:t>辆</w:t>
                  </w:r>
                </w:p>
              </w:tc>
              <w:tc>
                <w:tcPr>
                  <w:tcW w:w="690" w:type="dxa"/>
                  <w:vAlign w:val="center"/>
                </w:tcPr>
                <w:p w14:paraId="3713D77C">
                  <w:pPr>
                    <w:adjustRightInd w:val="0"/>
                    <w:snapToGrid w:val="0"/>
                    <w:spacing w:line="240" w:lineRule="exact"/>
                    <w:jc w:val="center"/>
                    <w:rPr>
                      <w:bCs/>
                      <w:szCs w:val="21"/>
                    </w:rPr>
                  </w:pPr>
                  <w:r>
                    <w:rPr>
                      <w:bCs/>
                      <w:szCs w:val="21"/>
                    </w:rPr>
                    <w:t>1</w:t>
                  </w:r>
                </w:p>
              </w:tc>
              <w:tc>
                <w:tcPr>
                  <w:tcW w:w="1019" w:type="dxa"/>
                  <w:vAlign w:val="center"/>
                </w:tcPr>
                <w:p w14:paraId="0F3E74C2">
                  <w:pPr>
                    <w:adjustRightInd w:val="0"/>
                    <w:snapToGrid w:val="0"/>
                    <w:spacing w:line="240" w:lineRule="exact"/>
                    <w:jc w:val="center"/>
                    <w:rPr>
                      <w:bCs/>
                      <w:szCs w:val="21"/>
                    </w:rPr>
                  </w:pPr>
                  <w:r>
                    <w:rPr>
                      <w:bCs/>
                      <w:szCs w:val="21"/>
                    </w:rPr>
                    <w:t>运输车辆</w:t>
                  </w:r>
                </w:p>
              </w:tc>
            </w:tr>
            <w:tr w14:paraId="5F4C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jc w:val="center"/>
              </w:trPr>
              <w:tc>
                <w:tcPr>
                  <w:tcW w:w="633" w:type="dxa"/>
                  <w:vAlign w:val="center"/>
                </w:tcPr>
                <w:p w14:paraId="4F87C1F0">
                  <w:pPr>
                    <w:adjustRightInd w:val="0"/>
                    <w:snapToGrid w:val="0"/>
                    <w:spacing w:line="240" w:lineRule="exact"/>
                    <w:jc w:val="center"/>
                    <w:rPr>
                      <w:bCs/>
                      <w:szCs w:val="21"/>
                    </w:rPr>
                  </w:pPr>
                  <w:r>
                    <w:rPr>
                      <w:bCs/>
                      <w:szCs w:val="21"/>
                    </w:rPr>
                    <w:t>7</w:t>
                  </w:r>
                </w:p>
              </w:tc>
              <w:tc>
                <w:tcPr>
                  <w:tcW w:w="3622" w:type="dxa"/>
                  <w:shd w:val="clear" w:color="auto" w:fill="auto"/>
                  <w:vAlign w:val="center"/>
                </w:tcPr>
                <w:p w14:paraId="2627EBDB">
                  <w:pPr>
                    <w:adjustRightInd w:val="0"/>
                    <w:snapToGrid w:val="0"/>
                    <w:spacing w:line="240" w:lineRule="exact"/>
                    <w:jc w:val="center"/>
                    <w:rPr>
                      <w:bCs/>
                      <w:szCs w:val="21"/>
                    </w:rPr>
                  </w:pPr>
                  <w:r>
                    <w:rPr>
                      <w:bCs/>
                      <w:szCs w:val="21"/>
                    </w:rPr>
                    <w:t>等离子切割机</w:t>
                  </w:r>
                </w:p>
              </w:tc>
              <w:tc>
                <w:tcPr>
                  <w:tcW w:w="1440" w:type="dxa"/>
                  <w:vAlign w:val="center"/>
                </w:tcPr>
                <w:p w14:paraId="648FF7F7">
                  <w:pPr>
                    <w:adjustRightInd w:val="0"/>
                    <w:snapToGrid w:val="0"/>
                    <w:spacing w:line="240" w:lineRule="exact"/>
                    <w:jc w:val="center"/>
                    <w:rPr>
                      <w:bCs/>
                      <w:szCs w:val="21"/>
                    </w:rPr>
                  </w:pPr>
                  <w:r>
                    <w:rPr>
                      <w:bCs/>
                      <w:szCs w:val="21"/>
                    </w:rPr>
                    <w:t>安德利100s</w:t>
                  </w:r>
                </w:p>
              </w:tc>
              <w:tc>
                <w:tcPr>
                  <w:tcW w:w="735" w:type="dxa"/>
                  <w:vAlign w:val="center"/>
                </w:tcPr>
                <w:p w14:paraId="02289C8B">
                  <w:pPr>
                    <w:adjustRightInd w:val="0"/>
                    <w:snapToGrid w:val="0"/>
                    <w:spacing w:line="240" w:lineRule="exact"/>
                    <w:jc w:val="center"/>
                    <w:rPr>
                      <w:bCs/>
                      <w:szCs w:val="21"/>
                    </w:rPr>
                  </w:pPr>
                  <w:r>
                    <w:rPr>
                      <w:bCs/>
                      <w:szCs w:val="21"/>
                    </w:rPr>
                    <w:t>台</w:t>
                  </w:r>
                </w:p>
              </w:tc>
              <w:tc>
                <w:tcPr>
                  <w:tcW w:w="690" w:type="dxa"/>
                  <w:vAlign w:val="center"/>
                </w:tcPr>
                <w:p w14:paraId="6B0A43DB">
                  <w:pPr>
                    <w:adjustRightInd w:val="0"/>
                    <w:snapToGrid w:val="0"/>
                    <w:spacing w:line="240" w:lineRule="exact"/>
                    <w:jc w:val="center"/>
                    <w:rPr>
                      <w:bCs/>
                      <w:szCs w:val="21"/>
                    </w:rPr>
                  </w:pPr>
                  <w:r>
                    <w:rPr>
                      <w:bCs/>
                      <w:szCs w:val="21"/>
                    </w:rPr>
                    <w:t>1</w:t>
                  </w:r>
                </w:p>
              </w:tc>
              <w:tc>
                <w:tcPr>
                  <w:tcW w:w="1019" w:type="dxa"/>
                  <w:vAlign w:val="center"/>
                </w:tcPr>
                <w:p w14:paraId="03DA0DB8">
                  <w:pPr>
                    <w:adjustRightInd w:val="0"/>
                    <w:snapToGrid w:val="0"/>
                    <w:spacing w:line="240" w:lineRule="exact"/>
                    <w:jc w:val="center"/>
                    <w:rPr>
                      <w:bCs/>
                      <w:szCs w:val="21"/>
                    </w:rPr>
                  </w:pPr>
                  <w:r>
                    <w:rPr>
                      <w:bCs/>
                      <w:szCs w:val="21"/>
                    </w:rPr>
                    <w:t>切割</w:t>
                  </w:r>
                </w:p>
              </w:tc>
            </w:tr>
            <w:tr w14:paraId="1790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26DD8A9F">
                  <w:pPr>
                    <w:adjustRightInd w:val="0"/>
                    <w:snapToGrid w:val="0"/>
                    <w:spacing w:line="240" w:lineRule="exact"/>
                    <w:jc w:val="center"/>
                    <w:rPr>
                      <w:bCs/>
                      <w:szCs w:val="21"/>
                    </w:rPr>
                  </w:pPr>
                  <w:r>
                    <w:rPr>
                      <w:bCs/>
                      <w:szCs w:val="21"/>
                    </w:rPr>
                    <w:t>8</w:t>
                  </w:r>
                </w:p>
              </w:tc>
              <w:tc>
                <w:tcPr>
                  <w:tcW w:w="3622" w:type="dxa"/>
                  <w:shd w:val="clear" w:color="auto" w:fill="auto"/>
                  <w:vAlign w:val="center"/>
                </w:tcPr>
                <w:p w14:paraId="1C1BAC89">
                  <w:pPr>
                    <w:adjustRightInd w:val="0"/>
                    <w:snapToGrid w:val="0"/>
                    <w:spacing w:line="240" w:lineRule="exact"/>
                    <w:jc w:val="center"/>
                    <w:rPr>
                      <w:bCs/>
                      <w:szCs w:val="21"/>
                    </w:rPr>
                  </w:pPr>
                  <w:r>
                    <w:rPr>
                      <w:bCs/>
                      <w:szCs w:val="21"/>
                    </w:rPr>
                    <w:t>手动机械钳</w:t>
                  </w:r>
                </w:p>
              </w:tc>
              <w:tc>
                <w:tcPr>
                  <w:tcW w:w="1440" w:type="dxa"/>
                  <w:vAlign w:val="center"/>
                </w:tcPr>
                <w:p w14:paraId="6CB6D524">
                  <w:pPr>
                    <w:adjustRightInd w:val="0"/>
                    <w:snapToGrid w:val="0"/>
                    <w:spacing w:line="240" w:lineRule="exact"/>
                    <w:jc w:val="center"/>
                    <w:rPr>
                      <w:bCs/>
                      <w:szCs w:val="21"/>
                    </w:rPr>
                  </w:pPr>
                  <w:r>
                    <w:rPr>
                      <w:bCs/>
                      <w:szCs w:val="21"/>
                    </w:rPr>
                    <w:t>工业级断铁钳</w:t>
                  </w:r>
                </w:p>
              </w:tc>
              <w:tc>
                <w:tcPr>
                  <w:tcW w:w="735" w:type="dxa"/>
                  <w:vAlign w:val="center"/>
                </w:tcPr>
                <w:p w14:paraId="3D1BA9F5">
                  <w:pPr>
                    <w:adjustRightInd w:val="0"/>
                    <w:snapToGrid w:val="0"/>
                    <w:spacing w:line="240" w:lineRule="exact"/>
                    <w:jc w:val="center"/>
                    <w:rPr>
                      <w:bCs/>
                      <w:szCs w:val="21"/>
                    </w:rPr>
                  </w:pPr>
                  <w:r>
                    <w:rPr>
                      <w:bCs/>
                      <w:szCs w:val="21"/>
                    </w:rPr>
                    <w:t>台</w:t>
                  </w:r>
                </w:p>
              </w:tc>
              <w:tc>
                <w:tcPr>
                  <w:tcW w:w="690" w:type="dxa"/>
                  <w:vAlign w:val="center"/>
                </w:tcPr>
                <w:p w14:paraId="6953FAC9">
                  <w:pPr>
                    <w:adjustRightInd w:val="0"/>
                    <w:snapToGrid w:val="0"/>
                    <w:spacing w:line="240" w:lineRule="exact"/>
                    <w:jc w:val="center"/>
                    <w:rPr>
                      <w:bCs/>
                      <w:szCs w:val="21"/>
                    </w:rPr>
                  </w:pPr>
                  <w:r>
                    <w:rPr>
                      <w:bCs/>
                      <w:szCs w:val="21"/>
                    </w:rPr>
                    <w:t>2</w:t>
                  </w:r>
                </w:p>
              </w:tc>
              <w:tc>
                <w:tcPr>
                  <w:tcW w:w="1019" w:type="dxa"/>
                  <w:vAlign w:val="center"/>
                </w:tcPr>
                <w:p w14:paraId="55C8E89B">
                  <w:pPr>
                    <w:adjustRightInd w:val="0"/>
                    <w:snapToGrid w:val="0"/>
                    <w:spacing w:line="240" w:lineRule="exact"/>
                    <w:jc w:val="center"/>
                    <w:rPr>
                      <w:bCs/>
                      <w:szCs w:val="21"/>
                    </w:rPr>
                  </w:pPr>
                  <w:r>
                    <w:rPr>
                      <w:bCs/>
                      <w:szCs w:val="21"/>
                    </w:rPr>
                    <w:t>手动剪切</w:t>
                  </w:r>
                </w:p>
              </w:tc>
            </w:tr>
            <w:tr w14:paraId="7D79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17967634">
                  <w:pPr>
                    <w:adjustRightInd w:val="0"/>
                    <w:snapToGrid w:val="0"/>
                    <w:spacing w:line="240" w:lineRule="exact"/>
                    <w:jc w:val="center"/>
                    <w:rPr>
                      <w:bCs/>
                      <w:szCs w:val="21"/>
                    </w:rPr>
                  </w:pPr>
                  <w:r>
                    <w:rPr>
                      <w:bCs/>
                      <w:szCs w:val="21"/>
                    </w:rPr>
                    <w:t>9</w:t>
                  </w:r>
                </w:p>
              </w:tc>
              <w:tc>
                <w:tcPr>
                  <w:tcW w:w="3622" w:type="dxa"/>
                  <w:shd w:val="clear" w:color="auto" w:fill="auto"/>
                  <w:vAlign w:val="center"/>
                </w:tcPr>
                <w:p w14:paraId="02417266">
                  <w:pPr>
                    <w:adjustRightInd w:val="0"/>
                    <w:snapToGrid w:val="0"/>
                    <w:spacing w:line="240" w:lineRule="exact"/>
                    <w:jc w:val="center"/>
                    <w:rPr>
                      <w:bCs/>
                      <w:szCs w:val="21"/>
                    </w:rPr>
                  </w:pPr>
                  <w:r>
                    <w:rPr>
                      <w:bCs/>
                      <w:szCs w:val="21"/>
                    </w:rPr>
                    <w:t>电钻</w:t>
                  </w:r>
                </w:p>
              </w:tc>
              <w:tc>
                <w:tcPr>
                  <w:tcW w:w="1440" w:type="dxa"/>
                  <w:vAlign w:val="center"/>
                </w:tcPr>
                <w:p w14:paraId="23CE6DCD">
                  <w:pPr>
                    <w:adjustRightInd w:val="0"/>
                    <w:snapToGrid w:val="0"/>
                    <w:spacing w:line="240" w:lineRule="exact"/>
                    <w:jc w:val="center"/>
                    <w:rPr>
                      <w:b/>
                      <w:szCs w:val="21"/>
                    </w:rPr>
                  </w:pPr>
                  <w:r>
                    <w:rPr>
                      <w:b/>
                      <w:szCs w:val="21"/>
                    </w:rPr>
                    <w:t>/</w:t>
                  </w:r>
                </w:p>
              </w:tc>
              <w:tc>
                <w:tcPr>
                  <w:tcW w:w="735" w:type="dxa"/>
                  <w:vAlign w:val="center"/>
                </w:tcPr>
                <w:p w14:paraId="41571489">
                  <w:pPr>
                    <w:adjustRightInd w:val="0"/>
                    <w:snapToGrid w:val="0"/>
                    <w:spacing w:line="240" w:lineRule="exact"/>
                    <w:jc w:val="center"/>
                    <w:rPr>
                      <w:bCs/>
                      <w:szCs w:val="21"/>
                    </w:rPr>
                  </w:pPr>
                  <w:r>
                    <w:rPr>
                      <w:bCs/>
                      <w:szCs w:val="21"/>
                    </w:rPr>
                    <w:t>套</w:t>
                  </w:r>
                </w:p>
              </w:tc>
              <w:tc>
                <w:tcPr>
                  <w:tcW w:w="690" w:type="dxa"/>
                  <w:vAlign w:val="center"/>
                </w:tcPr>
                <w:p w14:paraId="44BBAC0D">
                  <w:pPr>
                    <w:adjustRightInd w:val="0"/>
                    <w:snapToGrid w:val="0"/>
                    <w:spacing w:line="240" w:lineRule="exact"/>
                    <w:jc w:val="center"/>
                    <w:rPr>
                      <w:bCs/>
                      <w:szCs w:val="21"/>
                    </w:rPr>
                  </w:pPr>
                  <w:r>
                    <w:rPr>
                      <w:bCs/>
                      <w:szCs w:val="21"/>
                    </w:rPr>
                    <w:t>1</w:t>
                  </w:r>
                </w:p>
              </w:tc>
              <w:tc>
                <w:tcPr>
                  <w:tcW w:w="1019" w:type="dxa"/>
                  <w:vAlign w:val="center"/>
                </w:tcPr>
                <w:p w14:paraId="6EC45838">
                  <w:pPr>
                    <w:adjustRightInd w:val="0"/>
                    <w:snapToGrid w:val="0"/>
                    <w:spacing w:line="240" w:lineRule="exact"/>
                    <w:jc w:val="center"/>
                    <w:rPr>
                      <w:bCs/>
                      <w:szCs w:val="21"/>
                    </w:rPr>
                  </w:pPr>
                  <w:r>
                    <w:rPr>
                      <w:bCs/>
                      <w:szCs w:val="21"/>
                    </w:rPr>
                    <w:t>手工拆解</w:t>
                  </w:r>
                </w:p>
              </w:tc>
            </w:tr>
            <w:tr w14:paraId="0618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32704929">
                  <w:pPr>
                    <w:adjustRightInd w:val="0"/>
                    <w:snapToGrid w:val="0"/>
                    <w:spacing w:line="240" w:lineRule="exact"/>
                    <w:jc w:val="center"/>
                    <w:rPr>
                      <w:bCs/>
                      <w:szCs w:val="21"/>
                    </w:rPr>
                  </w:pPr>
                  <w:r>
                    <w:rPr>
                      <w:bCs/>
                      <w:szCs w:val="21"/>
                    </w:rPr>
                    <w:t>10</w:t>
                  </w:r>
                </w:p>
              </w:tc>
              <w:tc>
                <w:tcPr>
                  <w:tcW w:w="3622" w:type="dxa"/>
                  <w:shd w:val="clear" w:color="auto" w:fill="auto"/>
                  <w:vAlign w:val="center"/>
                </w:tcPr>
                <w:p w14:paraId="18B380BD">
                  <w:pPr>
                    <w:adjustRightInd w:val="0"/>
                    <w:snapToGrid w:val="0"/>
                    <w:spacing w:line="240" w:lineRule="exact"/>
                    <w:jc w:val="center"/>
                    <w:rPr>
                      <w:bCs/>
                      <w:szCs w:val="21"/>
                    </w:rPr>
                  </w:pPr>
                  <w:r>
                    <w:rPr>
                      <w:bCs/>
                      <w:szCs w:val="21"/>
                    </w:rPr>
                    <w:t>电动抽油机（配套安装油气回收装置）</w:t>
                  </w:r>
                </w:p>
              </w:tc>
              <w:tc>
                <w:tcPr>
                  <w:tcW w:w="1440" w:type="dxa"/>
                  <w:vAlign w:val="center"/>
                </w:tcPr>
                <w:p w14:paraId="395E9A24">
                  <w:pPr>
                    <w:adjustRightInd w:val="0"/>
                    <w:snapToGrid w:val="0"/>
                    <w:spacing w:line="240" w:lineRule="exact"/>
                    <w:jc w:val="center"/>
                    <w:rPr>
                      <w:bCs/>
                      <w:szCs w:val="21"/>
                    </w:rPr>
                  </w:pPr>
                  <w:r>
                    <w:rPr>
                      <w:bCs/>
                      <w:szCs w:val="21"/>
                    </w:rPr>
                    <w:t>cyd001</w:t>
                  </w:r>
                </w:p>
              </w:tc>
              <w:tc>
                <w:tcPr>
                  <w:tcW w:w="735" w:type="dxa"/>
                  <w:vAlign w:val="center"/>
                </w:tcPr>
                <w:p w14:paraId="7D4C3BDA">
                  <w:pPr>
                    <w:adjustRightInd w:val="0"/>
                    <w:snapToGrid w:val="0"/>
                    <w:spacing w:line="240" w:lineRule="exact"/>
                    <w:jc w:val="center"/>
                    <w:rPr>
                      <w:bCs/>
                      <w:szCs w:val="21"/>
                    </w:rPr>
                  </w:pPr>
                  <w:r>
                    <w:rPr>
                      <w:bCs/>
                      <w:szCs w:val="21"/>
                    </w:rPr>
                    <w:t>套</w:t>
                  </w:r>
                </w:p>
              </w:tc>
              <w:tc>
                <w:tcPr>
                  <w:tcW w:w="690" w:type="dxa"/>
                  <w:vAlign w:val="center"/>
                </w:tcPr>
                <w:p w14:paraId="70A12629">
                  <w:pPr>
                    <w:adjustRightInd w:val="0"/>
                    <w:snapToGrid w:val="0"/>
                    <w:spacing w:line="240" w:lineRule="exact"/>
                    <w:jc w:val="center"/>
                    <w:rPr>
                      <w:bCs/>
                      <w:szCs w:val="21"/>
                    </w:rPr>
                  </w:pPr>
                  <w:r>
                    <w:rPr>
                      <w:bCs/>
                      <w:szCs w:val="21"/>
                    </w:rPr>
                    <w:t>1</w:t>
                  </w:r>
                </w:p>
              </w:tc>
              <w:tc>
                <w:tcPr>
                  <w:tcW w:w="1019" w:type="dxa"/>
                  <w:vAlign w:val="center"/>
                </w:tcPr>
                <w:p w14:paraId="7141D86B">
                  <w:pPr>
                    <w:adjustRightInd w:val="0"/>
                    <w:snapToGrid w:val="0"/>
                    <w:spacing w:line="240" w:lineRule="exact"/>
                    <w:jc w:val="center"/>
                    <w:rPr>
                      <w:bCs/>
                      <w:szCs w:val="21"/>
                    </w:rPr>
                  </w:pPr>
                  <w:r>
                    <w:rPr>
                      <w:bCs/>
                      <w:szCs w:val="21"/>
                    </w:rPr>
                    <w:t>回收废液</w:t>
                  </w:r>
                </w:p>
              </w:tc>
            </w:tr>
            <w:tr w14:paraId="4DD5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633" w:type="dxa"/>
                  <w:vAlign w:val="center"/>
                </w:tcPr>
                <w:p w14:paraId="75D47F5F">
                  <w:pPr>
                    <w:adjustRightInd w:val="0"/>
                    <w:snapToGrid w:val="0"/>
                    <w:spacing w:line="240" w:lineRule="exact"/>
                    <w:jc w:val="center"/>
                    <w:rPr>
                      <w:bCs/>
                      <w:szCs w:val="21"/>
                    </w:rPr>
                  </w:pPr>
                  <w:r>
                    <w:rPr>
                      <w:bCs/>
                      <w:szCs w:val="21"/>
                    </w:rPr>
                    <w:t>11</w:t>
                  </w:r>
                </w:p>
              </w:tc>
              <w:tc>
                <w:tcPr>
                  <w:tcW w:w="3622" w:type="dxa"/>
                  <w:shd w:val="clear" w:color="auto" w:fill="auto"/>
                  <w:vAlign w:val="center"/>
                </w:tcPr>
                <w:p w14:paraId="742744A9">
                  <w:pPr>
                    <w:adjustRightInd w:val="0"/>
                    <w:snapToGrid w:val="0"/>
                    <w:spacing w:line="240" w:lineRule="exact"/>
                    <w:jc w:val="center"/>
                    <w:rPr>
                      <w:bCs/>
                      <w:szCs w:val="21"/>
                    </w:rPr>
                  </w:pPr>
                  <w:r>
                    <w:rPr>
                      <w:bCs/>
                      <w:szCs w:val="21"/>
                    </w:rPr>
                    <w:t>通用扳手</w:t>
                  </w:r>
                </w:p>
              </w:tc>
              <w:tc>
                <w:tcPr>
                  <w:tcW w:w="1440" w:type="dxa"/>
                  <w:vAlign w:val="center"/>
                </w:tcPr>
                <w:p w14:paraId="21820FFE">
                  <w:pPr>
                    <w:adjustRightInd w:val="0"/>
                    <w:snapToGrid w:val="0"/>
                    <w:spacing w:line="240" w:lineRule="exact"/>
                    <w:jc w:val="center"/>
                    <w:rPr>
                      <w:bCs/>
                      <w:szCs w:val="21"/>
                    </w:rPr>
                  </w:pPr>
                  <w:r>
                    <w:rPr>
                      <w:bCs/>
                      <w:szCs w:val="21"/>
                    </w:rPr>
                    <w:t>/</w:t>
                  </w:r>
                </w:p>
              </w:tc>
              <w:tc>
                <w:tcPr>
                  <w:tcW w:w="735" w:type="dxa"/>
                  <w:vAlign w:val="center"/>
                </w:tcPr>
                <w:p w14:paraId="15AC3BD9">
                  <w:pPr>
                    <w:adjustRightInd w:val="0"/>
                    <w:snapToGrid w:val="0"/>
                    <w:spacing w:line="240" w:lineRule="exact"/>
                    <w:jc w:val="center"/>
                    <w:rPr>
                      <w:bCs/>
                      <w:szCs w:val="21"/>
                    </w:rPr>
                  </w:pPr>
                  <w:r>
                    <w:rPr>
                      <w:bCs/>
                      <w:szCs w:val="21"/>
                    </w:rPr>
                    <w:t>套</w:t>
                  </w:r>
                </w:p>
              </w:tc>
              <w:tc>
                <w:tcPr>
                  <w:tcW w:w="690" w:type="dxa"/>
                  <w:vAlign w:val="center"/>
                </w:tcPr>
                <w:p w14:paraId="0B80ACA2">
                  <w:pPr>
                    <w:adjustRightInd w:val="0"/>
                    <w:snapToGrid w:val="0"/>
                    <w:spacing w:line="240" w:lineRule="exact"/>
                    <w:jc w:val="center"/>
                    <w:rPr>
                      <w:bCs/>
                      <w:szCs w:val="21"/>
                    </w:rPr>
                  </w:pPr>
                  <w:r>
                    <w:rPr>
                      <w:bCs/>
                      <w:szCs w:val="21"/>
                    </w:rPr>
                    <w:t>3</w:t>
                  </w:r>
                </w:p>
              </w:tc>
              <w:tc>
                <w:tcPr>
                  <w:tcW w:w="1019" w:type="dxa"/>
                  <w:vAlign w:val="center"/>
                </w:tcPr>
                <w:p w14:paraId="626B6A30">
                  <w:pPr>
                    <w:adjustRightInd w:val="0"/>
                    <w:snapToGrid w:val="0"/>
                    <w:spacing w:line="240" w:lineRule="exact"/>
                    <w:jc w:val="center"/>
                    <w:rPr>
                      <w:bCs/>
                      <w:szCs w:val="21"/>
                    </w:rPr>
                  </w:pPr>
                  <w:r>
                    <w:rPr>
                      <w:bCs/>
                      <w:szCs w:val="21"/>
                    </w:rPr>
                    <w:t>手工拆解</w:t>
                  </w:r>
                </w:p>
              </w:tc>
            </w:tr>
          </w:tbl>
          <w:p w14:paraId="16AD768B">
            <w:pPr>
              <w:numPr>
                <w:ilvl w:val="0"/>
                <w:numId w:val="6"/>
              </w:numPr>
              <w:adjustRightInd w:val="0"/>
              <w:snapToGrid w:val="0"/>
              <w:spacing w:line="360" w:lineRule="auto"/>
              <w:ind w:firstLine="480" w:firstLineChars="200"/>
              <w:jc w:val="left"/>
              <w:rPr>
                <w:bCs/>
                <w:sz w:val="24"/>
              </w:rPr>
            </w:pPr>
            <w:r>
              <w:rPr>
                <w:bCs/>
                <w:sz w:val="24"/>
              </w:rPr>
              <w:t>项目主要原辅材料消耗</w:t>
            </w:r>
          </w:p>
          <w:p w14:paraId="17A96A65">
            <w:pPr>
              <w:adjustRightInd w:val="0"/>
              <w:snapToGrid w:val="0"/>
              <w:spacing w:line="360" w:lineRule="auto"/>
              <w:ind w:firstLine="480" w:firstLineChars="200"/>
              <w:jc w:val="left"/>
              <w:rPr>
                <w:bCs/>
                <w:sz w:val="24"/>
              </w:rPr>
            </w:pPr>
            <w:r>
              <w:rPr>
                <w:bCs/>
                <w:sz w:val="24"/>
              </w:rPr>
              <w:t>本项目主要原辅材料见</w:t>
            </w:r>
            <w:r>
              <w:rPr>
                <w:rFonts w:hint="eastAsia"/>
                <w:bCs/>
                <w:sz w:val="24"/>
              </w:rPr>
              <w:t>下</w:t>
            </w:r>
            <w:r>
              <w:rPr>
                <w:bCs/>
                <w:sz w:val="24"/>
              </w:rPr>
              <w:t>表。</w:t>
            </w:r>
          </w:p>
          <w:p w14:paraId="59636B7F">
            <w:pPr>
              <w:adjustRightInd w:val="0"/>
              <w:snapToGrid w:val="0"/>
              <w:jc w:val="center"/>
              <w:rPr>
                <w:b/>
                <w:sz w:val="24"/>
              </w:rPr>
            </w:pPr>
            <w:r>
              <w:rPr>
                <w:b/>
                <w:sz w:val="24"/>
              </w:rPr>
              <w:t>表</w:t>
            </w:r>
            <w:r>
              <w:rPr>
                <w:rFonts w:hint="eastAsia"/>
                <w:b/>
                <w:sz w:val="24"/>
              </w:rPr>
              <w:t>12</w:t>
            </w:r>
            <w:r>
              <w:rPr>
                <w:b/>
                <w:sz w:val="24"/>
              </w:rPr>
              <w:t xml:space="preserve">   项目主要原辅材料一览表</w:t>
            </w:r>
          </w:p>
          <w:tbl>
            <w:tblPr>
              <w:tblStyle w:val="24"/>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3"/>
              <w:gridCol w:w="1270"/>
              <w:gridCol w:w="1095"/>
              <w:gridCol w:w="1080"/>
              <w:gridCol w:w="990"/>
              <w:gridCol w:w="3374"/>
            </w:tblGrid>
            <w:tr w14:paraId="7597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3" w:type="dxa"/>
                  <w:vAlign w:val="center"/>
                </w:tcPr>
                <w:p w14:paraId="561FD9ED">
                  <w:pPr>
                    <w:adjustRightInd w:val="0"/>
                    <w:snapToGrid w:val="0"/>
                    <w:spacing w:line="240" w:lineRule="exact"/>
                    <w:jc w:val="center"/>
                    <w:rPr>
                      <w:bCs/>
                      <w:szCs w:val="21"/>
                    </w:rPr>
                  </w:pPr>
                  <w:r>
                    <w:rPr>
                      <w:bCs/>
                      <w:szCs w:val="21"/>
                    </w:rPr>
                    <w:t>序号</w:t>
                  </w:r>
                </w:p>
              </w:tc>
              <w:tc>
                <w:tcPr>
                  <w:tcW w:w="1270" w:type="dxa"/>
                  <w:vAlign w:val="center"/>
                </w:tcPr>
                <w:p w14:paraId="1EF83D6E">
                  <w:pPr>
                    <w:adjustRightInd w:val="0"/>
                    <w:snapToGrid w:val="0"/>
                    <w:spacing w:line="240" w:lineRule="exact"/>
                    <w:jc w:val="center"/>
                    <w:rPr>
                      <w:bCs/>
                      <w:szCs w:val="21"/>
                    </w:rPr>
                  </w:pPr>
                  <w:r>
                    <w:rPr>
                      <w:bCs/>
                      <w:szCs w:val="21"/>
                    </w:rPr>
                    <w:t>名称</w:t>
                  </w:r>
                </w:p>
              </w:tc>
              <w:tc>
                <w:tcPr>
                  <w:tcW w:w="1095" w:type="dxa"/>
                  <w:vAlign w:val="center"/>
                </w:tcPr>
                <w:p w14:paraId="345960C1">
                  <w:pPr>
                    <w:adjustRightInd w:val="0"/>
                    <w:snapToGrid w:val="0"/>
                    <w:spacing w:line="240" w:lineRule="exact"/>
                    <w:jc w:val="center"/>
                    <w:rPr>
                      <w:bCs/>
                      <w:szCs w:val="21"/>
                    </w:rPr>
                  </w:pPr>
                  <w:r>
                    <w:rPr>
                      <w:bCs/>
                      <w:szCs w:val="21"/>
                    </w:rPr>
                    <w:t>用量</w:t>
                  </w:r>
                </w:p>
              </w:tc>
              <w:tc>
                <w:tcPr>
                  <w:tcW w:w="1080" w:type="dxa"/>
                  <w:shd w:val="clear" w:color="auto" w:fill="auto"/>
                  <w:vAlign w:val="center"/>
                </w:tcPr>
                <w:p w14:paraId="63E1A401">
                  <w:pPr>
                    <w:adjustRightInd w:val="0"/>
                    <w:snapToGrid w:val="0"/>
                    <w:spacing w:line="240" w:lineRule="exact"/>
                    <w:jc w:val="center"/>
                    <w:rPr>
                      <w:bCs/>
                      <w:szCs w:val="21"/>
                    </w:rPr>
                  </w:pPr>
                  <w:r>
                    <w:rPr>
                      <w:bCs/>
                      <w:szCs w:val="21"/>
                    </w:rPr>
                    <w:t>单位</w:t>
                  </w:r>
                </w:p>
              </w:tc>
              <w:tc>
                <w:tcPr>
                  <w:tcW w:w="990" w:type="dxa"/>
                  <w:vAlign w:val="center"/>
                </w:tcPr>
                <w:p w14:paraId="625D96AC">
                  <w:pPr>
                    <w:adjustRightInd w:val="0"/>
                    <w:snapToGrid w:val="0"/>
                    <w:spacing w:line="240" w:lineRule="exact"/>
                    <w:jc w:val="center"/>
                    <w:rPr>
                      <w:bCs/>
                      <w:szCs w:val="21"/>
                    </w:rPr>
                  </w:pPr>
                  <w:r>
                    <w:rPr>
                      <w:bCs/>
                      <w:szCs w:val="21"/>
                    </w:rPr>
                    <w:t>规格型号</w:t>
                  </w:r>
                </w:p>
              </w:tc>
              <w:tc>
                <w:tcPr>
                  <w:tcW w:w="3374" w:type="dxa"/>
                  <w:vAlign w:val="center"/>
                </w:tcPr>
                <w:p w14:paraId="3B6A3C4C">
                  <w:pPr>
                    <w:adjustRightInd w:val="0"/>
                    <w:snapToGrid w:val="0"/>
                    <w:spacing w:line="240" w:lineRule="exact"/>
                    <w:jc w:val="center"/>
                    <w:rPr>
                      <w:bCs/>
                      <w:szCs w:val="21"/>
                    </w:rPr>
                  </w:pPr>
                  <w:r>
                    <w:rPr>
                      <w:bCs/>
                      <w:szCs w:val="21"/>
                    </w:rPr>
                    <w:t>备注</w:t>
                  </w:r>
                </w:p>
              </w:tc>
            </w:tr>
            <w:tr w14:paraId="350C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3" w:type="dxa"/>
                  <w:vAlign w:val="center"/>
                </w:tcPr>
                <w:p w14:paraId="617C174E">
                  <w:pPr>
                    <w:adjustRightInd w:val="0"/>
                    <w:snapToGrid w:val="0"/>
                    <w:spacing w:line="240" w:lineRule="exact"/>
                    <w:jc w:val="center"/>
                    <w:rPr>
                      <w:bCs/>
                      <w:szCs w:val="21"/>
                    </w:rPr>
                  </w:pPr>
                  <w:r>
                    <w:rPr>
                      <w:bCs/>
                      <w:szCs w:val="21"/>
                    </w:rPr>
                    <w:t>1</w:t>
                  </w:r>
                </w:p>
              </w:tc>
              <w:tc>
                <w:tcPr>
                  <w:tcW w:w="1270" w:type="dxa"/>
                  <w:vAlign w:val="center"/>
                </w:tcPr>
                <w:p w14:paraId="7096FC66">
                  <w:pPr>
                    <w:adjustRightInd w:val="0"/>
                    <w:snapToGrid w:val="0"/>
                    <w:spacing w:line="240" w:lineRule="exact"/>
                    <w:jc w:val="center"/>
                    <w:rPr>
                      <w:bCs/>
                      <w:szCs w:val="21"/>
                    </w:rPr>
                  </w:pPr>
                  <w:r>
                    <w:rPr>
                      <w:bCs/>
                      <w:szCs w:val="21"/>
                    </w:rPr>
                    <w:t>玉米收割机</w:t>
                  </w:r>
                </w:p>
              </w:tc>
              <w:tc>
                <w:tcPr>
                  <w:tcW w:w="1095" w:type="dxa"/>
                  <w:vAlign w:val="center"/>
                </w:tcPr>
                <w:p w14:paraId="6B5DD8ED">
                  <w:pPr>
                    <w:adjustRightInd w:val="0"/>
                    <w:snapToGrid w:val="0"/>
                    <w:spacing w:line="240" w:lineRule="exact"/>
                    <w:jc w:val="center"/>
                    <w:rPr>
                      <w:bCs/>
                      <w:szCs w:val="21"/>
                    </w:rPr>
                  </w:pPr>
                  <w:r>
                    <w:rPr>
                      <w:bCs/>
                      <w:szCs w:val="21"/>
                    </w:rPr>
                    <w:t>23</w:t>
                  </w:r>
                </w:p>
              </w:tc>
              <w:tc>
                <w:tcPr>
                  <w:tcW w:w="1080" w:type="dxa"/>
                  <w:shd w:val="clear" w:color="auto" w:fill="auto"/>
                  <w:vAlign w:val="center"/>
                </w:tcPr>
                <w:p w14:paraId="0A57F051">
                  <w:pPr>
                    <w:adjustRightInd w:val="0"/>
                    <w:snapToGrid w:val="0"/>
                    <w:spacing w:line="240" w:lineRule="exact"/>
                    <w:jc w:val="center"/>
                    <w:rPr>
                      <w:bCs/>
                      <w:szCs w:val="21"/>
                    </w:rPr>
                  </w:pPr>
                  <w:r>
                    <w:rPr>
                      <w:bCs/>
                      <w:szCs w:val="21"/>
                    </w:rPr>
                    <w:t>台/年</w:t>
                  </w:r>
                </w:p>
              </w:tc>
              <w:tc>
                <w:tcPr>
                  <w:tcW w:w="990" w:type="dxa"/>
                  <w:vAlign w:val="center"/>
                </w:tcPr>
                <w:p w14:paraId="6AAAFC69">
                  <w:pPr>
                    <w:adjustRightInd w:val="0"/>
                    <w:snapToGrid w:val="0"/>
                    <w:spacing w:line="240" w:lineRule="exact"/>
                    <w:jc w:val="center"/>
                    <w:rPr>
                      <w:bCs/>
                      <w:szCs w:val="21"/>
                    </w:rPr>
                  </w:pPr>
                  <w:r>
                    <w:rPr>
                      <w:bCs/>
                      <w:szCs w:val="21"/>
                    </w:rPr>
                    <w:t>4L-4</w:t>
                  </w:r>
                </w:p>
              </w:tc>
              <w:tc>
                <w:tcPr>
                  <w:tcW w:w="3374" w:type="dxa"/>
                  <w:vAlign w:val="center"/>
                </w:tcPr>
                <w:p w14:paraId="3CA22FB2">
                  <w:pPr>
                    <w:adjustRightInd w:val="0"/>
                    <w:snapToGrid w:val="0"/>
                    <w:spacing w:line="240" w:lineRule="exact"/>
                    <w:jc w:val="center"/>
                    <w:rPr>
                      <w:bCs/>
                      <w:szCs w:val="21"/>
                    </w:rPr>
                  </w:pPr>
                  <w:r>
                    <w:rPr>
                      <w:bCs/>
                      <w:szCs w:val="21"/>
                    </w:rPr>
                    <w:t>外购，民权县范围内以及周边地区产生的废旧农业机械</w:t>
                  </w:r>
                </w:p>
              </w:tc>
            </w:tr>
            <w:tr w14:paraId="09F9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3" w:type="dxa"/>
                  <w:vAlign w:val="center"/>
                </w:tcPr>
                <w:p w14:paraId="3F91F9BA">
                  <w:pPr>
                    <w:adjustRightInd w:val="0"/>
                    <w:snapToGrid w:val="0"/>
                    <w:spacing w:line="240" w:lineRule="exact"/>
                    <w:jc w:val="center"/>
                    <w:rPr>
                      <w:bCs/>
                      <w:szCs w:val="21"/>
                    </w:rPr>
                  </w:pPr>
                  <w:r>
                    <w:rPr>
                      <w:bCs/>
                      <w:szCs w:val="21"/>
                    </w:rPr>
                    <w:t>2</w:t>
                  </w:r>
                </w:p>
              </w:tc>
              <w:tc>
                <w:tcPr>
                  <w:tcW w:w="1270" w:type="dxa"/>
                  <w:vAlign w:val="center"/>
                </w:tcPr>
                <w:p w14:paraId="5E261AA0">
                  <w:pPr>
                    <w:adjustRightInd w:val="0"/>
                    <w:snapToGrid w:val="0"/>
                    <w:spacing w:line="240" w:lineRule="exact"/>
                    <w:jc w:val="center"/>
                    <w:rPr>
                      <w:bCs/>
                      <w:szCs w:val="21"/>
                    </w:rPr>
                  </w:pPr>
                  <w:r>
                    <w:rPr>
                      <w:bCs/>
                      <w:szCs w:val="21"/>
                    </w:rPr>
                    <w:t>小麦收割机</w:t>
                  </w:r>
                </w:p>
              </w:tc>
              <w:tc>
                <w:tcPr>
                  <w:tcW w:w="1095" w:type="dxa"/>
                  <w:vAlign w:val="center"/>
                </w:tcPr>
                <w:p w14:paraId="76D865F5">
                  <w:pPr>
                    <w:adjustRightInd w:val="0"/>
                    <w:snapToGrid w:val="0"/>
                    <w:spacing w:line="240" w:lineRule="exact"/>
                    <w:jc w:val="center"/>
                    <w:rPr>
                      <w:bCs/>
                      <w:szCs w:val="21"/>
                    </w:rPr>
                  </w:pPr>
                  <w:r>
                    <w:rPr>
                      <w:bCs/>
                      <w:szCs w:val="21"/>
                    </w:rPr>
                    <w:t>27</w:t>
                  </w:r>
                </w:p>
              </w:tc>
              <w:tc>
                <w:tcPr>
                  <w:tcW w:w="1080" w:type="dxa"/>
                  <w:shd w:val="clear" w:color="auto" w:fill="auto"/>
                  <w:vAlign w:val="center"/>
                </w:tcPr>
                <w:p w14:paraId="66CC4F2E">
                  <w:pPr>
                    <w:adjustRightInd w:val="0"/>
                    <w:snapToGrid w:val="0"/>
                    <w:spacing w:line="240" w:lineRule="exact"/>
                    <w:jc w:val="center"/>
                    <w:rPr>
                      <w:bCs/>
                      <w:szCs w:val="21"/>
                    </w:rPr>
                  </w:pPr>
                  <w:r>
                    <w:rPr>
                      <w:bCs/>
                      <w:szCs w:val="21"/>
                    </w:rPr>
                    <w:t>台/年</w:t>
                  </w:r>
                </w:p>
              </w:tc>
              <w:tc>
                <w:tcPr>
                  <w:tcW w:w="990" w:type="dxa"/>
                  <w:vAlign w:val="center"/>
                </w:tcPr>
                <w:p w14:paraId="47067632">
                  <w:pPr>
                    <w:adjustRightInd w:val="0"/>
                    <w:snapToGrid w:val="0"/>
                    <w:spacing w:line="240" w:lineRule="exact"/>
                    <w:jc w:val="center"/>
                    <w:rPr>
                      <w:bCs/>
                      <w:szCs w:val="21"/>
                    </w:rPr>
                  </w:pPr>
                  <w:r>
                    <w:rPr>
                      <w:bCs/>
                      <w:szCs w:val="21"/>
                    </w:rPr>
                    <w:t>GL-5</w:t>
                  </w:r>
                </w:p>
              </w:tc>
              <w:tc>
                <w:tcPr>
                  <w:tcW w:w="3374" w:type="dxa"/>
                  <w:vAlign w:val="center"/>
                </w:tcPr>
                <w:p w14:paraId="5DF137E0">
                  <w:pPr>
                    <w:adjustRightInd w:val="0"/>
                    <w:snapToGrid w:val="0"/>
                    <w:spacing w:line="240" w:lineRule="exact"/>
                    <w:jc w:val="center"/>
                    <w:rPr>
                      <w:bCs/>
                      <w:szCs w:val="21"/>
                    </w:rPr>
                  </w:pPr>
                  <w:r>
                    <w:rPr>
                      <w:bCs/>
                      <w:szCs w:val="21"/>
                    </w:rPr>
                    <w:t>外购，民权县范围内以及周边地区产生的废旧农业机械</w:t>
                  </w:r>
                </w:p>
              </w:tc>
            </w:tr>
            <w:tr w14:paraId="4EBA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3" w:type="dxa"/>
                  <w:vAlign w:val="center"/>
                </w:tcPr>
                <w:p w14:paraId="41B607ED">
                  <w:pPr>
                    <w:adjustRightInd w:val="0"/>
                    <w:snapToGrid w:val="0"/>
                    <w:spacing w:line="240" w:lineRule="exact"/>
                    <w:jc w:val="center"/>
                    <w:rPr>
                      <w:bCs/>
                      <w:szCs w:val="21"/>
                    </w:rPr>
                  </w:pPr>
                  <w:r>
                    <w:rPr>
                      <w:bCs/>
                      <w:szCs w:val="21"/>
                    </w:rPr>
                    <w:t>2</w:t>
                  </w:r>
                </w:p>
              </w:tc>
              <w:tc>
                <w:tcPr>
                  <w:tcW w:w="1270" w:type="dxa"/>
                  <w:vAlign w:val="center"/>
                </w:tcPr>
                <w:p w14:paraId="7F5AE6AF">
                  <w:pPr>
                    <w:adjustRightInd w:val="0"/>
                    <w:snapToGrid w:val="0"/>
                    <w:spacing w:line="240" w:lineRule="exact"/>
                    <w:jc w:val="center"/>
                    <w:rPr>
                      <w:bCs/>
                      <w:szCs w:val="21"/>
                    </w:rPr>
                  </w:pPr>
                  <w:r>
                    <w:rPr>
                      <w:bCs/>
                      <w:szCs w:val="21"/>
                    </w:rPr>
                    <w:t>乙炔</w:t>
                  </w:r>
                </w:p>
              </w:tc>
              <w:tc>
                <w:tcPr>
                  <w:tcW w:w="1095" w:type="dxa"/>
                  <w:vAlign w:val="center"/>
                </w:tcPr>
                <w:p w14:paraId="5D50D4BD">
                  <w:pPr>
                    <w:adjustRightInd w:val="0"/>
                    <w:snapToGrid w:val="0"/>
                    <w:spacing w:line="240" w:lineRule="exact"/>
                    <w:jc w:val="center"/>
                    <w:rPr>
                      <w:bCs/>
                      <w:szCs w:val="21"/>
                    </w:rPr>
                  </w:pPr>
                  <w:r>
                    <w:rPr>
                      <w:bCs/>
                      <w:szCs w:val="21"/>
                    </w:rPr>
                    <w:t>160</w:t>
                  </w:r>
                </w:p>
              </w:tc>
              <w:tc>
                <w:tcPr>
                  <w:tcW w:w="1080" w:type="dxa"/>
                  <w:shd w:val="clear" w:color="auto" w:fill="auto"/>
                  <w:vAlign w:val="center"/>
                </w:tcPr>
                <w:p w14:paraId="00FE3898">
                  <w:pPr>
                    <w:adjustRightInd w:val="0"/>
                    <w:snapToGrid w:val="0"/>
                    <w:spacing w:line="240" w:lineRule="exact"/>
                    <w:jc w:val="center"/>
                    <w:rPr>
                      <w:bCs/>
                      <w:szCs w:val="21"/>
                    </w:rPr>
                  </w:pPr>
                  <w:r>
                    <w:rPr>
                      <w:bCs/>
                      <w:szCs w:val="21"/>
                    </w:rPr>
                    <w:t>L/a</w:t>
                  </w:r>
                </w:p>
              </w:tc>
              <w:tc>
                <w:tcPr>
                  <w:tcW w:w="990" w:type="dxa"/>
                  <w:vAlign w:val="center"/>
                </w:tcPr>
                <w:p w14:paraId="33CDE235">
                  <w:pPr>
                    <w:adjustRightInd w:val="0"/>
                    <w:snapToGrid w:val="0"/>
                    <w:spacing w:line="240" w:lineRule="exact"/>
                    <w:jc w:val="center"/>
                    <w:rPr>
                      <w:bCs/>
                      <w:szCs w:val="21"/>
                    </w:rPr>
                  </w:pPr>
                  <w:r>
                    <w:rPr>
                      <w:bCs/>
                      <w:szCs w:val="21"/>
                    </w:rPr>
                    <w:t>/</w:t>
                  </w:r>
                </w:p>
              </w:tc>
              <w:tc>
                <w:tcPr>
                  <w:tcW w:w="3374" w:type="dxa"/>
                  <w:vAlign w:val="center"/>
                </w:tcPr>
                <w:p w14:paraId="7C6BCD90">
                  <w:pPr>
                    <w:adjustRightInd w:val="0"/>
                    <w:snapToGrid w:val="0"/>
                    <w:spacing w:line="240" w:lineRule="exact"/>
                    <w:jc w:val="center"/>
                    <w:rPr>
                      <w:bCs/>
                      <w:szCs w:val="21"/>
                    </w:rPr>
                  </w:pPr>
                  <w:r>
                    <w:rPr>
                      <w:bCs/>
                      <w:szCs w:val="21"/>
                    </w:rPr>
                    <w:t>40L/瓶，年用4瓶，厂内最大储存1瓶，等离子切割工序使用</w:t>
                  </w:r>
                </w:p>
              </w:tc>
            </w:tr>
            <w:tr w14:paraId="6208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3" w:type="dxa"/>
                  <w:vAlign w:val="center"/>
                </w:tcPr>
                <w:p w14:paraId="52F17F3C">
                  <w:pPr>
                    <w:adjustRightInd w:val="0"/>
                    <w:snapToGrid w:val="0"/>
                    <w:spacing w:line="240" w:lineRule="exact"/>
                    <w:jc w:val="center"/>
                    <w:rPr>
                      <w:bCs/>
                      <w:szCs w:val="21"/>
                    </w:rPr>
                  </w:pPr>
                  <w:r>
                    <w:rPr>
                      <w:bCs/>
                      <w:szCs w:val="21"/>
                    </w:rPr>
                    <w:t>3</w:t>
                  </w:r>
                </w:p>
              </w:tc>
              <w:tc>
                <w:tcPr>
                  <w:tcW w:w="1270" w:type="dxa"/>
                  <w:vAlign w:val="center"/>
                </w:tcPr>
                <w:p w14:paraId="15AB038E">
                  <w:pPr>
                    <w:adjustRightInd w:val="0"/>
                    <w:snapToGrid w:val="0"/>
                    <w:spacing w:line="240" w:lineRule="exact"/>
                    <w:jc w:val="center"/>
                    <w:rPr>
                      <w:bCs/>
                      <w:szCs w:val="21"/>
                    </w:rPr>
                  </w:pPr>
                  <w:r>
                    <w:rPr>
                      <w:bCs/>
                      <w:szCs w:val="21"/>
                    </w:rPr>
                    <w:t>氧气</w:t>
                  </w:r>
                </w:p>
              </w:tc>
              <w:tc>
                <w:tcPr>
                  <w:tcW w:w="1095" w:type="dxa"/>
                  <w:vAlign w:val="center"/>
                </w:tcPr>
                <w:p w14:paraId="5CB4217F">
                  <w:pPr>
                    <w:adjustRightInd w:val="0"/>
                    <w:snapToGrid w:val="0"/>
                    <w:spacing w:line="240" w:lineRule="exact"/>
                    <w:jc w:val="center"/>
                    <w:rPr>
                      <w:bCs/>
                      <w:szCs w:val="21"/>
                    </w:rPr>
                  </w:pPr>
                  <w:r>
                    <w:rPr>
                      <w:bCs/>
                      <w:szCs w:val="21"/>
                    </w:rPr>
                    <w:t>80</w:t>
                  </w:r>
                </w:p>
              </w:tc>
              <w:tc>
                <w:tcPr>
                  <w:tcW w:w="1080" w:type="dxa"/>
                  <w:shd w:val="clear" w:color="auto" w:fill="auto"/>
                  <w:vAlign w:val="center"/>
                </w:tcPr>
                <w:p w14:paraId="0575E6D9">
                  <w:pPr>
                    <w:adjustRightInd w:val="0"/>
                    <w:snapToGrid w:val="0"/>
                    <w:spacing w:line="240" w:lineRule="exact"/>
                    <w:jc w:val="center"/>
                    <w:rPr>
                      <w:bCs/>
                      <w:szCs w:val="21"/>
                    </w:rPr>
                  </w:pPr>
                  <w:r>
                    <w:rPr>
                      <w:bCs/>
                      <w:szCs w:val="21"/>
                    </w:rPr>
                    <w:t>L/a</w:t>
                  </w:r>
                </w:p>
              </w:tc>
              <w:tc>
                <w:tcPr>
                  <w:tcW w:w="990" w:type="dxa"/>
                  <w:vAlign w:val="center"/>
                </w:tcPr>
                <w:p w14:paraId="1725C0EA">
                  <w:pPr>
                    <w:adjustRightInd w:val="0"/>
                    <w:snapToGrid w:val="0"/>
                    <w:spacing w:line="240" w:lineRule="exact"/>
                    <w:jc w:val="center"/>
                    <w:rPr>
                      <w:bCs/>
                      <w:szCs w:val="21"/>
                    </w:rPr>
                  </w:pPr>
                  <w:r>
                    <w:rPr>
                      <w:bCs/>
                      <w:szCs w:val="21"/>
                    </w:rPr>
                    <w:t>/</w:t>
                  </w:r>
                </w:p>
              </w:tc>
              <w:tc>
                <w:tcPr>
                  <w:tcW w:w="3374" w:type="dxa"/>
                  <w:vAlign w:val="center"/>
                </w:tcPr>
                <w:p w14:paraId="1E669FAF">
                  <w:pPr>
                    <w:adjustRightInd w:val="0"/>
                    <w:snapToGrid w:val="0"/>
                    <w:spacing w:line="240" w:lineRule="exact"/>
                    <w:jc w:val="center"/>
                    <w:rPr>
                      <w:bCs/>
                      <w:szCs w:val="21"/>
                    </w:rPr>
                  </w:pPr>
                  <w:r>
                    <w:rPr>
                      <w:bCs/>
                      <w:szCs w:val="21"/>
                    </w:rPr>
                    <w:t>40L/瓶，年用2瓶，厂内最大储存1瓶，等离子切割工序使用</w:t>
                  </w:r>
                </w:p>
              </w:tc>
            </w:tr>
            <w:tr w14:paraId="2B22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3" w:type="dxa"/>
                  <w:vAlign w:val="center"/>
                </w:tcPr>
                <w:p w14:paraId="067E448C">
                  <w:pPr>
                    <w:adjustRightInd w:val="0"/>
                    <w:snapToGrid w:val="0"/>
                    <w:spacing w:line="240" w:lineRule="exact"/>
                    <w:jc w:val="center"/>
                    <w:rPr>
                      <w:bCs/>
                      <w:szCs w:val="21"/>
                    </w:rPr>
                  </w:pPr>
                  <w:r>
                    <w:rPr>
                      <w:bCs/>
                      <w:szCs w:val="21"/>
                    </w:rPr>
                    <w:t>4</w:t>
                  </w:r>
                </w:p>
              </w:tc>
              <w:tc>
                <w:tcPr>
                  <w:tcW w:w="1270" w:type="dxa"/>
                  <w:shd w:val="clear" w:color="auto" w:fill="auto"/>
                  <w:vAlign w:val="center"/>
                </w:tcPr>
                <w:p w14:paraId="35186BA1">
                  <w:pPr>
                    <w:adjustRightInd w:val="0"/>
                    <w:snapToGrid w:val="0"/>
                    <w:spacing w:line="240" w:lineRule="exact"/>
                    <w:jc w:val="center"/>
                    <w:rPr>
                      <w:bCs/>
                      <w:szCs w:val="21"/>
                    </w:rPr>
                  </w:pPr>
                  <w:r>
                    <w:rPr>
                      <w:bCs/>
                      <w:szCs w:val="21"/>
                    </w:rPr>
                    <w:t>电</w:t>
                  </w:r>
                </w:p>
              </w:tc>
              <w:tc>
                <w:tcPr>
                  <w:tcW w:w="1095" w:type="dxa"/>
                  <w:shd w:val="clear" w:color="auto" w:fill="auto"/>
                  <w:vAlign w:val="center"/>
                </w:tcPr>
                <w:p w14:paraId="04E5BEE2">
                  <w:pPr>
                    <w:adjustRightInd w:val="0"/>
                    <w:snapToGrid w:val="0"/>
                    <w:spacing w:line="240" w:lineRule="exact"/>
                    <w:jc w:val="center"/>
                    <w:rPr>
                      <w:bCs/>
                      <w:szCs w:val="21"/>
                    </w:rPr>
                  </w:pPr>
                  <w:r>
                    <w:rPr>
                      <w:bCs/>
                      <w:szCs w:val="21"/>
                    </w:rPr>
                    <w:t>1000</w:t>
                  </w:r>
                </w:p>
              </w:tc>
              <w:tc>
                <w:tcPr>
                  <w:tcW w:w="1080" w:type="dxa"/>
                  <w:shd w:val="clear" w:color="auto" w:fill="auto"/>
                  <w:vAlign w:val="center"/>
                </w:tcPr>
                <w:p w14:paraId="7CD88AD6">
                  <w:pPr>
                    <w:adjustRightInd w:val="0"/>
                    <w:snapToGrid w:val="0"/>
                    <w:spacing w:line="240" w:lineRule="exact"/>
                    <w:jc w:val="center"/>
                    <w:rPr>
                      <w:bCs/>
                      <w:szCs w:val="21"/>
                    </w:rPr>
                  </w:pPr>
                  <w:r>
                    <w:rPr>
                      <w:bCs/>
                      <w:szCs w:val="21"/>
                    </w:rPr>
                    <w:t>kw·h/a</w:t>
                  </w:r>
                </w:p>
              </w:tc>
              <w:tc>
                <w:tcPr>
                  <w:tcW w:w="990" w:type="dxa"/>
                  <w:shd w:val="clear" w:color="auto" w:fill="auto"/>
                  <w:vAlign w:val="center"/>
                </w:tcPr>
                <w:p w14:paraId="1A53306D">
                  <w:pPr>
                    <w:adjustRightInd w:val="0"/>
                    <w:snapToGrid w:val="0"/>
                    <w:spacing w:line="240" w:lineRule="exact"/>
                    <w:jc w:val="center"/>
                    <w:rPr>
                      <w:bCs/>
                      <w:szCs w:val="21"/>
                    </w:rPr>
                  </w:pPr>
                  <w:r>
                    <w:rPr>
                      <w:bCs/>
                      <w:szCs w:val="21"/>
                    </w:rPr>
                    <w:t>/</w:t>
                  </w:r>
                </w:p>
              </w:tc>
              <w:tc>
                <w:tcPr>
                  <w:tcW w:w="3374" w:type="dxa"/>
                  <w:shd w:val="clear" w:color="auto" w:fill="auto"/>
                  <w:vAlign w:val="center"/>
                </w:tcPr>
                <w:p w14:paraId="047582AB">
                  <w:pPr>
                    <w:adjustRightInd w:val="0"/>
                    <w:snapToGrid w:val="0"/>
                    <w:spacing w:line="240" w:lineRule="exact"/>
                    <w:jc w:val="center"/>
                    <w:rPr>
                      <w:bCs/>
                      <w:szCs w:val="21"/>
                    </w:rPr>
                  </w:pPr>
                  <w:r>
                    <w:rPr>
                      <w:bCs/>
                      <w:szCs w:val="21"/>
                    </w:rPr>
                    <w:t>民权县人和镇集中供电</w:t>
                  </w:r>
                </w:p>
              </w:tc>
            </w:tr>
            <w:tr w14:paraId="6D21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33" w:type="dxa"/>
                  <w:vAlign w:val="center"/>
                </w:tcPr>
                <w:p w14:paraId="67D595CB">
                  <w:pPr>
                    <w:adjustRightInd w:val="0"/>
                    <w:snapToGrid w:val="0"/>
                    <w:spacing w:line="240" w:lineRule="exact"/>
                    <w:jc w:val="center"/>
                    <w:rPr>
                      <w:bCs/>
                      <w:szCs w:val="21"/>
                    </w:rPr>
                  </w:pPr>
                  <w:r>
                    <w:rPr>
                      <w:bCs/>
                      <w:szCs w:val="21"/>
                    </w:rPr>
                    <w:t>5</w:t>
                  </w:r>
                </w:p>
              </w:tc>
              <w:tc>
                <w:tcPr>
                  <w:tcW w:w="1270" w:type="dxa"/>
                  <w:shd w:val="clear" w:color="auto" w:fill="auto"/>
                  <w:vAlign w:val="center"/>
                </w:tcPr>
                <w:p w14:paraId="07E08AEE">
                  <w:pPr>
                    <w:adjustRightInd w:val="0"/>
                    <w:snapToGrid w:val="0"/>
                    <w:spacing w:line="240" w:lineRule="exact"/>
                    <w:jc w:val="center"/>
                    <w:rPr>
                      <w:bCs/>
                      <w:szCs w:val="21"/>
                    </w:rPr>
                  </w:pPr>
                  <w:r>
                    <w:rPr>
                      <w:bCs/>
                      <w:szCs w:val="21"/>
                    </w:rPr>
                    <w:t>水</w:t>
                  </w:r>
                </w:p>
              </w:tc>
              <w:tc>
                <w:tcPr>
                  <w:tcW w:w="1095" w:type="dxa"/>
                  <w:shd w:val="clear" w:color="auto" w:fill="auto"/>
                  <w:vAlign w:val="center"/>
                </w:tcPr>
                <w:p w14:paraId="4C3E7B71">
                  <w:pPr>
                    <w:adjustRightInd w:val="0"/>
                    <w:snapToGrid w:val="0"/>
                    <w:spacing w:line="240" w:lineRule="exact"/>
                    <w:jc w:val="center"/>
                    <w:rPr>
                      <w:bCs/>
                      <w:szCs w:val="21"/>
                    </w:rPr>
                  </w:pPr>
                  <w:r>
                    <w:rPr>
                      <w:bCs/>
                      <w:szCs w:val="21"/>
                    </w:rPr>
                    <w:t>60</w:t>
                  </w:r>
                </w:p>
              </w:tc>
              <w:tc>
                <w:tcPr>
                  <w:tcW w:w="1080" w:type="dxa"/>
                  <w:shd w:val="clear" w:color="auto" w:fill="auto"/>
                  <w:vAlign w:val="center"/>
                </w:tcPr>
                <w:p w14:paraId="1412739F">
                  <w:pPr>
                    <w:adjustRightInd w:val="0"/>
                    <w:snapToGrid w:val="0"/>
                    <w:spacing w:line="240" w:lineRule="exact"/>
                    <w:jc w:val="center"/>
                    <w:rPr>
                      <w:bCs/>
                      <w:szCs w:val="21"/>
                    </w:rPr>
                  </w:pPr>
                  <w:r>
                    <w:rPr>
                      <w:bCs/>
                      <w:szCs w:val="21"/>
                    </w:rPr>
                    <w:t>m</w:t>
                  </w:r>
                  <w:r>
                    <w:rPr>
                      <w:bCs/>
                      <w:szCs w:val="21"/>
                      <w:vertAlign w:val="superscript"/>
                    </w:rPr>
                    <w:t>3</w:t>
                  </w:r>
                  <w:r>
                    <w:rPr>
                      <w:bCs/>
                      <w:szCs w:val="21"/>
                    </w:rPr>
                    <w:t>/a</w:t>
                  </w:r>
                </w:p>
              </w:tc>
              <w:tc>
                <w:tcPr>
                  <w:tcW w:w="990" w:type="dxa"/>
                  <w:shd w:val="clear" w:color="auto" w:fill="auto"/>
                  <w:vAlign w:val="center"/>
                </w:tcPr>
                <w:p w14:paraId="22EA5EE0">
                  <w:pPr>
                    <w:adjustRightInd w:val="0"/>
                    <w:snapToGrid w:val="0"/>
                    <w:spacing w:line="240" w:lineRule="exact"/>
                    <w:jc w:val="center"/>
                    <w:rPr>
                      <w:bCs/>
                      <w:szCs w:val="21"/>
                    </w:rPr>
                  </w:pPr>
                  <w:r>
                    <w:rPr>
                      <w:bCs/>
                      <w:szCs w:val="21"/>
                    </w:rPr>
                    <w:t>/</w:t>
                  </w:r>
                </w:p>
              </w:tc>
              <w:tc>
                <w:tcPr>
                  <w:tcW w:w="3374" w:type="dxa"/>
                  <w:shd w:val="clear" w:color="auto" w:fill="auto"/>
                  <w:vAlign w:val="center"/>
                </w:tcPr>
                <w:p w14:paraId="14466F20">
                  <w:pPr>
                    <w:adjustRightInd w:val="0"/>
                    <w:snapToGrid w:val="0"/>
                    <w:spacing w:line="240" w:lineRule="exact"/>
                    <w:jc w:val="center"/>
                    <w:rPr>
                      <w:bCs/>
                      <w:szCs w:val="21"/>
                    </w:rPr>
                  </w:pPr>
                  <w:r>
                    <w:rPr>
                      <w:bCs/>
                      <w:szCs w:val="21"/>
                    </w:rPr>
                    <w:t>民权县人和镇集中供水</w:t>
                  </w:r>
                </w:p>
              </w:tc>
            </w:tr>
          </w:tbl>
          <w:p w14:paraId="4654F7CE">
            <w:pPr>
              <w:adjustRightInd w:val="0"/>
              <w:snapToGrid w:val="0"/>
              <w:spacing w:line="360" w:lineRule="auto"/>
              <w:ind w:firstLine="480" w:firstLineChars="200"/>
              <w:rPr>
                <w:bCs/>
                <w:sz w:val="24"/>
              </w:rPr>
            </w:pPr>
            <w:r>
              <w:rPr>
                <w:bCs/>
                <w:sz w:val="24"/>
              </w:rPr>
              <w:t>氧气：无色无味气体，熔点-218.8℃，沸点-183.1℃，相对密度1.14（水=l），相对蒸汽密度1.43（空气=1），饱和蒸汽压506.62kPa（-164℃），临界温度-118.95℃，不易溶于水，具有助燃性，氧化性，作为助燃剂与乙炔、丙烷等可燃气体配合使用，达到切割金属的作用。</w:t>
            </w:r>
          </w:p>
          <w:p w14:paraId="44B37D91">
            <w:pPr>
              <w:adjustRightInd w:val="0"/>
              <w:snapToGrid w:val="0"/>
              <w:spacing w:line="360" w:lineRule="auto"/>
              <w:ind w:firstLine="480" w:firstLineChars="200"/>
              <w:rPr>
                <w:bCs/>
                <w:sz w:val="24"/>
              </w:rPr>
            </w:pPr>
            <w:r>
              <w:rPr>
                <w:bCs/>
                <w:sz w:val="24"/>
              </w:rPr>
              <w:t>乙炔：又称风煤或电石气，纯乙炔为无色芳香气味的易燃气体。熔点（118.656kPa）-80.8℃，沸点-84℃，相对密度0.6208（-82/4℃），折射率1.00051，折光率1.0005（0℃），闪点（开杯）-17.78℃，自燃点3050℃，在空气中爆炸极限2.3%-72.3%（vol），微溶于水，溶于乙醇，丙酮、氯仿、苯，混溶于乙醚，是有机合成的重要原料之一，也是合成橡胶、合成纤维和塑料的单体，也可用于氧炔切割。</w:t>
            </w:r>
          </w:p>
          <w:p w14:paraId="34E4F473">
            <w:pPr>
              <w:pStyle w:val="32"/>
              <w:numPr>
                <w:ilvl w:val="0"/>
                <w:numId w:val="5"/>
              </w:numPr>
              <w:adjustRightInd w:val="0"/>
              <w:snapToGrid w:val="0"/>
              <w:spacing w:line="360" w:lineRule="auto"/>
              <w:ind w:firstLineChars="0"/>
              <w:rPr>
                <w:b/>
                <w:sz w:val="24"/>
              </w:rPr>
            </w:pPr>
            <w:r>
              <w:rPr>
                <w:b/>
                <w:sz w:val="24"/>
              </w:rPr>
              <w:t>项目拆解规模</w:t>
            </w:r>
          </w:p>
          <w:p w14:paraId="4E82B246">
            <w:pPr>
              <w:numPr>
                <w:ilvl w:val="0"/>
                <w:numId w:val="7"/>
              </w:numPr>
              <w:adjustRightInd w:val="0"/>
              <w:snapToGrid w:val="0"/>
              <w:spacing w:line="360" w:lineRule="auto"/>
              <w:ind w:firstLine="482" w:firstLineChars="200"/>
              <w:rPr>
                <w:b/>
                <w:sz w:val="24"/>
                <w:u w:val="single"/>
              </w:rPr>
            </w:pPr>
            <w:r>
              <w:rPr>
                <w:b/>
                <w:sz w:val="24"/>
                <w:u w:val="single"/>
              </w:rPr>
              <w:t>废旧农机拆解规模</w:t>
            </w:r>
          </w:p>
          <w:p w14:paraId="06FE00BF">
            <w:pPr>
              <w:adjustRightInd w:val="0"/>
              <w:snapToGrid w:val="0"/>
              <w:spacing w:line="360" w:lineRule="auto"/>
              <w:ind w:firstLine="482" w:firstLineChars="200"/>
              <w:rPr>
                <w:b/>
                <w:sz w:val="24"/>
                <w:u w:val="single"/>
              </w:rPr>
            </w:pPr>
            <w:r>
              <w:rPr>
                <w:b/>
                <w:sz w:val="24"/>
                <w:u w:val="single"/>
              </w:rPr>
              <w:t>本项目年回收拆解农业机械50台，废旧农机来源为民权县范围内产生的报废农业机械，主要为玉米收割机和小麦收割机，并且以上废旧农机均为自走式农业机械。项目拆解对象不包括纯电动农机设备，不包括小轿车、货车、客车及摩托车等，不包括其他油罐车、消防车、危险品运输车型等。</w:t>
            </w:r>
          </w:p>
          <w:p w14:paraId="596F66A4">
            <w:pPr>
              <w:adjustRightInd w:val="0"/>
              <w:snapToGrid w:val="0"/>
              <w:spacing w:line="360" w:lineRule="auto"/>
              <w:ind w:firstLine="482" w:firstLineChars="200"/>
              <w:rPr>
                <w:b/>
                <w:sz w:val="24"/>
                <w:u w:val="single"/>
              </w:rPr>
            </w:pPr>
            <w:r>
              <w:rPr>
                <w:b/>
                <w:sz w:val="24"/>
                <w:u w:val="single"/>
              </w:rPr>
              <w:t>根据建设单位提供资料，玉米收割机平均自重4t/台，年拆解量为23台；小麦收割机平均自重2t/台，年拆解量为27台。</w:t>
            </w:r>
          </w:p>
          <w:p w14:paraId="21C197D1">
            <w:pPr>
              <w:numPr>
                <w:ilvl w:val="0"/>
                <w:numId w:val="7"/>
              </w:numPr>
              <w:adjustRightInd w:val="0"/>
              <w:snapToGrid w:val="0"/>
              <w:spacing w:line="360" w:lineRule="auto"/>
              <w:ind w:firstLine="480" w:firstLineChars="200"/>
              <w:rPr>
                <w:bCs/>
                <w:sz w:val="24"/>
              </w:rPr>
            </w:pPr>
            <w:r>
              <w:rPr>
                <w:bCs/>
                <w:sz w:val="24"/>
              </w:rPr>
              <w:t>废旧农机拆解产物</w:t>
            </w:r>
          </w:p>
          <w:p w14:paraId="1AE9F888">
            <w:pPr>
              <w:adjustRightInd w:val="0"/>
              <w:snapToGrid w:val="0"/>
              <w:spacing w:line="360" w:lineRule="auto"/>
              <w:ind w:firstLine="480" w:firstLineChars="200"/>
              <w:rPr>
                <w:bCs/>
                <w:sz w:val="24"/>
              </w:rPr>
            </w:pPr>
            <w:r>
              <w:rPr>
                <w:bCs/>
                <w:sz w:val="24"/>
              </w:rPr>
              <w:t>根据废旧农机拆解物的可利用性分类，拆解产物分为可回收利用和不可回收利用两部分。项目废旧农机拆解物可回收利用部分包含金属类及非金属类，全部以固体形式外售废旧资源综合利用企业；不可回收利用部分包含一般固体废物和危险废物。具体分类见下表。</w:t>
            </w:r>
          </w:p>
          <w:p w14:paraId="1CF03773">
            <w:pPr>
              <w:adjustRightInd w:val="0"/>
              <w:snapToGrid w:val="0"/>
              <w:jc w:val="center"/>
              <w:rPr>
                <w:b/>
                <w:sz w:val="24"/>
                <w:szCs w:val="32"/>
              </w:rPr>
            </w:pPr>
            <w:r>
              <w:rPr>
                <w:b/>
                <w:sz w:val="24"/>
                <w:szCs w:val="32"/>
              </w:rPr>
              <w:t>表</w:t>
            </w:r>
            <w:r>
              <w:rPr>
                <w:rFonts w:hint="eastAsia"/>
                <w:b/>
                <w:sz w:val="24"/>
                <w:szCs w:val="32"/>
              </w:rPr>
              <w:t>13</w:t>
            </w:r>
            <w:r>
              <w:rPr>
                <w:b/>
                <w:sz w:val="24"/>
                <w:szCs w:val="32"/>
              </w:rPr>
              <w:t xml:space="preserve">  废旧农机拆解回收利用情况一览表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6"/>
              <w:gridCol w:w="1065"/>
              <w:gridCol w:w="6321"/>
            </w:tblGrid>
            <w:tr w14:paraId="713C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2021" w:type="dxa"/>
                  <w:gridSpan w:val="2"/>
                  <w:vAlign w:val="center"/>
                </w:tcPr>
                <w:p w14:paraId="468BF98A">
                  <w:pPr>
                    <w:adjustRightInd w:val="0"/>
                    <w:snapToGrid w:val="0"/>
                    <w:jc w:val="center"/>
                    <w:rPr>
                      <w:bCs/>
                    </w:rPr>
                  </w:pPr>
                  <w:r>
                    <w:rPr>
                      <w:bCs/>
                    </w:rPr>
                    <w:t>类别</w:t>
                  </w:r>
                </w:p>
              </w:tc>
              <w:tc>
                <w:tcPr>
                  <w:tcW w:w="6321" w:type="dxa"/>
                  <w:vAlign w:val="center"/>
                </w:tcPr>
                <w:p w14:paraId="02F0F6E8">
                  <w:pPr>
                    <w:adjustRightInd w:val="0"/>
                    <w:snapToGrid w:val="0"/>
                    <w:jc w:val="center"/>
                    <w:rPr>
                      <w:bCs/>
                    </w:rPr>
                  </w:pPr>
                  <w:r>
                    <w:rPr>
                      <w:bCs/>
                    </w:rPr>
                    <w:t>主要组成</w:t>
                  </w:r>
                </w:p>
              </w:tc>
            </w:tr>
            <w:tr w14:paraId="7ED7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956" w:type="dxa"/>
                  <w:vMerge w:val="restart"/>
                  <w:vAlign w:val="center"/>
                </w:tcPr>
                <w:p w14:paraId="464E803C">
                  <w:pPr>
                    <w:adjustRightInd w:val="0"/>
                    <w:snapToGrid w:val="0"/>
                    <w:jc w:val="center"/>
                    <w:rPr>
                      <w:bCs/>
                    </w:rPr>
                  </w:pPr>
                  <w:r>
                    <w:rPr>
                      <w:bCs/>
                    </w:rPr>
                    <w:t>可回收利用</w:t>
                  </w:r>
                </w:p>
              </w:tc>
              <w:tc>
                <w:tcPr>
                  <w:tcW w:w="1065" w:type="dxa"/>
                  <w:vAlign w:val="center"/>
                </w:tcPr>
                <w:p w14:paraId="4C9A6B1E">
                  <w:pPr>
                    <w:adjustRightInd w:val="0"/>
                    <w:snapToGrid w:val="0"/>
                    <w:jc w:val="center"/>
                    <w:rPr>
                      <w:bCs/>
                    </w:rPr>
                  </w:pPr>
                  <w:r>
                    <w:rPr>
                      <w:bCs/>
                    </w:rPr>
                    <w:t>五大总成件</w:t>
                  </w:r>
                </w:p>
              </w:tc>
              <w:tc>
                <w:tcPr>
                  <w:tcW w:w="6321" w:type="dxa"/>
                  <w:vAlign w:val="center"/>
                </w:tcPr>
                <w:p w14:paraId="5B0C3843">
                  <w:pPr>
                    <w:adjustRightInd w:val="0"/>
                    <w:snapToGrid w:val="0"/>
                    <w:jc w:val="center"/>
                    <w:rPr>
                      <w:bCs/>
                    </w:rPr>
                  </w:pPr>
                  <w:r>
                    <w:rPr>
                      <w:bCs/>
                    </w:rPr>
                    <w:t>发动机、转向器、变速器、前后桥、机架等钢铁及有色金属</w:t>
                  </w:r>
                </w:p>
              </w:tc>
            </w:tr>
            <w:tr w14:paraId="7ADC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956" w:type="dxa"/>
                  <w:vMerge w:val="continue"/>
                  <w:vAlign w:val="center"/>
                </w:tcPr>
                <w:p w14:paraId="2282BE81">
                  <w:pPr>
                    <w:adjustRightInd w:val="0"/>
                    <w:snapToGrid w:val="0"/>
                    <w:jc w:val="center"/>
                    <w:rPr>
                      <w:bCs/>
                    </w:rPr>
                  </w:pPr>
                </w:p>
              </w:tc>
              <w:tc>
                <w:tcPr>
                  <w:tcW w:w="1065" w:type="dxa"/>
                  <w:vAlign w:val="center"/>
                </w:tcPr>
                <w:p w14:paraId="0CD32BB7">
                  <w:pPr>
                    <w:adjustRightInd w:val="0"/>
                    <w:snapToGrid w:val="0"/>
                    <w:jc w:val="center"/>
                    <w:rPr>
                      <w:bCs/>
                    </w:rPr>
                  </w:pPr>
                  <w:r>
                    <w:rPr>
                      <w:bCs/>
                    </w:rPr>
                    <w:t>可用零部件</w:t>
                  </w:r>
                </w:p>
              </w:tc>
              <w:tc>
                <w:tcPr>
                  <w:tcW w:w="6321" w:type="dxa"/>
                  <w:vAlign w:val="center"/>
                </w:tcPr>
                <w:p w14:paraId="1C40BE96">
                  <w:pPr>
                    <w:adjustRightInd w:val="0"/>
                    <w:snapToGrid w:val="0"/>
                    <w:jc w:val="center"/>
                    <w:rPr>
                      <w:bCs/>
                    </w:rPr>
                  </w:pPr>
                  <w:r>
                    <w:rPr>
                      <w:bCs/>
                    </w:rPr>
                    <w:t>保存完好的座椅、车门、轴承、齿轮等其他可用零部件等</w:t>
                  </w:r>
                </w:p>
              </w:tc>
            </w:tr>
            <w:tr w14:paraId="2712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956" w:type="dxa"/>
                  <w:vMerge w:val="continue"/>
                  <w:vAlign w:val="center"/>
                </w:tcPr>
                <w:p w14:paraId="6C104AC8">
                  <w:pPr>
                    <w:adjustRightInd w:val="0"/>
                    <w:snapToGrid w:val="0"/>
                    <w:jc w:val="center"/>
                    <w:rPr>
                      <w:bCs/>
                    </w:rPr>
                  </w:pPr>
                </w:p>
              </w:tc>
              <w:tc>
                <w:tcPr>
                  <w:tcW w:w="1065" w:type="dxa"/>
                  <w:vAlign w:val="center"/>
                </w:tcPr>
                <w:p w14:paraId="4811CD5F">
                  <w:pPr>
                    <w:adjustRightInd w:val="0"/>
                    <w:snapToGrid w:val="0"/>
                    <w:jc w:val="center"/>
                    <w:rPr>
                      <w:bCs/>
                    </w:rPr>
                  </w:pPr>
                  <w:r>
                    <w:rPr>
                      <w:bCs/>
                    </w:rPr>
                    <w:t>其他材料</w:t>
                  </w:r>
                </w:p>
              </w:tc>
              <w:tc>
                <w:tcPr>
                  <w:tcW w:w="6321" w:type="dxa"/>
                  <w:vAlign w:val="center"/>
                </w:tcPr>
                <w:p w14:paraId="6E0092F2">
                  <w:pPr>
                    <w:adjustRightInd w:val="0"/>
                    <w:snapToGrid w:val="0"/>
                    <w:jc w:val="center"/>
                    <w:rPr>
                      <w:bCs/>
                    </w:rPr>
                  </w:pPr>
                  <w:r>
                    <w:rPr>
                      <w:bCs/>
                    </w:rPr>
                    <w:t>塑料（各种机罩、仪表盘、散热片、各种管道等）、玻璃（挡风玻璃等）、橡胶（废旧轮胎、密封胶条等）等</w:t>
                  </w:r>
                </w:p>
              </w:tc>
            </w:tr>
            <w:tr w14:paraId="0017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956" w:type="dxa"/>
                  <w:vMerge w:val="restart"/>
                  <w:vAlign w:val="center"/>
                </w:tcPr>
                <w:p w14:paraId="01746772">
                  <w:pPr>
                    <w:adjustRightInd w:val="0"/>
                    <w:snapToGrid w:val="0"/>
                    <w:jc w:val="center"/>
                    <w:rPr>
                      <w:bCs/>
                    </w:rPr>
                  </w:pPr>
                  <w:r>
                    <w:rPr>
                      <w:bCs/>
                    </w:rPr>
                    <w:t>不可回收利用</w:t>
                  </w:r>
                </w:p>
              </w:tc>
              <w:tc>
                <w:tcPr>
                  <w:tcW w:w="1065" w:type="dxa"/>
                  <w:vAlign w:val="center"/>
                </w:tcPr>
                <w:p w14:paraId="69B121D4">
                  <w:pPr>
                    <w:adjustRightInd w:val="0"/>
                    <w:snapToGrid w:val="0"/>
                    <w:jc w:val="center"/>
                    <w:rPr>
                      <w:bCs/>
                    </w:rPr>
                  </w:pPr>
                  <w:r>
                    <w:rPr>
                      <w:bCs/>
                    </w:rPr>
                    <w:t>危险废物</w:t>
                  </w:r>
                </w:p>
              </w:tc>
              <w:tc>
                <w:tcPr>
                  <w:tcW w:w="6321" w:type="dxa"/>
                  <w:vAlign w:val="center"/>
                </w:tcPr>
                <w:p w14:paraId="4B6BC2AB">
                  <w:pPr>
                    <w:adjustRightInd w:val="0"/>
                    <w:snapToGrid w:val="0"/>
                    <w:jc w:val="center"/>
                    <w:rPr>
                      <w:bCs/>
                    </w:rPr>
                  </w:pPr>
                  <w:r>
                    <w:rPr>
                      <w:bCs/>
                    </w:rPr>
                    <w:t>废油液、废油箱、废尾气净化装置、废机油滤清器、废电子电器件等</w:t>
                  </w:r>
                </w:p>
              </w:tc>
            </w:tr>
            <w:tr w14:paraId="3761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956" w:type="dxa"/>
                  <w:vMerge w:val="continue"/>
                  <w:vAlign w:val="center"/>
                </w:tcPr>
                <w:p w14:paraId="32F9AA67">
                  <w:pPr>
                    <w:adjustRightInd w:val="0"/>
                    <w:snapToGrid w:val="0"/>
                    <w:jc w:val="center"/>
                    <w:rPr>
                      <w:bCs/>
                    </w:rPr>
                  </w:pPr>
                </w:p>
              </w:tc>
              <w:tc>
                <w:tcPr>
                  <w:tcW w:w="1065" w:type="dxa"/>
                  <w:vAlign w:val="center"/>
                </w:tcPr>
                <w:p w14:paraId="2F0AF12F">
                  <w:pPr>
                    <w:adjustRightInd w:val="0"/>
                    <w:snapToGrid w:val="0"/>
                    <w:jc w:val="center"/>
                    <w:rPr>
                      <w:bCs/>
                    </w:rPr>
                  </w:pPr>
                  <w:r>
                    <w:rPr>
                      <w:bCs/>
                    </w:rPr>
                    <w:t>不可利用物</w:t>
                  </w:r>
                </w:p>
              </w:tc>
              <w:tc>
                <w:tcPr>
                  <w:tcW w:w="6321" w:type="dxa"/>
                  <w:vAlign w:val="center"/>
                </w:tcPr>
                <w:p w14:paraId="51D36F4A">
                  <w:pPr>
                    <w:adjustRightInd w:val="0"/>
                    <w:snapToGrid w:val="0"/>
                    <w:jc w:val="center"/>
                    <w:rPr>
                      <w:bCs/>
                    </w:rPr>
                  </w:pPr>
                  <w:r>
                    <w:rPr>
                      <w:bCs/>
                    </w:rPr>
                    <w:t>无法重新利用或无法分拣的碎玻璃、碎皮革、碎塑料等</w:t>
                  </w:r>
                </w:p>
              </w:tc>
            </w:tr>
          </w:tbl>
          <w:p w14:paraId="2BE8456E">
            <w:pPr>
              <w:adjustRightInd w:val="0"/>
              <w:snapToGrid w:val="0"/>
              <w:jc w:val="left"/>
              <w:rPr>
                <w:b/>
                <w:szCs w:val="21"/>
              </w:rPr>
            </w:pPr>
            <w:r>
              <w:rPr>
                <w:b/>
                <w:szCs w:val="21"/>
              </w:rPr>
              <w:t>注：“五大总成”中各部件中除机动车发动机含有少量铝合金等有色重金属，其它均为铸钢件，评价全部计入钢铁类材料。</w:t>
            </w:r>
          </w:p>
          <w:p w14:paraId="08BC4E14">
            <w:pPr>
              <w:spacing w:line="360" w:lineRule="auto"/>
              <w:ind w:firstLine="480" w:firstLineChars="200"/>
              <w:jc w:val="left"/>
              <w:rPr>
                <w:sz w:val="24"/>
              </w:rPr>
            </w:pPr>
            <w:r>
              <w:rPr>
                <w:sz w:val="24"/>
              </w:rPr>
              <w:t>本项目废旧农机拆解产生物品及产生量详见下表。</w:t>
            </w:r>
          </w:p>
          <w:p w14:paraId="3B0C02D3">
            <w:pPr>
              <w:adjustRightInd w:val="0"/>
              <w:snapToGrid w:val="0"/>
              <w:jc w:val="center"/>
              <w:rPr>
                <w:b/>
                <w:sz w:val="24"/>
              </w:rPr>
            </w:pPr>
            <w:r>
              <w:rPr>
                <w:b/>
                <w:sz w:val="24"/>
              </w:rPr>
              <w:t>表</w:t>
            </w:r>
            <w:r>
              <w:rPr>
                <w:rFonts w:hint="eastAsia"/>
                <w:b/>
                <w:sz w:val="24"/>
              </w:rPr>
              <w:t>14</w:t>
            </w:r>
            <w:r>
              <w:rPr>
                <w:b/>
                <w:sz w:val="24"/>
              </w:rPr>
              <w:t xml:space="preserve">   废旧农机拆解产生物料一览表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709"/>
              <w:gridCol w:w="1108"/>
              <w:gridCol w:w="1226"/>
              <w:gridCol w:w="1262"/>
              <w:gridCol w:w="1297"/>
              <w:gridCol w:w="2140"/>
            </w:tblGrid>
            <w:tr w14:paraId="2E68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tblHeader/>
                <w:jc w:val="center"/>
              </w:trPr>
              <w:tc>
                <w:tcPr>
                  <w:tcW w:w="600" w:type="dxa"/>
                  <w:vMerge w:val="restart"/>
                  <w:vAlign w:val="center"/>
                </w:tcPr>
                <w:p w14:paraId="56D51CE9">
                  <w:pPr>
                    <w:adjustRightInd w:val="0"/>
                    <w:snapToGrid w:val="0"/>
                    <w:jc w:val="center"/>
                    <w:rPr>
                      <w:b/>
                      <w:szCs w:val="21"/>
                      <w:u w:val="single"/>
                    </w:rPr>
                  </w:pPr>
                  <w:r>
                    <w:rPr>
                      <w:b/>
                      <w:szCs w:val="21"/>
                      <w:u w:val="single"/>
                    </w:rPr>
                    <w:t>序号</w:t>
                  </w:r>
                </w:p>
              </w:tc>
              <w:tc>
                <w:tcPr>
                  <w:tcW w:w="1817" w:type="dxa"/>
                  <w:gridSpan w:val="2"/>
                  <w:vMerge w:val="restart"/>
                  <w:vAlign w:val="center"/>
                </w:tcPr>
                <w:p w14:paraId="48C302B1">
                  <w:pPr>
                    <w:adjustRightInd w:val="0"/>
                    <w:snapToGrid w:val="0"/>
                    <w:jc w:val="center"/>
                    <w:rPr>
                      <w:b/>
                      <w:szCs w:val="21"/>
                      <w:u w:val="single"/>
                    </w:rPr>
                  </w:pPr>
                  <w:r>
                    <w:rPr>
                      <w:b/>
                      <w:szCs w:val="21"/>
                      <w:u w:val="single"/>
                    </w:rPr>
                    <w:t>拆解物名称</w:t>
                  </w:r>
                </w:p>
              </w:tc>
              <w:tc>
                <w:tcPr>
                  <w:tcW w:w="2488" w:type="dxa"/>
                  <w:gridSpan w:val="2"/>
                  <w:vAlign w:val="center"/>
                </w:tcPr>
                <w:p w14:paraId="7C4B174A">
                  <w:pPr>
                    <w:adjustRightInd w:val="0"/>
                    <w:snapToGrid w:val="0"/>
                    <w:jc w:val="center"/>
                    <w:rPr>
                      <w:b/>
                      <w:szCs w:val="21"/>
                      <w:u w:val="single"/>
                    </w:rPr>
                  </w:pPr>
                  <w:r>
                    <w:rPr>
                      <w:b/>
                      <w:szCs w:val="21"/>
                      <w:u w:val="single"/>
                    </w:rPr>
                    <w:t>投入量（146t/a，50台/a）</w:t>
                  </w:r>
                </w:p>
              </w:tc>
              <w:tc>
                <w:tcPr>
                  <w:tcW w:w="1297" w:type="dxa"/>
                  <w:vMerge w:val="restart"/>
                  <w:vAlign w:val="center"/>
                </w:tcPr>
                <w:p w14:paraId="67C96DAA">
                  <w:pPr>
                    <w:adjustRightInd w:val="0"/>
                    <w:snapToGrid w:val="0"/>
                    <w:jc w:val="center"/>
                    <w:rPr>
                      <w:b/>
                      <w:szCs w:val="21"/>
                      <w:u w:val="single"/>
                    </w:rPr>
                  </w:pPr>
                  <w:r>
                    <w:rPr>
                      <w:b/>
                      <w:szCs w:val="21"/>
                      <w:u w:val="single"/>
                    </w:rPr>
                    <w:t>产出量（t/a）</w:t>
                  </w:r>
                </w:p>
              </w:tc>
              <w:tc>
                <w:tcPr>
                  <w:tcW w:w="2140" w:type="dxa"/>
                  <w:vMerge w:val="restart"/>
                  <w:vAlign w:val="center"/>
                </w:tcPr>
                <w:p w14:paraId="3580EF4C">
                  <w:pPr>
                    <w:adjustRightInd w:val="0"/>
                    <w:snapToGrid w:val="0"/>
                    <w:jc w:val="center"/>
                    <w:rPr>
                      <w:b/>
                      <w:szCs w:val="21"/>
                      <w:u w:val="single"/>
                    </w:rPr>
                  </w:pPr>
                  <w:r>
                    <w:rPr>
                      <w:b/>
                      <w:szCs w:val="21"/>
                      <w:u w:val="single"/>
                    </w:rPr>
                    <w:t>去向</w:t>
                  </w:r>
                </w:p>
              </w:tc>
            </w:tr>
            <w:tr w14:paraId="1104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tblHeader/>
                <w:jc w:val="center"/>
              </w:trPr>
              <w:tc>
                <w:tcPr>
                  <w:tcW w:w="600" w:type="dxa"/>
                  <w:vMerge w:val="continue"/>
                  <w:vAlign w:val="center"/>
                </w:tcPr>
                <w:p w14:paraId="0BC92A12">
                  <w:pPr>
                    <w:adjustRightInd w:val="0"/>
                    <w:snapToGrid w:val="0"/>
                    <w:jc w:val="center"/>
                    <w:rPr>
                      <w:b/>
                      <w:u w:val="single"/>
                    </w:rPr>
                  </w:pPr>
                </w:p>
              </w:tc>
              <w:tc>
                <w:tcPr>
                  <w:tcW w:w="1817" w:type="dxa"/>
                  <w:gridSpan w:val="2"/>
                  <w:vMerge w:val="continue"/>
                  <w:vAlign w:val="center"/>
                </w:tcPr>
                <w:p w14:paraId="3F5FA9E3">
                  <w:pPr>
                    <w:adjustRightInd w:val="0"/>
                    <w:snapToGrid w:val="0"/>
                    <w:jc w:val="center"/>
                    <w:rPr>
                      <w:b/>
                      <w:u w:val="single"/>
                    </w:rPr>
                  </w:pPr>
                </w:p>
              </w:tc>
              <w:tc>
                <w:tcPr>
                  <w:tcW w:w="1226" w:type="dxa"/>
                  <w:vAlign w:val="center"/>
                </w:tcPr>
                <w:p w14:paraId="54054FE4">
                  <w:pPr>
                    <w:adjustRightInd w:val="0"/>
                    <w:snapToGrid w:val="0"/>
                    <w:jc w:val="center"/>
                    <w:rPr>
                      <w:b/>
                      <w:szCs w:val="21"/>
                      <w:u w:val="single"/>
                    </w:rPr>
                  </w:pPr>
                  <w:r>
                    <w:rPr>
                      <w:b/>
                      <w:szCs w:val="21"/>
                      <w:u w:val="single"/>
                    </w:rPr>
                    <w:t>玉米收割机</w:t>
                  </w:r>
                </w:p>
              </w:tc>
              <w:tc>
                <w:tcPr>
                  <w:tcW w:w="1262" w:type="dxa"/>
                  <w:vAlign w:val="center"/>
                </w:tcPr>
                <w:p w14:paraId="6AD6C347">
                  <w:pPr>
                    <w:adjustRightInd w:val="0"/>
                    <w:snapToGrid w:val="0"/>
                    <w:jc w:val="center"/>
                    <w:rPr>
                      <w:b/>
                      <w:szCs w:val="21"/>
                      <w:u w:val="single"/>
                    </w:rPr>
                  </w:pPr>
                  <w:r>
                    <w:rPr>
                      <w:b/>
                      <w:szCs w:val="21"/>
                      <w:u w:val="single"/>
                    </w:rPr>
                    <w:t>小麦收割机</w:t>
                  </w:r>
                </w:p>
              </w:tc>
              <w:tc>
                <w:tcPr>
                  <w:tcW w:w="1297" w:type="dxa"/>
                  <w:vMerge w:val="continue"/>
                  <w:vAlign w:val="center"/>
                </w:tcPr>
                <w:p w14:paraId="4C0E78BF">
                  <w:pPr>
                    <w:adjustRightInd w:val="0"/>
                    <w:snapToGrid w:val="0"/>
                    <w:jc w:val="center"/>
                    <w:rPr>
                      <w:b/>
                      <w:szCs w:val="21"/>
                      <w:u w:val="single"/>
                    </w:rPr>
                  </w:pPr>
                </w:p>
              </w:tc>
              <w:tc>
                <w:tcPr>
                  <w:tcW w:w="2140" w:type="dxa"/>
                  <w:vMerge w:val="continue"/>
                  <w:vAlign w:val="center"/>
                </w:tcPr>
                <w:p w14:paraId="623B1E43">
                  <w:pPr>
                    <w:adjustRightInd w:val="0"/>
                    <w:snapToGrid w:val="0"/>
                    <w:jc w:val="center"/>
                    <w:rPr>
                      <w:b/>
                      <w:szCs w:val="21"/>
                      <w:u w:val="single"/>
                    </w:rPr>
                  </w:pPr>
                </w:p>
              </w:tc>
            </w:tr>
            <w:tr w14:paraId="128B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020EDE64">
                  <w:pPr>
                    <w:adjustRightInd w:val="0"/>
                    <w:snapToGrid w:val="0"/>
                    <w:jc w:val="center"/>
                    <w:rPr>
                      <w:b/>
                      <w:szCs w:val="21"/>
                      <w:u w:val="single"/>
                    </w:rPr>
                  </w:pPr>
                  <w:r>
                    <w:rPr>
                      <w:b/>
                      <w:szCs w:val="21"/>
                      <w:u w:val="single"/>
                    </w:rPr>
                    <w:t>1</w:t>
                  </w:r>
                </w:p>
              </w:tc>
              <w:tc>
                <w:tcPr>
                  <w:tcW w:w="1817" w:type="dxa"/>
                  <w:gridSpan w:val="2"/>
                  <w:vAlign w:val="center"/>
                </w:tcPr>
                <w:p w14:paraId="0F766505">
                  <w:pPr>
                    <w:adjustRightInd w:val="0"/>
                    <w:snapToGrid w:val="0"/>
                    <w:jc w:val="center"/>
                    <w:rPr>
                      <w:b/>
                      <w:szCs w:val="21"/>
                      <w:u w:val="single"/>
                    </w:rPr>
                  </w:pPr>
                  <w:r>
                    <w:rPr>
                      <w:b/>
                      <w:szCs w:val="21"/>
                      <w:u w:val="single"/>
                    </w:rPr>
                    <w:t>钢铁</w:t>
                  </w:r>
                </w:p>
              </w:tc>
              <w:tc>
                <w:tcPr>
                  <w:tcW w:w="1226" w:type="dxa"/>
                  <w:vAlign w:val="center"/>
                </w:tcPr>
                <w:p w14:paraId="4C0E1742">
                  <w:pPr>
                    <w:jc w:val="center"/>
                    <w:rPr>
                      <w:b/>
                      <w:szCs w:val="21"/>
                      <w:u w:val="single"/>
                    </w:rPr>
                  </w:pPr>
                  <w:r>
                    <w:rPr>
                      <w:b/>
                      <w:szCs w:val="21"/>
                      <w:u w:val="single"/>
                    </w:rPr>
                    <w:t>62.2</w:t>
                  </w:r>
                </w:p>
              </w:tc>
              <w:tc>
                <w:tcPr>
                  <w:tcW w:w="1262" w:type="dxa"/>
                  <w:shd w:val="clear" w:color="auto" w:fill="auto"/>
                  <w:vAlign w:val="center"/>
                </w:tcPr>
                <w:p w14:paraId="539F106C">
                  <w:pPr>
                    <w:jc w:val="center"/>
                    <w:rPr>
                      <w:b/>
                      <w:szCs w:val="21"/>
                      <w:u w:val="single"/>
                    </w:rPr>
                  </w:pPr>
                  <w:r>
                    <w:rPr>
                      <w:b/>
                      <w:szCs w:val="21"/>
                      <w:u w:val="single"/>
                    </w:rPr>
                    <w:t>32.8</w:t>
                  </w:r>
                </w:p>
              </w:tc>
              <w:tc>
                <w:tcPr>
                  <w:tcW w:w="1297" w:type="dxa"/>
                  <w:vAlign w:val="center"/>
                </w:tcPr>
                <w:p w14:paraId="1845EA16">
                  <w:pPr>
                    <w:jc w:val="center"/>
                    <w:rPr>
                      <w:b/>
                      <w:szCs w:val="21"/>
                      <w:u w:val="single"/>
                    </w:rPr>
                  </w:pPr>
                  <w:r>
                    <w:rPr>
                      <w:b/>
                      <w:szCs w:val="21"/>
                      <w:u w:val="single"/>
                    </w:rPr>
                    <w:t>95</w:t>
                  </w:r>
                </w:p>
              </w:tc>
              <w:tc>
                <w:tcPr>
                  <w:tcW w:w="2140" w:type="dxa"/>
                  <w:vMerge w:val="restart"/>
                  <w:vAlign w:val="center"/>
                </w:tcPr>
                <w:p w14:paraId="4D320237">
                  <w:pPr>
                    <w:adjustRightInd w:val="0"/>
                    <w:snapToGrid w:val="0"/>
                    <w:jc w:val="center"/>
                    <w:rPr>
                      <w:b/>
                      <w:szCs w:val="21"/>
                      <w:u w:val="single"/>
                    </w:rPr>
                  </w:pPr>
                  <w:r>
                    <w:rPr>
                      <w:b/>
                      <w:szCs w:val="21"/>
                      <w:u w:val="single"/>
                    </w:rPr>
                    <w:t>外售废旧资源综合利用企业</w:t>
                  </w:r>
                </w:p>
              </w:tc>
            </w:tr>
            <w:tr w14:paraId="2A13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1C756F00">
                  <w:pPr>
                    <w:adjustRightInd w:val="0"/>
                    <w:snapToGrid w:val="0"/>
                    <w:jc w:val="center"/>
                    <w:rPr>
                      <w:b/>
                      <w:szCs w:val="21"/>
                      <w:u w:val="single"/>
                    </w:rPr>
                  </w:pPr>
                  <w:r>
                    <w:rPr>
                      <w:b/>
                      <w:szCs w:val="21"/>
                      <w:u w:val="single"/>
                    </w:rPr>
                    <w:t>2</w:t>
                  </w:r>
                </w:p>
              </w:tc>
              <w:tc>
                <w:tcPr>
                  <w:tcW w:w="1817" w:type="dxa"/>
                  <w:gridSpan w:val="2"/>
                  <w:vAlign w:val="center"/>
                </w:tcPr>
                <w:p w14:paraId="603024F8">
                  <w:pPr>
                    <w:adjustRightInd w:val="0"/>
                    <w:snapToGrid w:val="0"/>
                    <w:jc w:val="center"/>
                    <w:rPr>
                      <w:b/>
                      <w:szCs w:val="21"/>
                      <w:u w:val="single"/>
                    </w:rPr>
                  </w:pPr>
                  <w:r>
                    <w:rPr>
                      <w:b/>
                      <w:szCs w:val="21"/>
                      <w:u w:val="single"/>
                    </w:rPr>
                    <w:t>有色金属</w:t>
                  </w:r>
                </w:p>
              </w:tc>
              <w:tc>
                <w:tcPr>
                  <w:tcW w:w="1226" w:type="dxa"/>
                  <w:vAlign w:val="center"/>
                </w:tcPr>
                <w:p w14:paraId="3207335C">
                  <w:pPr>
                    <w:jc w:val="center"/>
                    <w:rPr>
                      <w:b/>
                      <w:szCs w:val="21"/>
                      <w:u w:val="single"/>
                    </w:rPr>
                  </w:pPr>
                  <w:r>
                    <w:rPr>
                      <w:b/>
                      <w:szCs w:val="21"/>
                      <w:u w:val="single"/>
                    </w:rPr>
                    <w:t>14.5</w:t>
                  </w:r>
                </w:p>
              </w:tc>
              <w:tc>
                <w:tcPr>
                  <w:tcW w:w="1262" w:type="dxa"/>
                  <w:shd w:val="clear" w:color="auto" w:fill="auto"/>
                  <w:vAlign w:val="center"/>
                </w:tcPr>
                <w:p w14:paraId="594A0E29">
                  <w:pPr>
                    <w:jc w:val="center"/>
                    <w:rPr>
                      <w:b/>
                      <w:szCs w:val="21"/>
                      <w:u w:val="single"/>
                    </w:rPr>
                  </w:pPr>
                  <w:r>
                    <w:rPr>
                      <w:b/>
                      <w:szCs w:val="21"/>
                      <w:u w:val="single"/>
                    </w:rPr>
                    <w:t>10</w:t>
                  </w:r>
                </w:p>
              </w:tc>
              <w:tc>
                <w:tcPr>
                  <w:tcW w:w="1297" w:type="dxa"/>
                  <w:vAlign w:val="center"/>
                </w:tcPr>
                <w:p w14:paraId="090E2E83">
                  <w:pPr>
                    <w:jc w:val="center"/>
                    <w:rPr>
                      <w:b/>
                      <w:szCs w:val="21"/>
                      <w:u w:val="single"/>
                    </w:rPr>
                  </w:pPr>
                  <w:r>
                    <w:rPr>
                      <w:b/>
                      <w:szCs w:val="21"/>
                      <w:u w:val="single"/>
                    </w:rPr>
                    <w:t>24.5</w:t>
                  </w:r>
                </w:p>
              </w:tc>
              <w:tc>
                <w:tcPr>
                  <w:tcW w:w="2140" w:type="dxa"/>
                  <w:vMerge w:val="continue"/>
                  <w:vAlign w:val="center"/>
                </w:tcPr>
                <w:p w14:paraId="001B157C">
                  <w:pPr>
                    <w:adjustRightInd w:val="0"/>
                    <w:snapToGrid w:val="0"/>
                    <w:jc w:val="center"/>
                    <w:rPr>
                      <w:b/>
                      <w:szCs w:val="21"/>
                      <w:u w:val="single"/>
                    </w:rPr>
                  </w:pPr>
                </w:p>
              </w:tc>
            </w:tr>
            <w:tr w14:paraId="3F6F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59264906">
                  <w:pPr>
                    <w:adjustRightInd w:val="0"/>
                    <w:snapToGrid w:val="0"/>
                    <w:jc w:val="center"/>
                    <w:rPr>
                      <w:b/>
                      <w:szCs w:val="21"/>
                      <w:u w:val="single"/>
                    </w:rPr>
                  </w:pPr>
                  <w:r>
                    <w:rPr>
                      <w:b/>
                      <w:szCs w:val="21"/>
                      <w:u w:val="single"/>
                    </w:rPr>
                    <w:t>3</w:t>
                  </w:r>
                </w:p>
              </w:tc>
              <w:tc>
                <w:tcPr>
                  <w:tcW w:w="1817" w:type="dxa"/>
                  <w:gridSpan w:val="2"/>
                  <w:vAlign w:val="center"/>
                </w:tcPr>
                <w:p w14:paraId="2CCC5581">
                  <w:pPr>
                    <w:adjustRightInd w:val="0"/>
                    <w:snapToGrid w:val="0"/>
                    <w:jc w:val="center"/>
                    <w:rPr>
                      <w:b/>
                      <w:szCs w:val="21"/>
                      <w:u w:val="single"/>
                    </w:rPr>
                  </w:pPr>
                  <w:r>
                    <w:rPr>
                      <w:b/>
                      <w:szCs w:val="21"/>
                      <w:u w:val="single"/>
                    </w:rPr>
                    <w:t>塑料</w:t>
                  </w:r>
                </w:p>
              </w:tc>
              <w:tc>
                <w:tcPr>
                  <w:tcW w:w="1226" w:type="dxa"/>
                  <w:vAlign w:val="center"/>
                </w:tcPr>
                <w:p w14:paraId="35F9060A">
                  <w:pPr>
                    <w:jc w:val="center"/>
                    <w:rPr>
                      <w:b/>
                      <w:szCs w:val="21"/>
                      <w:u w:val="single"/>
                    </w:rPr>
                  </w:pPr>
                  <w:r>
                    <w:rPr>
                      <w:b/>
                      <w:szCs w:val="21"/>
                      <w:u w:val="single"/>
                    </w:rPr>
                    <w:t>1.3</w:t>
                  </w:r>
                </w:p>
              </w:tc>
              <w:tc>
                <w:tcPr>
                  <w:tcW w:w="1262" w:type="dxa"/>
                  <w:shd w:val="clear" w:color="auto" w:fill="auto"/>
                  <w:vAlign w:val="center"/>
                </w:tcPr>
                <w:p w14:paraId="2D696EBF">
                  <w:pPr>
                    <w:jc w:val="center"/>
                    <w:rPr>
                      <w:b/>
                      <w:szCs w:val="21"/>
                      <w:u w:val="single"/>
                    </w:rPr>
                  </w:pPr>
                  <w:r>
                    <w:rPr>
                      <w:b/>
                      <w:szCs w:val="21"/>
                      <w:u w:val="single"/>
                    </w:rPr>
                    <w:t>0.7</w:t>
                  </w:r>
                </w:p>
              </w:tc>
              <w:tc>
                <w:tcPr>
                  <w:tcW w:w="1297" w:type="dxa"/>
                  <w:vAlign w:val="center"/>
                </w:tcPr>
                <w:p w14:paraId="40CA694F">
                  <w:pPr>
                    <w:jc w:val="center"/>
                    <w:rPr>
                      <w:b/>
                      <w:szCs w:val="21"/>
                      <w:u w:val="single"/>
                    </w:rPr>
                  </w:pPr>
                  <w:r>
                    <w:rPr>
                      <w:b/>
                      <w:szCs w:val="21"/>
                      <w:u w:val="single"/>
                    </w:rPr>
                    <w:t>2.2</w:t>
                  </w:r>
                </w:p>
              </w:tc>
              <w:tc>
                <w:tcPr>
                  <w:tcW w:w="2140" w:type="dxa"/>
                  <w:vMerge w:val="continue"/>
                  <w:vAlign w:val="center"/>
                </w:tcPr>
                <w:p w14:paraId="3036BFF6">
                  <w:pPr>
                    <w:adjustRightInd w:val="0"/>
                    <w:snapToGrid w:val="0"/>
                    <w:jc w:val="center"/>
                    <w:rPr>
                      <w:b/>
                      <w:szCs w:val="21"/>
                      <w:u w:val="single"/>
                    </w:rPr>
                  </w:pPr>
                </w:p>
              </w:tc>
            </w:tr>
            <w:tr w14:paraId="6BBA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2147F7B7">
                  <w:pPr>
                    <w:adjustRightInd w:val="0"/>
                    <w:snapToGrid w:val="0"/>
                    <w:jc w:val="center"/>
                    <w:rPr>
                      <w:b/>
                      <w:szCs w:val="21"/>
                      <w:u w:val="single"/>
                    </w:rPr>
                  </w:pPr>
                  <w:r>
                    <w:rPr>
                      <w:b/>
                      <w:szCs w:val="21"/>
                      <w:u w:val="single"/>
                    </w:rPr>
                    <w:t>4</w:t>
                  </w:r>
                </w:p>
              </w:tc>
              <w:tc>
                <w:tcPr>
                  <w:tcW w:w="1817" w:type="dxa"/>
                  <w:gridSpan w:val="2"/>
                  <w:vAlign w:val="center"/>
                </w:tcPr>
                <w:p w14:paraId="60F6FCE6">
                  <w:pPr>
                    <w:adjustRightInd w:val="0"/>
                    <w:snapToGrid w:val="0"/>
                    <w:jc w:val="center"/>
                    <w:rPr>
                      <w:b/>
                      <w:szCs w:val="21"/>
                      <w:u w:val="single"/>
                    </w:rPr>
                  </w:pPr>
                  <w:r>
                    <w:rPr>
                      <w:b/>
                      <w:szCs w:val="21"/>
                      <w:u w:val="single"/>
                    </w:rPr>
                    <w:t>玻璃</w:t>
                  </w:r>
                </w:p>
              </w:tc>
              <w:tc>
                <w:tcPr>
                  <w:tcW w:w="1226" w:type="dxa"/>
                  <w:vAlign w:val="center"/>
                </w:tcPr>
                <w:p w14:paraId="7E50E016">
                  <w:pPr>
                    <w:jc w:val="center"/>
                    <w:rPr>
                      <w:b/>
                      <w:szCs w:val="21"/>
                      <w:u w:val="single"/>
                    </w:rPr>
                  </w:pPr>
                  <w:r>
                    <w:rPr>
                      <w:b/>
                      <w:szCs w:val="21"/>
                      <w:u w:val="single"/>
                    </w:rPr>
                    <w:t>1.5</w:t>
                  </w:r>
                </w:p>
              </w:tc>
              <w:tc>
                <w:tcPr>
                  <w:tcW w:w="1262" w:type="dxa"/>
                  <w:shd w:val="clear" w:color="auto" w:fill="auto"/>
                  <w:vAlign w:val="center"/>
                </w:tcPr>
                <w:p w14:paraId="7FB1B8B4">
                  <w:pPr>
                    <w:jc w:val="center"/>
                    <w:rPr>
                      <w:b/>
                      <w:szCs w:val="21"/>
                      <w:u w:val="single"/>
                    </w:rPr>
                  </w:pPr>
                  <w:r>
                    <w:rPr>
                      <w:b/>
                      <w:szCs w:val="21"/>
                      <w:u w:val="single"/>
                    </w:rPr>
                    <w:t>1.2</w:t>
                  </w:r>
                </w:p>
              </w:tc>
              <w:tc>
                <w:tcPr>
                  <w:tcW w:w="1297" w:type="dxa"/>
                  <w:vAlign w:val="center"/>
                </w:tcPr>
                <w:p w14:paraId="6007D663">
                  <w:pPr>
                    <w:jc w:val="center"/>
                    <w:rPr>
                      <w:b/>
                      <w:szCs w:val="21"/>
                      <w:u w:val="single"/>
                    </w:rPr>
                  </w:pPr>
                  <w:r>
                    <w:rPr>
                      <w:b/>
                      <w:szCs w:val="21"/>
                      <w:u w:val="single"/>
                    </w:rPr>
                    <w:t>2.7</w:t>
                  </w:r>
                </w:p>
              </w:tc>
              <w:tc>
                <w:tcPr>
                  <w:tcW w:w="2140" w:type="dxa"/>
                  <w:vMerge w:val="continue"/>
                  <w:vAlign w:val="center"/>
                </w:tcPr>
                <w:p w14:paraId="27B87DB1">
                  <w:pPr>
                    <w:adjustRightInd w:val="0"/>
                    <w:snapToGrid w:val="0"/>
                    <w:jc w:val="center"/>
                    <w:rPr>
                      <w:b/>
                      <w:szCs w:val="21"/>
                      <w:u w:val="single"/>
                    </w:rPr>
                  </w:pPr>
                </w:p>
              </w:tc>
            </w:tr>
            <w:tr w14:paraId="2041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73B58A6F">
                  <w:pPr>
                    <w:adjustRightInd w:val="0"/>
                    <w:snapToGrid w:val="0"/>
                    <w:jc w:val="center"/>
                    <w:rPr>
                      <w:b/>
                      <w:szCs w:val="21"/>
                      <w:u w:val="single"/>
                    </w:rPr>
                  </w:pPr>
                  <w:r>
                    <w:rPr>
                      <w:b/>
                      <w:szCs w:val="21"/>
                      <w:u w:val="single"/>
                    </w:rPr>
                    <w:t>5</w:t>
                  </w:r>
                </w:p>
              </w:tc>
              <w:tc>
                <w:tcPr>
                  <w:tcW w:w="1817" w:type="dxa"/>
                  <w:gridSpan w:val="2"/>
                  <w:vAlign w:val="center"/>
                </w:tcPr>
                <w:p w14:paraId="168CBBB0">
                  <w:pPr>
                    <w:adjustRightInd w:val="0"/>
                    <w:snapToGrid w:val="0"/>
                    <w:jc w:val="center"/>
                    <w:rPr>
                      <w:b/>
                      <w:szCs w:val="21"/>
                      <w:u w:val="single"/>
                    </w:rPr>
                  </w:pPr>
                  <w:r>
                    <w:rPr>
                      <w:b/>
                      <w:szCs w:val="21"/>
                      <w:u w:val="single"/>
                    </w:rPr>
                    <w:t>橡胶</w:t>
                  </w:r>
                </w:p>
              </w:tc>
              <w:tc>
                <w:tcPr>
                  <w:tcW w:w="1226" w:type="dxa"/>
                  <w:vAlign w:val="center"/>
                </w:tcPr>
                <w:p w14:paraId="3009100D">
                  <w:pPr>
                    <w:jc w:val="center"/>
                    <w:rPr>
                      <w:b/>
                      <w:szCs w:val="21"/>
                      <w:u w:val="single"/>
                    </w:rPr>
                  </w:pPr>
                  <w:r>
                    <w:rPr>
                      <w:b/>
                      <w:szCs w:val="21"/>
                      <w:u w:val="single"/>
                    </w:rPr>
                    <w:t>5.5</w:t>
                  </w:r>
                </w:p>
              </w:tc>
              <w:tc>
                <w:tcPr>
                  <w:tcW w:w="1262" w:type="dxa"/>
                  <w:shd w:val="clear" w:color="auto" w:fill="auto"/>
                  <w:vAlign w:val="center"/>
                </w:tcPr>
                <w:p w14:paraId="66B996A4">
                  <w:pPr>
                    <w:jc w:val="center"/>
                    <w:rPr>
                      <w:b/>
                      <w:szCs w:val="21"/>
                      <w:u w:val="single"/>
                    </w:rPr>
                  </w:pPr>
                  <w:r>
                    <w:rPr>
                      <w:b/>
                      <w:szCs w:val="21"/>
                      <w:u w:val="single"/>
                    </w:rPr>
                    <w:t>2.8</w:t>
                  </w:r>
                </w:p>
              </w:tc>
              <w:tc>
                <w:tcPr>
                  <w:tcW w:w="1297" w:type="dxa"/>
                  <w:vAlign w:val="center"/>
                </w:tcPr>
                <w:p w14:paraId="78D4FC33">
                  <w:pPr>
                    <w:jc w:val="center"/>
                    <w:rPr>
                      <w:b/>
                      <w:szCs w:val="21"/>
                      <w:u w:val="single"/>
                    </w:rPr>
                  </w:pPr>
                  <w:r>
                    <w:rPr>
                      <w:b/>
                      <w:szCs w:val="21"/>
                      <w:u w:val="single"/>
                    </w:rPr>
                    <w:t>8.5</w:t>
                  </w:r>
                </w:p>
              </w:tc>
              <w:tc>
                <w:tcPr>
                  <w:tcW w:w="2140" w:type="dxa"/>
                  <w:vMerge w:val="continue"/>
                  <w:vAlign w:val="center"/>
                </w:tcPr>
                <w:p w14:paraId="1DDC1C94">
                  <w:pPr>
                    <w:adjustRightInd w:val="0"/>
                    <w:snapToGrid w:val="0"/>
                    <w:jc w:val="center"/>
                    <w:rPr>
                      <w:b/>
                      <w:szCs w:val="21"/>
                      <w:u w:val="single"/>
                    </w:rPr>
                  </w:pPr>
                </w:p>
              </w:tc>
            </w:tr>
            <w:tr w14:paraId="17C8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7A3E59D9">
                  <w:pPr>
                    <w:adjustRightInd w:val="0"/>
                    <w:snapToGrid w:val="0"/>
                    <w:jc w:val="center"/>
                    <w:rPr>
                      <w:b/>
                      <w:szCs w:val="21"/>
                      <w:u w:val="single"/>
                    </w:rPr>
                  </w:pPr>
                  <w:r>
                    <w:rPr>
                      <w:b/>
                      <w:szCs w:val="21"/>
                      <w:u w:val="single"/>
                    </w:rPr>
                    <w:t>6</w:t>
                  </w:r>
                </w:p>
              </w:tc>
              <w:tc>
                <w:tcPr>
                  <w:tcW w:w="1817" w:type="dxa"/>
                  <w:gridSpan w:val="2"/>
                  <w:vAlign w:val="center"/>
                </w:tcPr>
                <w:p w14:paraId="4509D47D">
                  <w:pPr>
                    <w:adjustRightInd w:val="0"/>
                    <w:snapToGrid w:val="0"/>
                    <w:jc w:val="center"/>
                    <w:rPr>
                      <w:b/>
                      <w:szCs w:val="21"/>
                      <w:u w:val="single"/>
                    </w:rPr>
                  </w:pPr>
                  <w:r>
                    <w:rPr>
                      <w:b/>
                      <w:szCs w:val="21"/>
                      <w:u w:val="single"/>
                    </w:rPr>
                    <w:t>可用零部件</w:t>
                  </w:r>
                </w:p>
              </w:tc>
              <w:tc>
                <w:tcPr>
                  <w:tcW w:w="1226" w:type="dxa"/>
                  <w:vAlign w:val="center"/>
                </w:tcPr>
                <w:p w14:paraId="2529A697">
                  <w:pPr>
                    <w:jc w:val="center"/>
                    <w:rPr>
                      <w:b/>
                      <w:szCs w:val="21"/>
                      <w:u w:val="single"/>
                    </w:rPr>
                  </w:pPr>
                  <w:r>
                    <w:rPr>
                      <w:b/>
                      <w:szCs w:val="21"/>
                      <w:u w:val="single"/>
                    </w:rPr>
                    <w:t>4.3</w:t>
                  </w:r>
                </w:p>
              </w:tc>
              <w:tc>
                <w:tcPr>
                  <w:tcW w:w="1262" w:type="dxa"/>
                  <w:shd w:val="clear" w:color="auto" w:fill="auto"/>
                  <w:vAlign w:val="center"/>
                </w:tcPr>
                <w:p w14:paraId="49E8A6E7">
                  <w:pPr>
                    <w:jc w:val="center"/>
                    <w:rPr>
                      <w:b/>
                      <w:szCs w:val="21"/>
                      <w:u w:val="single"/>
                    </w:rPr>
                  </w:pPr>
                  <w:r>
                    <w:rPr>
                      <w:b/>
                      <w:szCs w:val="21"/>
                      <w:u w:val="single"/>
                    </w:rPr>
                    <w:t>2.4</w:t>
                  </w:r>
                </w:p>
              </w:tc>
              <w:tc>
                <w:tcPr>
                  <w:tcW w:w="1297" w:type="dxa"/>
                  <w:vAlign w:val="center"/>
                </w:tcPr>
                <w:p w14:paraId="7D57C0A9">
                  <w:pPr>
                    <w:jc w:val="center"/>
                    <w:rPr>
                      <w:b/>
                      <w:szCs w:val="21"/>
                      <w:u w:val="single"/>
                    </w:rPr>
                  </w:pPr>
                  <w:r>
                    <w:rPr>
                      <w:b/>
                      <w:szCs w:val="21"/>
                      <w:u w:val="single"/>
                    </w:rPr>
                    <w:t>6.7</w:t>
                  </w:r>
                </w:p>
              </w:tc>
              <w:tc>
                <w:tcPr>
                  <w:tcW w:w="2140" w:type="dxa"/>
                  <w:vMerge w:val="continue"/>
                  <w:vAlign w:val="center"/>
                </w:tcPr>
                <w:p w14:paraId="2A86FDF2">
                  <w:pPr>
                    <w:adjustRightInd w:val="0"/>
                    <w:snapToGrid w:val="0"/>
                    <w:jc w:val="center"/>
                    <w:rPr>
                      <w:b/>
                      <w:szCs w:val="21"/>
                      <w:u w:val="single"/>
                    </w:rPr>
                  </w:pPr>
                </w:p>
              </w:tc>
            </w:tr>
            <w:tr w14:paraId="11FD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0" w:type="dxa"/>
                  <w:vAlign w:val="center"/>
                </w:tcPr>
                <w:p w14:paraId="120A1A58">
                  <w:pPr>
                    <w:adjustRightInd w:val="0"/>
                    <w:snapToGrid w:val="0"/>
                    <w:jc w:val="center"/>
                    <w:rPr>
                      <w:b/>
                      <w:szCs w:val="21"/>
                      <w:u w:val="single"/>
                    </w:rPr>
                  </w:pPr>
                  <w:r>
                    <w:rPr>
                      <w:b/>
                      <w:szCs w:val="21"/>
                      <w:u w:val="single"/>
                    </w:rPr>
                    <w:t>7</w:t>
                  </w:r>
                </w:p>
              </w:tc>
              <w:tc>
                <w:tcPr>
                  <w:tcW w:w="1817" w:type="dxa"/>
                  <w:gridSpan w:val="2"/>
                  <w:vAlign w:val="center"/>
                </w:tcPr>
                <w:p w14:paraId="28A16EC6">
                  <w:pPr>
                    <w:adjustRightInd w:val="0"/>
                    <w:snapToGrid w:val="0"/>
                    <w:jc w:val="center"/>
                    <w:rPr>
                      <w:b/>
                      <w:szCs w:val="21"/>
                      <w:u w:val="single"/>
                    </w:rPr>
                  </w:pPr>
                  <w:r>
                    <w:rPr>
                      <w:b/>
                      <w:szCs w:val="21"/>
                      <w:u w:val="single"/>
                    </w:rPr>
                    <w:t>不可利用物</w:t>
                  </w:r>
                </w:p>
              </w:tc>
              <w:tc>
                <w:tcPr>
                  <w:tcW w:w="1226" w:type="dxa"/>
                  <w:vAlign w:val="center"/>
                </w:tcPr>
                <w:p w14:paraId="54235C5F">
                  <w:pPr>
                    <w:jc w:val="center"/>
                    <w:rPr>
                      <w:b/>
                      <w:szCs w:val="21"/>
                      <w:u w:val="single"/>
                    </w:rPr>
                  </w:pPr>
                  <w:r>
                    <w:rPr>
                      <w:b/>
                      <w:szCs w:val="21"/>
                      <w:u w:val="single"/>
                    </w:rPr>
                    <w:t>1</w:t>
                  </w:r>
                </w:p>
              </w:tc>
              <w:tc>
                <w:tcPr>
                  <w:tcW w:w="1262" w:type="dxa"/>
                  <w:shd w:val="clear" w:color="auto" w:fill="auto"/>
                  <w:vAlign w:val="center"/>
                </w:tcPr>
                <w:p w14:paraId="6B9B9C6C">
                  <w:pPr>
                    <w:jc w:val="center"/>
                    <w:rPr>
                      <w:b/>
                      <w:szCs w:val="21"/>
                      <w:u w:val="single"/>
                    </w:rPr>
                  </w:pPr>
                  <w:r>
                    <w:rPr>
                      <w:b/>
                      <w:szCs w:val="21"/>
                      <w:u w:val="single"/>
                    </w:rPr>
                    <w:t>0.5</w:t>
                  </w:r>
                </w:p>
              </w:tc>
              <w:tc>
                <w:tcPr>
                  <w:tcW w:w="1297" w:type="dxa"/>
                  <w:vAlign w:val="center"/>
                </w:tcPr>
                <w:p w14:paraId="4BCCDB5D">
                  <w:pPr>
                    <w:jc w:val="center"/>
                    <w:rPr>
                      <w:b/>
                      <w:szCs w:val="21"/>
                      <w:u w:val="single"/>
                    </w:rPr>
                  </w:pPr>
                  <w:r>
                    <w:rPr>
                      <w:b/>
                      <w:szCs w:val="21"/>
                      <w:u w:val="single"/>
                    </w:rPr>
                    <w:t>1.5</w:t>
                  </w:r>
                </w:p>
              </w:tc>
              <w:tc>
                <w:tcPr>
                  <w:tcW w:w="2140" w:type="dxa"/>
                  <w:vAlign w:val="center"/>
                </w:tcPr>
                <w:p w14:paraId="0D0849A4">
                  <w:pPr>
                    <w:adjustRightInd w:val="0"/>
                    <w:snapToGrid w:val="0"/>
                    <w:jc w:val="center"/>
                    <w:rPr>
                      <w:b/>
                      <w:szCs w:val="21"/>
                      <w:u w:val="single"/>
                    </w:rPr>
                  </w:pPr>
                  <w:r>
                    <w:rPr>
                      <w:b/>
                      <w:szCs w:val="21"/>
                      <w:u w:val="single"/>
                    </w:rPr>
                    <w:t>交由环卫部门统一处理</w:t>
                  </w:r>
                </w:p>
              </w:tc>
            </w:tr>
            <w:tr w14:paraId="5C07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05" w:type="dxa"/>
                  <w:gridSpan w:val="5"/>
                  <w:vAlign w:val="center"/>
                </w:tcPr>
                <w:p w14:paraId="532D885E">
                  <w:pPr>
                    <w:jc w:val="center"/>
                    <w:rPr>
                      <w:b/>
                      <w:szCs w:val="21"/>
                      <w:u w:val="single"/>
                    </w:rPr>
                  </w:pPr>
                  <w:r>
                    <w:rPr>
                      <w:rFonts w:hint="eastAsia"/>
                      <w:b/>
                      <w:szCs w:val="21"/>
                      <w:u w:val="single"/>
                    </w:rPr>
                    <w:t>以上合计</w:t>
                  </w:r>
                </w:p>
              </w:tc>
              <w:tc>
                <w:tcPr>
                  <w:tcW w:w="1297" w:type="dxa"/>
                  <w:vAlign w:val="center"/>
                </w:tcPr>
                <w:p w14:paraId="14D54E2D">
                  <w:pPr>
                    <w:adjustRightInd w:val="0"/>
                    <w:snapToGrid w:val="0"/>
                    <w:jc w:val="center"/>
                    <w:rPr>
                      <w:b/>
                      <w:szCs w:val="21"/>
                      <w:u w:val="single"/>
                    </w:rPr>
                  </w:pPr>
                  <w:r>
                    <w:rPr>
                      <w:b/>
                      <w:szCs w:val="21"/>
                      <w:u w:val="single"/>
                    </w:rPr>
                    <w:t>141.1</w:t>
                  </w:r>
                </w:p>
              </w:tc>
              <w:tc>
                <w:tcPr>
                  <w:tcW w:w="2140" w:type="dxa"/>
                  <w:vAlign w:val="center"/>
                </w:tcPr>
                <w:p w14:paraId="5624C786">
                  <w:pPr>
                    <w:adjustRightInd w:val="0"/>
                    <w:snapToGrid w:val="0"/>
                    <w:jc w:val="center"/>
                    <w:rPr>
                      <w:b/>
                      <w:szCs w:val="21"/>
                      <w:u w:val="single"/>
                    </w:rPr>
                  </w:pPr>
                  <w:r>
                    <w:rPr>
                      <w:b/>
                      <w:szCs w:val="21"/>
                      <w:u w:val="single"/>
                    </w:rPr>
                    <w:t>/</w:t>
                  </w:r>
                </w:p>
              </w:tc>
            </w:tr>
            <w:tr w14:paraId="749B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 w:hRule="atLeast"/>
                <w:jc w:val="center"/>
              </w:trPr>
              <w:tc>
                <w:tcPr>
                  <w:tcW w:w="600" w:type="dxa"/>
                  <w:vAlign w:val="center"/>
                </w:tcPr>
                <w:p w14:paraId="1C8F90FB">
                  <w:pPr>
                    <w:adjustRightInd w:val="0"/>
                    <w:snapToGrid w:val="0"/>
                    <w:jc w:val="center"/>
                    <w:rPr>
                      <w:b/>
                      <w:szCs w:val="21"/>
                      <w:u w:val="single"/>
                    </w:rPr>
                  </w:pPr>
                  <w:r>
                    <w:rPr>
                      <w:rFonts w:hint="eastAsia"/>
                      <w:b/>
                      <w:szCs w:val="21"/>
                      <w:u w:val="single"/>
                    </w:rPr>
                    <w:t>8</w:t>
                  </w:r>
                </w:p>
              </w:tc>
              <w:tc>
                <w:tcPr>
                  <w:tcW w:w="709" w:type="dxa"/>
                  <w:vMerge w:val="restart"/>
                  <w:vAlign w:val="center"/>
                </w:tcPr>
                <w:p w14:paraId="4AB9B9E9">
                  <w:pPr>
                    <w:adjustRightInd w:val="0"/>
                    <w:snapToGrid w:val="0"/>
                    <w:jc w:val="center"/>
                    <w:rPr>
                      <w:b/>
                      <w:szCs w:val="21"/>
                      <w:u w:val="single"/>
                    </w:rPr>
                  </w:pPr>
                  <w:r>
                    <w:rPr>
                      <w:b/>
                      <w:szCs w:val="21"/>
                      <w:u w:val="single"/>
                    </w:rPr>
                    <w:t>废油液</w:t>
                  </w:r>
                </w:p>
              </w:tc>
              <w:tc>
                <w:tcPr>
                  <w:tcW w:w="1108" w:type="dxa"/>
                  <w:vAlign w:val="center"/>
                </w:tcPr>
                <w:p w14:paraId="521DF97C">
                  <w:pPr>
                    <w:adjustRightInd w:val="0"/>
                    <w:snapToGrid w:val="0"/>
                    <w:jc w:val="center"/>
                    <w:rPr>
                      <w:b/>
                      <w:szCs w:val="21"/>
                      <w:u w:val="single"/>
                    </w:rPr>
                  </w:pPr>
                  <w:r>
                    <w:rPr>
                      <w:b/>
                      <w:u w:val="single"/>
                    </w:rPr>
                    <w:t>残余燃油及其他矿物油</w:t>
                  </w:r>
                </w:p>
              </w:tc>
              <w:tc>
                <w:tcPr>
                  <w:tcW w:w="1226" w:type="dxa"/>
                  <w:shd w:val="clear" w:color="auto" w:fill="auto"/>
                  <w:vAlign w:val="center"/>
                </w:tcPr>
                <w:p w14:paraId="62F8DBB8">
                  <w:pPr>
                    <w:jc w:val="center"/>
                    <w:rPr>
                      <w:b/>
                      <w:szCs w:val="21"/>
                      <w:u w:val="single"/>
                    </w:rPr>
                  </w:pPr>
                  <w:r>
                    <w:rPr>
                      <w:b/>
                      <w:szCs w:val="21"/>
                      <w:u w:val="single"/>
                    </w:rPr>
                    <w:t>0.15</w:t>
                  </w:r>
                </w:p>
              </w:tc>
              <w:tc>
                <w:tcPr>
                  <w:tcW w:w="1262" w:type="dxa"/>
                  <w:shd w:val="clear" w:color="auto" w:fill="auto"/>
                  <w:vAlign w:val="center"/>
                </w:tcPr>
                <w:p w14:paraId="0011FB3D">
                  <w:pPr>
                    <w:jc w:val="center"/>
                    <w:rPr>
                      <w:b/>
                      <w:szCs w:val="21"/>
                      <w:u w:val="single"/>
                    </w:rPr>
                  </w:pPr>
                  <w:r>
                    <w:rPr>
                      <w:b/>
                      <w:szCs w:val="21"/>
                      <w:u w:val="single"/>
                    </w:rPr>
                    <w:t>0.1</w:t>
                  </w:r>
                </w:p>
              </w:tc>
              <w:tc>
                <w:tcPr>
                  <w:tcW w:w="1297" w:type="dxa"/>
                  <w:vAlign w:val="center"/>
                </w:tcPr>
                <w:p w14:paraId="4CDFFB06">
                  <w:pPr>
                    <w:jc w:val="center"/>
                    <w:rPr>
                      <w:b/>
                      <w:szCs w:val="21"/>
                      <w:u w:val="single"/>
                    </w:rPr>
                  </w:pPr>
                  <w:r>
                    <w:rPr>
                      <w:rFonts w:hint="eastAsia"/>
                      <w:b/>
                      <w:szCs w:val="21"/>
                      <w:u w:val="single"/>
                    </w:rPr>
                    <w:t>0</w:t>
                  </w:r>
                  <w:r>
                    <w:rPr>
                      <w:b/>
                      <w:szCs w:val="21"/>
                      <w:u w:val="single"/>
                    </w:rPr>
                    <w:t>.25</w:t>
                  </w:r>
                </w:p>
              </w:tc>
              <w:tc>
                <w:tcPr>
                  <w:tcW w:w="2140" w:type="dxa"/>
                  <w:vMerge w:val="restart"/>
                  <w:vAlign w:val="center"/>
                </w:tcPr>
                <w:p w14:paraId="47ADE0EF">
                  <w:pPr>
                    <w:adjustRightInd w:val="0"/>
                    <w:snapToGrid w:val="0"/>
                    <w:jc w:val="center"/>
                    <w:rPr>
                      <w:b/>
                      <w:szCs w:val="21"/>
                      <w:u w:val="single"/>
                    </w:rPr>
                  </w:pPr>
                  <w:r>
                    <w:rPr>
                      <w:b/>
                      <w:szCs w:val="21"/>
                      <w:u w:val="single"/>
                    </w:rPr>
                    <w:t>交由有资质单位处置</w:t>
                  </w:r>
                </w:p>
              </w:tc>
            </w:tr>
            <w:tr w14:paraId="60A2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0" w:type="dxa"/>
                  <w:vAlign w:val="center"/>
                </w:tcPr>
                <w:p w14:paraId="7AEC4DD0">
                  <w:pPr>
                    <w:adjustRightInd w:val="0"/>
                    <w:snapToGrid w:val="0"/>
                    <w:jc w:val="center"/>
                    <w:rPr>
                      <w:b/>
                      <w:u w:val="single"/>
                    </w:rPr>
                  </w:pPr>
                  <w:r>
                    <w:rPr>
                      <w:b/>
                      <w:szCs w:val="21"/>
                      <w:u w:val="single"/>
                    </w:rPr>
                    <w:t>9</w:t>
                  </w:r>
                </w:p>
              </w:tc>
              <w:tc>
                <w:tcPr>
                  <w:tcW w:w="709" w:type="dxa"/>
                  <w:vMerge w:val="continue"/>
                  <w:vAlign w:val="center"/>
                </w:tcPr>
                <w:p w14:paraId="567230C1">
                  <w:pPr>
                    <w:adjustRightInd w:val="0"/>
                    <w:snapToGrid w:val="0"/>
                    <w:jc w:val="center"/>
                    <w:rPr>
                      <w:b/>
                      <w:u w:val="single"/>
                    </w:rPr>
                  </w:pPr>
                </w:p>
              </w:tc>
              <w:tc>
                <w:tcPr>
                  <w:tcW w:w="1108" w:type="dxa"/>
                  <w:vAlign w:val="center"/>
                </w:tcPr>
                <w:p w14:paraId="75C53041">
                  <w:pPr>
                    <w:adjustRightInd w:val="0"/>
                    <w:snapToGrid w:val="0"/>
                    <w:jc w:val="center"/>
                    <w:rPr>
                      <w:b/>
                      <w:szCs w:val="21"/>
                      <w:u w:val="single"/>
                    </w:rPr>
                  </w:pPr>
                  <w:r>
                    <w:rPr>
                      <w:b/>
                      <w:u w:val="single"/>
                    </w:rPr>
                    <w:t>废防冻液</w:t>
                  </w:r>
                </w:p>
              </w:tc>
              <w:tc>
                <w:tcPr>
                  <w:tcW w:w="1226" w:type="dxa"/>
                  <w:shd w:val="clear" w:color="auto" w:fill="auto"/>
                  <w:vAlign w:val="center"/>
                </w:tcPr>
                <w:p w14:paraId="28D92D25">
                  <w:pPr>
                    <w:jc w:val="center"/>
                    <w:rPr>
                      <w:b/>
                      <w:szCs w:val="21"/>
                      <w:u w:val="single"/>
                    </w:rPr>
                  </w:pPr>
                  <w:r>
                    <w:rPr>
                      <w:b/>
                      <w:szCs w:val="21"/>
                      <w:u w:val="single"/>
                    </w:rPr>
                    <w:t>0.25</w:t>
                  </w:r>
                </w:p>
              </w:tc>
              <w:tc>
                <w:tcPr>
                  <w:tcW w:w="1262" w:type="dxa"/>
                  <w:shd w:val="clear" w:color="auto" w:fill="auto"/>
                  <w:vAlign w:val="center"/>
                </w:tcPr>
                <w:p w14:paraId="2EA59DEA">
                  <w:pPr>
                    <w:jc w:val="center"/>
                    <w:rPr>
                      <w:b/>
                      <w:szCs w:val="21"/>
                      <w:u w:val="single"/>
                    </w:rPr>
                  </w:pPr>
                  <w:r>
                    <w:rPr>
                      <w:b/>
                      <w:szCs w:val="21"/>
                      <w:u w:val="single"/>
                    </w:rPr>
                    <w:t>0.25</w:t>
                  </w:r>
                </w:p>
              </w:tc>
              <w:tc>
                <w:tcPr>
                  <w:tcW w:w="1297" w:type="dxa"/>
                  <w:vAlign w:val="center"/>
                </w:tcPr>
                <w:p w14:paraId="22A7D9B3">
                  <w:pPr>
                    <w:jc w:val="center"/>
                    <w:rPr>
                      <w:b/>
                      <w:szCs w:val="21"/>
                      <w:u w:val="single"/>
                    </w:rPr>
                  </w:pPr>
                  <w:r>
                    <w:rPr>
                      <w:rFonts w:hint="eastAsia"/>
                      <w:b/>
                      <w:szCs w:val="21"/>
                      <w:u w:val="single"/>
                    </w:rPr>
                    <w:t>0</w:t>
                  </w:r>
                  <w:r>
                    <w:rPr>
                      <w:b/>
                      <w:szCs w:val="21"/>
                      <w:u w:val="single"/>
                    </w:rPr>
                    <w:t>.5</w:t>
                  </w:r>
                </w:p>
              </w:tc>
              <w:tc>
                <w:tcPr>
                  <w:tcW w:w="2140" w:type="dxa"/>
                  <w:vMerge w:val="continue"/>
                  <w:vAlign w:val="center"/>
                </w:tcPr>
                <w:p w14:paraId="1C576AA4">
                  <w:pPr>
                    <w:adjustRightInd w:val="0"/>
                    <w:snapToGrid w:val="0"/>
                    <w:jc w:val="center"/>
                    <w:rPr>
                      <w:b/>
                      <w:szCs w:val="21"/>
                      <w:u w:val="single"/>
                    </w:rPr>
                  </w:pPr>
                </w:p>
              </w:tc>
            </w:tr>
            <w:tr w14:paraId="76D4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 w:hRule="atLeast"/>
                <w:jc w:val="center"/>
              </w:trPr>
              <w:tc>
                <w:tcPr>
                  <w:tcW w:w="600" w:type="dxa"/>
                  <w:vAlign w:val="center"/>
                </w:tcPr>
                <w:p w14:paraId="62C83012">
                  <w:pPr>
                    <w:adjustRightInd w:val="0"/>
                    <w:snapToGrid w:val="0"/>
                    <w:jc w:val="center"/>
                    <w:rPr>
                      <w:b/>
                      <w:u w:val="single"/>
                    </w:rPr>
                  </w:pPr>
                  <w:r>
                    <w:rPr>
                      <w:b/>
                      <w:u w:val="single"/>
                    </w:rPr>
                    <w:t>10</w:t>
                  </w:r>
                </w:p>
              </w:tc>
              <w:tc>
                <w:tcPr>
                  <w:tcW w:w="709" w:type="dxa"/>
                  <w:vMerge w:val="continue"/>
                  <w:vAlign w:val="center"/>
                </w:tcPr>
                <w:p w14:paraId="34E91614">
                  <w:pPr>
                    <w:adjustRightInd w:val="0"/>
                    <w:snapToGrid w:val="0"/>
                    <w:jc w:val="center"/>
                    <w:rPr>
                      <w:b/>
                      <w:u w:val="single"/>
                    </w:rPr>
                  </w:pPr>
                </w:p>
              </w:tc>
              <w:tc>
                <w:tcPr>
                  <w:tcW w:w="1108" w:type="dxa"/>
                  <w:vAlign w:val="center"/>
                </w:tcPr>
                <w:p w14:paraId="6D00DA8D">
                  <w:pPr>
                    <w:adjustRightInd w:val="0"/>
                    <w:snapToGrid w:val="0"/>
                    <w:jc w:val="center"/>
                    <w:rPr>
                      <w:b/>
                      <w:szCs w:val="21"/>
                      <w:u w:val="single"/>
                    </w:rPr>
                  </w:pPr>
                  <w:r>
                    <w:rPr>
                      <w:b/>
                      <w:u w:val="single"/>
                    </w:rPr>
                    <w:t>废液压油</w:t>
                  </w:r>
                </w:p>
              </w:tc>
              <w:tc>
                <w:tcPr>
                  <w:tcW w:w="1226" w:type="dxa"/>
                  <w:shd w:val="clear" w:color="auto" w:fill="auto"/>
                  <w:vAlign w:val="center"/>
                </w:tcPr>
                <w:p w14:paraId="54CD3288">
                  <w:pPr>
                    <w:jc w:val="center"/>
                    <w:rPr>
                      <w:b/>
                      <w:szCs w:val="21"/>
                      <w:u w:val="single"/>
                    </w:rPr>
                  </w:pPr>
                  <w:r>
                    <w:rPr>
                      <w:b/>
                      <w:szCs w:val="21"/>
                      <w:u w:val="single"/>
                    </w:rPr>
                    <w:t>0.25</w:t>
                  </w:r>
                </w:p>
              </w:tc>
              <w:tc>
                <w:tcPr>
                  <w:tcW w:w="1262" w:type="dxa"/>
                  <w:shd w:val="clear" w:color="auto" w:fill="auto"/>
                  <w:vAlign w:val="center"/>
                </w:tcPr>
                <w:p w14:paraId="5F18670B">
                  <w:pPr>
                    <w:jc w:val="center"/>
                    <w:rPr>
                      <w:b/>
                      <w:szCs w:val="21"/>
                      <w:u w:val="single"/>
                    </w:rPr>
                  </w:pPr>
                  <w:r>
                    <w:rPr>
                      <w:b/>
                      <w:szCs w:val="21"/>
                      <w:u w:val="single"/>
                    </w:rPr>
                    <w:t>0.25</w:t>
                  </w:r>
                </w:p>
              </w:tc>
              <w:tc>
                <w:tcPr>
                  <w:tcW w:w="1297" w:type="dxa"/>
                  <w:vAlign w:val="center"/>
                </w:tcPr>
                <w:p w14:paraId="4635F074">
                  <w:pPr>
                    <w:jc w:val="center"/>
                    <w:rPr>
                      <w:b/>
                      <w:szCs w:val="21"/>
                      <w:u w:val="single"/>
                    </w:rPr>
                  </w:pPr>
                  <w:r>
                    <w:rPr>
                      <w:rFonts w:hint="eastAsia"/>
                      <w:b/>
                      <w:szCs w:val="21"/>
                      <w:u w:val="single"/>
                    </w:rPr>
                    <w:t>0</w:t>
                  </w:r>
                  <w:r>
                    <w:rPr>
                      <w:b/>
                      <w:szCs w:val="21"/>
                      <w:u w:val="single"/>
                    </w:rPr>
                    <w:t>.5</w:t>
                  </w:r>
                </w:p>
              </w:tc>
              <w:tc>
                <w:tcPr>
                  <w:tcW w:w="2140" w:type="dxa"/>
                  <w:vMerge w:val="continue"/>
                  <w:vAlign w:val="center"/>
                </w:tcPr>
                <w:p w14:paraId="1E567BB8">
                  <w:pPr>
                    <w:adjustRightInd w:val="0"/>
                    <w:snapToGrid w:val="0"/>
                    <w:jc w:val="center"/>
                    <w:rPr>
                      <w:b/>
                      <w:szCs w:val="21"/>
                      <w:u w:val="single"/>
                    </w:rPr>
                  </w:pPr>
                </w:p>
              </w:tc>
            </w:tr>
            <w:tr w14:paraId="215E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626F80FC">
                  <w:pPr>
                    <w:adjustRightInd w:val="0"/>
                    <w:snapToGrid w:val="0"/>
                    <w:jc w:val="center"/>
                    <w:rPr>
                      <w:b/>
                      <w:szCs w:val="21"/>
                      <w:u w:val="single"/>
                    </w:rPr>
                  </w:pPr>
                  <w:r>
                    <w:rPr>
                      <w:b/>
                      <w:u w:val="single"/>
                    </w:rPr>
                    <w:t>11</w:t>
                  </w:r>
                </w:p>
              </w:tc>
              <w:tc>
                <w:tcPr>
                  <w:tcW w:w="1817" w:type="dxa"/>
                  <w:gridSpan w:val="2"/>
                  <w:vAlign w:val="center"/>
                </w:tcPr>
                <w:p w14:paraId="6AB43A28">
                  <w:pPr>
                    <w:adjustRightInd w:val="0"/>
                    <w:snapToGrid w:val="0"/>
                    <w:jc w:val="center"/>
                    <w:rPr>
                      <w:b/>
                      <w:szCs w:val="21"/>
                      <w:u w:val="single"/>
                    </w:rPr>
                  </w:pPr>
                  <w:r>
                    <w:rPr>
                      <w:b/>
                      <w:szCs w:val="21"/>
                      <w:u w:val="single"/>
                    </w:rPr>
                    <w:t>废油箱</w:t>
                  </w:r>
                </w:p>
              </w:tc>
              <w:tc>
                <w:tcPr>
                  <w:tcW w:w="1226" w:type="dxa"/>
                  <w:vAlign w:val="center"/>
                </w:tcPr>
                <w:p w14:paraId="1F27FEFA">
                  <w:pPr>
                    <w:jc w:val="center"/>
                    <w:rPr>
                      <w:b/>
                      <w:szCs w:val="21"/>
                      <w:u w:val="single"/>
                    </w:rPr>
                  </w:pPr>
                  <w:r>
                    <w:rPr>
                      <w:b/>
                      <w:szCs w:val="21"/>
                      <w:u w:val="single"/>
                    </w:rPr>
                    <w:t>1.6</w:t>
                  </w:r>
                </w:p>
              </w:tc>
              <w:tc>
                <w:tcPr>
                  <w:tcW w:w="1262" w:type="dxa"/>
                  <w:shd w:val="clear" w:color="auto" w:fill="auto"/>
                  <w:vAlign w:val="center"/>
                </w:tcPr>
                <w:p w14:paraId="5C6D8C9E">
                  <w:pPr>
                    <w:jc w:val="center"/>
                    <w:rPr>
                      <w:b/>
                      <w:szCs w:val="21"/>
                      <w:u w:val="single"/>
                    </w:rPr>
                  </w:pPr>
                  <w:r>
                    <w:rPr>
                      <w:b/>
                      <w:szCs w:val="21"/>
                      <w:u w:val="single"/>
                    </w:rPr>
                    <w:t>0.8</w:t>
                  </w:r>
                </w:p>
              </w:tc>
              <w:tc>
                <w:tcPr>
                  <w:tcW w:w="1297" w:type="dxa"/>
                  <w:vAlign w:val="center"/>
                </w:tcPr>
                <w:p w14:paraId="71B87465">
                  <w:pPr>
                    <w:jc w:val="center"/>
                    <w:rPr>
                      <w:b/>
                      <w:szCs w:val="21"/>
                      <w:u w:val="single"/>
                    </w:rPr>
                  </w:pPr>
                  <w:r>
                    <w:rPr>
                      <w:b/>
                      <w:szCs w:val="21"/>
                      <w:u w:val="single"/>
                    </w:rPr>
                    <w:t>2.4</w:t>
                  </w:r>
                </w:p>
              </w:tc>
              <w:tc>
                <w:tcPr>
                  <w:tcW w:w="2140" w:type="dxa"/>
                  <w:vMerge w:val="continue"/>
                  <w:vAlign w:val="center"/>
                </w:tcPr>
                <w:p w14:paraId="4C562F37">
                  <w:pPr>
                    <w:adjustRightInd w:val="0"/>
                    <w:snapToGrid w:val="0"/>
                    <w:jc w:val="center"/>
                    <w:rPr>
                      <w:b/>
                      <w:szCs w:val="21"/>
                      <w:u w:val="single"/>
                    </w:rPr>
                  </w:pPr>
                </w:p>
              </w:tc>
            </w:tr>
            <w:tr w14:paraId="551F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36DC7219">
                  <w:pPr>
                    <w:adjustRightInd w:val="0"/>
                    <w:snapToGrid w:val="0"/>
                    <w:jc w:val="center"/>
                    <w:rPr>
                      <w:b/>
                      <w:szCs w:val="21"/>
                      <w:u w:val="single"/>
                    </w:rPr>
                  </w:pPr>
                  <w:r>
                    <w:rPr>
                      <w:b/>
                      <w:szCs w:val="21"/>
                      <w:u w:val="single"/>
                    </w:rPr>
                    <w:t>14</w:t>
                  </w:r>
                </w:p>
              </w:tc>
              <w:tc>
                <w:tcPr>
                  <w:tcW w:w="1817" w:type="dxa"/>
                  <w:gridSpan w:val="2"/>
                  <w:vAlign w:val="center"/>
                </w:tcPr>
                <w:p w14:paraId="4211EFE4">
                  <w:pPr>
                    <w:adjustRightInd w:val="0"/>
                    <w:snapToGrid w:val="0"/>
                    <w:jc w:val="center"/>
                    <w:rPr>
                      <w:b/>
                      <w:szCs w:val="21"/>
                      <w:u w:val="single"/>
                    </w:rPr>
                  </w:pPr>
                  <w:r>
                    <w:rPr>
                      <w:b/>
                      <w:szCs w:val="21"/>
                      <w:u w:val="single"/>
                    </w:rPr>
                    <w:t>废尾气净化装置</w:t>
                  </w:r>
                </w:p>
              </w:tc>
              <w:tc>
                <w:tcPr>
                  <w:tcW w:w="1226" w:type="dxa"/>
                  <w:shd w:val="clear" w:color="auto" w:fill="auto"/>
                  <w:vAlign w:val="center"/>
                </w:tcPr>
                <w:p w14:paraId="452CCA41">
                  <w:pPr>
                    <w:jc w:val="center"/>
                    <w:rPr>
                      <w:b/>
                      <w:szCs w:val="21"/>
                      <w:u w:val="single"/>
                    </w:rPr>
                  </w:pPr>
                  <w:r>
                    <w:rPr>
                      <w:b/>
                      <w:szCs w:val="21"/>
                      <w:u w:val="single"/>
                    </w:rPr>
                    <w:t>0.25</w:t>
                  </w:r>
                </w:p>
              </w:tc>
              <w:tc>
                <w:tcPr>
                  <w:tcW w:w="1262" w:type="dxa"/>
                  <w:shd w:val="clear" w:color="auto" w:fill="auto"/>
                  <w:vAlign w:val="center"/>
                </w:tcPr>
                <w:p w14:paraId="625803F1">
                  <w:pPr>
                    <w:jc w:val="center"/>
                    <w:rPr>
                      <w:b/>
                      <w:szCs w:val="21"/>
                      <w:u w:val="single"/>
                    </w:rPr>
                  </w:pPr>
                  <w:r>
                    <w:rPr>
                      <w:b/>
                      <w:szCs w:val="21"/>
                      <w:u w:val="single"/>
                    </w:rPr>
                    <w:t>0.1</w:t>
                  </w:r>
                </w:p>
              </w:tc>
              <w:tc>
                <w:tcPr>
                  <w:tcW w:w="1297" w:type="dxa"/>
                  <w:vAlign w:val="center"/>
                </w:tcPr>
                <w:p w14:paraId="659C16B4">
                  <w:pPr>
                    <w:jc w:val="center"/>
                    <w:rPr>
                      <w:b/>
                      <w:szCs w:val="21"/>
                      <w:u w:val="single"/>
                    </w:rPr>
                  </w:pPr>
                  <w:r>
                    <w:rPr>
                      <w:b/>
                      <w:szCs w:val="21"/>
                      <w:u w:val="single"/>
                    </w:rPr>
                    <w:t>0.35</w:t>
                  </w:r>
                </w:p>
              </w:tc>
              <w:tc>
                <w:tcPr>
                  <w:tcW w:w="2140" w:type="dxa"/>
                  <w:vMerge w:val="continue"/>
                  <w:vAlign w:val="center"/>
                </w:tcPr>
                <w:p w14:paraId="301FF5A5">
                  <w:pPr>
                    <w:adjustRightInd w:val="0"/>
                    <w:snapToGrid w:val="0"/>
                    <w:jc w:val="center"/>
                    <w:rPr>
                      <w:b/>
                      <w:szCs w:val="21"/>
                      <w:u w:val="single"/>
                    </w:rPr>
                  </w:pPr>
                </w:p>
              </w:tc>
            </w:tr>
            <w:tr w14:paraId="2D79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0" w:type="dxa"/>
                  <w:vAlign w:val="center"/>
                </w:tcPr>
                <w:p w14:paraId="37FA6A10">
                  <w:pPr>
                    <w:adjustRightInd w:val="0"/>
                    <w:snapToGrid w:val="0"/>
                    <w:jc w:val="center"/>
                    <w:rPr>
                      <w:b/>
                      <w:szCs w:val="21"/>
                      <w:u w:val="single"/>
                    </w:rPr>
                  </w:pPr>
                  <w:r>
                    <w:rPr>
                      <w:b/>
                      <w:szCs w:val="21"/>
                      <w:u w:val="single"/>
                    </w:rPr>
                    <w:t>15</w:t>
                  </w:r>
                </w:p>
              </w:tc>
              <w:tc>
                <w:tcPr>
                  <w:tcW w:w="1817" w:type="dxa"/>
                  <w:gridSpan w:val="2"/>
                  <w:vAlign w:val="center"/>
                </w:tcPr>
                <w:p w14:paraId="1CC3AC4D">
                  <w:pPr>
                    <w:adjustRightInd w:val="0"/>
                    <w:snapToGrid w:val="0"/>
                    <w:jc w:val="center"/>
                    <w:rPr>
                      <w:b/>
                      <w:szCs w:val="21"/>
                      <w:u w:val="single"/>
                    </w:rPr>
                  </w:pPr>
                  <w:r>
                    <w:rPr>
                      <w:b/>
                      <w:szCs w:val="21"/>
                      <w:u w:val="single"/>
                    </w:rPr>
                    <w:t>废机油滤清器</w:t>
                  </w:r>
                </w:p>
              </w:tc>
              <w:tc>
                <w:tcPr>
                  <w:tcW w:w="1226" w:type="dxa"/>
                  <w:shd w:val="clear" w:color="auto" w:fill="auto"/>
                  <w:vAlign w:val="center"/>
                </w:tcPr>
                <w:p w14:paraId="19B5BA33">
                  <w:pPr>
                    <w:jc w:val="center"/>
                    <w:rPr>
                      <w:b/>
                      <w:szCs w:val="21"/>
                      <w:u w:val="single"/>
                    </w:rPr>
                  </w:pPr>
                  <w:r>
                    <w:rPr>
                      <w:b/>
                      <w:szCs w:val="21"/>
                      <w:u w:val="single"/>
                    </w:rPr>
                    <w:t>0.15</w:t>
                  </w:r>
                </w:p>
              </w:tc>
              <w:tc>
                <w:tcPr>
                  <w:tcW w:w="1262" w:type="dxa"/>
                  <w:shd w:val="clear" w:color="auto" w:fill="auto"/>
                  <w:vAlign w:val="center"/>
                </w:tcPr>
                <w:p w14:paraId="6BB50127">
                  <w:pPr>
                    <w:jc w:val="center"/>
                    <w:rPr>
                      <w:b/>
                      <w:szCs w:val="21"/>
                      <w:u w:val="single"/>
                    </w:rPr>
                  </w:pPr>
                  <w:r>
                    <w:rPr>
                      <w:b/>
                      <w:szCs w:val="21"/>
                      <w:u w:val="single"/>
                    </w:rPr>
                    <w:t>0.05</w:t>
                  </w:r>
                </w:p>
              </w:tc>
              <w:tc>
                <w:tcPr>
                  <w:tcW w:w="1297" w:type="dxa"/>
                  <w:vAlign w:val="center"/>
                </w:tcPr>
                <w:p w14:paraId="19FA3213">
                  <w:pPr>
                    <w:jc w:val="center"/>
                    <w:rPr>
                      <w:b/>
                      <w:szCs w:val="21"/>
                      <w:u w:val="single"/>
                    </w:rPr>
                  </w:pPr>
                  <w:r>
                    <w:rPr>
                      <w:b/>
                      <w:szCs w:val="21"/>
                      <w:u w:val="single"/>
                    </w:rPr>
                    <w:t>0.2</w:t>
                  </w:r>
                </w:p>
              </w:tc>
              <w:tc>
                <w:tcPr>
                  <w:tcW w:w="2140" w:type="dxa"/>
                  <w:vMerge w:val="continue"/>
                  <w:vAlign w:val="center"/>
                </w:tcPr>
                <w:p w14:paraId="2E5FD4F3">
                  <w:pPr>
                    <w:adjustRightInd w:val="0"/>
                    <w:snapToGrid w:val="0"/>
                    <w:jc w:val="center"/>
                    <w:rPr>
                      <w:b/>
                      <w:szCs w:val="21"/>
                      <w:u w:val="single"/>
                    </w:rPr>
                  </w:pPr>
                </w:p>
              </w:tc>
            </w:tr>
            <w:tr w14:paraId="54E5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20381F6D">
                  <w:pPr>
                    <w:adjustRightInd w:val="0"/>
                    <w:snapToGrid w:val="0"/>
                    <w:jc w:val="center"/>
                    <w:rPr>
                      <w:b/>
                      <w:szCs w:val="21"/>
                      <w:u w:val="single"/>
                    </w:rPr>
                  </w:pPr>
                  <w:r>
                    <w:rPr>
                      <w:b/>
                      <w:szCs w:val="21"/>
                      <w:u w:val="single"/>
                    </w:rPr>
                    <w:t>16</w:t>
                  </w:r>
                </w:p>
              </w:tc>
              <w:tc>
                <w:tcPr>
                  <w:tcW w:w="1817" w:type="dxa"/>
                  <w:gridSpan w:val="2"/>
                  <w:vAlign w:val="center"/>
                </w:tcPr>
                <w:p w14:paraId="241A663A">
                  <w:pPr>
                    <w:adjustRightInd w:val="0"/>
                    <w:snapToGrid w:val="0"/>
                    <w:jc w:val="center"/>
                    <w:rPr>
                      <w:b/>
                      <w:szCs w:val="21"/>
                      <w:u w:val="single"/>
                    </w:rPr>
                  </w:pPr>
                  <w:r>
                    <w:rPr>
                      <w:b/>
                      <w:szCs w:val="21"/>
                      <w:u w:val="single"/>
                    </w:rPr>
                    <w:t>废电子电器件</w:t>
                  </w:r>
                </w:p>
              </w:tc>
              <w:tc>
                <w:tcPr>
                  <w:tcW w:w="1226" w:type="dxa"/>
                  <w:shd w:val="clear" w:color="auto" w:fill="auto"/>
                  <w:vAlign w:val="center"/>
                </w:tcPr>
                <w:p w14:paraId="23D07971">
                  <w:pPr>
                    <w:jc w:val="center"/>
                    <w:rPr>
                      <w:b/>
                      <w:szCs w:val="21"/>
                      <w:u w:val="single"/>
                    </w:rPr>
                  </w:pPr>
                  <w:r>
                    <w:rPr>
                      <w:b/>
                      <w:szCs w:val="21"/>
                      <w:u w:val="single"/>
                    </w:rPr>
                    <w:t>0.31</w:t>
                  </w:r>
                </w:p>
              </w:tc>
              <w:tc>
                <w:tcPr>
                  <w:tcW w:w="1262" w:type="dxa"/>
                  <w:shd w:val="clear" w:color="auto" w:fill="auto"/>
                  <w:vAlign w:val="center"/>
                </w:tcPr>
                <w:p w14:paraId="0FCFAAA3">
                  <w:pPr>
                    <w:jc w:val="center"/>
                    <w:rPr>
                      <w:b/>
                      <w:szCs w:val="21"/>
                      <w:u w:val="single"/>
                    </w:rPr>
                  </w:pPr>
                  <w:r>
                    <w:rPr>
                      <w:b/>
                      <w:szCs w:val="21"/>
                      <w:u w:val="single"/>
                    </w:rPr>
                    <w:t>0.19</w:t>
                  </w:r>
                </w:p>
              </w:tc>
              <w:tc>
                <w:tcPr>
                  <w:tcW w:w="1297" w:type="dxa"/>
                  <w:vAlign w:val="center"/>
                </w:tcPr>
                <w:p w14:paraId="2CD1E6BD">
                  <w:pPr>
                    <w:jc w:val="center"/>
                    <w:rPr>
                      <w:b/>
                      <w:szCs w:val="21"/>
                      <w:u w:val="single"/>
                    </w:rPr>
                  </w:pPr>
                  <w:r>
                    <w:rPr>
                      <w:b/>
                      <w:szCs w:val="21"/>
                      <w:u w:val="single"/>
                    </w:rPr>
                    <w:t>0.5</w:t>
                  </w:r>
                </w:p>
              </w:tc>
              <w:tc>
                <w:tcPr>
                  <w:tcW w:w="2140" w:type="dxa"/>
                  <w:vMerge w:val="continue"/>
                  <w:vAlign w:val="center"/>
                </w:tcPr>
                <w:p w14:paraId="0B8DAAFE">
                  <w:pPr>
                    <w:adjustRightInd w:val="0"/>
                    <w:snapToGrid w:val="0"/>
                    <w:jc w:val="center"/>
                    <w:rPr>
                      <w:b/>
                      <w:szCs w:val="21"/>
                      <w:u w:val="single"/>
                    </w:rPr>
                  </w:pPr>
                </w:p>
              </w:tc>
            </w:tr>
            <w:tr w14:paraId="6AEB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0" w:type="dxa"/>
                  <w:vAlign w:val="center"/>
                </w:tcPr>
                <w:p w14:paraId="055CDC03">
                  <w:pPr>
                    <w:adjustRightInd w:val="0"/>
                    <w:snapToGrid w:val="0"/>
                    <w:jc w:val="center"/>
                    <w:rPr>
                      <w:b/>
                      <w:szCs w:val="21"/>
                      <w:u w:val="single"/>
                    </w:rPr>
                  </w:pPr>
                  <w:r>
                    <w:rPr>
                      <w:b/>
                      <w:szCs w:val="21"/>
                      <w:u w:val="single"/>
                    </w:rPr>
                    <w:t>17</w:t>
                  </w:r>
                </w:p>
              </w:tc>
              <w:tc>
                <w:tcPr>
                  <w:tcW w:w="1817" w:type="dxa"/>
                  <w:gridSpan w:val="2"/>
                  <w:vAlign w:val="center"/>
                </w:tcPr>
                <w:p w14:paraId="56710620">
                  <w:pPr>
                    <w:adjustRightInd w:val="0"/>
                    <w:snapToGrid w:val="0"/>
                    <w:jc w:val="center"/>
                    <w:rPr>
                      <w:b/>
                      <w:szCs w:val="21"/>
                      <w:u w:val="single"/>
                    </w:rPr>
                  </w:pPr>
                  <w:r>
                    <w:rPr>
                      <w:rFonts w:hint="eastAsia"/>
                      <w:b/>
                      <w:szCs w:val="21"/>
                      <w:u w:val="single"/>
                    </w:rPr>
                    <w:t>废铅酸蓄电池</w:t>
                  </w:r>
                </w:p>
              </w:tc>
              <w:tc>
                <w:tcPr>
                  <w:tcW w:w="1226" w:type="dxa"/>
                  <w:shd w:val="clear" w:color="auto" w:fill="auto"/>
                  <w:vAlign w:val="center"/>
                </w:tcPr>
                <w:p w14:paraId="4904EBD1">
                  <w:pPr>
                    <w:jc w:val="center"/>
                    <w:rPr>
                      <w:b/>
                      <w:szCs w:val="21"/>
                      <w:u w:val="single"/>
                    </w:rPr>
                  </w:pPr>
                  <w:r>
                    <w:rPr>
                      <w:rFonts w:hint="eastAsia"/>
                      <w:b/>
                      <w:szCs w:val="21"/>
                      <w:u w:val="single"/>
                    </w:rPr>
                    <w:t>0</w:t>
                  </w:r>
                  <w:r>
                    <w:rPr>
                      <w:b/>
                      <w:szCs w:val="21"/>
                      <w:u w:val="single"/>
                    </w:rPr>
                    <w:t>.1</w:t>
                  </w:r>
                </w:p>
              </w:tc>
              <w:tc>
                <w:tcPr>
                  <w:tcW w:w="1262" w:type="dxa"/>
                  <w:shd w:val="clear" w:color="auto" w:fill="auto"/>
                  <w:vAlign w:val="center"/>
                </w:tcPr>
                <w:p w14:paraId="5CD783DF">
                  <w:pPr>
                    <w:jc w:val="center"/>
                    <w:rPr>
                      <w:b/>
                      <w:szCs w:val="21"/>
                      <w:u w:val="single"/>
                    </w:rPr>
                  </w:pPr>
                  <w:r>
                    <w:rPr>
                      <w:rFonts w:hint="eastAsia"/>
                      <w:b/>
                      <w:szCs w:val="21"/>
                      <w:u w:val="single"/>
                    </w:rPr>
                    <w:t>0</w:t>
                  </w:r>
                  <w:r>
                    <w:rPr>
                      <w:b/>
                      <w:szCs w:val="21"/>
                      <w:u w:val="single"/>
                    </w:rPr>
                    <w:t>.1</w:t>
                  </w:r>
                </w:p>
              </w:tc>
              <w:tc>
                <w:tcPr>
                  <w:tcW w:w="1297" w:type="dxa"/>
                  <w:vAlign w:val="center"/>
                </w:tcPr>
                <w:p w14:paraId="52EADEC6">
                  <w:pPr>
                    <w:jc w:val="center"/>
                    <w:rPr>
                      <w:b/>
                      <w:szCs w:val="21"/>
                      <w:u w:val="single"/>
                    </w:rPr>
                  </w:pPr>
                  <w:r>
                    <w:rPr>
                      <w:rFonts w:hint="eastAsia"/>
                      <w:b/>
                      <w:szCs w:val="21"/>
                      <w:u w:val="single"/>
                    </w:rPr>
                    <w:t>0</w:t>
                  </w:r>
                  <w:r>
                    <w:rPr>
                      <w:b/>
                      <w:szCs w:val="21"/>
                      <w:u w:val="single"/>
                    </w:rPr>
                    <w:t>.2</w:t>
                  </w:r>
                </w:p>
              </w:tc>
              <w:tc>
                <w:tcPr>
                  <w:tcW w:w="2140" w:type="dxa"/>
                  <w:vMerge w:val="continue"/>
                  <w:vAlign w:val="center"/>
                </w:tcPr>
                <w:p w14:paraId="177126D4">
                  <w:pPr>
                    <w:adjustRightInd w:val="0"/>
                    <w:snapToGrid w:val="0"/>
                    <w:jc w:val="center"/>
                    <w:rPr>
                      <w:b/>
                      <w:szCs w:val="21"/>
                      <w:u w:val="single"/>
                    </w:rPr>
                  </w:pPr>
                </w:p>
              </w:tc>
            </w:tr>
            <w:tr w14:paraId="3615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05" w:type="dxa"/>
                  <w:gridSpan w:val="5"/>
                  <w:vAlign w:val="center"/>
                </w:tcPr>
                <w:p w14:paraId="5DD40EC4">
                  <w:pPr>
                    <w:jc w:val="center"/>
                    <w:rPr>
                      <w:b/>
                      <w:szCs w:val="21"/>
                      <w:u w:val="single"/>
                    </w:rPr>
                  </w:pPr>
                  <w:r>
                    <w:rPr>
                      <w:b/>
                      <w:szCs w:val="21"/>
                      <w:u w:val="single"/>
                    </w:rPr>
                    <w:t>危险废物</w:t>
                  </w:r>
                </w:p>
              </w:tc>
              <w:tc>
                <w:tcPr>
                  <w:tcW w:w="1297" w:type="dxa"/>
                  <w:vAlign w:val="center"/>
                </w:tcPr>
                <w:p w14:paraId="2B475124">
                  <w:pPr>
                    <w:adjustRightInd w:val="0"/>
                    <w:snapToGrid w:val="0"/>
                    <w:jc w:val="center"/>
                    <w:rPr>
                      <w:b/>
                      <w:szCs w:val="21"/>
                      <w:u w:val="single"/>
                    </w:rPr>
                  </w:pPr>
                  <w:r>
                    <w:rPr>
                      <w:b/>
                      <w:szCs w:val="21"/>
                      <w:u w:val="single"/>
                    </w:rPr>
                    <w:t>4.9</w:t>
                  </w:r>
                </w:p>
              </w:tc>
              <w:tc>
                <w:tcPr>
                  <w:tcW w:w="2140" w:type="dxa"/>
                  <w:vAlign w:val="center"/>
                </w:tcPr>
                <w:p w14:paraId="6A00A70B">
                  <w:pPr>
                    <w:adjustRightInd w:val="0"/>
                    <w:snapToGrid w:val="0"/>
                    <w:jc w:val="center"/>
                    <w:rPr>
                      <w:b/>
                      <w:szCs w:val="21"/>
                      <w:u w:val="single"/>
                    </w:rPr>
                  </w:pPr>
                  <w:r>
                    <w:rPr>
                      <w:b/>
                      <w:szCs w:val="21"/>
                      <w:u w:val="single"/>
                    </w:rPr>
                    <w:t>/</w:t>
                  </w:r>
                </w:p>
              </w:tc>
            </w:tr>
          </w:tbl>
          <w:p w14:paraId="6ABC247D">
            <w:pPr>
              <w:adjustRightInd w:val="0"/>
              <w:snapToGrid w:val="0"/>
              <w:spacing w:line="360" w:lineRule="auto"/>
              <w:ind w:firstLine="480" w:firstLineChars="200"/>
              <w:rPr>
                <w:bCs/>
                <w:sz w:val="24"/>
                <w:szCs w:val="21"/>
              </w:rPr>
            </w:pPr>
            <w:r>
              <w:rPr>
                <w:bCs/>
                <w:sz w:val="24"/>
                <w:szCs w:val="21"/>
              </w:rPr>
              <w:t>农机拆解说明：本项目只涉及报废农机的机械拆解，不进行农机及零部件的冲洗及破碎。本项目仅少量废旧农机存在铅酸蓄电池且入厂前</w:t>
            </w:r>
            <w:r>
              <w:rPr>
                <w:rFonts w:hint="eastAsia"/>
                <w:bCs/>
                <w:sz w:val="24"/>
                <w:szCs w:val="21"/>
              </w:rPr>
              <w:t>大部分已</w:t>
            </w:r>
            <w:r>
              <w:rPr>
                <w:bCs/>
                <w:sz w:val="24"/>
                <w:szCs w:val="21"/>
              </w:rPr>
              <w:t>被业主拆卸，项目拆解过程产生的危险废物均委托具有相应资质的单位回收处理。</w:t>
            </w:r>
          </w:p>
          <w:p w14:paraId="4ED0D202">
            <w:pPr>
              <w:numPr>
                <w:ilvl w:val="0"/>
                <w:numId w:val="5"/>
              </w:numPr>
              <w:adjustRightInd w:val="0"/>
              <w:snapToGrid w:val="0"/>
              <w:spacing w:line="360" w:lineRule="auto"/>
              <w:ind w:firstLine="482" w:firstLineChars="200"/>
              <w:jc w:val="left"/>
              <w:rPr>
                <w:b/>
                <w:sz w:val="24"/>
              </w:rPr>
            </w:pPr>
            <w:r>
              <w:rPr>
                <w:b/>
                <w:sz w:val="24"/>
              </w:rPr>
              <w:t>与备案相符性分析</w:t>
            </w:r>
          </w:p>
          <w:p w14:paraId="3C158792">
            <w:pPr>
              <w:adjustRightInd w:val="0"/>
              <w:snapToGrid w:val="0"/>
              <w:spacing w:line="360" w:lineRule="auto"/>
              <w:ind w:firstLine="480" w:firstLineChars="200"/>
              <w:jc w:val="left"/>
              <w:rPr>
                <w:bCs/>
                <w:sz w:val="24"/>
              </w:rPr>
            </w:pPr>
            <w:r>
              <w:rPr>
                <w:bCs/>
                <w:sz w:val="24"/>
              </w:rPr>
              <w:t>本项目建设内容与备案相符性分析见下表。</w:t>
            </w:r>
          </w:p>
          <w:p w14:paraId="20FEB4A6">
            <w:pPr>
              <w:adjustRightInd w:val="0"/>
              <w:snapToGrid w:val="0"/>
              <w:jc w:val="center"/>
              <w:rPr>
                <w:bCs/>
                <w:sz w:val="24"/>
              </w:rPr>
            </w:pPr>
            <w:r>
              <w:rPr>
                <w:b/>
                <w:sz w:val="24"/>
              </w:rPr>
              <w:t>表</w:t>
            </w:r>
            <w:r>
              <w:rPr>
                <w:rFonts w:hint="eastAsia"/>
                <w:b/>
                <w:sz w:val="24"/>
              </w:rPr>
              <w:t>15</w:t>
            </w:r>
            <w:r>
              <w:rPr>
                <w:b/>
                <w:sz w:val="24"/>
              </w:rPr>
              <w:t xml:space="preserve">   本项目建设内容与备案相符性分析一览表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52"/>
              <w:gridCol w:w="2602"/>
              <w:gridCol w:w="2708"/>
              <w:gridCol w:w="1980"/>
            </w:tblGrid>
            <w:tr w14:paraId="1698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056" w:type="dxa"/>
                  <w:vAlign w:val="center"/>
                </w:tcPr>
                <w:p w14:paraId="6664F827">
                  <w:pPr>
                    <w:adjustRightInd w:val="0"/>
                    <w:snapToGrid w:val="0"/>
                    <w:jc w:val="center"/>
                    <w:rPr>
                      <w:bCs/>
                    </w:rPr>
                  </w:pPr>
                  <w:r>
                    <w:rPr>
                      <w:bCs/>
                    </w:rPr>
                    <w:t>名称</w:t>
                  </w:r>
                </w:p>
              </w:tc>
              <w:tc>
                <w:tcPr>
                  <w:tcW w:w="2613" w:type="dxa"/>
                  <w:vAlign w:val="center"/>
                </w:tcPr>
                <w:p w14:paraId="4A90E4AE">
                  <w:pPr>
                    <w:adjustRightInd w:val="0"/>
                    <w:snapToGrid w:val="0"/>
                    <w:jc w:val="center"/>
                    <w:rPr>
                      <w:bCs/>
                    </w:rPr>
                  </w:pPr>
                  <w:r>
                    <w:rPr>
                      <w:bCs/>
                    </w:rPr>
                    <w:t>备案内容</w:t>
                  </w:r>
                </w:p>
              </w:tc>
              <w:tc>
                <w:tcPr>
                  <w:tcW w:w="2720" w:type="dxa"/>
                  <w:vAlign w:val="center"/>
                </w:tcPr>
                <w:p w14:paraId="33A1D25C">
                  <w:pPr>
                    <w:adjustRightInd w:val="0"/>
                    <w:snapToGrid w:val="0"/>
                    <w:jc w:val="center"/>
                    <w:rPr>
                      <w:bCs/>
                    </w:rPr>
                  </w:pPr>
                  <w:r>
                    <w:rPr>
                      <w:bCs/>
                    </w:rPr>
                    <w:t>项目实际建设情况</w:t>
                  </w:r>
                </w:p>
              </w:tc>
              <w:tc>
                <w:tcPr>
                  <w:tcW w:w="1989" w:type="dxa"/>
                  <w:vAlign w:val="center"/>
                </w:tcPr>
                <w:p w14:paraId="620FE385">
                  <w:pPr>
                    <w:adjustRightInd w:val="0"/>
                    <w:snapToGrid w:val="0"/>
                    <w:jc w:val="center"/>
                    <w:rPr>
                      <w:bCs/>
                    </w:rPr>
                  </w:pPr>
                  <w:r>
                    <w:rPr>
                      <w:bCs/>
                    </w:rPr>
                    <w:t>相符性</w:t>
                  </w:r>
                </w:p>
              </w:tc>
            </w:tr>
            <w:tr w14:paraId="576D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056" w:type="dxa"/>
                  <w:vAlign w:val="center"/>
                </w:tcPr>
                <w:p w14:paraId="6ABB87B1">
                  <w:pPr>
                    <w:adjustRightInd w:val="0"/>
                    <w:snapToGrid w:val="0"/>
                    <w:jc w:val="center"/>
                    <w:rPr>
                      <w:bCs/>
                    </w:rPr>
                  </w:pPr>
                  <w:r>
                    <w:rPr>
                      <w:bCs/>
                    </w:rPr>
                    <w:t>项目名称</w:t>
                  </w:r>
                </w:p>
              </w:tc>
              <w:tc>
                <w:tcPr>
                  <w:tcW w:w="2613" w:type="dxa"/>
                  <w:vAlign w:val="center"/>
                </w:tcPr>
                <w:p w14:paraId="37517B8D">
                  <w:pPr>
                    <w:adjustRightInd w:val="0"/>
                    <w:snapToGrid w:val="0"/>
                    <w:jc w:val="center"/>
                    <w:rPr>
                      <w:bCs/>
                    </w:rPr>
                  </w:pPr>
                  <w:r>
                    <w:rPr>
                      <w:bCs/>
                    </w:rPr>
                    <w:t>民权县朝大再生资源回收利用有限公司年回收50台农业机械建设项目</w:t>
                  </w:r>
                </w:p>
              </w:tc>
              <w:tc>
                <w:tcPr>
                  <w:tcW w:w="2720" w:type="dxa"/>
                  <w:vAlign w:val="center"/>
                </w:tcPr>
                <w:p w14:paraId="4BFD996D">
                  <w:pPr>
                    <w:adjustRightInd w:val="0"/>
                    <w:snapToGrid w:val="0"/>
                    <w:jc w:val="center"/>
                    <w:rPr>
                      <w:bCs/>
                    </w:rPr>
                  </w:pPr>
                  <w:r>
                    <w:rPr>
                      <w:bCs/>
                    </w:rPr>
                    <w:t>民权县朝大再生资源回收利用有限公司年回收50台农业机械建设项目</w:t>
                  </w:r>
                </w:p>
              </w:tc>
              <w:tc>
                <w:tcPr>
                  <w:tcW w:w="1989" w:type="dxa"/>
                  <w:vAlign w:val="center"/>
                </w:tcPr>
                <w:p w14:paraId="5AF3D632">
                  <w:pPr>
                    <w:adjustRightInd w:val="0"/>
                    <w:snapToGrid w:val="0"/>
                    <w:jc w:val="center"/>
                    <w:rPr>
                      <w:bCs/>
                    </w:rPr>
                  </w:pPr>
                  <w:r>
                    <w:rPr>
                      <w:bCs/>
                    </w:rPr>
                    <w:t>相符</w:t>
                  </w:r>
                </w:p>
              </w:tc>
            </w:tr>
            <w:tr w14:paraId="5DA2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056" w:type="dxa"/>
                  <w:vAlign w:val="center"/>
                </w:tcPr>
                <w:p w14:paraId="0E0080E7">
                  <w:pPr>
                    <w:adjustRightInd w:val="0"/>
                    <w:snapToGrid w:val="0"/>
                    <w:jc w:val="center"/>
                    <w:rPr>
                      <w:bCs/>
                    </w:rPr>
                  </w:pPr>
                  <w:r>
                    <w:rPr>
                      <w:bCs/>
                    </w:rPr>
                    <w:t>建设单位</w:t>
                  </w:r>
                </w:p>
              </w:tc>
              <w:tc>
                <w:tcPr>
                  <w:tcW w:w="2613" w:type="dxa"/>
                  <w:vAlign w:val="center"/>
                </w:tcPr>
                <w:p w14:paraId="445DD1D8">
                  <w:pPr>
                    <w:adjustRightInd w:val="0"/>
                    <w:snapToGrid w:val="0"/>
                    <w:jc w:val="center"/>
                    <w:rPr>
                      <w:bCs/>
                    </w:rPr>
                  </w:pPr>
                  <w:r>
                    <w:rPr>
                      <w:bCs/>
                    </w:rPr>
                    <w:t>民权县朝大再生资源回收利用有限公司</w:t>
                  </w:r>
                </w:p>
              </w:tc>
              <w:tc>
                <w:tcPr>
                  <w:tcW w:w="2720" w:type="dxa"/>
                  <w:vAlign w:val="center"/>
                </w:tcPr>
                <w:p w14:paraId="5E482096">
                  <w:pPr>
                    <w:adjustRightInd w:val="0"/>
                    <w:snapToGrid w:val="0"/>
                    <w:jc w:val="center"/>
                    <w:rPr>
                      <w:bCs/>
                    </w:rPr>
                  </w:pPr>
                  <w:r>
                    <w:rPr>
                      <w:bCs/>
                    </w:rPr>
                    <w:t>民权县朝大再生资源回收利用有限公司</w:t>
                  </w:r>
                </w:p>
              </w:tc>
              <w:tc>
                <w:tcPr>
                  <w:tcW w:w="1989" w:type="dxa"/>
                  <w:vAlign w:val="center"/>
                </w:tcPr>
                <w:p w14:paraId="10170186">
                  <w:pPr>
                    <w:adjustRightInd w:val="0"/>
                    <w:snapToGrid w:val="0"/>
                    <w:jc w:val="center"/>
                    <w:rPr>
                      <w:bCs/>
                    </w:rPr>
                  </w:pPr>
                  <w:r>
                    <w:rPr>
                      <w:bCs/>
                    </w:rPr>
                    <w:t>相符</w:t>
                  </w:r>
                </w:p>
              </w:tc>
            </w:tr>
            <w:tr w14:paraId="2F03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056" w:type="dxa"/>
                  <w:vAlign w:val="center"/>
                </w:tcPr>
                <w:p w14:paraId="2F10F15F">
                  <w:pPr>
                    <w:adjustRightInd w:val="0"/>
                    <w:snapToGrid w:val="0"/>
                    <w:jc w:val="center"/>
                    <w:rPr>
                      <w:bCs/>
                    </w:rPr>
                  </w:pPr>
                  <w:r>
                    <w:rPr>
                      <w:bCs/>
                    </w:rPr>
                    <w:t>建设性质</w:t>
                  </w:r>
                </w:p>
              </w:tc>
              <w:tc>
                <w:tcPr>
                  <w:tcW w:w="2613" w:type="dxa"/>
                  <w:vAlign w:val="center"/>
                </w:tcPr>
                <w:p w14:paraId="38088CF3">
                  <w:pPr>
                    <w:adjustRightInd w:val="0"/>
                    <w:snapToGrid w:val="0"/>
                    <w:jc w:val="center"/>
                    <w:rPr>
                      <w:bCs/>
                    </w:rPr>
                  </w:pPr>
                  <w:r>
                    <w:rPr>
                      <w:bCs/>
                    </w:rPr>
                    <w:t>新建</w:t>
                  </w:r>
                </w:p>
              </w:tc>
              <w:tc>
                <w:tcPr>
                  <w:tcW w:w="2720" w:type="dxa"/>
                  <w:vAlign w:val="center"/>
                </w:tcPr>
                <w:p w14:paraId="3B140C09">
                  <w:pPr>
                    <w:adjustRightInd w:val="0"/>
                    <w:snapToGrid w:val="0"/>
                    <w:jc w:val="center"/>
                    <w:rPr>
                      <w:bCs/>
                    </w:rPr>
                  </w:pPr>
                  <w:r>
                    <w:rPr>
                      <w:bCs/>
                    </w:rPr>
                    <w:t>新建</w:t>
                  </w:r>
                </w:p>
              </w:tc>
              <w:tc>
                <w:tcPr>
                  <w:tcW w:w="1989" w:type="dxa"/>
                  <w:vAlign w:val="center"/>
                </w:tcPr>
                <w:p w14:paraId="0B1E933C">
                  <w:pPr>
                    <w:adjustRightInd w:val="0"/>
                    <w:snapToGrid w:val="0"/>
                    <w:jc w:val="center"/>
                    <w:rPr>
                      <w:bCs/>
                    </w:rPr>
                  </w:pPr>
                  <w:r>
                    <w:rPr>
                      <w:bCs/>
                    </w:rPr>
                    <w:t>相符</w:t>
                  </w:r>
                </w:p>
              </w:tc>
            </w:tr>
            <w:tr w14:paraId="3117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056" w:type="dxa"/>
                  <w:vAlign w:val="center"/>
                </w:tcPr>
                <w:p w14:paraId="237F55D9">
                  <w:pPr>
                    <w:adjustRightInd w:val="0"/>
                    <w:snapToGrid w:val="0"/>
                    <w:jc w:val="center"/>
                    <w:rPr>
                      <w:bCs/>
                    </w:rPr>
                  </w:pPr>
                  <w:r>
                    <w:rPr>
                      <w:bCs/>
                    </w:rPr>
                    <w:t>建设地点</w:t>
                  </w:r>
                </w:p>
              </w:tc>
              <w:tc>
                <w:tcPr>
                  <w:tcW w:w="2613" w:type="dxa"/>
                  <w:vAlign w:val="center"/>
                </w:tcPr>
                <w:p w14:paraId="670D224C">
                  <w:pPr>
                    <w:adjustRightInd w:val="0"/>
                    <w:snapToGrid w:val="0"/>
                    <w:jc w:val="center"/>
                    <w:rPr>
                      <w:bCs/>
                    </w:rPr>
                  </w:pPr>
                  <w:r>
                    <w:rPr>
                      <w:bCs/>
                    </w:rPr>
                    <w:t>商丘市民权县人和镇工业园区310国道北侧</w:t>
                  </w:r>
                </w:p>
              </w:tc>
              <w:tc>
                <w:tcPr>
                  <w:tcW w:w="2720" w:type="dxa"/>
                  <w:vAlign w:val="center"/>
                </w:tcPr>
                <w:p w14:paraId="7DE9ADD9">
                  <w:pPr>
                    <w:adjustRightInd w:val="0"/>
                    <w:snapToGrid w:val="0"/>
                    <w:jc w:val="center"/>
                    <w:rPr>
                      <w:bCs/>
                    </w:rPr>
                  </w:pPr>
                  <w:r>
                    <w:rPr>
                      <w:bCs/>
                    </w:rPr>
                    <w:t>商丘市民权县人和镇工业园区310国道北侧</w:t>
                  </w:r>
                </w:p>
              </w:tc>
              <w:tc>
                <w:tcPr>
                  <w:tcW w:w="1989" w:type="dxa"/>
                  <w:vAlign w:val="center"/>
                </w:tcPr>
                <w:p w14:paraId="08BF61C9">
                  <w:pPr>
                    <w:adjustRightInd w:val="0"/>
                    <w:snapToGrid w:val="0"/>
                    <w:jc w:val="center"/>
                    <w:rPr>
                      <w:bCs/>
                    </w:rPr>
                  </w:pPr>
                  <w:r>
                    <w:rPr>
                      <w:bCs/>
                    </w:rPr>
                    <w:t>相符</w:t>
                  </w:r>
                </w:p>
              </w:tc>
            </w:tr>
            <w:tr w14:paraId="394C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056" w:type="dxa"/>
                  <w:vAlign w:val="center"/>
                </w:tcPr>
                <w:p w14:paraId="5BFC9558">
                  <w:pPr>
                    <w:adjustRightInd w:val="0"/>
                    <w:snapToGrid w:val="0"/>
                    <w:jc w:val="center"/>
                    <w:rPr>
                      <w:bCs/>
                    </w:rPr>
                  </w:pPr>
                  <w:r>
                    <w:rPr>
                      <w:bCs/>
                    </w:rPr>
                    <w:t>建设规模及内容</w:t>
                  </w:r>
                </w:p>
              </w:tc>
              <w:tc>
                <w:tcPr>
                  <w:tcW w:w="2613" w:type="dxa"/>
                  <w:vAlign w:val="center"/>
                </w:tcPr>
                <w:p w14:paraId="03FA2DCF">
                  <w:pPr>
                    <w:adjustRightInd w:val="0"/>
                    <w:snapToGrid w:val="0"/>
                    <w:jc w:val="center"/>
                    <w:rPr>
                      <w:bCs/>
                    </w:rPr>
                  </w:pPr>
                  <w:r>
                    <w:rPr>
                      <w:bCs/>
                    </w:rPr>
                    <w:t>该项目租赁场地2860平方米，其中建设生产车间1300平方米，建设办公室和仓库1000平方米，建设规模及内容，生产工艺流程：报废农机入厂-录入回收监管系统-预处理-总成拆解-机架拆解-液压钳剪切-拆解产物分类-按类别入库，生产设备：铲车、叉车、电钻、液压钳、行车、地磅等主要生产设备。</w:t>
                  </w:r>
                </w:p>
              </w:tc>
              <w:tc>
                <w:tcPr>
                  <w:tcW w:w="2720" w:type="dxa"/>
                  <w:vAlign w:val="center"/>
                </w:tcPr>
                <w:p w14:paraId="2FBC13B3">
                  <w:pPr>
                    <w:adjustRightInd w:val="0"/>
                    <w:snapToGrid w:val="0"/>
                    <w:jc w:val="center"/>
                    <w:rPr>
                      <w:bCs/>
                    </w:rPr>
                  </w:pPr>
                  <w:r>
                    <w:rPr>
                      <w:bCs/>
                    </w:rPr>
                    <w:t>该项目租赁场地2860平方米，其中现有生产车间占地1300平方米，现有仓库和办公室占地780平方米，建设规模及内容，生产工艺流程：报废农机入厂-录入回收监管系统-预处理-总成拆解-机架拆解-液压钳剪切-拆解产物分类-按类别入库，生产设备：铲车、叉车、电钻、液压钳、切割机、行车、地磅等主要生产设备。</w:t>
                  </w:r>
                </w:p>
              </w:tc>
              <w:tc>
                <w:tcPr>
                  <w:tcW w:w="1989" w:type="dxa"/>
                  <w:vAlign w:val="center"/>
                </w:tcPr>
                <w:p w14:paraId="5D4C8807">
                  <w:pPr>
                    <w:numPr>
                      <w:ilvl w:val="0"/>
                      <w:numId w:val="8"/>
                    </w:numPr>
                    <w:adjustRightInd w:val="0"/>
                    <w:snapToGrid w:val="0"/>
                    <w:jc w:val="center"/>
                    <w:rPr>
                      <w:bCs/>
                    </w:rPr>
                  </w:pPr>
                  <w:r>
                    <w:rPr>
                      <w:bCs/>
                    </w:rPr>
                    <w:t>备案时办公室和仓库面积</w:t>
                  </w:r>
                  <w:r>
                    <w:rPr>
                      <w:rFonts w:hint="eastAsia"/>
                      <w:bCs/>
                    </w:rPr>
                    <w:t>为估算数据</w:t>
                  </w:r>
                  <w:r>
                    <w:rPr>
                      <w:bCs/>
                    </w:rPr>
                    <w:t>，本次</w:t>
                  </w:r>
                  <w:r>
                    <w:rPr>
                      <w:rFonts w:hint="eastAsia"/>
                      <w:bCs/>
                    </w:rPr>
                    <w:t>以实际占地面积为准</w:t>
                  </w:r>
                  <w:r>
                    <w:rPr>
                      <w:bCs/>
                    </w:rPr>
                    <w:t>。</w:t>
                  </w:r>
                </w:p>
                <w:p w14:paraId="5C0B51C1">
                  <w:pPr>
                    <w:numPr>
                      <w:ilvl w:val="0"/>
                      <w:numId w:val="8"/>
                    </w:numPr>
                    <w:adjustRightInd w:val="0"/>
                    <w:snapToGrid w:val="0"/>
                    <w:jc w:val="center"/>
                    <w:rPr>
                      <w:bCs/>
                    </w:rPr>
                  </w:pPr>
                  <w:r>
                    <w:rPr>
                      <w:bCs/>
                    </w:rPr>
                    <w:t>切割机主要在农机机架及大件手工拆解困难时使用，本次根据实际工艺需求进行设备的细化补充。</w:t>
                  </w:r>
                </w:p>
              </w:tc>
            </w:tr>
          </w:tbl>
          <w:p w14:paraId="3B120EE6">
            <w:pPr>
              <w:numPr>
                <w:ilvl w:val="0"/>
                <w:numId w:val="5"/>
              </w:numPr>
              <w:adjustRightInd w:val="0"/>
              <w:snapToGrid w:val="0"/>
              <w:spacing w:line="360" w:lineRule="auto"/>
              <w:ind w:firstLine="482" w:firstLineChars="200"/>
              <w:jc w:val="left"/>
              <w:rPr>
                <w:b/>
                <w:sz w:val="24"/>
              </w:rPr>
            </w:pPr>
            <w:r>
              <w:rPr>
                <w:b/>
                <w:sz w:val="24"/>
              </w:rPr>
              <w:t>公用工程</w:t>
            </w:r>
          </w:p>
          <w:p w14:paraId="3ED26CA4">
            <w:pPr>
              <w:numPr>
                <w:ilvl w:val="0"/>
                <w:numId w:val="9"/>
              </w:numPr>
              <w:adjustRightInd w:val="0"/>
              <w:snapToGrid w:val="0"/>
              <w:spacing w:line="360" w:lineRule="auto"/>
              <w:ind w:firstLine="480" w:firstLineChars="200"/>
              <w:jc w:val="left"/>
              <w:rPr>
                <w:bCs/>
                <w:sz w:val="24"/>
              </w:rPr>
            </w:pPr>
            <w:r>
              <w:rPr>
                <w:bCs/>
                <w:sz w:val="24"/>
              </w:rPr>
              <w:t>给排水</w:t>
            </w:r>
          </w:p>
          <w:p w14:paraId="299E9650">
            <w:pPr>
              <w:numPr>
                <w:ilvl w:val="0"/>
                <w:numId w:val="10"/>
              </w:numPr>
              <w:adjustRightInd w:val="0"/>
              <w:snapToGrid w:val="0"/>
              <w:spacing w:line="360" w:lineRule="auto"/>
              <w:ind w:firstLine="480" w:firstLineChars="200"/>
              <w:jc w:val="left"/>
              <w:rPr>
                <w:bCs/>
                <w:sz w:val="24"/>
              </w:rPr>
            </w:pPr>
            <w:r>
              <w:rPr>
                <w:bCs/>
                <w:sz w:val="24"/>
              </w:rPr>
              <w:t>给水</w:t>
            </w:r>
          </w:p>
          <w:p w14:paraId="43F94085">
            <w:pPr>
              <w:adjustRightInd w:val="0"/>
              <w:snapToGrid w:val="0"/>
              <w:spacing w:line="360" w:lineRule="auto"/>
              <w:ind w:firstLine="480" w:firstLineChars="200"/>
              <w:jc w:val="left"/>
              <w:rPr>
                <w:sz w:val="24"/>
              </w:rPr>
            </w:pPr>
            <w:r>
              <w:rPr>
                <w:bCs/>
                <w:sz w:val="24"/>
              </w:rPr>
              <w:t>项目用水为民权县人和镇集中供水，主要为员工生活用水，可满足用水需求。</w:t>
            </w:r>
            <w:r>
              <w:rPr>
                <w:sz w:val="24"/>
              </w:rPr>
              <w:t>本项目劳动定员5人，年工作150天，均不在厂区食宿，厂区厕所为水冲厕。根据</w:t>
            </w:r>
            <w:r>
              <w:rPr>
                <w:bCs/>
                <w:sz w:val="24"/>
              </w:rPr>
              <w:t>《工业与城镇生活用水定额》（DB41/T385-2020）</w:t>
            </w:r>
            <w:r>
              <w:rPr>
                <w:sz w:val="24"/>
              </w:rPr>
              <w:t>标准，职工人员生活用水按50L/人·d计，则生活用水量为0.25m</w:t>
            </w:r>
            <w:r>
              <w:rPr>
                <w:sz w:val="24"/>
                <w:vertAlign w:val="superscript"/>
              </w:rPr>
              <w:t>3</w:t>
            </w:r>
            <w:r>
              <w:rPr>
                <w:sz w:val="24"/>
              </w:rPr>
              <w:t>/d，37.5m</w:t>
            </w:r>
            <w:r>
              <w:rPr>
                <w:sz w:val="24"/>
                <w:vertAlign w:val="superscript"/>
              </w:rPr>
              <w:t>3</w:t>
            </w:r>
            <w:r>
              <w:rPr>
                <w:sz w:val="24"/>
              </w:rPr>
              <w:t>/a。</w:t>
            </w:r>
          </w:p>
          <w:p w14:paraId="4C2D16C4">
            <w:pPr>
              <w:numPr>
                <w:ilvl w:val="0"/>
                <w:numId w:val="10"/>
              </w:numPr>
              <w:adjustRightInd w:val="0"/>
              <w:snapToGrid w:val="0"/>
              <w:spacing w:line="360" w:lineRule="auto"/>
              <w:ind w:firstLine="480" w:firstLineChars="200"/>
              <w:jc w:val="left"/>
              <w:rPr>
                <w:sz w:val="24"/>
              </w:rPr>
            </w:pPr>
            <w:r>
              <w:rPr>
                <w:bCs/>
                <w:sz w:val="24"/>
              </w:rPr>
              <w:t>排水</w:t>
            </w:r>
          </w:p>
          <w:p w14:paraId="78CF3EFB">
            <w:pPr>
              <w:adjustRightInd w:val="0"/>
              <w:snapToGrid w:val="0"/>
              <w:spacing w:line="360" w:lineRule="auto"/>
              <w:ind w:firstLine="480" w:firstLineChars="200"/>
              <w:jc w:val="left"/>
              <w:rPr>
                <w:sz w:val="24"/>
              </w:rPr>
            </w:pPr>
            <w:r>
              <w:rPr>
                <w:sz w:val="24"/>
              </w:rPr>
              <w:t>本项目废水主要为职工生活污水，用水量为0.25m</w:t>
            </w:r>
            <w:r>
              <w:rPr>
                <w:sz w:val="24"/>
                <w:vertAlign w:val="superscript"/>
              </w:rPr>
              <w:t>3</w:t>
            </w:r>
            <w:r>
              <w:rPr>
                <w:sz w:val="24"/>
              </w:rPr>
              <w:t>/d，37.5m</w:t>
            </w:r>
            <w:r>
              <w:rPr>
                <w:sz w:val="24"/>
                <w:vertAlign w:val="superscript"/>
              </w:rPr>
              <w:t>3</w:t>
            </w:r>
            <w:r>
              <w:rPr>
                <w:sz w:val="24"/>
              </w:rPr>
              <w:t>/a，排放系数按0.8计，产生量为0.2m</w:t>
            </w:r>
            <w:r>
              <w:rPr>
                <w:sz w:val="24"/>
                <w:vertAlign w:val="superscript"/>
              </w:rPr>
              <w:t>3</w:t>
            </w:r>
            <w:r>
              <w:rPr>
                <w:sz w:val="24"/>
              </w:rPr>
              <w:t>/d，30m</w:t>
            </w:r>
            <w:r>
              <w:rPr>
                <w:sz w:val="24"/>
                <w:vertAlign w:val="superscript"/>
              </w:rPr>
              <w:t>3</w:t>
            </w:r>
            <w:r>
              <w:rPr>
                <w:sz w:val="24"/>
              </w:rPr>
              <w:t>/a，生活污水经化粪池暂存后，定期清掏，外运肥田。</w:t>
            </w:r>
          </w:p>
          <w:p w14:paraId="41B024F6">
            <w:pPr>
              <w:numPr>
                <w:ilvl w:val="0"/>
                <w:numId w:val="9"/>
              </w:numPr>
              <w:adjustRightInd w:val="0"/>
              <w:snapToGrid w:val="0"/>
              <w:spacing w:line="360" w:lineRule="auto"/>
              <w:ind w:firstLine="480" w:firstLineChars="200"/>
              <w:jc w:val="left"/>
              <w:rPr>
                <w:bCs/>
                <w:sz w:val="24"/>
              </w:rPr>
            </w:pPr>
            <w:r>
              <w:rPr>
                <w:bCs/>
                <w:sz w:val="24"/>
              </w:rPr>
              <w:t>供电</w:t>
            </w:r>
          </w:p>
          <w:p w14:paraId="1D86BBEC">
            <w:pPr>
              <w:keepNext/>
              <w:keepLines/>
              <w:spacing w:line="360" w:lineRule="auto"/>
              <w:ind w:firstLine="480" w:firstLineChars="200"/>
              <w:rPr>
                <w:bCs/>
                <w:sz w:val="24"/>
              </w:rPr>
            </w:pPr>
            <w:r>
              <w:rPr>
                <w:bCs/>
                <w:sz w:val="24"/>
              </w:rPr>
              <w:t>本项目总用电量为1000kw·h/a，依托当地供电设施，可以满足要求。</w:t>
            </w:r>
          </w:p>
          <w:p w14:paraId="54E41C4F">
            <w:pPr>
              <w:adjustRightInd w:val="0"/>
              <w:snapToGrid w:val="0"/>
              <w:spacing w:line="360" w:lineRule="auto"/>
              <w:ind w:left="420" w:leftChars="200"/>
              <w:jc w:val="left"/>
              <w:rPr>
                <w:b/>
                <w:sz w:val="24"/>
              </w:rPr>
            </w:pPr>
            <w:r>
              <w:rPr>
                <w:b/>
                <w:sz w:val="24"/>
              </w:rPr>
              <w:t>6、劳动定员及工作制度</w:t>
            </w:r>
          </w:p>
          <w:p w14:paraId="4E1ED8CB">
            <w:pPr>
              <w:adjustRightInd w:val="0"/>
              <w:snapToGrid w:val="0"/>
              <w:spacing w:line="360" w:lineRule="auto"/>
              <w:ind w:firstLine="480" w:firstLineChars="200"/>
              <w:jc w:val="left"/>
              <w:rPr>
                <w:bCs/>
                <w:sz w:val="24"/>
              </w:rPr>
            </w:pPr>
            <w:r>
              <w:rPr>
                <w:bCs/>
                <w:sz w:val="24"/>
              </w:rPr>
              <w:t>本项目劳动定员5人，均不在厂区内食宿，实行单班制，每班工作8小时，年工作150天。</w:t>
            </w:r>
          </w:p>
          <w:p w14:paraId="106FB246">
            <w:pPr>
              <w:adjustRightInd w:val="0"/>
              <w:snapToGrid w:val="0"/>
              <w:spacing w:line="360" w:lineRule="auto"/>
              <w:ind w:left="420" w:leftChars="200"/>
              <w:jc w:val="left"/>
              <w:rPr>
                <w:b/>
                <w:sz w:val="24"/>
              </w:rPr>
            </w:pPr>
            <w:r>
              <w:rPr>
                <w:b/>
                <w:sz w:val="24"/>
              </w:rPr>
              <w:t>7、厂区平面布置图</w:t>
            </w:r>
          </w:p>
          <w:p w14:paraId="2816E8B2">
            <w:pPr>
              <w:adjustRightInd w:val="0"/>
              <w:snapToGrid w:val="0"/>
              <w:spacing w:line="360" w:lineRule="auto"/>
              <w:ind w:firstLine="480" w:firstLineChars="200"/>
              <w:jc w:val="left"/>
              <w:rPr>
                <w:bCs/>
                <w:sz w:val="24"/>
              </w:rPr>
            </w:pPr>
            <w:r>
              <w:rPr>
                <w:bCs/>
                <w:sz w:val="24"/>
              </w:rPr>
              <w:t>本项目位于商丘市民权县人和镇工业园区310国道北侧，项目北侧为拆解车间，从左至右分为总成拆解区、切割区、危废暂存间、预拆解区和废旧农机停放区，项目南侧主要为</w:t>
            </w:r>
            <w:r>
              <w:rPr>
                <w:rFonts w:hint="eastAsia"/>
                <w:bCs/>
                <w:sz w:val="24"/>
              </w:rPr>
              <w:t>储存库</w:t>
            </w:r>
            <w:r>
              <w:rPr>
                <w:bCs/>
                <w:sz w:val="24"/>
              </w:rPr>
              <w:t>和办公室，</w:t>
            </w:r>
            <w:r>
              <w:rPr>
                <w:rFonts w:hint="eastAsia"/>
                <w:bCs/>
                <w:sz w:val="24"/>
              </w:rPr>
              <w:t>储存库</w:t>
            </w:r>
            <w:r>
              <w:rPr>
                <w:bCs/>
                <w:sz w:val="24"/>
              </w:rPr>
              <w:t>分为一般固废暂存间、拆解物暂存区（金属类拆解物暂存区、非金属类拆解物暂存区），项目</w:t>
            </w:r>
            <w:r>
              <w:rPr>
                <w:rFonts w:hint="eastAsia"/>
                <w:bCs/>
                <w:sz w:val="24"/>
              </w:rPr>
              <w:t>储存库</w:t>
            </w:r>
            <w:r>
              <w:rPr>
                <w:bCs/>
                <w:sz w:val="24"/>
              </w:rPr>
              <w:t>东北角为办公室。项目总体平面布置详见附图六。</w:t>
            </w:r>
          </w:p>
        </w:tc>
      </w:tr>
      <w:tr w14:paraId="0E2172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416" w:type="dxa"/>
            <w:vAlign w:val="center"/>
          </w:tcPr>
          <w:p w14:paraId="4D17D0E9">
            <w:pPr>
              <w:pStyle w:val="20"/>
              <w:adjustRightInd w:val="0"/>
              <w:snapToGrid w:val="0"/>
              <w:spacing w:before="0" w:beforeAutospacing="0" w:after="0" w:afterAutospacing="0"/>
              <w:jc w:val="center"/>
              <w:rPr>
                <w:rFonts w:ascii="Times New Roman" w:hAnsi="Times New Roman"/>
                <w:szCs w:val="24"/>
              </w:rPr>
            </w:pPr>
            <w:r>
              <w:rPr>
                <w:rFonts w:ascii="Times New Roman" w:hAnsi="Times New Roman"/>
                <w:szCs w:val="24"/>
              </w:rPr>
              <w:t>工艺流程和产排污环节</w:t>
            </w:r>
          </w:p>
        </w:tc>
        <w:tc>
          <w:tcPr>
            <w:tcW w:w="8568" w:type="dxa"/>
          </w:tcPr>
          <w:p w14:paraId="25B66771">
            <w:pPr>
              <w:numPr>
                <w:ilvl w:val="0"/>
                <w:numId w:val="11"/>
              </w:numPr>
              <w:adjustRightInd w:val="0"/>
              <w:snapToGrid w:val="0"/>
              <w:spacing w:line="360" w:lineRule="auto"/>
              <w:ind w:firstLine="482" w:firstLineChars="200"/>
              <w:rPr>
                <w:b/>
                <w:sz w:val="24"/>
              </w:rPr>
            </w:pPr>
            <w:r>
              <w:rPr>
                <w:b/>
                <w:sz w:val="24"/>
              </w:rPr>
              <w:t>施工期工艺流程及产污环节</w:t>
            </w:r>
          </w:p>
          <w:p w14:paraId="61AB29FF">
            <w:pPr>
              <w:adjustRightInd w:val="0"/>
              <w:snapToGrid w:val="0"/>
              <w:spacing w:line="360" w:lineRule="auto"/>
              <w:ind w:firstLine="480" w:firstLineChars="200"/>
              <w:rPr>
                <w:bCs/>
                <w:sz w:val="24"/>
              </w:rPr>
            </w:pPr>
            <w:r>
              <w:rPr>
                <w:bCs/>
                <w:sz w:val="24"/>
              </w:rPr>
              <w:t>本项目主要利用现有闲置厂房进行建设，施工期主要进行危废暂存间、一般固废间建设、应急事故池、初期雨水池建设及车间地面分区防渗等，并进行生产设备和环保设施的安装、调试工作，施工内容简单，施工过程会产生少量废气、噪声及固废，对周围环境影响较小。因此评价仅进行简要分析。</w:t>
            </w:r>
          </w:p>
          <w:p w14:paraId="7E771491">
            <w:pPr>
              <w:numPr>
                <w:ilvl w:val="0"/>
                <w:numId w:val="11"/>
              </w:numPr>
              <w:adjustRightInd w:val="0"/>
              <w:snapToGrid w:val="0"/>
              <w:ind w:firstLine="482" w:firstLineChars="200"/>
              <w:rPr>
                <w:b/>
                <w:bCs/>
                <w:sz w:val="24"/>
              </w:rPr>
            </w:pPr>
            <w:r>
              <w:rPr>
                <w:b/>
                <w:bCs/>
                <w:sz w:val="24"/>
              </w:rPr>
              <w:t>运营期工艺流程及产污环节</w:t>
            </w:r>
          </w:p>
          <w:p w14:paraId="395D0553">
            <w:pPr>
              <w:adjustRightInd w:val="0"/>
              <w:snapToGrid w:val="0"/>
              <w:rPr>
                <w:b/>
                <w:bCs/>
                <w:sz w:val="24"/>
              </w:rPr>
            </w:pPr>
            <w:r>
              <w:rPr>
                <w:b/>
                <w:bCs/>
                <w:sz w:val="24"/>
              </w:rPr>
              <w:drawing>
                <wp:inline distT="0" distB="0" distL="114300" distR="114300">
                  <wp:extent cx="5372100" cy="6241415"/>
                  <wp:effectExtent l="0" t="0" r="0" b="6985"/>
                  <wp:docPr id="7" name="图片 7" descr="工艺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工艺流程图"/>
                          <pic:cNvPicPr>
                            <a:picLocks noChangeAspect="1"/>
                          </pic:cNvPicPr>
                        </pic:nvPicPr>
                        <pic:blipFill>
                          <a:blip r:embed="rId6" cstate="print"/>
                          <a:stretch>
                            <a:fillRect/>
                          </a:stretch>
                        </pic:blipFill>
                        <pic:spPr>
                          <a:xfrm>
                            <a:off x="0" y="0"/>
                            <a:ext cx="5372100" cy="6241415"/>
                          </a:xfrm>
                          <a:prstGeom prst="rect">
                            <a:avLst/>
                          </a:prstGeom>
                        </pic:spPr>
                      </pic:pic>
                    </a:graphicData>
                  </a:graphic>
                </wp:inline>
              </w:drawing>
            </w:r>
          </w:p>
          <w:p w14:paraId="40A2045D">
            <w:pPr>
              <w:pStyle w:val="14"/>
              <w:spacing w:before="0" w:after="0" w:line="360" w:lineRule="auto"/>
              <w:ind w:right="0"/>
              <w:jc w:val="center"/>
              <w:rPr>
                <w:b/>
                <w:szCs w:val="24"/>
              </w:rPr>
            </w:pPr>
            <w:r>
              <w:rPr>
                <w:b/>
                <w:szCs w:val="24"/>
              </w:rPr>
              <w:t>图1   本项目工艺流程及产污环节示意图</w:t>
            </w:r>
          </w:p>
          <w:p w14:paraId="228E3B01">
            <w:pPr>
              <w:pStyle w:val="14"/>
              <w:spacing w:before="0" w:after="0" w:line="360" w:lineRule="auto"/>
              <w:ind w:right="0" w:firstLine="480" w:firstLineChars="200"/>
              <w:rPr>
                <w:bCs/>
                <w:szCs w:val="24"/>
              </w:rPr>
            </w:pPr>
            <w:r>
              <w:rPr>
                <w:bCs/>
                <w:szCs w:val="24"/>
              </w:rPr>
              <w:t>本项目为废旧农机拆解项目，根据《报废农业机械回收拆解技术规范》（NY/T2900-2022）中规定，报废农业机械回收拆解应严格遵循安全环保和循环利用的原则进行。回收拆解报废农业机械应按检查和登记→拆解前存储→拆解→拆解后存储和处置的流程作业。一般而言，拆解工艺有“非破坏性拆解”、“准破坏性拆解”、“破坏性拆解”之分。大多数农机经常年使用报废后，零件的回收价值已不大，本项目拆解工艺不考虑零件回收问题，根据农机各部分的具体结构情况及拆解操作的方便程度，综合利用氧割、各种手工、电动拆解工具进行拆解，属于“破坏性拆解”。</w:t>
            </w:r>
          </w:p>
          <w:p w14:paraId="457A5953">
            <w:pPr>
              <w:pStyle w:val="14"/>
              <w:spacing w:before="0" w:after="0" w:line="360" w:lineRule="auto"/>
              <w:ind w:right="0" w:firstLine="480" w:firstLineChars="200"/>
              <w:rPr>
                <w:bCs/>
              </w:rPr>
            </w:pPr>
            <w:r>
              <w:rPr>
                <w:bCs/>
                <w:szCs w:val="24"/>
              </w:rPr>
              <w:t>2.1项目工艺流程简述</w:t>
            </w:r>
          </w:p>
          <w:p w14:paraId="01C19554">
            <w:pPr>
              <w:pStyle w:val="32"/>
              <w:adjustRightInd w:val="0"/>
              <w:snapToGrid w:val="0"/>
              <w:spacing w:line="360" w:lineRule="auto"/>
              <w:ind w:firstLine="482"/>
              <w:rPr>
                <w:b/>
                <w:sz w:val="24"/>
                <w:u w:val="single"/>
              </w:rPr>
            </w:pPr>
            <w:r>
              <w:rPr>
                <w:b/>
                <w:sz w:val="24"/>
                <w:u w:val="single"/>
              </w:rPr>
              <w:t>（1）废旧农机入厂</w:t>
            </w:r>
          </w:p>
          <w:p w14:paraId="7A8A78A0">
            <w:pPr>
              <w:pStyle w:val="14"/>
              <w:spacing w:before="0" w:after="0" w:line="360" w:lineRule="auto"/>
              <w:ind w:right="0" w:firstLine="482" w:firstLineChars="200"/>
              <w:rPr>
                <w:b/>
                <w:szCs w:val="24"/>
                <w:u w:val="single"/>
              </w:rPr>
            </w:pPr>
            <w:r>
              <w:rPr>
                <w:b/>
                <w:szCs w:val="24"/>
                <w:u w:val="single"/>
              </w:rPr>
              <w:t>废旧农机运送至厂区后，建设单位首先对废旧农机进行检查和登记，具体操作如下：</w:t>
            </w:r>
          </w:p>
          <w:p w14:paraId="2D428C69">
            <w:pPr>
              <w:pStyle w:val="14"/>
              <w:spacing w:before="0" w:after="0" w:line="360" w:lineRule="auto"/>
              <w:ind w:right="0" w:firstLine="482" w:firstLineChars="200"/>
              <w:rPr>
                <w:b/>
                <w:szCs w:val="24"/>
                <w:u w:val="single"/>
              </w:rPr>
            </w:pPr>
            <w:r>
              <w:rPr>
                <w:rFonts w:hint="eastAsia" w:ascii="宋体" w:hAnsi="宋体" w:cs="宋体"/>
                <w:b/>
                <w:szCs w:val="24"/>
                <w:u w:val="single"/>
              </w:rPr>
              <w:t>①</w:t>
            </w:r>
            <w:r>
              <w:rPr>
                <w:b/>
                <w:szCs w:val="24"/>
                <w:u w:val="single"/>
              </w:rPr>
              <w:t>检测报废农业机械发动机、散热器、变速器、油箱、液罐等总成部件的密封情况，对出现泄漏的地方，采用专用的泄漏收集盘用于接收并收集泄漏的液体或者在泄漏点周围放置吸油垫快速吸收泄漏的液体，将收集密闭封存油桶内，减少液体的进一步泄漏，防止废液渗入地下。</w:t>
            </w:r>
          </w:p>
          <w:p w14:paraId="6D11737B">
            <w:pPr>
              <w:pStyle w:val="14"/>
              <w:spacing w:before="0" w:after="0" w:line="360" w:lineRule="auto"/>
              <w:ind w:right="0" w:firstLine="482" w:firstLineChars="200"/>
              <w:rPr>
                <w:b/>
                <w:szCs w:val="24"/>
                <w:u w:val="single"/>
              </w:rPr>
            </w:pPr>
            <w:r>
              <w:rPr>
                <w:rFonts w:hint="eastAsia" w:ascii="宋体" w:hAnsi="宋体" w:cs="宋体"/>
                <w:b/>
                <w:szCs w:val="24"/>
                <w:u w:val="single"/>
              </w:rPr>
              <w:t>②</w:t>
            </w:r>
            <w:r>
              <w:rPr>
                <w:b/>
                <w:szCs w:val="24"/>
                <w:u w:val="single"/>
              </w:rPr>
              <w:t>对废旧农机主要信息进行登记并拍照，在机身醒目位置贴上唯一性标识。主要信息包括：机主（单位或个人）名称、证件号码、牌照号码、品牌型号、机身颜色、车架号、发动机号、出厂年份、接受或收购日期等。并将废旧农机主要信息录入回收监管系统，在验机确认后同意该农机报废。</w:t>
            </w:r>
          </w:p>
          <w:p w14:paraId="51881FA2">
            <w:pPr>
              <w:pStyle w:val="14"/>
              <w:spacing w:before="0" w:after="0" w:line="360" w:lineRule="auto"/>
              <w:ind w:right="0" w:firstLine="482" w:firstLineChars="200"/>
              <w:rPr>
                <w:b/>
                <w:szCs w:val="24"/>
                <w:u w:val="single"/>
              </w:rPr>
            </w:pPr>
            <w:r>
              <w:rPr>
                <w:b/>
                <w:szCs w:val="24"/>
                <w:u w:val="single"/>
              </w:rPr>
              <w:t>（2）废旧农机停放</w:t>
            </w:r>
          </w:p>
          <w:p w14:paraId="6E325DB2">
            <w:pPr>
              <w:pStyle w:val="14"/>
              <w:spacing w:before="0" w:after="0" w:line="360" w:lineRule="auto"/>
              <w:ind w:right="0" w:firstLine="482" w:firstLineChars="200"/>
              <w:rPr>
                <w:b/>
                <w:szCs w:val="24"/>
                <w:u w:val="single"/>
              </w:rPr>
            </w:pPr>
            <w:r>
              <w:rPr>
                <w:b/>
                <w:szCs w:val="24"/>
                <w:u w:val="single"/>
              </w:rPr>
              <w:t>本项目要求所有废旧农机由用户对其清洁即去除机械外部的非原机所属的覆盖物后再入厂，不在厂内进行清洁。可将入厂后废旧农机放置于停放区，项目厂区设有废旧农机停放区，停放区建设要求如下：</w:t>
            </w:r>
          </w:p>
          <w:p w14:paraId="1D415952">
            <w:pPr>
              <w:pStyle w:val="14"/>
              <w:spacing w:before="0" w:after="0" w:line="360" w:lineRule="auto"/>
              <w:ind w:right="0" w:firstLine="482" w:firstLineChars="200"/>
              <w:rPr>
                <w:b/>
                <w:szCs w:val="24"/>
                <w:u w:val="single"/>
              </w:rPr>
            </w:pPr>
            <w:r>
              <w:rPr>
                <w:rFonts w:hint="eastAsia" w:ascii="宋体" w:hAnsi="宋体" w:cs="宋体"/>
                <w:b/>
                <w:szCs w:val="24"/>
                <w:u w:val="single"/>
              </w:rPr>
              <w:t>①</w:t>
            </w:r>
            <w:r>
              <w:rPr>
                <w:b/>
                <w:szCs w:val="24"/>
                <w:u w:val="single"/>
              </w:rPr>
              <w:t>报废农业机械存储应与其他废弃物存储分开，应避免侧放、倒放；</w:t>
            </w:r>
          </w:p>
          <w:p w14:paraId="6F0C68BE">
            <w:pPr>
              <w:pStyle w:val="14"/>
              <w:spacing w:before="0" w:after="0" w:line="360" w:lineRule="auto"/>
              <w:ind w:right="0" w:firstLine="482" w:firstLineChars="200"/>
              <w:rPr>
                <w:b/>
                <w:szCs w:val="24"/>
                <w:u w:val="single"/>
              </w:rPr>
            </w:pPr>
            <w:r>
              <w:rPr>
                <w:rFonts w:hint="eastAsia" w:ascii="宋体" w:hAnsi="宋体" w:cs="宋体"/>
                <w:b/>
                <w:szCs w:val="24"/>
                <w:u w:val="single"/>
              </w:rPr>
              <w:t>②</w:t>
            </w:r>
            <w:r>
              <w:rPr>
                <w:b/>
                <w:szCs w:val="24"/>
                <w:u w:val="single"/>
              </w:rPr>
              <w:t>如需要叠放，应做到堆放合理，方便装卸，保障人身财产安全；</w:t>
            </w:r>
          </w:p>
          <w:p w14:paraId="4A1B2594">
            <w:pPr>
              <w:pStyle w:val="14"/>
              <w:spacing w:before="0" w:after="0" w:line="360" w:lineRule="auto"/>
              <w:ind w:right="0" w:firstLine="482" w:firstLineChars="200"/>
              <w:rPr>
                <w:b/>
                <w:szCs w:val="24"/>
                <w:u w:val="single"/>
              </w:rPr>
            </w:pPr>
            <w:r>
              <w:rPr>
                <w:rFonts w:hint="eastAsia" w:ascii="宋体" w:hAnsi="宋体" w:cs="宋体"/>
                <w:b/>
                <w:szCs w:val="24"/>
                <w:u w:val="single"/>
              </w:rPr>
              <w:t>③</w:t>
            </w:r>
            <w:r>
              <w:rPr>
                <w:b/>
                <w:szCs w:val="24"/>
                <w:u w:val="single"/>
              </w:rPr>
              <w:t>回收报废农业机械后，应在6个月之内将其拆解完毕。</w:t>
            </w:r>
          </w:p>
          <w:p w14:paraId="0E7D6F9E">
            <w:pPr>
              <w:pStyle w:val="14"/>
              <w:numPr>
                <w:ilvl w:val="0"/>
                <w:numId w:val="9"/>
              </w:numPr>
              <w:spacing w:before="0" w:after="0" w:line="360" w:lineRule="auto"/>
              <w:ind w:right="0" w:firstLine="482" w:firstLineChars="200"/>
              <w:rPr>
                <w:b/>
                <w:szCs w:val="24"/>
                <w:u w:val="single"/>
              </w:rPr>
            </w:pPr>
            <w:r>
              <w:rPr>
                <w:b/>
                <w:szCs w:val="24"/>
                <w:u w:val="single"/>
              </w:rPr>
              <w:t>预拆解</w:t>
            </w:r>
          </w:p>
          <w:p w14:paraId="7D2FB37F">
            <w:pPr>
              <w:spacing w:line="360" w:lineRule="auto"/>
              <w:ind w:firstLine="482" w:firstLineChars="200"/>
              <w:rPr>
                <w:b/>
                <w:sz w:val="24"/>
                <w:u w:val="single"/>
              </w:rPr>
            </w:pPr>
            <w:r>
              <w:rPr>
                <w:b/>
                <w:sz w:val="24"/>
                <w:u w:val="single"/>
              </w:rPr>
              <w:t>首先将检查登记后的废旧农机等进行称重，经过磅后的废旧农机由叉车运至拆解预处理车间。报废机动车主体拆解前，首先依照下列顺序进行拆解预处理工作：排出残留的各种废油；拆下</w:t>
            </w:r>
            <w:r>
              <w:rPr>
                <w:rFonts w:hint="eastAsia"/>
                <w:b/>
                <w:sz w:val="24"/>
                <w:u w:val="single"/>
              </w:rPr>
              <w:t>铅酸蓄电池、</w:t>
            </w:r>
            <w:r>
              <w:rPr>
                <w:b/>
                <w:sz w:val="24"/>
                <w:u w:val="single"/>
              </w:rPr>
              <w:t>油箱和其余外部电子原件（此步骤为各部件直接整体拆解下来，整体送往有资质单位进行处理处置，本项目不进行进一步精细拆解）。</w:t>
            </w:r>
          </w:p>
          <w:p w14:paraId="2A060AB2">
            <w:pPr>
              <w:spacing w:line="360" w:lineRule="auto"/>
              <w:ind w:firstLine="482" w:firstLineChars="200"/>
              <w:rPr>
                <w:b/>
                <w:sz w:val="24"/>
                <w:u w:val="single"/>
              </w:rPr>
            </w:pPr>
            <w:r>
              <w:rPr>
                <w:b/>
                <w:sz w:val="24"/>
                <w:u w:val="single"/>
              </w:rPr>
              <w:t>1</w:t>
            </w:r>
            <w:r>
              <w:rPr>
                <w:rFonts w:hint="eastAsia"/>
                <w:b/>
                <w:sz w:val="24"/>
                <w:u w:val="single"/>
              </w:rPr>
              <w:t>）</w:t>
            </w:r>
            <w:r>
              <w:rPr>
                <w:b/>
                <w:sz w:val="24"/>
                <w:u w:val="single"/>
              </w:rPr>
              <w:t>收集废油液：采用电动抽油机排空并分类收集废旧农机内的废油液[废机油、废液压油、废防冻液、残余燃油及其他矿物油（润滑油等）]，分类别存放至各类密闭的油液桶内，最终运至危废暂存间内暂存。本项目拆解农机不涉及空调装置，因此不涉及制冷剂等废液。</w:t>
            </w:r>
          </w:p>
          <w:p w14:paraId="44D5165F">
            <w:pPr>
              <w:spacing w:line="360" w:lineRule="auto"/>
              <w:ind w:firstLine="482" w:firstLineChars="200"/>
              <w:rPr>
                <w:b/>
                <w:sz w:val="24"/>
                <w:u w:val="single"/>
              </w:rPr>
            </w:pPr>
            <w:r>
              <w:rPr>
                <w:rFonts w:hint="eastAsia"/>
                <w:b/>
                <w:sz w:val="24"/>
                <w:u w:val="single"/>
              </w:rPr>
              <w:t>2）</w:t>
            </w:r>
            <w:r>
              <w:rPr>
                <w:b/>
                <w:sz w:val="24"/>
                <w:u w:val="single"/>
              </w:rPr>
              <w:t>拆除油箱和</w:t>
            </w:r>
            <w:bookmarkStart w:id="7" w:name="OLE_LINK3"/>
            <w:r>
              <w:rPr>
                <w:rFonts w:hint="eastAsia"/>
                <w:b/>
                <w:sz w:val="24"/>
                <w:u w:val="single"/>
              </w:rPr>
              <w:t>铅酸蓄</w:t>
            </w:r>
            <w:bookmarkEnd w:id="7"/>
            <w:r>
              <w:rPr>
                <w:rFonts w:hint="eastAsia"/>
                <w:b/>
                <w:sz w:val="24"/>
                <w:u w:val="single"/>
              </w:rPr>
              <w:t>电池：拆除油箱前检查油箱内所有废油液排放干净，箱内无积液后，拆下油箱后运至危废暂存间贮存。使用扳手等拆下废旧农机上的铅酸蓄电池，不对铅酸蓄电池进行进一步的拆解，将其整体放进专用存放箱，放入危废暂存间。</w:t>
            </w:r>
          </w:p>
          <w:p w14:paraId="3DC80DD5">
            <w:pPr>
              <w:spacing w:line="360" w:lineRule="auto"/>
              <w:ind w:firstLine="482" w:firstLineChars="200"/>
              <w:rPr>
                <w:b/>
                <w:sz w:val="24"/>
                <w:u w:val="single"/>
              </w:rPr>
            </w:pPr>
            <w:r>
              <w:rPr>
                <w:b/>
                <w:sz w:val="24"/>
                <w:u w:val="single"/>
              </w:rPr>
              <w:t>3</w:t>
            </w:r>
            <w:r>
              <w:rPr>
                <w:rFonts w:hint="eastAsia"/>
                <w:b/>
                <w:sz w:val="24"/>
                <w:u w:val="single"/>
              </w:rPr>
              <w:t>）拆除</w:t>
            </w:r>
            <w:r>
              <w:rPr>
                <w:b/>
                <w:sz w:val="24"/>
                <w:u w:val="single"/>
              </w:rPr>
              <w:t>其余外部件：拆除废旧农机驾驶室内饰件以及各类电气连接线路等外部件，将其运至非金属拆解物暂存区贮存。</w:t>
            </w:r>
          </w:p>
          <w:p w14:paraId="3EC77D9E">
            <w:pPr>
              <w:spacing w:line="360" w:lineRule="auto"/>
              <w:ind w:firstLine="482" w:firstLineChars="200"/>
              <w:rPr>
                <w:b/>
                <w:sz w:val="24"/>
                <w:u w:val="single"/>
              </w:rPr>
            </w:pPr>
            <w:r>
              <w:rPr>
                <w:b/>
                <w:sz w:val="24"/>
                <w:u w:val="single"/>
              </w:rPr>
              <w:t>本项目拆解过程中不涉及机油、润滑油等部位的破拆，拆下来的主体构件在排净废油液后分类暂存物料拆解区。</w:t>
            </w:r>
          </w:p>
          <w:p w14:paraId="062AFD0E">
            <w:pPr>
              <w:pStyle w:val="14"/>
              <w:spacing w:before="0" w:after="0" w:line="360" w:lineRule="auto"/>
              <w:ind w:left="420" w:leftChars="200" w:right="0"/>
              <w:rPr>
                <w:b/>
                <w:szCs w:val="24"/>
                <w:u w:val="single"/>
              </w:rPr>
            </w:pPr>
            <w:r>
              <w:rPr>
                <w:b/>
                <w:szCs w:val="24"/>
                <w:u w:val="single"/>
              </w:rPr>
              <w:t>（4）总成拆解</w:t>
            </w:r>
          </w:p>
          <w:p w14:paraId="3A3AAFB8">
            <w:pPr>
              <w:pStyle w:val="14"/>
              <w:spacing w:before="0" w:after="0" w:line="360" w:lineRule="auto"/>
              <w:ind w:right="0" w:firstLine="482" w:firstLineChars="200"/>
              <w:rPr>
                <w:b/>
                <w:szCs w:val="24"/>
                <w:u w:val="single"/>
              </w:rPr>
            </w:pPr>
            <w:r>
              <w:rPr>
                <w:b/>
                <w:szCs w:val="24"/>
                <w:u w:val="single"/>
              </w:rPr>
              <w:t>总成拆解主要包含发动机、变速箱、转向器、前后桥及机身等拆解，并按照《报废农机机械回收拆解技术规范》（NY/T2900-2022）对以上总成进行毁形（留证）、解体，主要采用切割设备进行毁形、拆解，拆解产物主要为钢铁、有色金属等金属类拆解物。从结构复杂性与操纵舒适性两方面来说，农业机械通常比汽车简单许多，操纵性能要求也低，故其总成数较少。此过程中会产生噪声和拆解下的固废。</w:t>
            </w:r>
          </w:p>
          <w:p w14:paraId="7873F112">
            <w:pPr>
              <w:pStyle w:val="14"/>
              <w:spacing w:before="0" w:after="0" w:line="360" w:lineRule="auto"/>
              <w:ind w:left="420" w:leftChars="200" w:right="0"/>
              <w:rPr>
                <w:bCs/>
                <w:szCs w:val="24"/>
              </w:rPr>
            </w:pPr>
            <w:r>
              <w:rPr>
                <w:bCs/>
                <w:szCs w:val="24"/>
              </w:rPr>
              <w:t>（5）机架拆解</w:t>
            </w:r>
          </w:p>
          <w:p w14:paraId="12F42778">
            <w:pPr>
              <w:pStyle w:val="14"/>
              <w:spacing w:before="0" w:after="0" w:line="360" w:lineRule="auto"/>
              <w:ind w:right="0" w:firstLine="480" w:firstLineChars="200"/>
              <w:rPr>
                <w:bCs/>
                <w:szCs w:val="24"/>
              </w:rPr>
            </w:pPr>
            <w:r>
              <w:rPr>
                <w:bCs/>
                <w:szCs w:val="24"/>
              </w:rPr>
              <w:t>对拆除总成后的整体机架进行解体，机架拆解以能对拆解物进行粗略归类为原则，并进行留证。视局部结构与可拆性的差异，分别用氧割、机械钳、小型工具进行解体；对尺寸较大或较占空间的拆解件，用切割机切断。本项目只设拆解过程，不设置破碎过程，也无零件清洗及含电路板的废电子电器件等危险废物部件精细拆解、翻新等步骤。对以上拆解物进行初步分类存放，拆解物分为金属类和非金属类暂存。金属类拆解物包括钢铁、有色金属等金属类，塑料、橡胶、玻璃及其他可用零部件等非金属类；机架拆解过程中会产生一定量的切割废气和噪声。</w:t>
            </w:r>
          </w:p>
          <w:p w14:paraId="3B9AD7AC">
            <w:pPr>
              <w:spacing w:line="360" w:lineRule="auto"/>
              <w:ind w:firstLine="480" w:firstLineChars="200"/>
              <w:rPr>
                <w:sz w:val="24"/>
              </w:rPr>
            </w:pPr>
            <w:r>
              <w:rPr>
                <w:sz w:val="24"/>
              </w:rPr>
              <w:t>将上述拆解流程中拆解产物分为可回收和不可回收两类，其中可回收拆解物主要包括钢铁、有色金属、塑料、橡胶、玻璃、可用零部件等可作为产品外售给废旧资源综合利用企业；不可回收拆解物包括碎玻璃、碎皮革等一般固废和废油液等危险废物，碎玻璃、碎皮革等一般固废</w:t>
            </w:r>
            <w:r>
              <w:rPr>
                <w:bCs/>
                <w:sz w:val="24"/>
              </w:rPr>
              <w:t>交由环卫部门统一处理，废油液、废油箱、废尾气净化装置、废机油滤清器、废含汞开关和废电子电器件等危险废物交由有资质单位处置</w:t>
            </w:r>
            <w:r>
              <w:rPr>
                <w:sz w:val="24"/>
              </w:rPr>
              <w:t>。</w:t>
            </w:r>
          </w:p>
          <w:p w14:paraId="3E50BA5A">
            <w:pPr>
              <w:spacing w:line="360" w:lineRule="auto"/>
              <w:ind w:firstLine="482" w:firstLineChars="200"/>
              <w:rPr>
                <w:b/>
                <w:bCs/>
                <w:sz w:val="24"/>
                <w:u w:val="single"/>
              </w:rPr>
            </w:pPr>
            <w:r>
              <w:rPr>
                <w:b/>
                <w:bCs/>
                <w:sz w:val="24"/>
                <w:u w:val="single"/>
              </w:rPr>
              <w:t>拆解物料平衡：</w:t>
            </w:r>
          </w:p>
          <w:p w14:paraId="3A09D282">
            <w:pPr>
              <w:adjustRightInd w:val="0"/>
              <w:snapToGrid w:val="0"/>
              <w:spacing w:line="360" w:lineRule="auto"/>
              <w:ind w:firstLine="482" w:firstLineChars="200"/>
              <w:rPr>
                <w:b/>
                <w:bCs/>
                <w:sz w:val="24"/>
                <w:u w:val="single"/>
              </w:rPr>
            </w:pPr>
            <w:r>
              <w:rPr>
                <w:b/>
                <w:bCs/>
                <w:sz w:val="24"/>
                <w:u w:val="single"/>
              </w:rPr>
              <w:t>根据建设单位提供资料及实际调查情况，待处理废旧农机为收割机，玉米收割机平均自重为4t/台，年拆解量为23台；小麦收割机平均自重2t/台，年拆解量为27台，故本项目农机拆解量为146t/a，可回收拆解物占总量的约96%，不可回收拆解物占总量4%。拆解物料平衡见下图。</w:t>
            </w:r>
          </w:p>
          <w:p w14:paraId="25DD8777">
            <w:r>
              <w:object>
                <v:shape id="_x0000_i1025" o:spt="75" type="#_x0000_t75" style="height:265.45pt;width:416.95pt;" o:ole="t" filled="f" o:preferrelative="t" stroked="f" coordsize="21600,21600">
                  <v:path/>
                  <v:fill on="f" focussize="0,0"/>
                  <v:stroke on="f" joinstyle="miter"/>
                  <v:imagedata r:id="rId8" o:title=""/>
                  <o:lock v:ext="edit" aspectratio="t"/>
                  <w10:wrap type="none"/>
                  <w10:anchorlock/>
                </v:shape>
                <o:OLEObject Type="Embed" ProgID="Visio.Drawing.15" ShapeID="_x0000_i1025" DrawAspect="Content" ObjectID="_1468075725" r:id="rId7">
                  <o:LockedField>false</o:LockedField>
                </o:OLEObject>
              </w:object>
            </w:r>
          </w:p>
          <w:p w14:paraId="3EA2A996">
            <w:pPr>
              <w:adjustRightInd w:val="0"/>
              <w:snapToGrid w:val="0"/>
              <w:jc w:val="center"/>
              <w:rPr>
                <w:b/>
                <w:bCs/>
                <w:sz w:val="24"/>
              </w:rPr>
            </w:pPr>
            <w:r>
              <w:rPr>
                <w:b/>
                <w:bCs/>
                <w:sz w:val="24"/>
              </w:rPr>
              <w:t>图2   项目物料平衡图</w:t>
            </w:r>
          </w:p>
          <w:p w14:paraId="0150B2AB">
            <w:pPr>
              <w:spacing w:line="360" w:lineRule="auto"/>
              <w:ind w:firstLine="480" w:firstLineChars="200"/>
              <w:rPr>
                <w:sz w:val="24"/>
              </w:rPr>
            </w:pPr>
            <w:r>
              <w:rPr>
                <w:sz w:val="24"/>
              </w:rPr>
              <w:t>下面针对本项目收割机拆解流程进行详细介绍。</w:t>
            </w:r>
          </w:p>
          <w:p w14:paraId="0FE2EF10">
            <w:pPr>
              <w:spacing w:line="360" w:lineRule="auto"/>
              <w:ind w:firstLine="480" w:firstLineChars="200"/>
              <w:rPr>
                <w:sz w:val="24"/>
              </w:rPr>
            </w:pPr>
            <w:r>
              <w:rPr>
                <w:sz w:val="24"/>
              </w:rPr>
              <w:t>2.2收割机具体拆解流程描述</w:t>
            </w:r>
          </w:p>
          <w:p w14:paraId="0FFA0159">
            <w:pPr>
              <w:spacing w:line="360" w:lineRule="auto"/>
              <w:ind w:firstLine="480" w:firstLineChars="200"/>
              <w:rPr>
                <w:sz w:val="24"/>
              </w:rPr>
            </w:pPr>
            <w:r>
              <w:rPr>
                <w:sz w:val="24"/>
              </w:rPr>
              <w:t>收割机（玉米收割机和小麦收割机）总体拆解流程主要包括外部件及内饰件拆除、总成拆除、机架拆解。</w:t>
            </w:r>
          </w:p>
          <w:p w14:paraId="05126BB8">
            <w:pPr>
              <w:numPr>
                <w:ilvl w:val="0"/>
                <w:numId w:val="12"/>
              </w:numPr>
              <w:spacing w:line="360" w:lineRule="auto"/>
              <w:ind w:firstLine="480" w:firstLineChars="200"/>
              <w:rPr>
                <w:sz w:val="24"/>
              </w:rPr>
            </w:pPr>
            <w:r>
              <w:rPr>
                <w:sz w:val="24"/>
              </w:rPr>
              <w:t>外部件及内饰件拆除</w:t>
            </w:r>
          </w:p>
          <w:p w14:paraId="2EBB2C67">
            <w:pPr>
              <w:spacing w:line="360" w:lineRule="auto"/>
              <w:ind w:firstLine="480" w:firstLineChars="200"/>
              <w:rPr>
                <w:sz w:val="24"/>
              </w:rPr>
            </w:pPr>
            <w:r>
              <w:rPr>
                <w:sz w:val="24"/>
              </w:rPr>
              <w:t>1）拆除粮箱及相关部件：断开粮箱与卸粮装置等的连接部件，拆除粮箱；同时，拆除粮箱上的附属部件，如粮箱盖、观察窗等，根据不同材质分类存放。</w:t>
            </w:r>
          </w:p>
          <w:p w14:paraId="5DA3303D">
            <w:pPr>
              <w:spacing w:line="360" w:lineRule="auto"/>
              <w:ind w:firstLine="480" w:firstLineChars="200"/>
              <w:rPr>
                <w:sz w:val="24"/>
              </w:rPr>
            </w:pPr>
            <w:r>
              <w:rPr>
                <w:sz w:val="24"/>
              </w:rPr>
              <w:t>2）拆除驾驶室相关部件：拆卸驾驶室内的座椅；拆卸操控面板上的各类旋钮、按钮、仪表盘等，收集拆解下的各类电气连接线路；拆卸挡风玻璃、后视镜等视野装置；拆除驾驶室的外壳等覆盖件，直接将上述拆解物暂存非金属类拆解物暂存区。</w:t>
            </w:r>
          </w:p>
          <w:p w14:paraId="587E7AEC">
            <w:pPr>
              <w:numPr>
                <w:ilvl w:val="0"/>
                <w:numId w:val="12"/>
              </w:numPr>
              <w:spacing w:line="360" w:lineRule="auto"/>
              <w:ind w:firstLine="480" w:firstLineChars="200"/>
              <w:rPr>
                <w:sz w:val="24"/>
              </w:rPr>
            </w:pPr>
            <w:r>
              <w:rPr>
                <w:sz w:val="24"/>
              </w:rPr>
              <w:t>总成拆除</w:t>
            </w:r>
          </w:p>
          <w:p w14:paraId="073EA154">
            <w:pPr>
              <w:spacing w:line="360" w:lineRule="auto"/>
              <w:ind w:firstLine="480" w:firstLineChars="200"/>
              <w:rPr>
                <w:sz w:val="24"/>
              </w:rPr>
            </w:pPr>
            <w:r>
              <w:rPr>
                <w:sz w:val="24"/>
              </w:rPr>
              <w:t>1）割台总成拆除：若收割机为液压驱动割台，先拆卸连接部件油管、传动链条或皮带等，接着拆下切割器、拨禾轮、输送装置等，分类分区暂存上述拆解物。</w:t>
            </w:r>
          </w:p>
          <w:p w14:paraId="08BFD515">
            <w:pPr>
              <w:spacing w:line="360" w:lineRule="auto"/>
              <w:ind w:firstLine="480" w:firstLineChars="200"/>
              <w:rPr>
                <w:sz w:val="24"/>
              </w:rPr>
            </w:pPr>
            <w:r>
              <w:rPr>
                <w:sz w:val="24"/>
              </w:rPr>
              <w:t>2）脱粒总成拆除：按顺序拆卸脱粒滚筒、凹板筛、清选装置等，直接放置金属类拆解物暂存区。</w:t>
            </w:r>
          </w:p>
          <w:p w14:paraId="425E37A2">
            <w:pPr>
              <w:spacing w:line="360" w:lineRule="auto"/>
              <w:ind w:firstLine="480" w:firstLineChars="200"/>
              <w:rPr>
                <w:sz w:val="24"/>
              </w:rPr>
            </w:pPr>
            <w:r>
              <w:rPr>
                <w:sz w:val="24"/>
              </w:rPr>
              <w:t>3）行走总成拆除：拆卸驱动轮和转向轮；对于带有轮胎的，分别拆下轮胎和轮辋；拆卸减震器等与车架连接部件；拆除行走总成中的传动轴等部件，拆卸带皮带的张紧装置；以上拆卸下来的各种部件根据部件类型直接分类分区暂存。</w:t>
            </w:r>
          </w:p>
          <w:p w14:paraId="338913C0">
            <w:pPr>
              <w:spacing w:line="360" w:lineRule="auto"/>
              <w:ind w:firstLine="480" w:firstLineChars="200"/>
              <w:rPr>
                <w:sz w:val="24"/>
              </w:rPr>
            </w:pPr>
            <w:r>
              <w:rPr>
                <w:sz w:val="24"/>
              </w:rPr>
              <w:t>4）动力总成拆除：拆除发动机的进排气管路，燃油管路等各种连接管路；拆除发动机周边的其他部件，如机油滤清器等部件；用吊装设备将发动机从收割机上拆卸下，直接送至金属类暂存区。</w:t>
            </w:r>
          </w:p>
          <w:p w14:paraId="2CC774AF">
            <w:pPr>
              <w:spacing w:line="360" w:lineRule="auto"/>
              <w:ind w:firstLine="480" w:firstLineChars="200"/>
              <w:rPr>
                <w:sz w:val="24"/>
              </w:rPr>
            </w:pPr>
            <w:r>
              <w:rPr>
                <w:sz w:val="24"/>
              </w:rPr>
              <w:t>5）输送与收集总成拆除：对于秸秆输送装置，拆下输送带或链条等连接部件，拆除秸秆输送装置，分类分区暂存拆解物暂存区。</w:t>
            </w:r>
          </w:p>
          <w:p w14:paraId="7AD41F6F">
            <w:pPr>
              <w:numPr>
                <w:ilvl w:val="0"/>
                <w:numId w:val="12"/>
              </w:numPr>
              <w:spacing w:line="360" w:lineRule="auto"/>
              <w:ind w:firstLine="480" w:firstLineChars="200"/>
              <w:rPr>
                <w:sz w:val="24"/>
              </w:rPr>
            </w:pPr>
            <w:r>
              <w:rPr>
                <w:sz w:val="24"/>
              </w:rPr>
              <w:t>机身拆解</w:t>
            </w:r>
          </w:p>
          <w:p w14:paraId="36C6D891">
            <w:pPr>
              <w:spacing w:line="360" w:lineRule="auto"/>
              <w:ind w:firstLine="480" w:firstLineChars="200"/>
              <w:rPr>
                <w:sz w:val="24"/>
              </w:rPr>
            </w:pPr>
            <w:r>
              <w:rPr>
                <w:sz w:val="24"/>
              </w:rPr>
              <w:t>1）外部附属部件拆除：拆除散热风扇、散热片等散热装置；拆除扶手、脚踏板等附属部件，将上述拆解物直接送至非金属类暂存区。</w:t>
            </w:r>
          </w:p>
          <w:p w14:paraId="056EF43E">
            <w:pPr>
              <w:spacing w:line="360" w:lineRule="auto"/>
              <w:ind w:firstLine="480" w:firstLineChars="200"/>
              <w:rPr>
                <w:sz w:val="24"/>
              </w:rPr>
            </w:pPr>
            <w:r>
              <w:rPr>
                <w:sz w:val="24"/>
              </w:rPr>
              <w:t>2）连接部件拆除：拆除角铁、连接板等连接部件。对于螺栓连接的连接件，手工拆除螺栓；对于焊接的，需采用剪切方法分离（如使用机械钳等设备，根据实际情况选用合适的分割方式）。</w:t>
            </w:r>
          </w:p>
          <w:p w14:paraId="0C9C9F88">
            <w:pPr>
              <w:spacing w:line="360" w:lineRule="auto"/>
              <w:ind w:firstLine="480" w:firstLineChars="200"/>
              <w:rPr>
                <w:sz w:val="24"/>
              </w:rPr>
            </w:pPr>
            <w:r>
              <w:rPr>
                <w:sz w:val="24"/>
              </w:rPr>
              <w:t>3）主体结构部件拆除：拆除外壳、框架等，根据后续处理或存放的需要，使用氧割等设备将其切断成合适的长度，将拆除下来的主体结构部件直接送入金属类拆解物暂存区。</w:t>
            </w:r>
          </w:p>
          <w:p w14:paraId="6FA0CFF0">
            <w:pPr>
              <w:spacing w:line="360" w:lineRule="auto"/>
              <w:ind w:firstLine="480" w:firstLineChars="200"/>
              <w:rPr>
                <w:sz w:val="24"/>
              </w:rPr>
            </w:pPr>
            <w:r>
              <w:rPr>
                <w:sz w:val="24"/>
              </w:rPr>
              <w:t>对拆解下来的物品进行检验、分类、入库储存等工艺流程与拖拉机流程相同，对不能再制造的“五大总成”需要进一步拆解，工艺与拖拉机流程基本相同，不再赘述。</w:t>
            </w:r>
          </w:p>
          <w:p w14:paraId="0756187C">
            <w:pPr>
              <w:jc w:val="center"/>
              <w:rPr>
                <w:b/>
                <w:bCs/>
                <w:sz w:val="24"/>
                <w:u w:val="single"/>
              </w:rPr>
            </w:pPr>
            <w:r>
              <w:rPr>
                <w:sz w:val="24"/>
              </w:rPr>
              <w:drawing>
                <wp:inline distT="0" distB="0" distL="114300" distR="114300">
                  <wp:extent cx="4119245" cy="5212080"/>
                  <wp:effectExtent l="0" t="0" r="14605" b="7620"/>
                  <wp:docPr id="5" name="图片 5" descr="收割拆解工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收割拆解工艺"/>
                          <pic:cNvPicPr>
                            <a:picLocks noChangeAspect="1"/>
                          </pic:cNvPicPr>
                        </pic:nvPicPr>
                        <pic:blipFill>
                          <a:blip r:embed="rId9" cstate="print"/>
                          <a:stretch>
                            <a:fillRect/>
                          </a:stretch>
                        </pic:blipFill>
                        <pic:spPr>
                          <a:xfrm>
                            <a:off x="0" y="0"/>
                            <a:ext cx="4119245" cy="5212080"/>
                          </a:xfrm>
                          <a:prstGeom prst="rect">
                            <a:avLst/>
                          </a:prstGeom>
                        </pic:spPr>
                      </pic:pic>
                    </a:graphicData>
                  </a:graphic>
                </wp:inline>
              </w:drawing>
            </w:r>
          </w:p>
          <w:p w14:paraId="0CF60EEA">
            <w:pPr>
              <w:spacing w:line="360" w:lineRule="auto"/>
              <w:jc w:val="center"/>
              <w:rPr>
                <w:b/>
                <w:bCs/>
                <w:sz w:val="24"/>
              </w:rPr>
            </w:pPr>
            <w:r>
              <w:rPr>
                <w:b/>
                <w:bCs/>
                <w:sz w:val="24"/>
              </w:rPr>
              <w:t>图3   收割机总体拆解工艺流程图</w:t>
            </w:r>
          </w:p>
          <w:p w14:paraId="56A6CD85">
            <w:pPr>
              <w:pStyle w:val="14"/>
              <w:spacing w:before="0" w:after="0" w:line="360" w:lineRule="auto"/>
              <w:ind w:right="0" w:firstLine="482" w:firstLineChars="200"/>
              <w:rPr>
                <w:b/>
                <w:szCs w:val="24"/>
              </w:rPr>
            </w:pPr>
            <w:r>
              <w:rPr>
                <w:b/>
                <w:szCs w:val="24"/>
              </w:rPr>
              <w:t>3、产排污环节分析</w:t>
            </w:r>
          </w:p>
          <w:p w14:paraId="58274F17">
            <w:pPr>
              <w:pStyle w:val="14"/>
              <w:numPr>
                <w:ilvl w:val="0"/>
                <w:numId w:val="13"/>
              </w:numPr>
              <w:spacing w:before="0" w:after="0" w:line="360" w:lineRule="auto"/>
              <w:ind w:left="420" w:leftChars="200" w:right="0"/>
              <w:rPr>
                <w:bCs/>
                <w:szCs w:val="24"/>
              </w:rPr>
            </w:pPr>
            <w:r>
              <w:rPr>
                <w:bCs/>
                <w:szCs w:val="24"/>
              </w:rPr>
              <w:t>废气</w:t>
            </w:r>
          </w:p>
          <w:p w14:paraId="77121525">
            <w:pPr>
              <w:pStyle w:val="14"/>
              <w:spacing w:before="0" w:after="0" w:line="360" w:lineRule="auto"/>
              <w:ind w:right="0" w:firstLine="480" w:firstLineChars="200"/>
              <w:rPr>
                <w:bCs/>
                <w:szCs w:val="24"/>
              </w:rPr>
            </w:pPr>
            <w:r>
              <w:rPr>
                <w:bCs/>
                <w:szCs w:val="24"/>
              </w:rPr>
              <w:t>本项目废气主要为废油液抽取及危险废物暂存过程中产生的挥发性有机废气（以非甲烷总烃计）、切割产生的烟尘。</w:t>
            </w:r>
          </w:p>
          <w:p w14:paraId="0BC22CF2">
            <w:pPr>
              <w:pStyle w:val="14"/>
              <w:spacing w:before="0" w:after="0" w:line="360" w:lineRule="auto"/>
              <w:ind w:left="420" w:leftChars="200" w:right="0"/>
              <w:rPr>
                <w:bCs/>
                <w:szCs w:val="24"/>
              </w:rPr>
            </w:pPr>
            <w:r>
              <w:rPr>
                <w:bCs/>
                <w:szCs w:val="24"/>
              </w:rPr>
              <w:t>（2）废水</w:t>
            </w:r>
          </w:p>
          <w:p w14:paraId="3343072C">
            <w:pPr>
              <w:pStyle w:val="14"/>
              <w:spacing w:before="0" w:after="0" w:line="360" w:lineRule="auto"/>
              <w:ind w:right="0" w:firstLine="480" w:firstLineChars="200"/>
              <w:rPr>
                <w:bCs/>
                <w:szCs w:val="24"/>
              </w:rPr>
            </w:pPr>
            <w:r>
              <w:rPr>
                <w:bCs/>
                <w:szCs w:val="24"/>
              </w:rPr>
              <w:t>本项目生产过程中不产生废水，主要为生活污水。</w:t>
            </w:r>
          </w:p>
          <w:p w14:paraId="2D76F2DC">
            <w:pPr>
              <w:pStyle w:val="14"/>
              <w:spacing w:before="0" w:after="0" w:line="360" w:lineRule="auto"/>
              <w:ind w:left="480" w:right="0"/>
              <w:rPr>
                <w:bCs/>
                <w:szCs w:val="24"/>
              </w:rPr>
            </w:pPr>
            <w:r>
              <w:rPr>
                <w:bCs/>
                <w:szCs w:val="24"/>
              </w:rPr>
              <w:t>（3）噪声</w:t>
            </w:r>
          </w:p>
          <w:p w14:paraId="474FAD86">
            <w:pPr>
              <w:pStyle w:val="14"/>
              <w:spacing w:before="0" w:after="0" w:line="360" w:lineRule="auto"/>
              <w:ind w:right="0" w:firstLine="480" w:firstLineChars="200"/>
              <w:rPr>
                <w:bCs/>
                <w:szCs w:val="24"/>
              </w:rPr>
            </w:pPr>
            <w:r>
              <w:rPr>
                <w:bCs/>
                <w:szCs w:val="24"/>
              </w:rPr>
              <w:t>本项目噪声主要是机械性噪声，生产过程中主要噪声源有切割机、风机、电钻、轮胎拆卸、手动工具。</w:t>
            </w:r>
          </w:p>
          <w:p w14:paraId="56C0D215">
            <w:pPr>
              <w:pStyle w:val="14"/>
              <w:spacing w:before="0" w:after="0" w:line="360" w:lineRule="auto"/>
              <w:ind w:left="480" w:right="0"/>
              <w:rPr>
                <w:bCs/>
                <w:szCs w:val="24"/>
              </w:rPr>
            </w:pPr>
            <w:r>
              <w:rPr>
                <w:bCs/>
                <w:szCs w:val="24"/>
              </w:rPr>
              <w:t>（4）固废</w:t>
            </w:r>
          </w:p>
          <w:p w14:paraId="3E4858C1">
            <w:pPr>
              <w:pStyle w:val="14"/>
              <w:spacing w:before="0" w:after="0" w:line="360" w:lineRule="auto"/>
              <w:ind w:right="0" w:firstLine="480" w:firstLineChars="200"/>
              <w:rPr>
                <w:bCs/>
                <w:szCs w:val="24"/>
              </w:rPr>
            </w:pPr>
            <w:r>
              <w:rPr>
                <w:bCs/>
                <w:szCs w:val="24"/>
              </w:rPr>
              <w:t>本项目固废主要为一般固废和危险废物，其中一般固体废物包括生活垃圾、除尘器收尘以及碎玻璃、碎皮革等不可回收利用物；危险废物主要为废油液、废油箱、废尾气净化装置、废机油滤清器、废电子电器件、含油抹布及手套、有机废气治理产生的废活性炭等。</w:t>
            </w:r>
          </w:p>
          <w:p w14:paraId="7881B7E1">
            <w:pPr>
              <w:spacing w:line="360" w:lineRule="auto"/>
              <w:ind w:firstLine="480" w:firstLineChars="200"/>
              <w:rPr>
                <w:sz w:val="24"/>
              </w:rPr>
            </w:pPr>
            <w:r>
              <w:rPr>
                <w:sz w:val="24"/>
              </w:rPr>
              <w:t>项目主要污染物类型及产生来源详见下表</w:t>
            </w:r>
          </w:p>
          <w:p w14:paraId="237835CA">
            <w:pPr>
              <w:jc w:val="center"/>
              <w:rPr>
                <w:b/>
                <w:bCs/>
                <w:sz w:val="24"/>
                <w:szCs w:val="32"/>
              </w:rPr>
            </w:pPr>
            <w:r>
              <w:rPr>
                <w:b/>
                <w:bCs/>
                <w:sz w:val="24"/>
                <w:szCs w:val="32"/>
              </w:rPr>
              <w:t>表</w:t>
            </w:r>
            <w:r>
              <w:rPr>
                <w:rFonts w:hint="eastAsia"/>
                <w:b/>
                <w:bCs/>
                <w:sz w:val="24"/>
                <w:szCs w:val="32"/>
              </w:rPr>
              <w:t>16</w:t>
            </w:r>
            <w:r>
              <w:rPr>
                <w:b/>
                <w:bCs/>
                <w:sz w:val="24"/>
                <w:szCs w:val="32"/>
              </w:rPr>
              <w:t xml:space="preserve">  项目主要污染物类型及其产生来源一览表</w:t>
            </w:r>
          </w:p>
          <w:tbl>
            <w:tblPr>
              <w:tblStyle w:val="24"/>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1"/>
              <w:gridCol w:w="538"/>
              <w:gridCol w:w="1751"/>
              <w:gridCol w:w="2224"/>
              <w:gridCol w:w="3375"/>
            </w:tblGrid>
            <w:tr w14:paraId="0FA8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1049" w:type="dxa"/>
                  <w:gridSpan w:val="2"/>
                  <w:vAlign w:val="center"/>
                </w:tcPr>
                <w:p w14:paraId="55B45462">
                  <w:pPr>
                    <w:jc w:val="center"/>
                  </w:pPr>
                  <w:r>
                    <w:t>类别</w:t>
                  </w:r>
                </w:p>
              </w:tc>
              <w:tc>
                <w:tcPr>
                  <w:tcW w:w="1751" w:type="dxa"/>
                  <w:vAlign w:val="center"/>
                </w:tcPr>
                <w:p w14:paraId="021610D1">
                  <w:pPr>
                    <w:jc w:val="center"/>
                  </w:pPr>
                  <w:r>
                    <w:t>产污环节</w:t>
                  </w:r>
                </w:p>
              </w:tc>
              <w:tc>
                <w:tcPr>
                  <w:tcW w:w="2224" w:type="dxa"/>
                  <w:vAlign w:val="center"/>
                </w:tcPr>
                <w:p w14:paraId="238FD3E8">
                  <w:pPr>
                    <w:jc w:val="center"/>
                  </w:pPr>
                  <w:r>
                    <w:t>污染因子</w:t>
                  </w:r>
                </w:p>
              </w:tc>
              <w:tc>
                <w:tcPr>
                  <w:tcW w:w="3375" w:type="dxa"/>
                  <w:vAlign w:val="center"/>
                </w:tcPr>
                <w:p w14:paraId="5FC124AD">
                  <w:pPr>
                    <w:jc w:val="center"/>
                  </w:pPr>
                  <w:r>
                    <w:t>排放方式及去向</w:t>
                  </w:r>
                </w:p>
              </w:tc>
            </w:tr>
            <w:tr w14:paraId="4F80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49" w:type="dxa"/>
                  <w:gridSpan w:val="2"/>
                  <w:vMerge w:val="restart"/>
                  <w:vAlign w:val="center"/>
                </w:tcPr>
                <w:p w14:paraId="601612DA">
                  <w:pPr>
                    <w:jc w:val="center"/>
                  </w:pPr>
                  <w:r>
                    <w:t>废气</w:t>
                  </w:r>
                </w:p>
              </w:tc>
              <w:tc>
                <w:tcPr>
                  <w:tcW w:w="1751" w:type="dxa"/>
                  <w:vAlign w:val="center"/>
                </w:tcPr>
                <w:p w14:paraId="49DE21D7">
                  <w:pPr>
                    <w:jc w:val="center"/>
                  </w:pPr>
                  <w:r>
                    <w:t>废油液抽取和危废贮存</w:t>
                  </w:r>
                </w:p>
              </w:tc>
              <w:tc>
                <w:tcPr>
                  <w:tcW w:w="2224" w:type="dxa"/>
                  <w:vAlign w:val="center"/>
                </w:tcPr>
                <w:p w14:paraId="69C51D7A">
                  <w:pPr>
                    <w:jc w:val="center"/>
                  </w:pPr>
                  <w:r>
                    <w:t>非甲烷总烃</w:t>
                  </w:r>
                </w:p>
              </w:tc>
              <w:tc>
                <w:tcPr>
                  <w:tcW w:w="3375" w:type="dxa"/>
                  <w:vAlign w:val="center"/>
                </w:tcPr>
                <w:p w14:paraId="4A08D27F">
                  <w:pPr>
                    <w:jc w:val="center"/>
                  </w:pPr>
                  <w:r>
                    <w:t>废油液抽取和危废贮存有机废气共用1套</w:t>
                  </w:r>
                  <w:r>
                    <w:rPr>
                      <w:rFonts w:hint="eastAsia"/>
                    </w:rPr>
                    <w:t>两级</w:t>
                  </w:r>
                  <w:r>
                    <w:t>活性炭吸附装置处理后由15m高排气筒（DA001）排放</w:t>
                  </w:r>
                </w:p>
              </w:tc>
            </w:tr>
            <w:tr w14:paraId="7398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49" w:type="dxa"/>
                  <w:gridSpan w:val="2"/>
                  <w:vMerge w:val="continue"/>
                  <w:vAlign w:val="center"/>
                </w:tcPr>
                <w:p w14:paraId="03FE5DAB">
                  <w:pPr>
                    <w:jc w:val="center"/>
                  </w:pPr>
                </w:p>
              </w:tc>
              <w:tc>
                <w:tcPr>
                  <w:tcW w:w="1751" w:type="dxa"/>
                  <w:vAlign w:val="center"/>
                </w:tcPr>
                <w:p w14:paraId="505C15DA">
                  <w:pPr>
                    <w:jc w:val="center"/>
                  </w:pPr>
                  <w:r>
                    <w:t>切割工序</w:t>
                  </w:r>
                </w:p>
              </w:tc>
              <w:tc>
                <w:tcPr>
                  <w:tcW w:w="2224" w:type="dxa"/>
                  <w:vAlign w:val="center"/>
                </w:tcPr>
                <w:p w14:paraId="77BF36E4">
                  <w:pPr>
                    <w:jc w:val="center"/>
                  </w:pPr>
                  <w:r>
                    <w:t>颗粒物</w:t>
                  </w:r>
                </w:p>
              </w:tc>
              <w:tc>
                <w:tcPr>
                  <w:tcW w:w="3375" w:type="dxa"/>
                  <w:vAlign w:val="center"/>
                </w:tcPr>
                <w:p w14:paraId="7DA9BBD7">
                  <w:pPr>
                    <w:jc w:val="center"/>
                  </w:pPr>
                  <w:r>
                    <w:t>设置集气罩收集后，经1套覆膜袋式除尘器处理后由15m高排气筒（DA002）排放</w:t>
                  </w:r>
                </w:p>
              </w:tc>
            </w:tr>
            <w:tr w14:paraId="69F5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1049" w:type="dxa"/>
                  <w:gridSpan w:val="2"/>
                  <w:vAlign w:val="center"/>
                </w:tcPr>
                <w:p w14:paraId="2E205F58">
                  <w:pPr>
                    <w:jc w:val="center"/>
                  </w:pPr>
                  <w:r>
                    <w:t>废水</w:t>
                  </w:r>
                </w:p>
              </w:tc>
              <w:tc>
                <w:tcPr>
                  <w:tcW w:w="1751" w:type="dxa"/>
                  <w:vAlign w:val="center"/>
                </w:tcPr>
                <w:p w14:paraId="2AF68EE8">
                  <w:pPr>
                    <w:jc w:val="center"/>
                  </w:pPr>
                  <w:r>
                    <w:t>职工生活</w:t>
                  </w:r>
                </w:p>
              </w:tc>
              <w:tc>
                <w:tcPr>
                  <w:tcW w:w="2224" w:type="dxa"/>
                  <w:vAlign w:val="center"/>
                </w:tcPr>
                <w:p w14:paraId="4FD52F40">
                  <w:pPr>
                    <w:jc w:val="center"/>
                  </w:pPr>
                  <w:r>
                    <w:t>COD、BOD</w:t>
                  </w:r>
                  <w:r>
                    <w:rPr>
                      <w:vertAlign w:val="subscript"/>
                    </w:rPr>
                    <w:t>5</w:t>
                  </w:r>
                  <w:r>
                    <w:t>、SS、氨氮</w:t>
                  </w:r>
                </w:p>
              </w:tc>
              <w:tc>
                <w:tcPr>
                  <w:tcW w:w="3375" w:type="dxa"/>
                  <w:vAlign w:val="center"/>
                </w:tcPr>
                <w:p w14:paraId="40828357">
                  <w:pPr>
                    <w:jc w:val="center"/>
                  </w:pPr>
                  <w:r>
                    <w:t>化粪池暂存后，定期清掏，外运肥田</w:t>
                  </w:r>
                </w:p>
              </w:tc>
            </w:tr>
            <w:tr w14:paraId="2908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1049" w:type="dxa"/>
                  <w:gridSpan w:val="2"/>
                  <w:vAlign w:val="center"/>
                </w:tcPr>
                <w:p w14:paraId="093C1B08">
                  <w:pPr>
                    <w:jc w:val="center"/>
                  </w:pPr>
                  <w:r>
                    <w:t>噪声</w:t>
                  </w:r>
                </w:p>
              </w:tc>
              <w:tc>
                <w:tcPr>
                  <w:tcW w:w="1751" w:type="dxa"/>
                  <w:vAlign w:val="center"/>
                </w:tcPr>
                <w:p w14:paraId="61E5A605">
                  <w:pPr>
                    <w:jc w:val="center"/>
                  </w:pPr>
                  <w:r>
                    <w:t>切割机等拆解设备</w:t>
                  </w:r>
                </w:p>
              </w:tc>
              <w:tc>
                <w:tcPr>
                  <w:tcW w:w="2224" w:type="dxa"/>
                  <w:vAlign w:val="center"/>
                </w:tcPr>
                <w:p w14:paraId="421EFCC9">
                  <w:pPr>
                    <w:jc w:val="center"/>
                  </w:pPr>
                  <w:r>
                    <w:t>设备运行噪声</w:t>
                  </w:r>
                </w:p>
              </w:tc>
              <w:tc>
                <w:tcPr>
                  <w:tcW w:w="3375" w:type="dxa"/>
                  <w:vAlign w:val="center"/>
                </w:tcPr>
                <w:p w14:paraId="39D4853C">
                  <w:pPr>
                    <w:jc w:val="center"/>
                  </w:pPr>
                  <w:r>
                    <w:t>隔声、减振、消声等降噪措施</w:t>
                  </w:r>
                </w:p>
              </w:tc>
            </w:tr>
            <w:tr w14:paraId="4EAD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restart"/>
                  <w:vAlign w:val="center"/>
                </w:tcPr>
                <w:p w14:paraId="374B5B10">
                  <w:pPr>
                    <w:jc w:val="center"/>
                  </w:pPr>
                  <w:r>
                    <w:t>固废</w:t>
                  </w:r>
                </w:p>
              </w:tc>
              <w:tc>
                <w:tcPr>
                  <w:tcW w:w="538" w:type="dxa"/>
                  <w:vMerge w:val="restart"/>
                  <w:vAlign w:val="center"/>
                </w:tcPr>
                <w:p w14:paraId="60F144E9">
                  <w:pPr>
                    <w:jc w:val="center"/>
                  </w:pPr>
                  <w:r>
                    <w:t>一般固废</w:t>
                  </w:r>
                </w:p>
              </w:tc>
              <w:tc>
                <w:tcPr>
                  <w:tcW w:w="1751" w:type="dxa"/>
                  <w:vAlign w:val="center"/>
                </w:tcPr>
                <w:p w14:paraId="22ED7F27">
                  <w:pPr>
                    <w:jc w:val="center"/>
                  </w:pPr>
                  <w:r>
                    <w:t>职工生活</w:t>
                  </w:r>
                </w:p>
              </w:tc>
              <w:tc>
                <w:tcPr>
                  <w:tcW w:w="2224" w:type="dxa"/>
                  <w:vAlign w:val="center"/>
                </w:tcPr>
                <w:p w14:paraId="0C33D336">
                  <w:pPr>
                    <w:jc w:val="center"/>
                  </w:pPr>
                  <w:r>
                    <w:t>生活垃圾</w:t>
                  </w:r>
                </w:p>
              </w:tc>
              <w:tc>
                <w:tcPr>
                  <w:tcW w:w="3375" w:type="dxa"/>
                  <w:vAlign w:val="center"/>
                </w:tcPr>
                <w:p w14:paraId="3B3A8281">
                  <w:pPr>
                    <w:jc w:val="center"/>
                  </w:pPr>
                  <w:r>
                    <w:t>交由环卫部门定期清运</w:t>
                  </w:r>
                </w:p>
              </w:tc>
            </w:tr>
            <w:tr w14:paraId="5CA6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6B186FC5">
                  <w:pPr>
                    <w:jc w:val="center"/>
                  </w:pPr>
                </w:p>
              </w:tc>
              <w:tc>
                <w:tcPr>
                  <w:tcW w:w="538" w:type="dxa"/>
                  <w:vMerge w:val="continue"/>
                  <w:vAlign w:val="center"/>
                </w:tcPr>
                <w:p w14:paraId="2384D27A">
                  <w:pPr>
                    <w:jc w:val="center"/>
                  </w:pPr>
                </w:p>
              </w:tc>
              <w:tc>
                <w:tcPr>
                  <w:tcW w:w="1751" w:type="dxa"/>
                  <w:vMerge w:val="restart"/>
                  <w:vAlign w:val="center"/>
                </w:tcPr>
                <w:p w14:paraId="398B5A2D">
                  <w:pPr>
                    <w:jc w:val="center"/>
                  </w:pPr>
                  <w:r>
                    <w:t>废气治理</w:t>
                  </w:r>
                </w:p>
              </w:tc>
              <w:tc>
                <w:tcPr>
                  <w:tcW w:w="2224" w:type="dxa"/>
                  <w:vAlign w:val="center"/>
                </w:tcPr>
                <w:p w14:paraId="320F519B">
                  <w:pPr>
                    <w:jc w:val="center"/>
                  </w:pPr>
                  <w:r>
                    <w:t>除尘器收尘</w:t>
                  </w:r>
                </w:p>
              </w:tc>
              <w:tc>
                <w:tcPr>
                  <w:tcW w:w="3375" w:type="dxa"/>
                  <w:vAlign w:val="center"/>
                </w:tcPr>
                <w:p w14:paraId="10BA784F">
                  <w:pPr>
                    <w:jc w:val="center"/>
                  </w:pPr>
                  <w:r>
                    <w:t>交由环卫部门定期清运</w:t>
                  </w:r>
                </w:p>
              </w:tc>
            </w:tr>
            <w:tr w14:paraId="5D76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6E82329C">
                  <w:pPr>
                    <w:jc w:val="center"/>
                  </w:pPr>
                </w:p>
              </w:tc>
              <w:tc>
                <w:tcPr>
                  <w:tcW w:w="538" w:type="dxa"/>
                  <w:vMerge w:val="continue"/>
                  <w:vAlign w:val="center"/>
                </w:tcPr>
                <w:p w14:paraId="13DC796B">
                  <w:pPr>
                    <w:jc w:val="center"/>
                  </w:pPr>
                </w:p>
              </w:tc>
              <w:tc>
                <w:tcPr>
                  <w:tcW w:w="1751" w:type="dxa"/>
                  <w:vMerge w:val="continue"/>
                  <w:vAlign w:val="center"/>
                </w:tcPr>
                <w:p w14:paraId="0C2AC355">
                  <w:pPr>
                    <w:jc w:val="center"/>
                  </w:pPr>
                </w:p>
              </w:tc>
              <w:tc>
                <w:tcPr>
                  <w:tcW w:w="2224" w:type="dxa"/>
                  <w:vAlign w:val="center"/>
                </w:tcPr>
                <w:p w14:paraId="5F9455F7">
                  <w:pPr>
                    <w:jc w:val="center"/>
                  </w:pPr>
                  <w:r>
                    <w:t>废活性炭</w:t>
                  </w:r>
                </w:p>
              </w:tc>
              <w:tc>
                <w:tcPr>
                  <w:tcW w:w="3375" w:type="dxa"/>
                  <w:vAlign w:val="center"/>
                </w:tcPr>
                <w:p w14:paraId="58B2C683">
                  <w:pPr>
                    <w:jc w:val="center"/>
                  </w:pPr>
                  <w:r>
                    <w:t>交由有资质单位处置</w:t>
                  </w:r>
                </w:p>
              </w:tc>
            </w:tr>
            <w:tr w14:paraId="772F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22F3CFEB">
                  <w:pPr>
                    <w:jc w:val="center"/>
                  </w:pPr>
                </w:p>
              </w:tc>
              <w:tc>
                <w:tcPr>
                  <w:tcW w:w="538" w:type="dxa"/>
                  <w:vMerge w:val="continue"/>
                  <w:vAlign w:val="center"/>
                </w:tcPr>
                <w:p w14:paraId="7E7C39F1">
                  <w:pPr>
                    <w:jc w:val="center"/>
                  </w:pPr>
                </w:p>
              </w:tc>
              <w:tc>
                <w:tcPr>
                  <w:tcW w:w="1751" w:type="dxa"/>
                  <w:vMerge w:val="restart"/>
                  <w:vAlign w:val="center"/>
                </w:tcPr>
                <w:p w14:paraId="7EC7CF01">
                  <w:pPr>
                    <w:jc w:val="center"/>
                  </w:pPr>
                  <w:r>
                    <w:t>拆解过程</w:t>
                  </w:r>
                </w:p>
              </w:tc>
              <w:tc>
                <w:tcPr>
                  <w:tcW w:w="2224" w:type="dxa"/>
                  <w:vAlign w:val="center"/>
                </w:tcPr>
                <w:p w14:paraId="525D4E53">
                  <w:pPr>
                    <w:jc w:val="center"/>
                  </w:pPr>
                  <w:r>
                    <w:rPr>
                      <w:bCs/>
                      <w:szCs w:val="21"/>
                    </w:rPr>
                    <w:t>碎玻璃、碎皮革等其他不可利用废物</w:t>
                  </w:r>
                </w:p>
              </w:tc>
              <w:tc>
                <w:tcPr>
                  <w:tcW w:w="3375" w:type="dxa"/>
                  <w:vAlign w:val="center"/>
                </w:tcPr>
                <w:p w14:paraId="6092B4D2">
                  <w:pPr>
                    <w:jc w:val="center"/>
                  </w:pPr>
                  <w:r>
                    <w:t>交由环卫部门定期清运</w:t>
                  </w:r>
                </w:p>
              </w:tc>
            </w:tr>
            <w:tr w14:paraId="3F4F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7E0BAEE8">
                  <w:pPr>
                    <w:jc w:val="center"/>
                  </w:pPr>
                </w:p>
              </w:tc>
              <w:tc>
                <w:tcPr>
                  <w:tcW w:w="538" w:type="dxa"/>
                  <w:vMerge w:val="continue"/>
                  <w:vAlign w:val="center"/>
                </w:tcPr>
                <w:p w14:paraId="2141E402">
                  <w:pPr>
                    <w:jc w:val="center"/>
                  </w:pPr>
                </w:p>
              </w:tc>
              <w:tc>
                <w:tcPr>
                  <w:tcW w:w="1751" w:type="dxa"/>
                  <w:vMerge w:val="continue"/>
                  <w:vAlign w:val="center"/>
                </w:tcPr>
                <w:p w14:paraId="77D4DF97">
                  <w:pPr>
                    <w:jc w:val="center"/>
                  </w:pPr>
                </w:p>
              </w:tc>
              <w:tc>
                <w:tcPr>
                  <w:tcW w:w="2224" w:type="dxa"/>
                  <w:vAlign w:val="center"/>
                </w:tcPr>
                <w:p w14:paraId="3C928CE8">
                  <w:pPr>
                    <w:jc w:val="center"/>
                  </w:pPr>
                  <w:r>
                    <w:t>钢铁</w:t>
                  </w:r>
                </w:p>
              </w:tc>
              <w:tc>
                <w:tcPr>
                  <w:tcW w:w="3375" w:type="dxa"/>
                  <w:vMerge w:val="restart"/>
                  <w:vAlign w:val="center"/>
                </w:tcPr>
                <w:p w14:paraId="5D346D3B">
                  <w:pPr>
                    <w:jc w:val="center"/>
                  </w:pPr>
                  <w:r>
                    <w:t>废旧资源综合利用企业</w:t>
                  </w:r>
                </w:p>
              </w:tc>
            </w:tr>
            <w:tr w14:paraId="48E5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63032D05">
                  <w:pPr>
                    <w:jc w:val="center"/>
                  </w:pPr>
                </w:p>
              </w:tc>
              <w:tc>
                <w:tcPr>
                  <w:tcW w:w="538" w:type="dxa"/>
                  <w:vMerge w:val="continue"/>
                  <w:vAlign w:val="center"/>
                </w:tcPr>
                <w:p w14:paraId="0BE2F355">
                  <w:pPr>
                    <w:jc w:val="center"/>
                  </w:pPr>
                </w:p>
              </w:tc>
              <w:tc>
                <w:tcPr>
                  <w:tcW w:w="1751" w:type="dxa"/>
                  <w:vMerge w:val="continue"/>
                  <w:vAlign w:val="center"/>
                </w:tcPr>
                <w:p w14:paraId="1C9DC78B">
                  <w:pPr>
                    <w:jc w:val="center"/>
                  </w:pPr>
                </w:p>
              </w:tc>
              <w:tc>
                <w:tcPr>
                  <w:tcW w:w="2224" w:type="dxa"/>
                  <w:vAlign w:val="center"/>
                </w:tcPr>
                <w:p w14:paraId="6BFCD3CB">
                  <w:pPr>
                    <w:jc w:val="center"/>
                  </w:pPr>
                  <w:r>
                    <w:t>有色金属</w:t>
                  </w:r>
                </w:p>
              </w:tc>
              <w:tc>
                <w:tcPr>
                  <w:tcW w:w="3375" w:type="dxa"/>
                  <w:vMerge w:val="continue"/>
                  <w:vAlign w:val="center"/>
                </w:tcPr>
                <w:p w14:paraId="5D560AB4">
                  <w:pPr>
                    <w:jc w:val="center"/>
                  </w:pPr>
                </w:p>
              </w:tc>
            </w:tr>
            <w:tr w14:paraId="0D3D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2A753491">
                  <w:pPr>
                    <w:jc w:val="center"/>
                  </w:pPr>
                </w:p>
              </w:tc>
              <w:tc>
                <w:tcPr>
                  <w:tcW w:w="538" w:type="dxa"/>
                  <w:vMerge w:val="continue"/>
                  <w:vAlign w:val="center"/>
                </w:tcPr>
                <w:p w14:paraId="6D6E65EE">
                  <w:pPr>
                    <w:jc w:val="center"/>
                  </w:pPr>
                </w:p>
              </w:tc>
              <w:tc>
                <w:tcPr>
                  <w:tcW w:w="1751" w:type="dxa"/>
                  <w:vMerge w:val="continue"/>
                  <w:vAlign w:val="center"/>
                </w:tcPr>
                <w:p w14:paraId="3F4951B3">
                  <w:pPr>
                    <w:jc w:val="center"/>
                  </w:pPr>
                </w:p>
              </w:tc>
              <w:tc>
                <w:tcPr>
                  <w:tcW w:w="2224" w:type="dxa"/>
                  <w:vAlign w:val="center"/>
                </w:tcPr>
                <w:p w14:paraId="7AD00BC7">
                  <w:pPr>
                    <w:jc w:val="center"/>
                  </w:pPr>
                  <w:r>
                    <w:t>塑料</w:t>
                  </w:r>
                </w:p>
              </w:tc>
              <w:tc>
                <w:tcPr>
                  <w:tcW w:w="3375" w:type="dxa"/>
                  <w:vMerge w:val="continue"/>
                  <w:vAlign w:val="center"/>
                </w:tcPr>
                <w:p w14:paraId="1A60C3A3">
                  <w:pPr>
                    <w:jc w:val="center"/>
                  </w:pPr>
                </w:p>
              </w:tc>
            </w:tr>
            <w:tr w14:paraId="32DD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1E68068F">
                  <w:pPr>
                    <w:jc w:val="center"/>
                  </w:pPr>
                </w:p>
              </w:tc>
              <w:tc>
                <w:tcPr>
                  <w:tcW w:w="538" w:type="dxa"/>
                  <w:vMerge w:val="continue"/>
                  <w:vAlign w:val="center"/>
                </w:tcPr>
                <w:p w14:paraId="17D0695A">
                  <w:pPr>
                    <w:jc w:val="center"/>
                  </w:pPr>
                </w:p>
              </w:tc>
              <w:tc>
                <w:tcPr>
                  <w:tcW w:w="1751" w:type="dxa"/>
                  <w:vMerge w:val="continue"/>
                  <w:vAlign w:val="center"/>
                </w:tcPr>
                <w:p w14:paraId="31666D86">
                  <w:pPr>
                    <w:jc w:val="center"/>
                  </w:pPr>
                </w:p>
              </w:tc>
              <w:tc>
                <w:tcPr>
                  <w:tcW w:w="2224" w:type="dxa"/>
                  <w:vAlign w:val="center"/>
                </w:tcPr>
                <w:p w14:paraId="418480A0">
                  <w:pPr>
                    <w:jc w:val="center"/>
                  </w:pPr>
                  <w:r>
                    <w:t>橡胶</w:t>
                  </w:r>
                </w:p>
              </w:tc>
              <w:tc>
                <w:tcPr>
                  <w:tcW w:w="3375" w:type="dxa"/>
                  <w:vMerge w:val="continue"/>
                  <w:vAlign w:val="center"/>
                </w:tcPr>
                <w:p w14:paraId="134756E4">
                  <w:pPr>
                    <w:jc w:val="center"/>
                  </w:pPr>
                </w:p>
              </w:tc>
            </w:tr>
            <w:tr w14:paraId="6B96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66D5F68B">
                  <w:pPr>
                    <w:jc w:val="center"/>
                  </w:pPr>
                </w:p>
              </w:tc>
              <w:tc>
                <w:tcPr>
                  <w:tcW w:w="538" w:type="dxa"/>
                  <w:vMerge w:val="continue"/>
                  <w:vAlign w:val="center"/>
                </w:tcPr>
                <w:p w14:paraId="39600F55">
                  <w:pPr>
                    <w:jc w:val="center"/>
                  </w:pPr>
                </w:p>
              </w:tc>
              <w:tc>
                <w:tcPr>
                  <w:tcW w:w="1751" w:type="dxa"/>
                  <w:vMerge w:val="continue"/>
                  <w:vAlign w:val="center"/>
                </w:tcPr>
                <w:p w14:paraId="35390BBE">
                  <w:pPr>
                    <w:jc w:val="center"/>
                  </w:pPr>
                </w:p>
              </w:tc>
              <w:tc>
                <w:tcPr>
                  <w:tcW w:w="2224" w:type="dxa"/>
                  <w:vAlign w:val="center"/>
                </w:tcPr>
                <w:p w14:paraId="68844606">
                  <w:pPr>
                    <w:jc w:val="center"/>
                  </w:pPr>
                  <w:r>
                    <w:t>玻璃</w:t>
                  </w:r>
                </w:p>
              </w:tc>
              <w:tc>
                <w:tcPr>
                  <w:tcW w:w="3375" w:type="dxa"/>
                  <w:vMerge w:val="continue"/>
                  <w:vAlign w:val="center"/>
                </w:tcPr>
                <w:p w14:paraId="357F3164">
                  <w:pPr>
                    <w:jc w:val="center"/>
                  </w:pPr>
                </w:p>
              </w:tc>
            </w:tr>
            <w:tr w14:paraId="67A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0CC4FCE2">
                  <w:pPr>
                    <w:jc w:val="center"/>
                  </w:pPr>
                </w:p>
              </w:tc>
              <w:tc>
                <w:tcPr>
                  <w:tcW w:w="538" w:type="dxa"/>
                  <w:vMerge w:val="continue"/>
                  <w:vAlign w:val="center"/>
                </w:tcPr>
                <w:p w14:paraId="7C2622F8">
                  <w:pPr>
                    <w:jc w:val="center"/>
                  </w:pPr>
                </w:p>
              </w:tc>
              <w:tc>
                <w:tcPr>
                  <w:tcW w:w="1751" w:type="dxa"/>
                  <w:vMerge w:val="continue"/>
                  <w:vAlign w:val="center"/>
                </w:tcPr>
                <w:p w14:paraId="5E187F20">
                  <w:pPr>
                    <w:jc w:val="center"/>
                  </w:pPr>
                </w:p>
              </w:tc>
              <w:tc>
                <w:tcPr>
                  <w:tcW w:w="2224" w:type="dxa"/>
                  <w:vAlign w:val="center"/>
                </w:tcPr>
                <w:p w14:paraId="6CD1D25A">
                  <w:pPr>
                    <w:jc w:val="center"/>
                  </w:pPr>
                  <w:r>
                    <w:t>可用零部件</w:t>
                  </w:r>
                </w:p>
              </w:tc>
              <w:tc>
                <w:tcPr>
                  <w:tcW w:w="3375" w:type="dxa"/>
                  <w:vMerge w:val="continue"/>
                  <w:vAlign w:val="center"/>
                </w:tcPr>
                <w:p w14:paraId="487FBDD5">
                  <w:pPr>
                    <w:jc w:val="center"/>
                  </w:pPr>
                </w:p>
              </w:tc>
            </w:tr>
            <w:tr w14:paraId="7F90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511" w:type="dxa"/>
                  <w:vMerge w:val="continue"/>
                  <w:vAlign w:val="center"/>
                </w:tcPr>
                <w:p w14:paraId="5C57386E">
                  <w:pPr>
                    <w:jc w:val="center"/>
                  </w:pPr>
                </w:p>
              </w:tc>
              <w:tc>
                <w:tcPr>
                  <w:tcW w:w="538" w:type="dxa"/>
                  <w:vMerge w:val="continue"/>
                  <w:vAlign w:val="center"/>
                </w:tcPr>
                <w:p w14:paraId="191CB957">
                  <w:pPr>
                    <w:jc w:val="center"/>
                  </w:pPr>
                </w:p>
              </w:tc>
              <w:tc>
                <w:tcPr>
                  <w:tcW w:w="1751" w:type="dxa"/>
                  <w:vMerge w:val="continue"/>
                  <w:vAlign w:val="center"/>
                </w:tcPr>
                <w:p w14:paraId="7DFF0F3A">
                  <w:pPr>
                    <w:jc w:val="center"/>
                  </w:pPr>
                </w:p>
              </w:tc>
              <w:tc>
                <w:tcPr>
                  <w:tcW w:w="2224" w:type="dxa"/>
                  <w:vAlign w:val="center"/>
                </w:tcPr>
                <w:p w14:paraId="3CF80EFE">
                  <w:pPr>
                    <w:jc w:val="center"/>
                  </w:pPr>
                  <w:r>
                    <w:t>废油液</w:t>
                  </w:r>
                </w:p>
              </w:tc>
              <w:tc>
                <w:tcPr>
                  <w:tcW w:w="3375" w:type="dxa"/>
                  <w:vMerge w:val="restart"/>
                  <w:vAlign w:val="center"/>
                </w:tcPr>
                <w:p w14:paraId="136407E8">
                  <w:pPr>
                    <w:jc w:val="center"/>
                  </w:pPr>
                  <w:r>
                    <w:t>交由有资质单位处置</w:t>
                  </w:r>
                </w:p>
              </w:tc>
            </w:tr>
            <w:tr w14:paraId="05AC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511" w:type="dxa"/>
                  <w:vMerge w:val="continue"/>
                  <w:vAlign w:val="center"/>
                </w:tcPr>
                <w:p w14:paraId="56AC1145">
                  <w:pPr>
                    <w:jc w:val="center"/>
                  </w:pPr>
                </w:p>
              </w:tc>
              <w:tc>
                <w:tcPr>
                  <w:tcW w:w="538" w:type="dxa"/>
                  <w:vMerge w:val="continue"/>
                  <w:vAlign w:val="center"/>
                </w:tcPr>
                <w:p w14:paraId="221F7955">
                  <w:pPr>
                    <w:jc w:val="center"/>
                  </w:pPr>
                </w:p>
              </w:tc>
              <w:tc>
                <w:tcPr>
                  <w:tcW w:w="1751" w:type="dxa"/>
                  <w:vMerge w:val="continue"/>
                  <w:vAlign w:val="center"/>
                </w:tcPr>
                <w:p w14:paraId="2C7E6F9F">
                  <w:pPr>
                    <w:jc w:val="center"/>
                  </w:pPr>
                </w:p>
              </w:tc>
              <w:tc>
                <w:tcPr>
                  <w:tcW w:w="2224" w:type="dxa"/>
                  <w:vAlign w:val="center"/>
                </w:tcPr>
                <w:p w14:paraId="098CF404">
                  <w:pPr>
                    <w:jc w:val="center"/>
                  </w:pPr>
                  <w:r>
                    <w:t>废油箱</w:t>
                  </w:r>
                </w:p>
              </w:tc>
              <w:tc>
                <w:tcPr>
                  <w:tcW w:w="3375" w:type="dxa"/>
                  <w:vMerge w:val="continue"/>
                  <w:vAlign w:val="center"/>
                </w:tcPr>
                <w:p w14:paraId="7F79FB57">
                  <w:pPr>
                    <w:jc w:val="center"/>
                  </w:pPr>
                </w:p>
              </w:tc>
            </w:tr>
            <w:tr w14:paraId="0F33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511" w:type="dxa"/>
                  <w:vMerge w:val="continue"/>
                  <w:vAlign w:val="center"/>
                </w:tcPr>
                <w:p w14:paraId="3B3FEC9E">
                  <w:pPr>
                    <w:jc w:val="center"/>
                  </w:pPr>
                </w:p>
              </w:tc>
              <w:tc>
                <w:tcPr>
                  <w:tcW w:w="538" w:type="dxa"/>
                  <w:vMerge w:val="continue"/>
                  <w:vAlign w:val="center"/>
                </w:tcPr>
                <w:p w14:paraId="1E654C4E">
                  <w:pPr>
                    <w:jc w:val="center"/>
                  </w:pPr>
                </w:p>
              </w:tc>
              <w:tc>
                <w:tcPr>
                  <w:tcW w:w="1751" w:type="dxa"/>
                  <w:vMerge w:val="continue"/>
                  <w:vAlign w:val="center"/>
                </w:tcPr>
                <w:p w14:paraId="2F2D1D2F">
                  <w:pPr>
                    <w:jc w:val="center"/>
                  </w:pPr>
                </w:p>
              </w:tc>
              <w:tc>
                <w:tcPr>
                  <w:tcW w:w="2224" w:type="dxa"/>
                  <w:vAlign w:val="center"/>
                </w:tcPr>
                <w:p w14:paraId="70C56D89">
                  <w:pPr>
                    <w:jc w:val="center"/>
                  </w:pPr>
                  <w:r>
                    <w:t>废尾气净化装置</w:t>
                  </w:r>
                </w:p>
              </w:tc>
              <w:tc>
                <w:tcPr>
                  <w:tcW w:w="3375" w:type="dxa"/>
                  <w:vMerge w:val="continue"/>
                  <w:vAlign w:val="center"/>
                </w:tcPr>
                <w:p w14:paraId="61081C53">
                  <w:pPr>
                    <w:jc w:val="center"/>
                  </w:pPr>
                </w:p>
              </w:tc>
            </w:tr>
            <w:tr w14:paraId="7C93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511" w:type="dxa"/>
                  <w:vMerge w:val="continue"/>
                  <w:vAlign w:val="center"/>
                </w:tcPr>
                <w:p w14:paraId="474A8007">
                  <w:pPr>
                    <w:jc w:val="center"/>
                  </w:pPr>
                </w:p>
              </w:tc>
              <w:tc>
                <w:tcPr>
                  <w:tcW w:w="538" w:type="dxa"/>
                  <w:vMerge w:val="continue"/>
                  <w:vAlign w:val="center"/>
                </w:tcPr>
                <w:p w14:paraId="101E65C9">
                  <w:pPr>
                    <w:jc w:val="center"/>
                  </w:pPr>
                </w:p>
              </w:tc>
              <w:tc>
                <w:tcPr>
                  <w:tcW w:w="1751" w:type="dxa"/>
                  <w:vMerge w:val="continue"/>
                  <w:vAlign w:val="center"/>
                </w:tcPr>
                <w:p w14:paraId="7933904E">
                  <w:pPr>
                    <w:jc w:val="center"/>
                  </w:pPr>
                </w:p>
              </w:tc>
              <w:tc>
                <w:tcPr>
                  <w:tcW w:w="2224" w:type="dxa"/>
                  <w:vAlign w:val="center"/>
                </w:tcPr>
                <w:p w14:paraId="4A33FAB2">
                  <w:pPr>
                    <w:jc w:val="center"/>
                  </w:pPr>
                  <w:r>
                    <w:t>废机油滤清器</w:t>
                  </w:r>
                </w:p>
              </w:tc>
              <w:tc>
                <w:tcPr>
                  <w:tcW w:w="3375" w:type="dxa"/>
                  <w:vMerge w:val="continue"/>
                  <w:vAlign w:val="center"/>
                </w:tcPr>
                <w:p w14:paraId="472549F8">
                  <w:pPr>
                    <w:jc w:val="center"/>
                  </w:pPr>
                </w:p>
              </w:tc>
            </w:tr>
            <w:tr w14:paraId="4490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511" w:type="dxa"/>
                  <w:vMerge w:val="continue"/>
                  <w:vAlign w:val="center"/>
                </w:tcPr>
                <w:p w14:paraId="4061085F">
                  <w:pPr>
                    <w:jc w:val="center"/>
                  </w:pPr>
                </w:p>
              </w:tc>
              <w:tc>
                <w:tcPr>
                  <w:tcW w:w="538" w:type="dxa"/>
                  <w:vMerge w:val="continue"/>
                  <w:vAlign w:val="center"/>
                </w:tcPr>
                <w:p w14:paraId="658AF6DB">
                  <w:pPr>
                    <w:jc w:val="center"/>
                  </w:pPr>
                </w:p>
              </w:tc>
              <w:tc>
                <w:tcPr>
                  <w:tcW w:w="1751" w:type="dxa"/>
                  <w:vMerge w:val="continue"/>
                  <w:vAlign w:val="center"/>
                </w:tcPr>
                <w:p w14:paraId="1F2D214D">
                  <w:pPr>
                    <w:jc w:val="center"/>
                  </w:pPr>
                </w:p>
              </w:tc>
              <w:tc>
                <w:tcPr>
                  <w:tcW w:w="2224" w:type="dxa"/>
                  <w:vAlign w:val="center"/>
                </w:tcPr>
                <w:p w14:paraId="21635679">
                  <w:pPr>
                    <w:jc w:val="center"/>
                  </w:pPr>
                  <w:r>
                    <w:rPr>
                      <w:rFonts w:hint="eastAsia"/>
                    </w:rPr>
                    <w:t>废铅酸蓄电池</w:t>
                  </w:r>
                </w:p>
              </w:tc>
              <w:tc>
                <w:tcPr>
                  <w:tcW w:w="3375" w:type="dxa"/>
                  <w:vMerge w:val="continue"/>
                  <w:vAlign w:val="center"/>
                </w:tcPr>
                <w:p w14:paraId="7AF92F14">
                  <w:pPr>
                    <w:jc w:val="center"/>
                  </w:pPr>
                </w:p>
              </w:tc>
            </w:tr>
            <w:tr w14:paraId="45DC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511" w:type="dxa"/>
                  <w:vMerge w:val="continue"/>
                  <w:vAlign w:val="center"/>
                </w:tcPr>
                <w:p w14:paraId="650D63C1">
                  <w:pPr>
                    <w:jc w:val="center"/>
                  </w:pPr>
                </w:p>
              </w:tc>
              <w:tc>
                <w:tcPr>
                  <w:tcW w:w="538" w:type="dxa"/>
                  <w:vMerge w:val="continue"/>
                  <w:vAlign w:val="center"/>
                </w:tcPr>
                <w:p w14:paraId="4DB8CF76">
                  <w:pPr>
                    <w:jc w:val="center"/>
                  </w:pPr>
                </w:p>
              </w:tc>
              <w:tc>
                <w:tcPr>
                  <w:tcW w:w="1751" w:type="dxa"/>
                  <w:vMerge w:val="continue"/>
                  <w:vAlign w:val="center"/>
                </w:tcPr>
                <w:p w14:paraId="45FBAE5E">
                  <w:pPr>
                    <w:jc w:val="center"/>
                  </w:pPr>
                </w:p>
              </w:tc>
              <w:tc>
                <w:tcPr>
                  <w:tcW w:w="2224" w:type="dxa"/>
                  <w:vAlign w:val="center"/>
                </w:tcPr>
                <w:p w14:paraId="635D3772">
                  <w:pPr>
                    <w:jc w:val="center"/>
                  </w:pPr>
                  <w:r>
                    <w:t>废电子电器件</w:t>
                  </w:r>
                </w:p>
              </w:tc>
              <w:tc>
                <w:tcPr>
                  <w:tcW w:w="3375" w:type="dxa"/>
                  <w:vMerge w:val="continue"/>
                  <w:vAlign w:val="center"/>
                </w:tcPr>
                <w:p w14:paraId="0A24EE74">
                  <w:pPr>
                    <w:jc w:val="center"/>
                  </w:pPr>
                </w:p>
              </w:tc>
            </w:tr>
            <w:tr w14:paraId="082F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11" w:type="dxa"/>
                  <w:vMerge w:val="continue"/>
                  <w:vAlign w:val="center"/>
                </w:tcPr>
                <w:p w14:paraId="38A8A0C9">
                  <w:pPr>
                    <w:jc w:val="center"/>
                  </w:pPr>
                </w:p>
              </w:tc>
              <w:tc>
                <w:tcPr>
                  <w:tcW w:w="538" w:type="dxa"/>
                  <w:vMerge w:val="continue"/>
                  <w:vAlign w:val="center"/>
                </w:tcPr>
                <w:p w14:paraId="382D223A">
                  <w:pPr>
                    <w:jc w:val="center"/>
                  </w:pPr>
                </w:p>
              </w:tc>
              <w:tc>
                <w:tcPr>
                  <w:tcW w:w="1751" w:type="dxa"/>
                  <w:vAlign w:val="center"/>
                </w:tcPr>
                <w:p w14:paraId="3686D16E">
                  <w:pPr>
                    <w:jc w:val="center"/>
                  </w:pPr>
                  <w:r>
                    <w:t>劳保用品</w:t>
                  </w:r>
                </w:p>
              </w:tc>
              <w:tc>
                <w:tcPr>
                  <w:tcW w:w="2224" w:type="dxa"/>
                  <w:vAlign w:val="center"/>
                </w:tcPr>
                <w:p w14:paraId="6D1D31F0">
                  <w:pPr>
                    <w:jc w:val="center"/>
                  </w:pPr>
                  <w:r>
                    <w:t>含油抹布及手套</w:t>
                  </w:r>
                </w:p>
              </w:tc>
              <w:tc>
                <w:tcPr>
                  <w:tcW w:w="3375" w:type="dxa"/>
                  <w:vMerge w:val="continue"/>
                  <w:vAlign w:val="center"/>
                </w:tcPr>
                <w:p w14:paraId="1411C13F">
                  <w:pPr>
                    <w:jc w:val="center"/>
                  </w:pPr>
                </w:p>
              </w:tc>
            </w:tr>
          </w:tbl>
          <w:p w14:paraId="18D713DB"/>
        </w:tc>
      </w:tr>
      <w:tr w14:paraId="5B8286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416" w:type="dxa"/>
            <w:vAlign w:val="center"/>
          </w:tcPr>
          <w:p w14:paraId="3442DB0B">
            <w:pPr>
              <w:jc w:val="center"/>
              <w:rPr>
                <w:sz w:val="24"/>
                <w:szCs w:val="32"/>
              </w:rPr>
            </w:pPr>
            <w:r>
              <w:rPr>
                <w:sz w:val="24"/>
                <w:szCs w:val="32"/>
              </w:rPr>
              <w:t>与项目有关的原有环境污染问题</w:t>
            </w:r>
          </w:p>
        </w:tc>
        <w:tc>
          <w:tcPr>
            <w:tcW w:w="8568" w:type="dxa"/>
          </w:tcPr>
          <w:p w14:paraId="03DA12E3">
            <w:pPr>
              <w:adjustRightInd w:val="0"/>
              <w:snapToGrid w:val="0"/>
              <w:spacing w:line="360" w:lineRule="auto"/>
              <w:ind w:firstLine="482" w:firstLineChars="200"/>
              <w:rPr>
                <w:b/>
                <w:sz w:val="24"/>
                <w:u w:val="single"/>
              </w:rPr>
            </w:pPr>
            <w:r>
              <w:rPr>
                <w:b/>
                <w:sz w:val="24"/>
                <w:u w:val="single"/>
              </w:rPr>
              <w:t>本项目为新建项目，</w:t>
            </w:r>
            <w:r>
              <w:rPr>
                <w:rFonts w:hint="eastAsia"/>
                <w:b/>
                <w:sz w:val="24"/>
                <w:u w:val="single"/>
              </w:rPr>
              <w:t>拟</w:t>
            </w:r>
            <w:r>
              <w:rPr>
                <w:b/>
                <w:sz w:val="24"/>
                <w:u w:val="single"/>
              </w:rPr>
              <w:t>租</w:t>
            </w:r>
            <w:r>
              <w:rPr>
                <w:rFonts w:hint="eastAsia"/>
                <w:b/>
                <w:sz w:val="24"/>
                <w:u w:val="single"/>
              </w:rPr>
              <w:t>用隆兴家具有限公司</w:t>
            </w:r>
            <w:r>
              <w:rPr>
                <w:b/>
                <w:sz w:val="24"/>
                <w:u w:val="single"/>
              </w:rPr>
              <w:t>现有闲置</w:t>
            </w:r>
            <w:r>
              <w:rPr>
                <w:rFonts w:hint="eastAsia"/>
                <w:b/>
                <w:sz w:val="24"/>
                <w:u w:val="single"/>
              </w:rPr>
              <w:t>厂区（面积约2</w:t>
            </w:r>
            <w:r>
              <w:rPr>
                <w:b/>
                <w:sz w:val="24"/>
                <w:u w:val="single"/>
              </w:rPr>
              <w:t>860</w:t>
            </w:r>
            <w:r>
              <w:rPr>
                <w:rFonts w:hint="eastAsia"/>
                <w:b/>
                <w:sz w:val="24"/>
                <w:u w:val="single"/>
              </w:rPr>
              <w:t>m</w:t>
            </w:r>
            <w:r>
              <w:rPr>
                <w:b/>
                <w:sz w:val="24"/>
                <w:u w:val="single"/>
                <w:vertAlign w:val="superscript"/>
              </w:rPr>
              <w:t>2</w:t>
            </w:r>
            <w:r>
              <w:rPr>
                <w:rFonts w:hint="eastAsia"/>
                <w:b/>
                <w:sz w:val="24"/>
                <w:u w:val="single"/>
              </w:rPr>
              <w:t>）</w:t>
            </w:r>
            <w:r>
              <w:rPr>
                <w:b/>
                <w:sz w:val="24"/>
                <w:u w:val="single"/>
              </w:rPr>
              <w:t>进行建设，本车间租用给本项目前</w:t>
            </w:r>
            <w:r>
              <w:rPr>
                <w:rFonts w:hint="eastAsia"/>
                <w:b/>
                <w:sz w:val="24"/>
                <w:u w:val="single"/>
              </w:rPr>
              <w:t>主要用于家具的批发、销售</w:t>
            </w:r>
            <w:r>
              <w:rPr>
                <w:b/>
                <w:sz w:val="24"/>
                <w:u w:val="single"/>
              </w:rPr>
              <w:t>，经现场勘查无原有污染情况及环境问题。</w:t>
            </w:r>
          </w:p>
          <w:p w14:paraId="6013326E">
            <w:pPr>
              <w:adjustRightInd w:val="0"/>
              <w:snapToGrid w:val="0"/>
              <w:spacing w:line="360" w:lineRule="auto"/>
              <w:ind w:firstLine="482" w:firstLineChars="200"/>
              <w:rPr>
                <w:b/>
                <w:sz w:val="24"/>
                <w:u w:val="single"/>
              </w:rPr>
            </w:pPr>
            <w:r>
              <w:rPr>
                <w:rFonts w:hint="eastAsia"/>
                <w:b/>
                <w:sz w:val="24"/>
                <w:u w:val="single"/>
              </w:rPr>
              <w:t>本项目拟使用的车间为全封闭车间，其中拆解车间面积约1</w:t>
            </w:r>
            <w:r>
              <w:rPr>
                <w:b/>
                <w:sz w:val="24"/>
                <w:u w:val="single"/>
              </w:rPr>
              <w:t>300</w:t>
            </w:r>
            <w:r>
              <w:rPr>
                <w:rFonts w:hint="eastAsia"/>
                <w:b/>
                <w:sz w:val="24"/>
                <w:u w:val="single"/>
              </w:rPr>
              <w:t>m</w:t>
            </w:r>
            <w:r>
              <w:rPr>
                <w:b/>
                <w:sz w:val="24"/>
                <w:u w:val="single"/>
                <w:vertAlign w:val="superscript"/>
              </w:rPr>
              <w:t>2</w:t>
            </w:r>
            <w:r>
              <w:rPr>
                <w:rFonts w:hint="eastAsia"/>
                <w:b/>
                <w:sz w:val="24"/>
                <w:u w:val="single"/>
              </w:rPr>
              <w:t>，储存库面积约8</w:t>
            </w:r>
            <w:r>
              <w:rPr>
                <w:b/>
                <w:sz w:val="24"/>
                <w:u w:val="single"/>
              </w:rPr>
              <w:t>50</w:t>
            </w:r>
            <w:r>
              <w:rPr>
                <w:rFonts w:hint="eastAsia"/>
                <w:b/>
                <w:sz w:val="24"/>
                <w:u w:val="single"/>
              </w:rPr>
              <w:t>m</w:t>
            </w:r>
            <w:r>
              <w:rPr>
                <w:b/>
                <w:sz w:val="24"/>
                <w:u w:val="single"/>
                <w:vertAlign w:val="superscript"/>
              </w:rPr>
              <w:t>2</w:t>
            </w:r>
            <w:r>
              <w:rPr>
                <w:rFonts w:hint="eastAsia"/>
                <w:b/>
                <w:sz w:val="24"/>
                <w:u w:val="single"/>
              </w:rPr>
              <w:t>，厂房设置有硬质门，门窗均完好，无破损现象，厂房外道路为硬化道路，空地处进行绿化，厂区和厂房符合相关的管理要求，可用于本项目建设。</w:t>
            </w:r>
          </w:p>
        </w:tc>
      </w:tr>
    </w:tbl>
    <w:p w14:paraId="3981A0BB">
      <w:pPr>
        <w:pStyle w:val="20"/>
        <w:jc w:val="center"/>
        <w:rPr>
          <w:rFonts w:ascii="Times New Roman" w:hAnsi="Times New Roman" w:eastAsia="黑体"/>
          <w:snapToGrid w:val="0"/>
          <w:sz w:val="36"/>
          <w:szCs w:val="36"/>
        </w:rPr>
        <w:sectPr>
          <w:pgSz w:w="11906" w:h="16838"/>
          <w:pgMar w:top="1701" w:right="1531" w:bottom="1701" w:left="1531" w:header="851" w:footer="851" w:gutter="0"/>
          <w:cols w:space="720" w:num="1"/>
          <w:docGrid w:linePitch="312" w:charSpace="0"/>
        </w:sectPr>
      </w:pPr>
    </w:p>
    <w:p w14:paraId="3CFFF356">
      <w:pPr>
        <w:pStyle w:val="20"/>
        <w:adjustRightInd w:val="0"/>
        <w:snapToGrid w:val="0"/>
        <w:spacing w:before="0" w:beforeAutospacing="0" w:after="0" w:afterAutospacing="0" w:line="14" w:lineRule="auto"/>
        <w:jc w:val="center"/>
        <w:rPr>
          <w:rFonts w:ascii="Times New Roman" w:hAnsi="Times New Roman" w:eastAsia="黑体"/>
          <w:snapToGrid w:val="0"/>
          <w:sz w:val="30"/>
          <w:szCs w:val="30"/>
        </w:rPr>
      </w:pPr>
    </w:p>
    <w:p w14:paraId="4226F612">
      <w:pPr>
        <w:pStyle w:val="20"/>
        <w:jc w:val="center"/>
        <w:outlineLvl w:val="0"/>
        <w:rPr>
          <w:rFonts w:ascii="Times New Roman" w:hAnsi="Times New Roman" w:eastAsia="黑体"/>
          <w:snapToGrid w:val="0"/>
          <w:sz w:val="30"/>
          <w:szCs w:val="30"/>
        </w:rPr>
      </w:pPr>
      <w:bookmarkStart w:id="8" w:name="_Toc7880"/>
      <w:r>
        <w:rPr>
          <w:rFonts w:ascii="Times New Roman" w:hAnsi="Times New Roman" w:eastAsia="黑体"/>
          <w:snapToGrid w:val="0"/>
          <w:sz w:val="30"/>
          <w:szCs w:val="30"/>
        </w:rPr>
        <w:t>三、区域环境质量现状、环境保护目标及评价标准</w:t>
      </w:r>
      <w:bookmarkEnd w:id="8"/>
    </w:p>
    <w:tbl>
      <w:tblPr>
        <w:tblStyle w:val="23"/>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3"/>
        <w:gridCol w:w="8587"/>
      </w:tblGrid>
      <w:tr w14:paraId="595AB1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403" w:type="dxa"/>
            <w:vAlign w:val="center"/>
          </w:tcPr>
          <w:p w14:paraId="6BBAE37B">
            <w:pPr>
              <w:adjustRightInd w:val="0"/>
              <w:snapToGrid w:val="0"/>
              <w:jc w:val="center"/>
              <w:rPr>
                <w:kern w:val="0"/>
                <w:sz w:val="24"/>
              </w:rPr>
            </w:pPr>
            <w:r>
              <w:rPr>
                <w:kern w:val="0"/>
                <w:sz w:val="24"/>
              </w:rPr>
              <w:t>区域环境质量现状</w:t>
            </w:r>
          </w:p>
        </w:tc>
        <w:tc>
          <w:tcPr>
            <w:tcW w:w="8587" w:type="dxa"/>
            <w:vAlign w:val="center"/>
          </w:tcPr>
          <w:p w14:paraId="7BB5E8CE">
            <w:pPr>
              <w:numPr>
                <w:ilvl w:val="0"/>
                <w:numId w:val="14"/>
              </w:numPr>
              <w:adjustRightInd w:val="0"/>
              <w:snapToGrid w:val="0"/>
              <w:spacing w:line="360" w:lineRule="auto"/>
              <w:ind w:firstLine="482" w:firstLineChars="200"/>
              <w:jc w:val="left"/>
              <w:rPr>
                <w:b/>
                <w:bCs/>
                <w:kern w:val="0"/>
                <w:sz w:val="24"/>
              </w:rPr>
            </w:pPr>
            <w:r>
              <w:rPr>
                <w:b/>
                <w:bCs/>
                <w:kern w:val="0"/>
                <w:sz w:val="24"/>
              </w:rPr>
              <w:t>大气环境</w:t>
            </w:r>
          </w:p>
          <w:p w14:paraId="0CB1223F">
            <w:pPr>
              <w:adjustRightInd w:val="0"/>
              <w:snapToGrid w:val="0"/>
              <w:spacing w:line="360" w:lineRule="auto"/>
              <w:ind w:firstLine="480" w:firstLineChars="200"/>
              <w:rPr>
                <w:kern w:val="0"/>
                <w:sz w:val="24"/>
              </w:rPr>
            </w:pPr>
            <w:r>
              <w:rPr>
                <w:kern w:val="0"/>
                <w:sz w:val="24"/>
              </w:rPr>
              <w:t>根据大气功能区划分，本项目所在地属于环境空气二类功能区，环境空气质量应执行《环境空气质量标准》（GB3095-2012）二级标准。本次评价选取2023年作为评价基准年，根据《环境影响评价技术导则大气环境》（HJ2.2-2018）中“项目所在区域达标判定，优先采用国家或地方生态环境主管部门公开发布的评价基准年环境质量公告或环境质量报告中的数据或结论”。本次评价基本因子引用环境空气质量模型技术支持服务系统统计的商丘市2023年环境空气质量数据，各因子统计结果见下表。</w:t>
            </w:r>
          </w:p>
          <w:p w14:paraId="027B84A9">
            <w:pPr>
              <w:adjustRightInd w:val="0"/>
              <w:snapToGrid w:val="0"/>
              <w:jc w:val="center"/>
              <w:rPr>
                <w:b/>
                <w:bCs/>
                <w:kern w:val="0"/>
                <w:sz w:val="24"/>
              </w:rPr>
            </w:pPr>
            <w:r>
              <w:rPr>
                <w:b/>
                <w:bCs/>
                <w:kern w:val="0"/>
                <w:sz w:val="24"/>
              </w:rPr>
              <w:t>表</w:t>
            </w:r>
            <w:r>
              <w:rPr>
                <w:rFonts w:hint="eastAsia"/>
                <w:b/>
                <w:bCs/>
                <w:kern w:val="0"/>
                <w:sz w:val="24"/>
              </w:rPr>
              <w:t>17</w:t>
            </w:r>
            <w:r>
              <w:rPr>
                <w:b/>
                <w:bCs/>
                <w:kern w:val="0"/>
                <w:sz w:val="24"/>
              </w:rPr>
              <w:t xml:space="preserve">   区域环境空气质量现状评价一览表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9"/>
              <w:gridCol w:w="2327"/>
              <w:gridCol w:w="1060"/>
              <w:gridCol w:w="1007"/>
              <w:gridCol w:w="893"/>
              <w:gridCol w:w="951"/>
              <w:gridCol w:w="1274"/>
            </w:tblGrid>
            <w:tr w14:paraId="395E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7" w:type="pct"/>
                  <w:vAlign w:val="center"/>
                </w:tcPr>
                <w:p w14:paraId="579CFC98">
                  <w:pPr>
                    <w:jc w:val="center"/>
                    <w:rPr>
                      <w:bCs/>
                    </w:rPr>
                  </w:pPr>
                  <w:r>
                    <w:rPr>
                      <w:bCs/>
                    </w:rPr>
                    <w:t>污染物</w:t>
                  </w:r>
                </w:p>
              </w:tc>
              <w:tc>
                <w:tcPr>
                  <w:tcW w:w="1390" w:type="pct"/>
                  <w:vAlign w:val="center"/>
                </w:tcPr>
                <w:p w14:paraId="3C932BB6">
                  <w:pPr>
                    <w:jc w:val="center"/>
                    <w:rPr>
                      <w:bCs/>
                    </w:rPr>
                  </w:pPr>
                  <w:r>
                    <w:rPr>
                      <w:bCs/>
                    </w:rPr>
                    <w:t>年评价指标</w:t>
                  </w:r>
                </w:p>
              </w:tc>
              <w:tc>
                <w:tcPr>
                  <w:tcW w:w="633" w:type="pct"/>
                  <w:vAlign w:val="center"/>
                </w:tcPr>
                <w:p w14:paraId="7500C373">
                  <w:pPr>
                    <w:jc w:val="center"/>
                    <w:rPr>
                      <w:bCs/>
                    </w:rPr>
                  </w:pPr>
                  <w:r>
                    <w:rPr>
                      <w:bCs/>
                    </w:rPr>
                    <w:t>现状浓度</w:t>
                  </w:r>
                </w:p>
              </w:tc>
              <w:tc>
                <w:tcPr>
                  <w:tcW w:w="602" w:type="pct"/>
                  <w:vAlign w:val="center"/>
                </w:tcPr>
                <w:p w14:paraId="395706EB">
                  <w:pPr>
                    <w:jc w:val="center"/>
                    <w:rPr>
                      <w:bCs/>
                    </w:rPr>
                  </w:pPr>
                  <w:r>
                    <w:rPr>
                      <w:bCs/>
                    </w:rPr>
                    <w:t>标准值</w:t>
                  </w:r>
                </w:p>
              </w:tc>
              <w:tc>
                <w:tcPr>
                  <w:tcW w:w="534" w:type="pct"/>
                  <w:vAlign w:val="center"/>
                </w:tcPr>
                <w:p w14:paraId="5AB12DD3">
                  <w:pPr>
                    <w:jc w:val="center"/>
                    <w:rPr>
                      <w:bCs/>
                    </w:rPr>
                  </w:pPr>
                  <w:r>
                    <w:rPr>
                      <w:bCs/>
                    </w:rPr>
                    <w:t>占标率</w:t>
                  </w:r>
                </w:p>
              </w:tc>
              <w:tc>
                <w:tcPr>
                  <w:tcW w:w="569" w:type="pct"/>
                  <w:vAlign w:val="center"/>
                </w:tcPr>
                <w:p w14:paraId="5A37EA4B">
                  <w:pPr>
                    <w:jc w:val="center"/>
                    <w:rPr>
                      <w:bCs/>
                    </w:rPr>
                  </w:pPr>
                  <w:r>
                    <w:rPr>
                      <w:bCs/>
                    </w:rPr>
                    <w:t>超标倍数</w:t>
                  </w:r>
                </w:p>
              </w:tc>
              <w:tc>
                <w:tcPr>
                  <w:tcW w:w="761" w:type="pct"/>
                  <w:vAlign w:val="center"/>
                </w:tcPr>
                <w:p w14:paraId="2E2415A4">
                  <w:pPr>
                    <w:jc w:val="center"/>
                    <w:rPr>
                      <w:bCs/>
                    </w:rPr>
                  </w:pPr>
                  <w:r>
                    <w:rPr>
                      <w:bCs/>
                    </w:rPr>
                    <w:t>达标情况</w:t>
                  </w:r>
                </w:p>
              </w:tc>
            </w:tr>
            <w:tr w14:paraId="7D9C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7" w:type="pct"/>
                  <w:vAlign w:val="center"/>
                </w:tcPr>
                <w:p w14:paraId="0B74762E">
                  <w:pPr>
                    <w:jc w:val="center"/>
                    <w:rPr>
                      <w:bCs/>
                    </w:rPr>
                  </w:pPr>
                  <w:bookmarkStart w:id="9" w:name="OLE_LINK47" w:colFirst="2" w:colLast="5"/>
                  <w:bookmarkStart w:id="10" w:name="OLE_LINK46" w:colFirst="2" w:colLast="5"/>
                  <w:bookmarkStart w:id="11" w:name="_Hlk43470135"/>
                  <w:r>
                    <w:rPr>
                      <w:bCs/>
                    </w:rPr>
                    <w:t>SO</w:t>
                  </w:r>
                  <w:r>
                    <w:rPr>
                      <w:bCs/>
                      <w:vertAlign w:val="subscript"/>
                    </w:rPr>
                    <w:t>2</w:t>
                  </w:r>
                </w:p>
              </w:tc>
              <w:tc>
                <w:tcPr>
                  <w:tcW w:w="1390" w:type="pct"/>
                  <w:vAlign w:val="center"/>
                </w:tcPr>
                <w:p w14:paraId="0DE67FB5">
                  <w:pPr>
                    <w:jc w:val="center"/>
                    <w:rPr>
                      <w:bCs/>
                    </w:rPr>
                  </w:pPr>
                  <w:r>
                    <w:rPr>
                      <w:bCs/>
                    </w:rPr>
                    <w:t>年平均质量浓度</w:t>
                  </w:r>
                </w:p>
              </w:tc>
              <w:tc>
                <w:tcPr>
                  <w:tcW w:w="633" w:type="pct"/>
                  <w:vAlign w:val="center"/>
                </w:tcPr>
                <w:p w14:paraId="5EBDF0AF">
                  <w:pPr>
                    <w:jc w:val="center"/>
                    <w:rPr>
                      <w:bCs/>
                    </w:rPr>
                  </w:pPr>
                  <w:r>
                    <w:rPr>
                      <w:bCs/>
                    </w:rPr>
                    <w:t>8μg/m</w:t>
                  </w:r>
                  <w:r>
                    <w:rPr>
                      <w:bCs/>
                      <w:vertAlign w:val="superscript"/>
                    </w:rPr>
                    <w:t>3</w:t>
                  </w:r>
                </w:p>
              </w:tc>
              <w:tc>
                <w:tcPr>
                  <w:tcW w:w="602" w:type="pct"/>
                  <w:vAlign w:val="center"/>
                </w:tcPr>
                <w:p w14:paraId="37C750AD">
                  <w:pPr>
                    <w:jc w:val="center"/>
                    <w:rPr>
                      <w:bCs/>
                    </w:rPr>
                  </w:pPr>
                  <w:r>
                    <w:rPr>
                      <w:bCs/>
                    </w:rPr>
                    <w:t>60μg/m</w:t>
                  </w:r>
                  <w:r>
                    <w:rPr>
                      <w:bCs/>
                      <w:vertAlign w:val="superscript"/>
                    </w:rPr>
                    <w:t>3</w:t>
                  </w:r>
                </w:p>
              </w:tc>
              <w:tc>
                <w:tcPr>
                  <w:tcW w:w="534" w:type="pct"/>
                  <w:vAlign w:val="center"/>
                </w:tcPr>
                <w:p w14:paraId="746ED449">
                  <w:pPr>
                    <w:jc w:val="center"/>
                    <w:rPr>
                      <w:bCs/>
                    </w:rPr>
                  </w:pPr>
                  <w:r>
                    <w:rPr>
                      <w:bCs/>
                    </w:rPr>
                    <w:t>13%</w:t>
                  </w:r>
                </w:p>
              </w:tc>
              <w:tc>
                <w:tcPr>
                  <w:tcW w:w="569" w:type="pct"/>
                  <w:vAlign w:val="center"/>
                </w:tcPr>
                <w:p w14:paraId="5AD2F3BF">
                  <w:pPr>
                    <w:jc w:val="center"/>
                    <w:rPr>
                      <w:bCs/>
                    </w:rPr>
                  </w:pPr>
                  <w:r>
                    <w:rPr>
                      <w:bCs/>
                    </w:rPr>
                    <w:t>0</w:t>
                  </w:r>
                </w:p>
              </w:tc>
              <w:tc>
                <w:tcPr>
                  <w:tcW w:w="761" w:type="pct"/>
                  <w:vAlign w:val="center"/>
                </w:tcPr>
                <w:p w14:paraId="69DDD0B5">
                  <w:pPr>
                    <w:jc w:val="center"/>
                    <w:rPr>
                      <w:bCs/>
                    </w:rPr>
                  </w:pPr>
                  <w:r>
                    <w:rPr>
                      <w:bCs/>
                    </w:rPr>
                    <w:t>达标</w:t>
                  </w:r>
                </w:p>
              </w:tc>
            </w:tr>
            <w:tr w14:paraId="75EA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7" w:type="pct"/>
                  <w:vAlign w:val="center"/>
                </w:tcPr>
                <w:p w14:paraId="7DA44C5B">
                  <w:pPr>
                    <w:jc w:val="center"/>
                    <w:rPr>
                      <w:bCs/>
                    </w:rPr>
                  </w:pPr>
                  <w:r>
                    <w:rPr>
                      <w:bCs/>
                    </w:rPr>
                    <w:t>NO</w:t>
                  </w:r>
                  <w:r>
                    <w:rPr>
                      <w:bCs/>
                      <w:vertAlign w:val="subscript"/>
                    </w:rPr>
                    <w:t>2</w:t>
                  </w:r>
                </w:p>
              </w:tc>
              <w:tc>
                <w:tcPr>
                  <w:tcW w:w="1390" w:type="pct"/>
                  <w:vAlign w:val="center"/>
                </w:tcPr>
                <w:p w14:paraId="2312396B">
                  <w:pPr>
                    <w:jc w:val="center"/>
                    <w:rPr>
                      <w:bCs/>
                    </w:rPr>
                  </w:pPr>
                  <w:r>
                    <w:rPr>
                      <w:bCs/>
                    </w:rPr>
                    <w:t>年平均质量浓度</w:t>
                  </w:r>
                </w:p>
              </w:tc>
              <w:tc>
                <w:tcPr>
                  <w:tcW w:w="633" w:type="pct"/>
                  <w:vAlign w:val="center"/>
                </w:tcPr>
                <w:p w14:paraId="0D31892D">
                  <w:pPr>
                    <w:jc w:val="center"/>
                    <w:rPr>
                      <w:bCs/>
                      <w:kern w:val="24"/>
                    </w:rPr>
                  </w:pPr>
                  <w:r>
                    <w:rPr>
                      <w:bCs/>
                      <w:kern w:val="24"/>
                    </w:rPr>
                    <w:t>21</w:t>
                  </w:r>
                  <w:r>
                    <w:rPr>
                      <w:bCs/>
                    </w:rPr>
                    <w:t>μg/m</w:t>
                  </w:r>
                  <w:r>
                    <w:rPr>
                      <w:bCs/>
                      <w:vertAlign w:val="superscript"/>
                    </w:rPr>
                    <w:t>3</w:t>
                  </w:r>
                </w:p>
              </w:tc>
              <w:tc>
                <w:tcPr>
                  <w:tcW w:w="602" w:type="pct"/>
                  <w:vAlign w:val="center"/>
                </w:tcPr>
                <w:p w14:paraId="40684BE1">
                  <w:pPr>
                    <w:jc w:val="center"/>
                    <w:rPr>
                      <w:bCs/>
                    </w:rPr>
                  </w:pPr>
                  <w:r>
                    <w:rPr>
                      <w:bCs/>
                    </w:rPr>
                    <w:t>40μg/m</w:t>
                  </w:r>
                  <w:r>
                    <w:rPr>
                      <w:bCs/>
                      <w:vertAlign w:val="superscript"/>
                    </w:rPr>
                    <w:t>3</w:t>
                  </w:r>
                </w:p>
              </w:tc>
              <w:tc>
                <w:tcPr>
                  <w:tcW w:w="534" w:type="pct"/>
                  <w:vAlign w:val="center"/>
                </w:tcPr>
                <w:p w14:paraId="7C33C9FB">
                  <w:pPr>
                    <w:jc w:val="center"/>
                    <w:rPr>
                      <w:bCs/>
                    </w:rPr>
                  </w:pPr>
                  <w:r>
                    <w:rPr>
                      <w:bCs/>
                    </w:rPr>
                    <w:t>52.5%</w:t>
                  </w:r>
                </w:p>
              </w:tc>
              <w:tc>
                <w:tcPr>
                  <w:tcW w:w="569" w:type="pct"/>
                  <w:vAlign w:val="center"/>
                </w:tcPr>
                <w:p w14:paraId="69D89AD1">
                  <w:pPr>
                    <w:jc w:val="center"/>
                    <w:rPr>
                      <w:bCs/>
                    </w:rPr>
                  </w:pPr>
                  <w:r>
                    <w:rPr>
                      <w:bCs/>
                    </w:rPr>
                    <w:t>0</w:t>
                  </w:r>
                </w:p>
              </w:tc>
              <w:tc>
                <w:tcPr>
                  <w:tcW w:w="761" w:type="pct"/>
                  <w:vAlign w:val="center"/>
                </w:tcPr>
                <w:p w14:paraId="35B82ED9">
                  <w:pPr>
                    <w:jc w:val="center"/>
                    <w:rPr>
                      <w:bCs/>
                    </w:rPr>
                  </w:pPr>
                  <w:r>
                    <w:rPr>
                      <w:bCs/>
                    </w:rPr>
                    <w:t>达标</w:t>
                  </w:r>
                </w:p>
              </w:tc>
            </w:tr>
            <w:tr w14:paraId="6740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7" w:type="pct"/>
                  <w:vAlign w:val="center"/>
                </w:tcPr>
                <w:p w14:paraId="314FEED6">
                  <w:pPr>
                    <w:jc w:val="center"/>
                    <w:rPr>
                      <w:bCs/>
                    </w:rPr>
                  </w:pPr>
                  <w:r>
                    <w:rPr>
                      <w:bCs/>
                    </w:rPr>
                    <w:t>PM</w:t>
                  </w:r>
                  <w:r>
                    <w:rPr>
                      <w:bCs/>
                      <w:vertAlign w:val="subscript"/>
                    </w:rPr>
                    <w:t>10</w:t>
                  </w:r>
                </w:p>
              </w:tc>
              <w:tc>
                <w:tcPr>
                  <w:tcW w:w="1390" w:type="pct"/>
                  <w:vAlign w:val="center"/>
                </w:tcPr>
                <w:p w14:paraId="628A5EBB">
                  <w:pPr>
                    <w:jc w:val="center"/>
                    <w:rPr>
                      <w:bCs/>
                    </w:rPr>
                  </w:pPr>
                  <w:r>
                    <w:rPr>
                      <w:bCs/>
                    </w:rPr>
                    <w:t>年平均质量浓度</w:t>
                  </w:r>
                </w:p>
              </w:tc>
              <w:tc>
                <w:tcPr>
                  <w:tcW w:w="633" w:type="pct"/>
                  <w:vAlign w:val="center"/>
                </w:tcPr>
                <w:p w14:paraId="716127B6">
                  <w:pPr>
                    <w:jc w:val="center"/>
                    <w:rPr>
                      <w:bCs/>
                    </w:rPr>
                  </w:pPr>
                  <w:r>
                    <w:rPr>
                      <w:bCs/>
                    </w:rPr>
                    <w:t>71μg/m</w:t>
                  </w:r>
                  <w:r>
                    <w:rPr>
                      <w:bCs/>
                      <w:vertAlign w:val="superscript"/>
                    </w:rPr>
                    <w:t>3</w:t>
                  </w:r>
                </w:p>
              </w:tc>
              <w:tc>
                <w:tcPr>
                  <w:tcW w:w="602" w:type="pct"/>
                  <w:vAlign w:val="center"/>
                </w:tcPr>
                <w:p w14:paraId="373D7405">
                  <w:pPr>
                    <w:jc w:val="center"/>
                    <w:rPr>
                      <w:bCs/>
                    </w:rPr>
                  </w:pPr>
                  <w:r>
                    <w:rPr>
                      <w:bCs/>
                    </w:rPr>
                    <w:t>70μg/m</w:t>
                  </w:r>
                  <w:r>
                    <w:rPr>
                      <w:bCs/>
                      <w:vertAlign w:val="superscript"/>
                    </w:rPr>
                    <w:t>3</w:t>
                  </w:r>
                </w:p>
              </w:tc>
              <w:tc>
                <w:tcPr>
                  <w:tcW w:w="534" w:type="pct"/>
                  <w:vAlign w:val="center"/>
                </w:tcPr>
                <w:p w14:paraId="4B98A3E1">
                  <w:pPr>
                    <w:jc w:val="center"/>
                    <w:rPr>
                      <w:bCs/>
                    </w:rPr>
                  </w:pPr>
                  <w:r>
                    <w:rPr>
                      <w:bCs/>
                    </w:rPr>
                    <w:t>101.4%</w:t>
                  </w:r>
                </w:p>
              </w:tc>
              <w:tc>
                <w:tcPr>
                  <w:tcW w:w="569" w:type="pct"/>
                  <w:vAlign w:val="center"/>
                </w:tcPr>
                <w:p w14:paraId="39D3D431">
                  <w:pPr>
                    <w:jc w:val="center"/>
                    <w:rPr>
                      <w:bCs/>
                    </w:rPr>
                  </w:pPr>
                  <w:r>
                    <w:rPr>
                      <w:bCs/>
                    </w:rPr>
                    <w:t>0.014</w:t>
                  </w:r>
                </w:p>
              </w:tc>
              <w:tc>
                <w:tcPr>
                  <w:tcW w:w="761" w:type="pct"/>
                  <w:vAlign w:val="center"/>
                </w:tcPr>
                <w:p w14:paraId="0E803365">
                  <w:pPr>
                    <w:jc w:val="center"/>
                    <w:rPr>
                      <w:bCs/>
                    </w:rPr>
                  </w:pPr>
                  <w:r>
                    <w:rPr>
                      <w:bCs/>
                    </w:rPr>
                    <w:t>不达标</w:t>
                  </w:r>
                </w:p>
              </w:tc>
            </w:tr>
            <w:tr w14:paraId="3BDB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7" w:type="pct"/>
                  <w:vAlign w:val="center"/>
                </w:tcPr>
                <w:p w14:paraId="2D3455EC">
                  <w:pPr>
                    <w:jc w:val="center"/>
                    <w:rPr>
                      <w:bCs/>
                    </w:rPr>
                  </w:pPr>
                  <w:r>
                    <w:rPr>
                      <w:bCs/>
                    </w:rPr>
                    <w:t>PM</w:t>
                  </w:r>
                  <w:r>
                    <w:rPr>
                      <w:bCs/>
                      <w:vertAlign w:val="subscript"/>
                    </w:rPr>
                    <w:t>2.5</w:t>
                  </w:r>
                </w:p>
              </w:tc>
              <w:tc>
                <w:tcPr>
                  <w:tcW w:w="1390" w:type="pct"/>
                  <w:vAlign w:val="center"/>
                </w:tcPr>
                <w:p w14:paraId="4BD101B8">
                  <w:pPr>
                    <w:jc w:val="center"/>
                    <w:rPr>
                      <w:bCs/>
                    </w:rPr>
                  </w:pPr>
                  <w:r>
                    <w:rPr>
                      <w:bCs/>
                    </w:rPr>
                    <w:t>年平均质量浓度</w:t>
                  </w:r>
                </w:p>
              </w:tc>
              <w:tc>
                <w:tcPr>
                  <w:tcW w:w="633" w:type="pct"/>
                  <w:vAlign w:val="center"/>
                </w:tcPr>
                <w:p w14:paraId="2C3BD885">
                  <w:pPr>
                    <w:jc w:val="center"/>
                    <w:rPr>
                      <w:bCs/>
                    </w:rPr>
                  </w:pPr>
                  <w:r>
                    <w:rPr>
                      <w:bCs/>
                    </w:rPr>
                    <w:t>46μg/m</w:t>
                  </w:r>
                  <w:r>
                    <w:rPr>
                      <w:bCs/>
                      <w:vertAlign w:val="superscript"/>
                    </w:rPr>
                    <w:t>3</w:t>
                  </w:r>
                </w:p>
              </w:tc>
              <w:tc>
                <w:tcPr>
                  <w:tcW w:w="602" w:type="pct"/>
                  <w:vAlign w:val="center"/>
                </w:tcPr>
                <w:p w14:paraId="0EEE36A5">
                  <w:pPr>
                    <w:jc w:val="center"/>
                    <w:rPr>
                      <w:bCs/>
                    </w:rPr>
                  </w:pPr>
                  <w:r>
                    <w:rPr>
                      <w:bCs/>
                    </w:rPr>
                    <w:t>35μg/m</w:t>
                  </w:r>
                  <w:r>
                    <w:rPr>
                      <w:bCs/>
                      <w:vertAlign w:val="superscript"/>
                    </w:rPr>
                    <w:t>3</w:t>
                  </w:r>
                </w:p>
              </w:tc>
              <w:tc>
                <w:tcPr>
                  <w:tcW w:w="534" w:type="pct"/>
                  <w:vAlign w:val="center"/>
                </w:tcPr>
                <w:p w14:paraId="63B300A0">
                  <w:pPr>
                    <w:jc w:val="center"/>
                    <w:rPr>
                      <w:bCs/>
                    </w:rPr>
                  </w:pPr>
                  <w:r>
                    <w:rPr>
                      <w:bCs/>
                    </w:rPr>
                    <w:t>131.4%</w:t>
                  </w:r>
                </w:p>
              </w:tc>
              <w:tc>
                <w:tcPr>
                  <w:tcW w:w="569" w:type="pct"/>
                  <w:vAlign w:val="center"/>
                </w:tcPr>
                <w:p w14:paraId="652BEC2A">
                  <w:pPr>
                    <w:jc w:val="center"/>
                    <w:rPr>
                      <w:bCs/>
                    </w:rPr>
                  </w:pPr>
                  <w:r>
                    <w:rPr>
                      <w:bCs/>
                    </w:rPr>
                    <w:t>0.314</w:t>
                  </w:r>
                </w:p>
              </w:tc>
              <w:tc>
                <w:tcPr>
                  <w:tcW w:w="761" w:type="pct"/>
                  <w:vAlign w:val="center"/>
                </w:tcPr>
                <w:p w14:paraId="610FF2A1">
                  <w:pPr>
                    <w:jc w:val="center"/>
                    <w:rPr>
                      <w:bCs/>
                    </w:rPr>
                  </w:pPr>
                  <w:r>
                    <w:rPr>
                      <w:bCs/>
                    </w:rPr>
                    <w:t>不达标</w:t>
                  </w:r>
                </w:p>
              </w:tc>
            </w:tr>
            <w:tr w14:paraId="680E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7" w:type="pct"/>
                  <w:vAlign w:val="center"/>
                </w:tcPr>
                <w:p w14:paraId="7F7F88EA">
                  <w:pPr>
                    <w:jc w:val="center"/>
                    <w:rPr>
                      <w:bCs/>
                    </w:rPr>
                  </w:pPr>
                  <w:r>
                    <w:rPr>
                      <w:bCs/>
                    </w:rPr>
                    <w:t>O</w:t>
                  </w:r>
                  <w:r>
                    <w:rPr>
                      <w:bCs/>
                      <w:vertAlign w:val="subscript"/>
                    </w:rPr>
                    <w:t>3</w:t>
                  </w:r>
                </w:p>
              </w:tc>
              <w:tc>
                <w:tcPr>
                  <w:tcW w:w="1390" w:type="pct"/>
                  <w:vAlign w:val="center"/>
                </w:tcPr>
                <w:p w14:paraId="5AB47889">
                  <w:pPr>
                    <w:jc w:val="center"/>
                    <w:rPr>
                      <w:bCs/>
                    </w:rPr>
                  </w:pPr>
                  <w:r>
                    <w:rPr>
                      <w:bCs/>
                    </w:rPr>
                    <w:t>8小时平均第90百分数</w:t>
                  </w:r>
                </w:p>
              </w:tc>
              <w:tc>
                <w:tcPr>
                  <w:tcW w:w="633" w:type="pct"/>
                  <w:vAlign w:val="center"/>
                </w:tcPr>
                <w:p w14:paraId="5880FF9A">
                  <w:pPr>
                    <w:jc w:val="center"/>
                    <w:rPr>
                      <w:bCs/>
                    </w:rPr>
                  </w:pPr>
                  <w:r>
                    <w:rPr>
                      <w:bCs/>
                    </w:rPr>
                    <w:t>169μg/m</w:t>
                  </w:r>
                  <w:r>
                    <w:rPr>
                      <w:bCs/>
                      <w:vertAlign w:val="superscript"/>
                    </w:rPr>
                    <w:t>3</w:t>
                  </w:r>
                </w:p>
              </w:tc>
              <w:tc>
                <w:tcPr>
                  <w:tcW w:w="602" w:type="pct"/>
                  <w:vAlign w:val="center"/>
                </w:tcPr>
                <w:p w14:paraId="67DA9CFF">
                  <w:pPr>
                    <w:jc w:val="center"/>
                    <w:rPr>
                      <w:bCs/>
                    </w:rPr>
                  </w:pPr>
                  <w:r>
                    <w:rPr>
                      <w:bCs/>
                    </w:rPr>
                    <w:t>160μg/m</w:t>
                  </w:r>
                  <w:r>
                    <w:rPr>
                      <w:bCs/>
                      <w:vertAlign w:val="superscript"/>
                    </w:rPr>
                    <w:t>3</w:t>
                  </w:r>
                </w:p>
              </w:tc>
              <w:tc>
                <w:tcPr>
                  <w:tcW w:w="534" w:type="pct"/>
                  <w:vAlign w:val="center"/>
                </w:tcPr>
                <w:p w14:paraId="48C5CB9C">
                  <w:pPr>
                    <w:jc w:val="center"/>
                    <w:rPr>
                      <w:bCs/>
                    </w:rPr>
                  </w:pPr>
                  <w:r>
                    <w:rPr>
                      <w:bCs/>
                    </w:rPr>
                    <w:t>105.6%</w:t>
                  </w:r>
                </w:p>
              </w:tc>
              <w:tc>
                <w:tcPr>
                  <w:tcW w:w="569" w:type="pct"/>
                  <w:vAlign w:val="center"/>
                </w:tcPr>
                <w:p w14:paraId="67210BDE">
                  <w:pPr>
                    <w:jc w:val="center"/>
                    <w:rPr>
                      <w:bCs/>
                    </w:rPr>
                  </w:pPr>
                  <w:r>
                    <w:rPr>
                      <w:bCs/>
                    </w:rPr>
                    <w:t>0.056</w:t>
                  </w:r>
                </w:p>
              </w:tc>
              <w:tc>
                <w:tcPr>
                  <w:tcW w:w="761" w:type="pct"/>
                  <w:vAlign w:val="center"/>
                </w:tcPr>
                <w:p w14:paraId="79D12893">
                  <w:pPr>
                    <w:jc w:val="center"/>
                    <w:rPr>
                      <w:bCs/>
                    </w:rPr>
                  </w:pPr>
                  <w:r>
                    <w:rPr>
                      <w:bCs/>
                    </w:rPr>
                    <w:t>不达标</w:t>
                  </w:r>
                </w:p>
              </w:tc>
            </w:tr>
            <w:tr w14:paraId="5B0C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07" w:type="pct"/>
                  <w:vAlign w:val="center"/>
                </w:tcPr>
                <w:p w14:paraId="0FC234FD">
                  <w:pPr>
                    <w:jc w:val="center"/>
                    <w:rPr>
                      <w:bCs/>
                    </w:rPr>
                  </w:pPr>
                  <w:r>
                    <w:rPr>
                      <w:bCs/>
                    </w:rPr>
                    <w:t>CO</w:t>
                  </w:r>
                </w:p>
              </w:tc>
              <w:tc>
                <w:tcPr>
                  <w:tcW w:w="1390" w:type="pct"/>
                  <w:vAlign w:val="center"/>
                </w:tcPr>
                <w:p w14:paraId="287794CB">
                  <w:pPr>
                    <w:jc w:val="center"/>
                    <w:rPr>
                      <w:bCs/>
                    </w:rPr>
                  </w:pPr>
                  <w:r>
                    <w:rPr>
                      <w:bCs/>
                    </w:rPr>
                    <w:t>24小时第95百分位数</w:t>
                  </w:r>
                </w:p>
              </w:tc>
              <w:tc>
                <w:tcPr>
                  <w:tcW w:w="633" w:type="pct"/>
                  <w:vAlign w:val="center"/>
                </w:tcPr>
                <w:p w14:paraId="0E940325">
                  <w:pPr>
                    <w:jc w:val="center"/>
                    <w:rPr>
                      <w:bCs/>
                      <w:vertAlign w:val="superscript"/>
                    </w:rPr>
                  </w:pPr>
                  <w:r>
                    <w:rPr>
                      <w:bCs/>
                    </w:rPr>
                    <w:t>0.9mg/m</w:t>
                  </w:r>
                  <w:r>
                    <w:rPr>
                      <w:bCs/>
                      <w:vertAlign w:val="superscript"/>
                    </w:rPr>
                    <w:t>3</w:t>
                  </w:r>
                </w:p>
              </w:tc>
              <w:tc>
                <w:tcPr>
                  <w:tcW w:w="602" w:type="pct"/>
                  <w:vAlign w:val="center"/>
                </w:tcPr>
                <w:p w14:paraId="5F495C49">
                  <w:pPr>
                    <w:jc w:val="center"/>
                    <w:rPr>
                      <w:bCs/>
                      <w:vertAlign w:val="superscript"/>
                    </w:rPr>
                  </w:pPr>
                  <w:r>
                    <w:rPr>
                      <w:bCs/>
                    </w:rPr>
                    <w:t>4mg/m</w:t>
                  </w:r>
                  <w:r>
                    <w:rPr>
                      <w:bCs/>
                      <w:vertAlign w:val="superscript"/>
                    </w:rPr>
                    <w:t>3</w:t>
                  </w:r>
                </w:p>
              </w:tc>
              <w:tc>
                <w:tcPr>
                  <w:tcW w:w="534" w:type="pct"/>
                  <w:vAlign w:val="center"/>
                </w:tcPr>
                <w:p w14:paraId="1C663F0D">
                  <w:pPr>
                    <w:jc w:val="center"/>
                    <w:rPr>
                      <w:bCs/>
                    </w:rPr>
                  </w:pPr>
                  <w:r>
                    <w:rPr>
                      <w:bCs/>
                    </w:rPr>
                    <w:t>22.5%</w:t>
                  </w:r>
                </w:p>
              </w:tc>
              <w:tc>
                <w:tcPr>
                  <w:tcW w:w="569" w:type="pct"/>
                  <w:vAlign w:val="center"/>
                </w:tcPr>
                <w:p w14:paraId="198DAA18">
                  <w:pPr>
                    <w:jc w:val="center"/>
                    <w:rPr>
                      <w:bCs/>
                    </w:rPr>
                  </w:pPr>
                  <w:r>
                    <w:rPr>
                      <w:bCs/>
                    </w:rPr>
                    <w:t>0</w:t>
                  </w:r>
                </w:p>
              </w:tc>
              <w:tc>
                <w:tcPr>
                  <w:tcW w:w="761" w:type="pct"/>
                  <w:vAlign w:val="center"/>
                </w:tcPr>
                <w:p w14:paraId="6AC3226C">
                  <w:pPr>
                    <w:jc w:val="center"/>
                    <w:rPr>
                      <w:bCs/>
                    </w:rPr>
                  </w:pPr>
                  <w:r>
                    <w:rPr>
                      <w:bCs/>
                    </w:rPr>
                    <w:t>达标</w:t>
                  </w:r>
                </w:p>
              </w:tc>
            </w:tr>
            <w:bookmarkEnd w:id="9"/>
            <w:bookmarkEnd w:id="10"/>
            <w:bookmarkEnd w:id="11"/>
          </w:tbl>
          <w:p w14:paraId="0A074A9D">
            <w:pPr>
              <w:adjustRightInd w:val="0"/>
              <w:snapToGrid w:val="0"/>
              <w:spacing w:line="360" w:lineRule="auto"/>
              <w:ind w:firstLine="480" w:firstLineChars="200"/>
              <w:rPr>
                <w:bCs/>
                <w:sz w:val="24"/>
              </w:rPr>
            </w:pPr>
            <w:r>
              <w:rPr>
                <w:kern w:val="0"/>
                <w:sz w:val="24"/>
              </w:rPr>
              <w:t>由上表可知，</w:t>
            </w:r>
            <w:r>
              <w:rPr>
                <w:bCs/>
                <w:sz w:val="24"/>
              </w:rPr>
              <w:t>2023年评价区域内环境空气常规因子中SO</w:t>
            </w:r>
            <w:r>
              <w:rPr>
                <w:bCs/>
                <w:sz w:val="24"/>
                <w:vertAlign w:val="subscript"/>
              </w:rPr>
              <w:t>2</w:t>
            </w:r>
            <w:r>
              <w:rPr>
                <w:bCs/>
                <w:sz w:val="24"/>
              </w:rPr>
              <w:t>、NO</w:t>
            </w:r>
            <w:r>
              <w:rPr>
                <w:bCs/>
                <w:sz w:val="24"/>
                <w:vertAlign w:val="subscript"/>
              </w:rPr>
              <w:t>2</w:t>
            </w:r>
            <w:r>
              <w:rPr>
                <w:bCs/>
                <w:sz w:val="24"/>
              </w:rPr>
              <w:t>年平均质量浓度和CO浓度均能够满足《环境空气质量标准》（GB3095-2012）二级标准要求，但PM</w:t>
            </w:r>
            <w:r>
              <w:rPr>
                <w:bCs/>
                <w:sz w:val="24"/>
                <w:vertAlign w:val="subscript"/>
              </w:rPr>
              <w:t>10</w:t>
            </w:r>
            <w:r>
              <w:rPr>
                <w:bCs/>
                <w:sz w:val="24"/>
              </w:rPr>
              <w:t>、PM</w:t>
            </w:r>
            <w:r>
              <w:rPr>
                <w:bCs/>
                <w:sz w:val="24"/>
                <w:vertAlign w:val="subscript"/>
              </w:rPr>
              <w:t>2.5</w:t>
            </w:r>
            <w:r>
              <w:rPr>
                <w:bCs/>
                <w:sz w:val="24"/>
              </w:rPr>
              <w:t>和O</w:t>
            </w:r>
            <w:r>
              <w:rPr>
                <w:bCs/>
                <w:sz w:val="24"/>
                <w:vertAlign w:val="subscript"/>
              </w:rPr>
              <w:t>3</w:t>
            </w:r>
            <w:r>
              <w:rPr>
                <w:bCs/>
                <w:sz w:val="24"/>
              </w:rPr>
              <w:t>浓度不能满足《环境空气质量标准》（GB3095-2012）二级标准要求，因此该项目所在区域环境空气质量现状属于不达标区域。</w:t>
            </w:r>
          </w:p>
          <w:p w14:paraId="54C62953">
            <w:pPr>
              <w:spacing w:line="360" w:lineRule="auto"/>
              <w:ind w:firstLine="480" w:firstLineChars="200"/>
              <w:rPr>
                <w:bCs/>
                <w:sz w:val="24"/>
              </w:rPr>
            </w:pPr>
            <w:r>
              <w:rPr>
                <w:sz w:val="24"/>
              </w:rPr>
              <w:t>目前，民权县正在实施《商丘市2025年蓝天保卫战实施方案》，通过采取一系列措施，将不断改善区域大气环境质量</w:t>
            </w:r>
            <w:r>
              <w:rPr>
                <w:bCs/>
                <w:sz w:val="24"/>
              </w:rPr>
              <w:t>。</w:t>
            </w:r>
          </w:p>
          <w:p w14:paraId="512C2925">
            <w:pPr>
              <w:numPr>
                <w:ilvl w:val="0"/>
                <w:numId w:val="14"/>
              </w:numPr>
              <w:adjustRightInd w:val="0"/>
              <w:snapToGrid w:val="0"/>
              <w:spacing w:line="360" w:lineRule="auto"/>
              <w:ind w:firstLine="482" w:firstLineChars="200"/>
              <w:jc w:val="left"/>
              <w:rPr>
                <w:b/>
                <w:bCs/>
                <w:kern w:val="0"/>
                <w:sz w:val="24"/>
              </w:rPr>
            </w:pPr>
            <w:r>
              <w:rPr>
                <w:b/>
                <w:bCs/>
                <w:kern w:val="0"/>
                <w:sz w:val="24"/>
              </w:rPr>
              <w:t>地表水环境</w:t>
            </w:r>
          </w:p>
          <w:p w14:paraId="26336209">
            <w:pPr>
              <w:adjustRightInd w:val="0"/>
              <w:snapToGrid w:val="0"/>
              <w:spacing w:line="360" w:lineRule="auto"/>
              <w:ind w:firstLine="480" w:firstLineChars="200"/>
              <w:jc w:val="left"/>
              <w:rPr>
                <w:bCs/>
                <w:kern w:val="0"/>
                <w:sz w:val="24"/>
              </w:rPr>
            </w:pPr>
            <w:r>
              <w:rPr>
                <w:bCs/>
                <w:kern w:val="0"/>
                <w:sz w:val="24"/>
              </w:rPr>
              <w:t>本项目选址区域最近的地表水体为内黄沟，最终汇入惠济河。评价引用2023年1~12月商丘市政府地表水责任目标断面例行监测结果，监测结果统计见下表。</w:t>
            </w:r>
          </w:p>
          <w:p w14:paraId="1C44B4D6">
            <w:pPr>
              <w:autoSpaceDE w:val="0"/>
              <w:autoSpaceDN w:val="0"/>
              <w:adjustRightInd w:val="0"/>
              <w:snapToGrid w:val="0"/>
              <w:jc w:val="center"/>
              <w:rPr>
                <w:b/>
                <w:bCs/>
                <w:sz w:val="24"/>
                <w:szCs w:val="21"/>
              </w:rPr>
            </w:pPr>
            <w:r>
              <w:rPr>
                <w:b/>
                <w:bCs/>
                <w:sz w:val="24"/>
                <w:szCs w:val="21"/>
              </w:rPr>
              <w:t>表</w:t>
            </w:r>
            <w:r>
              <w:rPr>
                <w:rFonts w:hint="eastAsia"/>
                <w:b/>
                <w:bCs/>
                <w:sz w:val="24"/>
                <w:szCs w:val="21"/>
              </w:rPr>
              <w:t>18</w:t>
            </w:r>
            <w:r>
              <w:rPr>
                <w:b/>
                <w:bCs/>
                <w:sz w:val="24"/>
                <w:szCs w:val="21"/>
              </w:rPr>
              <w:t xml:space="preserve">  地表水环境质量监测结果    单位：mg/L</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61"/>
              <w:gridCol w:w="1125"/>
              <w:gridCol w:w="1035"/>
              <w:gridCol w:w="1237"/>
            </w:tblGrid>
            <w:tr w14:paraId="5541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61" w:type="dxa"/>
                  <w:vMerge w:val="restart"/>
                  <w:tcBorders>
                    <w:tl2br w:val="nil"/>
                    <w:tr2bl w:val="nil"/>
                  </w:tcBorders>
                  <w:vAlign w:val="center"/>
                </w:tcPr>
                <w:p w14:paraId="12DA26C0">
                  <w:pPr>
                    <w:pStyle w:val="12"/>
                    <w:ind w:firstLine="0"/>
                    <w:jc w:val="center"/>
                    <w:rPr>
                      <w:kern w:val="0"/>
                      <w:szCs w:val="21"/>
                    </w:rPr>
                  </w:pPr>
                  <w:r>
                    <w:rPr>
                      <w:kern w:val="0"/>
                      <w:szCs w:val="21"/>
                    </w:rPr>
                    <w:t>项目</w:t>
                  </w:r>
                </w:p>
              </w:tc>
              <w:tc>
                <w:tcPr>
                  <w:tcW w:w="3397" w:type="dxa"/>
                  <w:gridSpan w:val="3"/>
                  <w:tcBorders>
                    <w:tl2br w:val="nil"/>
                    <w:tr2bl w:val="nil"/>
                  </w:tcBorders>
                  <w:vAlign w:val="center"/>
                </w:tcPr>
                <w:p w14:paraId="560D3F48">
                  <w:pPr>
                    <w:pStyle w:val="12"/>
                    <w:ind w:firstLine="0"/>
                    <w:jc w:val="center"/>
                    <w:rPr>
                      <w:kern w:val="0"/>
                      <w:szCs w:val="21"/>
                    </w:rPr>
                  </w:pPr>
                  <w:r>
                    <w:rPr>
                      <w:kern w:val="0"/>
                      <w:szCs w:val="21"/>
                    </w:rPr>
                    <w:t>检测结果</w:t>
                  </w:r>
                </w:p>
              </w:tc>
            </w:tr>
            <w:tr w14:paraId="1F8B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61" w:type="dxa"/>
                  <w:vMerge w:val="continue"/>
                  <w:tcBorders>
                    <w:tl2br w:val="nil"/>
                    <w:tr2bl w:val="nil"/>
                  </w:tcBorders>
                  <w:vAlign w:val="center"/>
                </w:tcPr>
                <w:p w14:paraId="50F57300">
                  <w:pPr>
                    <w:pStyle w:val="12"/>
                    <w:ind w:firstLine="0"/>
                    <w:jc w:val="center"/>
                    <w:rPr>
                      <w:kern w:val="0"/>
                      <w:szCs w:val="21"/>
                    </w:rPr>
                  </w:pPr>
                </w:p>
              </w:tc>
              <w:tc>
                <w:tcPr>
                  <w:tcW w:w="1125" w:type="dxa"/>
                  <w:tcBorders>
                    <w:tl2br w:val="nil"/>
                    <w:tr2bl w:val="nil"/>
                  </w:tcBorders>
                  <w:vAlign w:val="center"/>
                </w:tcPr>
                <w:p w14:paraId="7349BA3D">
                  <w:pPr>
                    <w:pStyle w:val="12"/>
                    <w:ind w:firstLine="0"/>
                    <w:jc w:val="center"/>
                    <w:rPr>
                      <w:kern w:val="0"/>
                      <w:szCs w:val="21"/>
                    </w:rPr>
                  </w:pPr>
                  <w:r>
                    <w:rPr>
                      <w:kern w:val="0"/>
                      <w:szCs w:val="21"/>
                    </w:rPr>
                    <w:t>COD</w:t>
                  </w:r>
                </w:p>
              </w:tc>
              <w:tc>
                <w:tcPr>
                  <w:tcW w:w="1035" w:type="dxa"/>
                  <w:tcBorders>
                    <w:tl2br w:val="nil"/>
                    <w:tr2bl w:val="nil"/>
                  </w:tcBorders>
                  <w:vAlign w:val="center"/>
                </w:tcPr>
                <w:p w14:paraId="6E7A9DEF">
                  <w:pPr>
                    <w:pStyle w:val="12"/>
                    <w:ind w:firstLine="0"/>
                    <w:jc w:val="center"/>
                    <w:rPr>
                      <w:kern w:val="0"/>
                      <w:szCs w:val="21"/>
                    </w:rPr>
                  </w:pPr>
                  <w:r>
                    <w:rPr>
                      <w:kern w:val="0"/>
                      <w:szCs w:val="21"/>
                    </w:rPr>
                    <w:t>氨氮</w:t>
                  </w:r>
                </w:p>
              </w:tc>
              <w:tc>
                <w:tcPr>
                  <w:tcW w:w="1237" w:type="dxa"/>
                  <w:tcBorders>
                    <w:tl2br w:val="nil"/>
                    <w:tr2bl w:val="nil"/>
                  </w:tcBorders>
                  <w:vAlign w:val="center"/>
                </w:tcPr>
                <w:p w14:paraId="7109C9B1">
                  <w:pPr>
                    <w:pStyle w:val="12"/>
                    <w:ind w:firstLine="0"/>
                    <w:jc w:val="center"/>
                    <w:rPr>
                      <w:kern w:val="0"/>
                      <w:szCs w:val="21"/>
                    </w:rPr>
                  </w:pPr>
                  <w:r>
                    <w:rPr>
                      <w:kern w:val="0"/>
                      <w:szCs w:val="21"/>
                    </w:rPr>
                    <w:t>总磷</w:t>
                  </w:r>
                </w:p>
              </w:tc>
            </w:tr>
            <w:tr w14:paraId="0FED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61" w:type="dxa"/>
                  <w:tcBorders>
                    <w:tl2br w:val="nil"/>
                    <w:tr2bl w:val="nil"/>
                  </w:tcBorders>
                  <w:vAlign w:val="center"/>
                </w:tcPr>
                <w:p w14:paraId="42CD9B27">
                  <w:pPr>
                    <w:pStyle w:val="12"/>
                    <w:ind w:firstLine="0"/>
                    <w:jc w:val="center"/>
                    <w:rPr>
                      <w:kern w:val="0"/>
                      <w:szCs w:val="21"/>
                    </w:rPr>
                  </w:pPr>
                  <w:r>
                    <w:rPr>
                      <w:kern w:val="0"/>
                      <w:szCs w:val="21"/>
                    </w:rPr>
                    <w:t>惠济河（柘城砖桥断面）</w:t>
                  </w:r>
                </w:p>
              </w:tc>
              <w:tc>
                <w:tcPr>
                  <w:tcW w:w="1125" w:type="dxa"/>
                  <w:tcBorders>
                    <w:tl2br w:val="nil"/>
                    <w:tr2bl w:val="nil"/>
                  </w:tcBorders>
                  <w:vAlign w:val="center"/>
                </w:tcPr>
                <w:p w14:paraId="64C5F34B">
                  <w:pPr>
                    <w:pStyle w:val="12"/>
                    <w:ind w:firstLine="0"/>
                    <w:jc w:val="center"/>
                    <w:rPr>
                      <w:kern w:val="0"/>
                      <w:szCs w:val="21"/>
                    </w:rPr>
                  </w:pPr>
                  <w:r>
                    <w:rPr>
                      <w:kern w:val="0"/>
                      <w:szCs w:val="21"/>
                    </w:rPr>
                    <w:t>17.7~27.3</w:t>
                  </w:r>
                </w:p>
              </w:tc>
              <w:tc>
                <w:tcPr>
                  <w:tcW w:w="1035" w:type="dxa"/>
                  <w:tcBorders>
                    <w:tl2br w:val="nil"/>
                    <w:tr2bl w:val="nil"/>
                  </w:tcBorders>
                  <w:vAlign w:val="center"/>
                </w:tcPr>
                <w:p w14:paraId="19137311">
                  <w:pPr>
                    <w:pStyle w:val="12"/>
                    <w:ind w:firstLine="0"/>
                    <w:jc w:val="center"/>
                    <w:rPr>
                      <w:kern w:val="0"/>
                      <w:szCs w:val="21"/>
                    </w:rPr>
                  </w:pPr>
                  <w:r>
                    <w:rPr>
                      <w:kern w:val="0"/>
                      <w:szCs w:val="21"/>
                    </w:rPr>
                    <w:t>0.04~1.12</w:t>
                  </w:r>
                </w:p>
              </w:tc>
              <w:tc>
                <w:tcPr>
                  <w:tcW w:w="1237" w:type="dxa"/>
                  <w:tcBorders>
                    <w:tl2br w:val="nil"/>
                    <w:tr2bl w:val="nil"/>
                  </w:tcBorders>
                  <w:vAlign w:val="center"/>
                </w:tcPr>
                <w:p w14:paraId="1A321F75">
                  <w:pPr>
                    <w:pStyle w:val="12"/>
                    <w:ind w:firstLine="0"/>
                    <w:jc w:val="center"/>
                    <w:rPr>
                      <w:kern w:val="0"/>
                      <w:szCs w:val="21"/>
                    </w:rPr>
                  </w:pPr>
                  <w:r>
                    <w:rPr>
                      <w:kern w:val="0"/>
                      <w:szCs w:val="21"/>
                    </w:rPr>
                    <w:t>0.019~0.293</w:t>
                  </w:r>
                </w:p>
              </w:tc>
            </w:tr>
            <w:tr w14:paraId="0CB4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61" w:type="dxa"/>
                  <w:tcBorders>
                    <w:tl2br w:val="nil"/>
                    <w:tr2bl w:val="nil"/>
                  </w:tcBorders>
                  <w:vAlign w:val="center"/>
                </w:tcPr>
                <w:p w14:paraId="24A8FACE">
                  <w:pPr>
                    <w:pStyle w:val="12"/>
                    <w:ind w:firstLine="0"/>
                    <w:jc w:val="center"/>
                    <w:rPr>
                      <w:kern w:val="0"/>
                      <w:szCs w:val="21"/>
                    </w:rPr>
                  </w:pPr>
                  <w:r>
                    <w:rPr>
                      <w:kern w:val="0"/>
                      <w:szCs w:val="21"/>
                    </w:rPr>
                    <w:t>《地表水环境质量标准》（GB3838-2002）Ⅳ类标准</w:t>
                  </w:r>
                </w:p>
              </w:tc>
              <w:tc>
                <w:tcPr>
                  <w:tcW w:w="1125" w:type="dxa"/>
                  <w:tcBorders>
                    <w:tl2br w:val="nil"/>
                    <w:tr2bl w:val="nil"/>
                  </w:tcBorders>
                  <w:vAlign w:val="center"/>
                </w:tcPr>
                <w:p w14:paraId="01AA87FB">
                  <w:pPr>
                    <w:pStyle w:val="12"/>
                    <w:ind w:firstLine="0"/>
                    <w:jc w:val="center"/>
                    <w:rPr>
                      <w:kern w:val="0"/>
                      <w:szCs w:val="21"/>
                    </w:rPr>
                  </w:pPr>
                  <w:r>
                    <w:rPr>
                      <w:kern w:val="0"/>
                      <w:szCs w:val="21"/>
                    </w:rPr>
                    <w:t>30</w:t>
                  </w:r>
                </w:p>
              </w:tc>
              <w:tc>
                <w:tcPr>
                  <w:tcW w:w="1035" w:type="dxa"/>
                  <w:tcBorders>
                    <w:tl2br w:val="nil"/>
                    <w:tr2bl w:val="nil"/>
                  </w:tcBorders>
                  <w:vAlign w:val="center"/>
                </w:tcPr>
                <w:p w14:paraId="062F652E">
                  <w:pPr>
                    <w:pStyle w:val="12"/>
                    <w:ind w:firstLine="0"/>
                    <w:jc w:val="center"/>
                    <w:rPr>
                      <w:szCs w:val="21"/>
                    </w:rPr>
                  </w:pPr>
                  <w:r>
                    <w:rPr>
                      <w:szCs w:val="21"/>
                    </w:rPr>
                    <w:t>1.5</w:t>
                  </w:r>
                </w:p>
              </w:tc>
              <w:tc>
                <w:tcPr>
                  <w:tcW w:w="1237" w:type="dxa"/>
                  <w:tcBorders>
                    <w:tl2br w:val="nil"/>
                    <w:tr2bl w:val="nil"/>
                  </w:tcBorders>
                  <w:vAlign w:val="center"/>
                </w:tcPr>
                <w:p w14:paraId="634943A4">
                  <w:pPr>
                    <w:pStyle w:val="12"/>
                    <w:ind w:firstLine="0"/>
                    <w:jc w:val="center"/>
                    <w:rPr>
                      <w:szCs w:val="21"/>
                    </w:rPr>
                  </w:pPr>
                  <w:r>
                    <w:rPr>
                      <w:szCs w:val="21"/>
                    </w:rPr>
                    <w:t>0.3</w:t>
                  </w:r>
                </w:p>
              </w:tc>
            </w:tr>
          </w:tbl>
          <w:p w14:paraId="134EF3F1">
            <w:pPr>
              <w:adjustRightInd w:val="0"/>
              <w:snapToGrid w:val="0"/>
              <w:spacing w:line="360" w:lineRule="auto"/>
              <w:ind w:firstLine="480" w:firstLineChars="200"/>
              <w:rPr>
                <w:sz w:val="24"/>
              </w:rPr>
            </w:pPr>
            <w:r>
              <w:rPr>
                <w:sz w:val="24"/>
              </w:rPr>
              <w:t>由上表可知，项目评价河段现状水质能够满足《地表水环境质量标准》（GB3838-2002）中Ⅳ类标准要求，项目区域地表水环境质量较好。</w:t>
            </w:r>
          </w:p>
          <w:p w14:paraId="56F115C7">
            <w:pPr>
              <w:numPr>
                <w:ilvl w:val="0"/>
                <w:numId w:val="14"/>
              </w:numPr>
              <w:adjustRightInd w:val="0"/>
              <w:snapToGrid w:val="0"/>
              <w:spacing w:line="360" w:lineRule="auto"/>
              <w:ind w:firstLine="482" w:firstLineChars="200"/>
              <w:jc w:val="left"/>
              <w:rPr>
                <w:b/>
                <w:bCs/>
                <w:kern w:val="0"/>
                <w:sz w:val="24"/>
              </w:rPr>
            </w:pPr>
            <w:r>
              <w:rPr>
                <w:b/>
                <w:bCs/>
                <w:kern w:val="0"/>
                <w:sz w:val="24"/>
              </w:rPr>
              <w:t>声环境</w:t>
            </w:r>
          </w:p>
          <w:p w14:paraId="79DD5A17">
            <w:pPr>
              <w:adjustRightInd w:val="0"/>
              <w:snapToGrid w:val="0"/>
              <w:spacing w:line="360" w:lineRule="auto"/>
              <w:ind w:firstLine="480" w:firstLineChars="200"/>
              <w:jc w:val="left"/>
              <w:rPr>
                <w:bCs/>
                <w:kern w:val="0"/>
                <w:sz w:val="24"/>
              </w:rPr>
            </w:pPr>
            <w:r>
              <w:rPr>
                <w:bCs/>
                <w:sz w:val="24"/>
              </w:rPr>
              <w:t>根据《建设项目环境影响报告表编制技术指南 污染影响类》中声环境质量现状相关要求：“厂界外周边50米范围内存在声环境保护目标的建设项目，应监测保护目标声环境质量现状并评价达标情况。”经现场踏勘，</w:t>
            </w:r>
            <w:r>
              <w:rPr>
                <w:rFonts w:hint="eastAsia"/>
                <w:bCs/>
                <w:sz w:val="24"/>
              </w:rPr>
              <w:t>本项目厂址</w:t>
            </w:r>
            <w:r>
              <w:rPr>
                <w:bCs/>
                <w:sz w:val="24"/>
              </w:rPr>
              <w:t>周边50m范围内不存在声环境保护目标，无需开展声环境质量现状调查。</w:t>
            </w:r>
          </w:p>
          <w:p w14:paraId="3BD62CA7">
            <w:pPr>
              <w:numPr>
                <w:ilvl w:val="0"/>
                <w:numId w:val="14"/>
              </w:numPr>
              <w:adjustRightInd w:val="0"/>
              <w:snapToGrid w:val="0"/>
              <w:spacing w:line="360" w:lineRule="auto"/>
              <w:ind w:firstLine="482" w:firstLineChars="200"/>
              <w:jc w:val="left"/>
              <w:rPr>
                <w:b/>
                <w:bCs/>
                <w:kern w:val="0"/>
                <w:sz w:val="24"/>
              </w:rPr>
            </w:pPr>
            <w:r>
              <w:rPr>
                <w:b/>
                <w:bCs/>
                <w:kern w:val="0"/>
                <w:sz w:val="24"/>
              </w:rPr>
              <w:t>地下水环境</w:t>
            </w:r>
          </w:p>
          <w:p w14:paraId="227BC5BB">
            <w:pPr>
              <w:adjustRightInd w:val="0"/>
              <w:snapToGrid w:val="0"/>
              <w:spacing w:line="360" w:lineRule="auto"/>
              <w:ind w:firstLine="480" w:firstLineChars="200"/>
              <w:rPr>
                <w:kern w:val="0"/>
                <w:sz w:val="24"/>
              </w:rPr>
            </w:pPr>
            <w:r>
              <w:rPr>
                <w:kern w:val="0"/>
                <w:sz w:val="24"/>
              </w:rPr>
              <w:t>根据《建设项目环境影响报告表编制计算指南（污染影响类）（试行）》，地下水环境原则上不开展环境质量现状调查。建设项目存在地下水环境污染途径的，应结合污染源、保护目标分布情况开展现状调查以留作背景值。为了解厂址区域地下水环境质量现状，建设单位委托</w:t>
            </w:r>
            <w:r>
              <w:rPr>
                <w:rFonts w:hint="eastAsia"/>
                <w:kern w:val="0"/>
                <w:sz w:val="24"/>
              </w:rPr>
              <w:t>河南凯勋检测技术有限公司</w:t>
            </w:r>
            <w:r>
              <w:rPr>
                <w:kern w:val="0"/>
                <w:sz w:val="24"/>
              </w:rPr>
              <w:t>公司于2025年2月11日对本项目</w:t>
            </w:r>
            <w:r>
              <w:rPr>
                <w:rFonts w:hint="eastAsia"/>
                <w:kern w:val="0"/>
                <w:sz w:val="24"/>
              </w:rPr>
              <w:t>厂址东南侧约5</w:t>
            </w:r>
            <w:r>
              <w:rPr>
                <w:kern w:val="0"/>
                <w:sz w:val="24"/>
              </w:rPr>
              <w:t>35m处的</w:t>
            </w:r>
            <w:bookmarkStart w:id="12" w:name="OLE_LINK2"/>
            <w:r>
              <w:rPr>
                <w:kern w:val="0"/>
                <w:sz w:val="24"/>
              </w:rPr>
              <w:t>翟寨村</w:t>
            </w:r>
            <w:bookmarkEnd w:id="12"/>
            <w:r>
              <w:rPr>
                <w:kern w:val="0"/>
                <w:sz w:val="24"/>
              </w:rPr>
              <w:t>的地下水井进行取样检测。</w:t>
            </w:r>
          </w:p>
          <w:p w14:paraId="015D6038">
            <w:pPr>
              <w:adjustRightInd w:val="0"/>
              <w:snapToGrid w:val="0"/>
              <w:spacing w:line="360" w:lineRule="auto"/>
              <w:ind w:firstLine="480" w:firstLineChars="200"/>
              <w:rPr>
                <w:kern w:val="0"/>
                <w:sz w:val="24"/>
              </w:rPr>
            </w:pPr>
            <w:r>
              <w:rPr>
                <w:kern w:val="0"/>
                <w:sz w:val="24"/>
              </w:rPr>
              <w:t>本项目地下水水质监测情况见下表。</w:t>
            </w:r>
          </w:p>
          <w:p w14:paraId="7640EA2E">
            <w:pPr>
              <w:adjustRightInd w:val="0"/>
              <w:snapToGrid w:val="0"/>
              <w:jc w:val="center"/>
              <w:rPr>
                <w:b/>
                <w:bCs/>
                <w:kern w:val="0"/>
                <w:sz w:val="24"/>
              </w:rPr>
            </w:pPr>
            <w:r>
              <w:rPr>
                <w:b/>
                <w:bCs/>
                <w:kern w:val="0"/>
                <w:sz w:val="24"/>
              </w:rPr>
              <w:t>表1</w:t>
            </w:r>
            <w:r>
              <w:rPr>
                <w:rFonts w:hint="eastAsia"/>
                <w:b/>
                <w:bCs/>
                <w:kern w:val="0"/>
                <w:sz w:val="24"/>
              </w:rPr>
              <w:t>9</w:t>
            </w:r>
            <w:r>
              <w:rPr>
                <w:b/>
                <w:bCs/>
                <w:kern w:val="0"/>
                <w:sz w:val="24"/>
              </w:rPr>
              <w:t xml:space="preserve">   本项目地下水现状监测结果一览表</w:t>
            </w:r>
          </w:p>
          <w:tbl>
            <w:tblPr>
              <w:tblStyle w:val="24"/>
              <w:tblW w:w="8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0"/>
              <w:gridCol w:w="718"/>
              <w:gridCol w:w="2580"/>
              <w:gridCol w:w="2157"/>
              <w:gridCol w:w="1435"/>
              <w:gridCol w:w="891"/>
            </w:tblGrid>
            <w:tr w14:paraId="6FE4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Align w:val="center"/>
                </w:tcPr>
                <w:p w14:paraId="3364DC80">
                  <w:pPr>
                    <w:adjustRightInd w:val="0"/>
                    <w:snapToGrid w:val="0"/>
                    <w:jc w:val="center"/>
                    <w:rPr>
                      <w:kern w:val="0"/>
                    </w:rPr>
                  </w:pPr>
                  <w:r>
                    <w:rPr>
                      <w:kern w:val="0"/>
                    </w:rPr>
                    <w:t>采样点位</w:t>
                  </w:r>
                </w:p>
              </w:tc>
              <w:tc>
                <w:tcPr>
                  <w:tcW w:w="718" w:type="dxa"/>
                  <w:vAlign w:val="center"/>
                </w:tcPr>
                <w:p w14:paraId="3F6BEE32">
                  <w:pPr>
                    <w:adjustRightInd w:val="0"/>
                    <w:snapToGrid w:val="0"/>
                    <w:jc w:val="center"/>
                    <w:rPr>
                      <w:kern w:val="0"/>
                    </w:rPr>
                  </w:pPr>
                  <w:r>
                    <w:rPr>
                      <w:kern w:val="0"/>
                    </w:rPr>
                    <w:t>样品</w:t>
                  </w:r>
                </w:p>
                <w:p w14:paraId="2A9DC9E2">
                  <w:pPr>
                    <w:adjustRightInd w:val="0"/>
                    <w:snapToGrid w:val="0"/>
                    <w:jc w:val="center"/>
                    <w:rPr>
                      <w:kern w:val="0"/>
                    </w:rPr>
                  </w:pPr>
                  <w:r>
                    <w:rPr>
                      <w:kern w:val="0"/>
                    </w:rPr>
                    <w:t>状态</w:t>
                  </w:r>
                </w:p>
              </w:tc>
              <w:tc>
                <w:tcPr>
                  <w:tcW w:w="2580" w:type="dxa"/>
                  <w:vAlign w:val="center"/>
                </w:tcPr>
                <w:p w14:paraId="0256B527">
                  <w:pPr>
                    <w:adjustRightInd w:val="0"/>
                    <w:snapToGrid w:val="0"/>
                    <w:jc w:val="center"/>
                    <w:rPr>
                      <w:kern w:val="0"/>
                    </w:rPr>
                  </w:pPr>
                  <w:r>
                    <w:rPr>
                      <w:kern w:val="0"/>
                    </w:rPr>
                    <w:t>检测项目</w:t>
                  </w:r>
                </w:p>
              </w:tc>
              <w:tc>
                <w:tcPr>
                  <w:tcW w:w="2157" w:type="dxa"/>
                  <w:vAlign w:val="center"/>
                </w:tcPr>
                <w:p w14:paraId="537048AC">
                  <w:pPr>
                    <w:adjustRightInd w:val="0"/>
                    <w:snapToGrid w:val="0"/>
                    <w:jc w:val="center"/>
                    <w:rPr>
                      <w:kern w:val="0"/>
                    </w:rPr>
                  </w:pPr>
                  <w:r>
                    <w:rPr>
                      <w:kern w:val="0"/>
                    </w:rPr>
                    <w:t>采样结果</w:t>
                  </w:r>
                </w:p>
              </w:tc>
              <w:tc>
                <w:tcPr>
                  <w:tcW w:w="1435" w:type="dxa"/>
                  <w:vAlign w:val="center"/>
                </w:tcPr>
                <w:p w14:paraId="15A0CE79">
                  <w:pPr>
                    <w:adjustRightInd w:val="0"/>
                    <w:snapToGrid w:val="0"/>
                    <w:jc w:val="center"/>
                    <w:rPr>
                      <w:kern w:val="0"/>
                    </w:rPr>
                  </w:pPr>
                  <w:r>
                    <w:rPr>
                      <w:kern w:val="0"/>
                    </w:rPr>
                    <w:t>标准值</w:t>
                  </w:r>
                </w:p>
              </w:tc>
              <w:tc>
                <w:tcPr>
                  <w:tcW w:w="891" w:type="dxa"/>
                  <w:vAlign w:val="center"/>
                </w:tcPr>
                <w:p w14:paraId="551DB639">
                  <w:pPr>
                    <w:adjustRightInd w:val="0"/>
                    <w:snapToGrid w:val="0"/>
                    <w:jc w:val="center"/>
                    <w:rPr>
                      <w:kern w:val="0"/>
                    </w:rPr>
                  </w:pPr>
                  <w:r>
                    <w:rPr>
                      <w:kern w:val="0"/>
                    </w:rPr>
                    <w:t>达标情况</w:t>
                  </w:r>
                </w:p>
              </w:tc>
            </w:tr>
            <w:tr w14:paraId="0597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restart"/>
                  <w:vAlign w:val="center"/>
                </w:tcPr>
                <w:p w14:paraId="2C1DAA49">
                  <w:pPr>
                    <w:adjustRightInd w:val="0"/>
                    <w:snapToGrid w:val="0"/>
                    <w:jc w:val="center"/>
                    <w:rPr>
                      <w:kern w:val="0"/>
                    </w:rPr>
                  </w:pPr>
                  <w:r>
                    <w:rPr>
                      <w:kern w:val="0"/>
                    </w:rPr>
                    <w:t>厂区</w:t>
                  </w:r>
                </w:p>
              </w:tc>
              <w:tc>
                <w:tcPr>
                  <w:tcW w:w="718" w:type="dxa"/>
                  <w:vMerge w:val="restart"/>
                  <w:vAlign w:val="center"/>
                </w:tcPr>
                <w:p w14:paraId="091A6A0C">
                  <w:pPr>
                    <w:adjustRightInd w:val="0"/>
                    <w:snapToGrid w:val="0"/>
                    <w:jc w:val="center"/>
                    <w:rPr>
                      <w:kern w:val="0"/>
                    </w:rPr>
                  </w:pPr>
                  <w:r>
                    <w:rPr>
                      <w:kern w:val="0"/>
                    </w:rPr>
                    <w:t>液态，密封保存完好</w:t>
                  </w:r>
                </w:p>
              </w:tc>
              <w:tc>
                <w:tcPr>
                  <w:tcW w:w="2580" w:type="dxa"/>
                  <w:vAlign w:val="center"/>
                </w:tcPr>
                <w:p w14:paraId="5562F253">
                  <w:pPr>
                    <w:adjustRightInd w:val="0"/>
                    <w:snapToGrid w:val="0"/>
                    <w:jc w:val="center"/>
                    <w:rPr>
                      <w:kern w:val="0"/>
                    </w:rPr>
                  </w:pPr>
                  <w:r>
                    <w:rPr>
                      <w:szCs w:val="21"/>
                    </w:rPr>
                    <w:t>pH值（无量纲）</w:t>
                  </w:r>
                </w:p>
              </w:tc>
              <w:tc>
                <w:tcPr>
                  <w:tcW w:w="2157" w:type="dxa"/>
                  <w:vAlign w:val="center"/>
                </w:tcPr>
                <w:p w14:paraId="4FF73B2F">
                  <w:pPr>
                    <w:adjustRightInd w:val="0"/>
                    <w:snapToGrid w:val="0"/>
                    <w:jc w:val="center"/>
                    <w:rPr>
                      <w:kern w:val="0"/>
                    </w:rPr>
                  </w:pPr>
                  <w:r>
                    <w:rPr>
                      <w:rFonts w:hint="eastAsia"/>
                      <w:kern w:val="0"/>
                    </w:rPr>
                    <w:t>7</w:t>
                  </w:r>
                  <w:r>
                    <w:rPr>
                      <w:kern w:val="0"/>
                    </w:rPr>
                    <w:t>.37</w:t>
                  </w:r>
                </w:p>
              </w:tc>
              <w:tc>
                <w:tcPr>
                  <w:tcW w:w="1435" w:type="dxa"/>
                  <w:vAlign w:val="center"/>
                </w:tcPr>
                <w:p w14:paraId="5AA65C87">
                  <w:pPr>
                    <w:adjustRightInd w:val="0"/>
                    <w:snapToGrid w:val="0"/>
                    <w:jc w:val="center"/>
                    <w:rPr>
                      <w:kern w:val="0"/>
                    </w:rPr>
                  </w:pPr>
                  <w:r>
                    <w:rPr>
                      <w:kern w:val="0"/>
                    </w:rPr>
                    <w:t>6.5~8.5</w:t>
                  </w:r>
                </w:p>
              </w:tc>
              <w:tc>
                <w:tcPr>
                  <w:tcW w:w="891" w:type="dxa"/>
                  <w:vAlign w:val="center"/>
                </w:tcPr>
                <w:p w14:paraId="3B389ACF">
                  <w:pPr>
                    <w:adjustRightInd w:val="0"/>
                    <w:snapToGrid w:val="0"/>
                    <w:jc w:val="center"/>
                    <w:rPr>
                      <w:kern w:val="0"/>
                    </w:rPr>
                  </w:pPr>
                </w:p>
              </w:tc>
            </w:tr>
            <w:tr w14:paraId="7373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2A21B67E">
                  <w:pPr>
                    <w:adjustRightInd w:val="0"/>
                    <w:snapToGrid w:val="0"/>
                    <w:jc w:val="center"/>
                    <w:rPr>
                      <w:kern w:val="0"/>
                    </w:rPr>
                  </w:pPr>
                </w:p>
              </w:tc>
              <w:tc>
                <w:tcPr>
                  <w:tcW w:w="718" w:type="dxa"/>
                  <w:vMerge w:val="continue"/>
                  <w:vAlign w:val="center"/>
                </w:tcPr>
                <w:p w14:paraId="6A62B62B">
                  <w:pPr>
                    <w:adjustRightInd w:val="0"/>
                    <w:snapToGrid w:val="0"/>
                    <w:jc w:val="center"/>
                    <w:rPr>
                      <w:kern w:val="0"/>
                    </w:rPr>
                  </w:pPr>
                </w:p>
              </w:tc>
              <w:tc>
                <w:tcPr>
                  <w:tcW w:w="2580" w:type="dxa"/>
                  <w:vAlign w:val="center"/>
                </w:tcPr>
                <w:p w14:paraId="67F38AE0">
                  <w:pPr>
                    <w:adjustRightInd w:val="0"/>
                    <w:snapToGrid w:val="0"/>
                    <w:jc w:val="center"/>
                    <w:rPr>
                      <w:kern w:val="0"/>
                    </w:rPr>
                  </w:pPr>
                  <w:r>
                    <w:rPr>
                      <w:spacing w:val="2"/>
                    </w:rPr>
                    <w:t>钾（mg/L）</w:t>
                  </w:r>
                </w:p>
              </w:tc>
              <w:tc>
                <w:tcPr>
                  <w:tcW w:w="2157" w:type="dxa"/>
                  <w:shd w:val="clear" w:color="auto" w:fill="auto"/>
                  <w:vAlign w:val="center"/>
                </w:tcPr>
                <w:p w14:paraId="0523ABDD">
                  <w:pPr>
                    <w:adjustRightInd w:val="0"/>
                    <w:snapToGrid w:val="0"/>
                    <w:jc w:val="center"/>
                    <w:rPr>
                      <w:kern w:val="0"/>
                      <w:szCs w:val="21"/>
                    </w:rPr>
                  </w:pPr>
                  <w:r>
                    <w:rPr>
                      <w:rFonts w:hint="eastAsia"/>
                      <w:kern w:val="0"/>
                      <w:szCs w:val="21"/>
                    </w:rPr>
                    <w:t>1</w:t>
                  </w:r>
                  <w:r>
                    <w:rPr>
                      <w:kern w:val="0"/>
                      <w:szCs w:val="21"/>
                    </w:rPr>
                    <w:t>.34</w:t>
                  </w:r>
                </w:p>
              </w:tc>
              <w:tc>
                <w:tcPr>
                  <w:tcW w:w="1435" w:type="dxa"/>
                  <w:tcBorders>
                    <w:top w:val="single" w:color="auto" w:sz="4" w:space="0"/>
                    <w:left w:val="single" w:color="auto" w:sz="4" w:space="0"/>
                    <w:bottom w:val="single" w:color="auto" w:sz="4" w:space="0"/>
                    <w:right w:val="single" w:color="auto" w:sz="4" w:space="0"/>
                  </w:tcBorders>
                  <w:vAlign w:val="center"/>
                </w:tcPr>
                <w:p w14:paraId="4484F3C2">
                  <w:pPr>
                    <w:adjustRightInd w:val="0"/>
                    <w:snapToGrid w:val="0"/>
                    <w:jc w:val="center"/>
                    <w:rPr>
                      <w:kern w:val="0"/>
                    </w:rPr>
                  </w:pPr>
                  <w:r>
                    <w:rPr>
                      <w:snapToGrid w:val="0"/>
                      <w:kern w:val="0"/>
                      <w:szCs w:val="21"/>
                    </w:rPr>
                    <w:t>/</w:t>
                  </w:r>
                </w:p>
              </w:tc>
              <w:tc>
                <w:tcPr>
                  <w:tcW w:w="891" w:type="dxa"/>
                  <w:vAlign w:val="center"/>
                </w:tcPr>
                <w:p w14:paraId="3B883557">
                  <w:pPr>
                    <w:adjustRightInd w:val="0"/>
                    <w:snapToGrid w:val="0"/>
                    <w:jc w:val="center"/>
                    <w:rPr>
                      <w:kern w:val="0"/>
                    </w:rPr>
                  </w:pPr>
                </w:p>
              </w:tc>
            </w:tr>
            <w:tr w14:paraId="01F4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2183CF86">
                  <w:pPr>
                    <w:adjustRightInd w:val="0"/>
                    <w:snapToGrid w:val="0"/>
                    <w:jc w:val="center"/>
                    <w:rPr>
                      <w:kern w:val="0"/>
                    </w:rPr>
                  </w:pPr>
                </w:p>
              </w:tc>
              <w:tc>
                <w:tcPr>
                  <w:tcW w:w="718" w:type="dxa"/>
                  <w:vMerge w:val="continue"/>
                  <w:vAlign w:val="center"/>
                </w:tcPr>
                <w:p w14:paraId="58BCF9A8">
                  <w:pPr>
                    <w:adjustRightInd w:val="0"/>
                    <w:snapToGrid w:val="0"/>
                    <w:jc w:val="center"/>
                    <w:rPr>
                      <w:kern w:val="0"/>
                    </w:rPr>
                  </w:pPr>
                </w:p>
              </w:tc>
              <w:tc>
                <w:tcPr>
                  <w:tcW w:w="2580" w:type="dxa"/>
                  <w:vAlign w:val="center"/>
                </w:tcPr>
                <w:p w14:paraId="64C281CA">
                  <w:pPr>
                    <w:adjustRightInd w:val="0"/>
                    <w:snapToGrid w:val="0"/>
                    <w:jc w:val="center"/>
                    <w:rPr>
                      <w:kern w:val="0"/>
                    </w:rPr>
                  </w:pPr>
                  <w:r>
                    <w:rPr>
                      <w:spacing w:val="2"/>
                    </w:rPr>
                    <w:t>钠（mg/L）</w:t>
                  </w:r>
                </w:p>
              </w:tc>
              <w:tc>
                <w:tcPr>
                  <w:tcW w:w="2157" w:type="dxa"/>
                  <w:shd w:val="clear" w:color="auto" w:fill="auto"/>
                  <w:vAlign w:val="center"/>
                </w:tcPr>
                <w:p w14:paraId="14FA0178">
                  <w:pPr>
                    <w:adjustRightInd w:val="0"/>
                    <w:snapToGrid w:val="0"/>
                    <w:jc w:val="center"/>
                    <w:rPr>
                      <w:kern w:val="0"/>
                    </w:rPr>
                  </w:pPr>
                  <w:r>
                    <w:rPr>
                      <w:rFonts w:hint="eastAsia"/>
                      <w:kern w:val="0"/>
                    </w:rPr>
                    <w:t>5</w:t>
                  </w:r>
                  <w:r>
                    <w:rPr>
                      <w:kern w:val="0"/>
                    </w:rPr>
                    <w:t>9.4</w:t>
                  </w:r>
                </w:p>
              </w:tc>
              <w:tc>
                <w:tcPr>
                  <w:tcW w:w="1435" w:type="dxa"/>
                  <w:tcBorders>
                    <w:top w:val="single" w:color="auto" w:sz="4" w:space="0"/>
                    <w:left w:val="single" w:color="auto" w:sz="4" w:space="0"/>
                    <w:bottom w:val="single" w:color="auto" w:sz="4" w:space="0"/>
                    <w:right w:val="single" w:color="auto" w:sz="4" w:space="0"/>
                  </w:tcBorders>
                  <w:vAlign w:val="center"/>
                </w:tcPr>
                <w:p w14:paraId="56171F53">
                  <w:pPr>
                    <w:adjustRightInd w:val="0"/>
                    <w:snapToGrid w:val="0"/>
                    <w:jc w:val="center"/>
                    <w:rPr>
                      <w:kern w:val="0"/>
                    </w:rPr>
                  </w:pPr>
                  <w:r>
                    <w:rPr>
                      <w:szCs w:val="21"/>
                    </w:rPr>
                    <w:t>≤</w:t>
                  </w:r>
                  <w:r>
                    <w:rPr>
                      <w:snapToGrid w:val="0"/>
                      <w:kern w:val="0"/>
                      <w:szCs w:val="21"/>
                    </w:rPr>
                    <w:t>200</w:t>
                  </w:r>
                </w:p>
              </w:tc>
              <w:tc>
                <w:tcPr>
                  <w:tcW w:w="891" w:type="dxa"/>
                  <w:vAlign w:val="center"/>
                </w:tcPr>
                <w:p w14:paraId="50199EF9">
                  <w:pPr>
                    <w:adjustRightInd w:val="0"/>
                    <w:snapToGrid w:val="0"/>
                    <w:jc w:val="center"/>
                    <w:rPr>
                      <w:kern w:val="0"/>
                    </w:rPr>
                  </w:pPr>
                </w:p>
              </w:tc>
            </w:tr>
            <w:tr w14:paraId="5BA3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20810C11">
                  <w:pPr>
                    <w:adjustRightInd w:val="0"/>
                    <w:snapToGrid w:val="0"/>
                    <w:jc w:val="center"/>
                    <w:rPr>
                      <w:kern w:val="0"/>
                    </w:rPr>
                  </w:pPr>
                </w:p>
              </w:tc>
              <w:tc>
                <w:tcPr>
                  <w:tcW w:w="718" w:type="dxa"/>
                  <w:vMerge w:val="continue"/>
                  <w:vAlign w:val="center"/>
                </w:tcPr>
                <w:p w14:paraId="11B89D3B">
                  <w:pPr>
                    <w:adjustRightInd w:val="0"/>
                    <w:snapToGrid w:val="0"/>
                    <w:jc w:val="center"/>
                    <w:rPr>
                      <w:kern w:val="0"/>
                    </w:rPr>
                  </w:pPr>
                </w:p>
              </w:tc>
              <w:tc>
                <w:tcPr>
                  <w:tcW w:w="2580" w:type="dxa"/>
                  <w:vAlign w:val="center"/>
                </w:tcPr>
                <w:p w14:paraId="72749BA0">
                  <w:pPr>
                    <w:adjustRightInd w:val="0"/>
                    <w:snapToGrid w:val="0"/>
                    <w:jc w:val="center"/>
                    <w:rPr>
                      <w:kern w:val="0"/>
                    </w:rPr>
                  </w:pPr>
                  <w:r>
                    <w:rPr>
                      <w:spacing w:val="2"/>
                    </w:rPr>
                    <w:t>钙（mg/L）</w:t>
                  </w:r>
                </w:p>
              </w:tc>
              <w:tc>
                <w:tcPr>
                  <w:tcW w:w="2157" w:type="dxa"/>
                  <w:vAlign w:val="center"/>
                </w:tcPr>
                <w:p w14:paraId="7E8335FE">
                  <w:pPr>
                    <w:adjustRightInd w:val="0"/>
                    <w:snapToGrid w:val="0"/>
                    <w:jc w:val="center"/>
                    <w:rPr>
                      <w:kern w:val="0"/>
                    </w:rPr>
                  </w:pPr>
                  <w:r>
                    <w:rPr>
                      <w:rFonts w:hint="eastAsia"/>
                      <w:kern w:val="0"/>
                    </w:rPr>
                    <w:t>1</w:t>
                  </w:r>
                  <w:r>
                    <w:rPr>
                      <w:kern w:val="0"/>
                    </w:rPr>
                    <w:t>53</w:t>
                  </w:r>
                </w:p>
              </w:tc>
              <w:tc>
                <w:tcPr>
                  <w:tcW w:w="1435" w:type="dxa"/>
                  <w:tcBorders>
                    <w:top w:val="single" w:color="auto" w:sz="4" w:space="0"/>
                    <w:left w:val="single" w:color="auto" w:sz="4" w:space="0"/>
                    <w:bottom w:val="single" w:color="auto" w:sz="4" w:space="0"/>
                    <w:right w:val="single" w:color="auto" w:sz="4" w:space="0"/>
                  </w:tcBorders>
                  <w:vAlign w:val="center"/>
                </w:tcPr>
                <w:p w14:paraId="0ABB4EA2">
                  <w:pPr>
                    <w:adjustRightInd w:val="0"/>
                    <w:snapToGrid w:val="0"/>
                    <w:jc w:val="center"/>
                    <w:rPr>
                      <w:kern w:val="0"/>
                    </w:rPr>
                  </w:pPr>
                  <w:r>
                    <w:rPr>
                      <w:snapToGrid w:val="0"/>
                      <w:kern w:val="0"/>
                      <w:szCs w:val="21"/>
                    </w:rPr>
                    <w:t>/</w:t>
                  </w:r>
                </w:p>
              </w:tc>
              <w:tc>
                <w:tcPr>
                  <w:tcW w:w="891" w:type="dxa"/>
                  <w:vAlign w:val="center"/>
                </w:tcPr>
                <w:p w14:paraId="4EC44BFB">
                  <w:pPr>
                    <w:adjustRightInd w:val="0"/>
                    <w:snapToGrid w:val="0"/>
                    <w:jc w:val="center"/>
                    <w:rPr>
                      <w:kern w:val="0"/>
                    </w:rPr>
                  </w:pPr>
                </w:p>
              </w:tc>
            </w:tr>
            <w:tr w14:paraId="2F72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33FDA52B">
                  <w:pPr>
                    <w:adjustRightInd w:val="0"/>
                    <w:snapToGrid w:val="0"/>
                    <w:jc w:val="center"/>
                    <w:rPr>
                      <w:kern w:val="0"/>
                    </w:rPr>
                  </w:pPr>
                </w:p>
              </w:tc>
              <w:tc>
                <w:tcPr>
                  <w:tcW w:w="718" w:type="dxa"/>
                  <w:vMerge w:val="continue"/>
                  <w:vAlign w:val="center"/>
                </w:tcPr>
                <w:p w14:paraId="24B6417B">
                  <w:pPr>
                    <w:adjustRightInd w:val="0"/>
                    <w:snapToGrid w:val="0"/>
                    <w:jc w:val="center"/>
                    <w:rPr>
                      <w:kern w:val="0"/>
                    </w:rPr>
                  </w:pPr>
                </w:p>
              </w:tc>
              <w:tc>
                <w:tcPr>
                  <w:tcW w:w="2580" w:type="dxa"/>
                  <w:vAlign w:val="center"/>
                </w:tcPr>
                <w:p w14:paraId="7EFAE3DF">
                  <w:pPr>
                    <w:adjustRightInd w:val="0"/>
                    <w:snapToGrid w:val="0"/>
                    <w:jc w:val="center"/>
                    <w:rPr>
                      <w:kern w:val="0"/>
                    </w:rPr>
                  </w:pPr>
                  <w:r>
                    <w:rPr>
                      <w:spacing w:val="2"/>
                    </w:rPr>
                    <w:t>镁（mg/L）</w:t>
                  </w:r>
                </w:p>
              </w:tc>
              <w:tc>
                <w:tcPr>
                  <w:tcW w:w="2157" w:type="dxa"/>
                  <w:vAlign w:val="center"/>
                </w:tcPr>
                <w:p w14:paraId="7A04DA32">
                  <w:pPr>
                    <w:adjustRightInd w:val="0"/>
                    <w:snapToGrid w:val="0"/>
                    <w:jc w:val="center"/>
                    <w:rPr>
                      <w:kern w:val="0"/>
                    </w:rPr>
                  </w:pPr>
                  <w:r>
                    <w:rPr>
                      <w:rFonts w:hint="eastAsia"/>
                      <w:kern w:val="0"/>
                    </w:rPr>
                    <w:t>5</w:t>
                  </w:r>
                  <w:r>
                    <w:rPr>
                      <w:kern w:val="0"/>
                    </w:rPr>
                    <w:t>5.5</w:t>
                  </w:r>
                </w:p>
              </w:tc>
              <w:tc>
                <w:tcPr>
                  <w:tcW w:w="1435" w:type="dxa"/>
                  <w:tcBorders>
                    <w:top w:val="single" w:color="auto" w:sz="4" w:space="0"/>
                    <w:left w:val="single" w:color="auto" w:sz="4" w:space="0"/>
                    <w:bottom w:val="single" w:color="auto" w:sz="4" w:space="0"/>
                    <w:right w:val="single" w:color="auto" w:sz="4" w:space="0"/>
                  </w:tcBorders>
                  <w:vAlign w:val="center"/>
                </w:tcPr>
                <w:p w14:paraId="2733977E">
                  <w:pPr>
                    <w:adjustRightInd w:val="0"/>
                    <w:snapToGrid w:val="0"/>
                    <w:jc w:val="center"/>
                    <w:rPr>
                      <w:kern w:val="0"/>
                    </w:rPr>
                  </w:pPr>
                  <w:r>
                    <w:rPr>
                      <w:snapToGrid w:val="0"/>
                      <w:kern w:val="0"/>
                      <w:szCs w:val="21"/>
                    </w:rPr>
                    <w:t>/</w:t>
                  </w:r>
                </w:p>
              </w:tc>
              <w:tc>
                <w:tcPr>
                  <w:tcW w:w="891" w:type="dxa"/>
                  <w:vAlign w:val="center"/>
                </w:tcPr>
                <w:p w14:paraId="014782D6">
                  <w:pPr>
                    <w:adjustRightInd w:val="0"/>
                    <w:snapToGrid w:val="0"/>
                    <w:jc w:val="center"/>
                    <w:rPr>
                      <w:kern w:val="0"/>
                    </w:rPr>
                  </w:pPr>
                </w:p>
              </w:tc>
            </w:tr>
            <w:tr w14:paraId="3734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68C18402">
                  <w:pPr>
                    <w:adjustRightInd w:val="0"/>
                    <w:snapToGrid w:val="0"/>
                    <w:jc w:val="center"/>
                    <w:rPr>
                      <w:kern w:val="0"/>
                    </w:rPr>
                  </w:pPr>
                </w:p>
              </w:tc>
              <w:tc>
                <w:tcPr>
                  <w:tcW w:w="718" w:type="dxa"/>
                  <w:vMerge w:val="continue"/>
                  <w:vAlign w:val="center"/>
                </w:tcPr>
                <w:p w14:paraId="62F22AA3">
                  <w:pPr>
                    <w:adjustRightInd w:val="0"/>
                    <w:snapToGrid w:val="0"/>
                    <w:jc w:val="center"/>
                    <w:rPr>
                      <w:kern w:val="0"/>
                    </w:rPr>
                  </w:pPr>
                </w:p>
              </w:tc>
              <w:tc>
                <w:tcPr>
                  <w:tcW w:w="2580" w:type="dxa"/>
                  <w:vAlign w:val="center"/>
                </w:tcPr>
                <w:p w14:paraId="7F5A9291">
                  <w:pPr>
                    <w:adjustRightInd w:val="0"/>
                    <w:snapToGrid w:val="0"/>
                    <w:jc w:val="center"/>
                    <w:rPr>
                      <w:kern w:val="0"/>
                    </w:rPr>
                  </w:pPr>
                  <w:r>
                    <w:rPr>
                      <w:spacing w:val="2"/>
                    </w:rPr>
                    <w:t>碳酸根（mg/L）</w:t>
                  </w:r>
                </w:p>
              </w:tc>
              <w:tc>
                <w:tcPr>
                  <w:tcW w:w="2157" w:type="dxa"/>
                  <w:vAlign w:val="center"/>
                </w:tcPr>
                <w:p w14:paraId="50B5BF55">
                  <w:pPr>
                    <w:adjustRightInd w:val="0"/>
                    <w:snapToGrid w:val="0"/>
                    <w:jc w:val="center"/>
                    <w:rPr>
                      <w:kern w:val="0"/>
                    </w:rPr>
                  </w:pPr>
                  <w:r>
                    <w:rPr>
                      <w:rFonts w:hint="eastAsia"/>
                      <w:kern w:val="0"/>
                    </w:rPr>
                    <w:t>＜5</w:t>
                  </w:r>
                </w:p>
              </w:tc>
              <w:tc>
                <w:tcPr>
                  <w:tcW w:w="1435" w:type="dxa"/>
                  <w:tcBorders>
                    <w:top w:val="single" w:color="auto" w:sz="4" w:space="0"/>
                    <w:left w:val="single" w:color="auto" w:sz="4" w:space="0"/>
                    <w:bottom w:val="single" w:color="auto" w:sz="4" w:space="0"/>
                    <w:right w:val="single" w:color="auto" w:sz="4" w:space="0"/>
                  </w:tcBorders>
                  <w:vAlign w:val="center"/>
                </w:tcPr>
                <w:p w14:paraId="677A070E">
                  <w:pPr>
                    <w:adjustRightInd w:val="0"/>
                    <w:snapToGrid w:val="0"/>
                    <w:jc w:val="center"/>
                    <w:rPr>
                      <w:kern w:val="0"/>
                    </w:rPr>
                  </w:pPr>
                  <w:r>
                    <w:rPr>
                      <w:snapToGrid w:val="0"/>
                      <w:kern w:val="0"/>
                      <w:szCs w:val="21"/>
                    </w:rPr>
                    <w:t>/</w:t>
                  </w:r>
                </w:p>
              </w:tc>
              <w:tc>
                <w:tcPr>
                  <w:tcW w:w="891" w:type="dxa"/>
                  <w:vAlign w:val="center"/>
                </w:tcPr>
                <w:p w14:paraId="4F6D827F">
                  <w:pPr>
                    <w:adjustRightInd w:val="0"/>
                    <w:snapToGrid w:val="0"/>
                    <w:jc w:val="center"/>
                    <w:rPr>
                      <w:kern w:val="0"/>
                    </w:rPr>
                  </w:pPr>
                </w:p>
              </w:tc>
            </w:tr>
            <w:tr w14:paraId="0CAE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645EA049">
                  <w:pPr>
                    <w:adjustRightInd w:val="0"/>
                    <w:snapToGrid w:val="0"/>
                    <w:jc w:val="center"/>
                    <w:rPr>
                      <w:kern w:val="0"/>
                    </w:rPr>
                  </w:pPr>
                </w:p>
              </w:tc>
              <w:tc>
                <w:tcPr>
                  <w:tcW w:w="718" w:type="dxa"/>
                  <w:vMerge w:val="continue"/>
                  <w:vAlign w:val="center"/>
                </w:tcPr>
                <w:p w14:paraId="1D37F59A">
                  <w:pPr>
                    <w:adjustRightInd w:val="0"/>
                    <w:snapToGrid w:val="0"/>
                    <w:jc w:val="center"/>
                    <w:rPr>
                      <w:kern w:val="0"/>
                    </w:rPr>
                  </w:pPr>
                </w:p>
              </w:tc>
              <w:tc>
                <w:tcPr>
                  <w:tcW w:w="2580" w:type="dxa"/>
                  <w:vAlign w:val="center"/>
                </w:tcPr>
                <w:p w14:paraId="06D5C9B3">
                  <w:pPr>
                    <w:adjustRightInd w:val="0"/>
                    <w:snapToGrid w:val="0"/>
                    <w:jc w:val="center"/>
                    <w:rPr>
                      <w:spacing w:val="2"/>
                    </w:rPr>
                  </w:pPr>
                  <w:r>
                    <w:rPr>
                      <w:spacing w:val="2"/>
                    </w:rPr>
                    <w:t>碳酸氢根（mg/L）</w:t>
                  </w:r>
                </w:p>
              </w:tc>
              <w:tc>
                <w:tcPr>
                  <w:tcW w:w="2157" w:type="dxa"/>
                  <w:vAlign w:val="center"/>
                </w:tcPr>
                <w:p w14:paraId="52A786B5">
                  <w:pPr>
                    <w:adjustRightInd w:val="0"/>
                    <w:snapToGrid w:val="0"/>
                    <w:jc w:val="center"/>
                    <w:rPr>
                      <w:szCs w:val="21"/>
                    </w:rPr>
                  </w:pPr>
                  <w:r>
                    <w:rPr>
                      <w:rFonts w:hint="eastAsia"/>
                      <w:szCs w:val="21"/>
                    </w:rPr>
                    <w:t>4</w:t>
                  </w:r>
                  <w:r>
                    <w:rPr>
                      <w:szCs w:val="21"/>
                    </w:rPr>
                    <w:t>96</w:t>
                  </w:r>
                </w:p>
              </w:tc>
              <w:tc>
                <w:tcPr>
                  <w:tcW w:w="1435" w:type="dxa"/>
                  <w:tcBorders>
                    <w:top w:val="single" w:color="auto" w:sz="4" w:space="0"/>
                    <w:left w:val="single" w:color="auto" w:sz="4" w:space="0"/>
                    <w:bottom w:val="single" w:color="auto" w:sz="4" w:space="0"/>
                    <w:right w:val="single" w:color="auto" w:sz="4" w:space="0"/>
                  </w:tcBorders>
                  <w:vAlign w:val="center"/>
                </w:tcPr>
                <w:p w14:paraId="7FE7ADCF">
                  <w:pPr>
                    <w:adjustRightInd w:val="0"/>
                    <w:snapToGrid w:val="0"/>
                    <w:jc w:val="center"/>
                    <w:rPr>
                      <w:kern w:val="0"/>
                    </w:rPr>
                  </w:pPr>
                  <w:r>
                    <w:rPr>
                      <w:snapToGrid w:val="0"/>
                      <w:kern w:val="0"/>
                      <w:szCs w:val="21"/>
                    </w:rPr>
                    <w:t>/</w:t>
                  </w:r>
                </w:p>
              </w:tc>
              <w:tc>
                <w:tcPr>
                  <w:tcW w:w="891" w:type="dxa"/>
                  <w:vAlign w:val="center"/>
                </w:tcPr>
                <w:p w14:paraId="7603D927">
                  <w:pPr>
                    <w:adjustRightInd w:val="0"/>
                    <w:snapToGrid w:val="0"/>
                    <w:jc w:val="center"/>
                    <w:rPr>
                      <w:kern w:val="0"/>
                    </w:rPr>
                  </w:pPr>
                </w:p>
              </w:tc>
            </w:tr>
            <w:tr w14:paraId="51AD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24AB2259">
                  <w:pPr>
                    <w:adjustRightInd w:val="0"/>
                    <w:snapToGrid w:val="0"/>
                    <w:jc w:val="center"/>
                    <w:rPr>
                      <w:kern w:val="0"/>
                    </w:rPr>
                  </w:pPr>
                </w:p>
              </w:tc>
              <w:tc>
                <w:tcPr>
                  <w:tcW w:w="718" w:type="dxa"/>
                  <w:vMerge w:val="continue"/>
                  <w:vAlign w:val="center"/>
                </w:tcPr>
                <w:p w14:paraId="5451672E">
                  <w:pPr>
                    <w:adjustRightInd w:val="0"/>
                    <w:snapToGrid w:val="0"/>
                    <w:jc w:val="center"/>
                    <w:rPr>
                      <w:kern w:val="0"/>
                    </w:rPr>
                  </w:pPr>
                </w:p>
              </w:tc>
              <w:tc>
                <w:tcPr>
                  <w:tcW w:w="2580" w:type="dxa"/>
                  <w:vAlign w:val="center"/>
                </w:tcPr>
                <w:p w14:paraId="51F0280D">
                  <w:pPr>
                    <w:adjustRightInd w:val="0"/>
                    <w:snapToGrid w:val="0"/>
                    <w:jc w:val="center"/>
                    <w:rPr>
                      <w:spacing w:val="2"/>
                    </w:rPr>
                  </w:pPr>
                  <w:r>
                    <w:rPr>
                      <w:spacing w:val="2"/>
                    </w:rPr>
                    <w:t>Cl</w:t>
                  </w:r>
                  <w:r>
                    <w:rPr>
                      <w:spacing w:val="2"/>
                      <w:vertAlign w:val="superscript"/>
                    </w:rPr>
                    <w:t>-</w:t>
                  </w:r>
                  <w:r>
                    <w:rPr>
                      <w:spacing w:val="2"/>
                    </w:rPr>
                    <w:t>（mg/L）</w:t>
                  </w:r>
                </w:p>
              </w:tc>
              <w:tc>
                <w:tcPr>
                  <w:tcW w:w="2157" w:type="dxa"/>
                  <w:vAlign w:val="center"/>
                </w:tcPr>
                <w:p w14:paraId="053D5A7C">
                  <w:pPr>
                    <w:adjustRightInd w:val="0"/>
                    <w:snapToGrid w:val="0"/>
                    <w:jc w:val="center"/>
                    <w:rPr>
                      <w:kern w:val="0"/>
                    </w:rPr>
                  </w:pPr>
                  <w:r>
                    <w:rPr>
                      <w:rFonts w:hint="eastAsia"/>
                      <w:kern w:val="0"/>
                    </w:rPr>
                    <w:t>9</w:t>
                  </w:r>
                  <w:r>
                    <w:rPr>
                      <w:kern w:val="0"/>
                    </w:rPr>
                    <w:t>7.9</w:t>
                  </w:r>
                </w:p>
              </w:tc>
              <w:tc>
                <w:tcPr>
                  <w:tcW w:w="1435" w:type="dxa"/>
                  <w:vAlign w:val="center"/>
                </w:tcPr>
                <w:p w14:paraId="1DC4FFC5">
                  <w:pPr>
                    <w:adjustRightInd w:val="0"/>
                    <w:snapToGrid w:val="0"/>
                    <w:jc w:val="center"/>
                    <w:rPr>
                      <w:kern w:val="0"/>
                    </w:rPr>
                  </w:pPr>
                  <w:r>
                    <w:rPr>
                      <w:kern w:val="0"/>
                    </w:rPr>
                    <w:t>/</w:t>
                  </w:r>
                </w:p>
              </w:tc>
              <w:tc>
                <w:tcPr>
                  <w:tcW w:w="891" w:type="dxa"/>
                  <w:vAlign w:val="center"/>
                </w:tcPr>
                <w:p w14:paraId="2994EF4D">
                  <w:pPr>
                    <w:adjustRightInd w:val="0"/>
                    <w:snapToGrid w:val="0"/>
                    <w:jc w:val="center"/>
                    <w:rPr>
                      <w:kern w:val="0"/>
                    </w:rPr>
                  </w:pPr>
                </w:p>
              </w:tc>
            </w:tr>
            <w:tr w14:paraId="7F08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7A0EBE68">
                  <w:pPr>
                    <w:adjustRightInd w:val="0"/>
                    <w:snapToGrid w:val="0"/>
                    <w:jc w:val="center"/>
                    <w:rPr>
                      <w:kern w:val="0"/>
                    </w:rPr>
                  </w:pPr>
                </w:p>
              </w:tc>
              <w:tc>
                <w:tcPr>
                  <w:tcW w:w="718" w:type="dxa"/>
                  <w:vMerge w:val="continue"/>
                  <w:vAlign w:val="center"/>
                </w:tcPr>
                <w:p w14:paraId="22ABA3EE">
                  <w:pPr>
                    <w:adjustRightInd w:val="0"/>
                    <w:snapToGrid w:val="0"/>
                    <w:jc w:val="center"/>
                    <w:rPr>
                      <w:kern w:val="0"/>
                    </w:rPr>
                  </w:pPr>
                </w:p>
              </w:tc>
              <w:tc>
                <w:tcPr>
                  <w:tcW w:w="2580" w:type="dxa"/>
                  <w:vAlign w:val="center"/>
                </w:tcPr>
                <w:p w14:paraId="2DBC9696">
                  <w:pPr>
                    <w:adjustRightInd w:val="0"/>
                    <w:snapToGrid w:val="0"/>
                    <w:jc w:val="center"/>
                    <w:rPr>
                      <w:spacing w:val="2"/>
                    </w:rPr>
                  </w:pPr>
                  <w:r>
                    <w:rPr>
                      <w:spacing w:val="2"/>
                    </w:rPr>
                    <w:t>SO</w:t>
                  </w:r>
                  <w:r>
                    <w:rPr>
                      <w:spacing w:val="2"/>
                      <w:vertAlign w:val="subscript"/>
                    </w:rPr>
                    <w:t>4</w:t>
                  </w:r>
                  <w:r>
                    <w:rPr>
                      <w:spacing w:val="2"/>
                      <w:vertAlign w:val="superscript"/>
                    </w:rPr>
                    <w:t>2-</w:t>
                  </w:r>
                  <w:r>
                    <w:rPr>
                      <w:spacing w:val="2"/>
                    </w:rPr>
                    <w:t>（mg/L）</w:t>
                  </w:r>
                </w:p>
              </w:tc>
              <w:tc>
                <w:tcPr>
                  <w:tcW w:w="2157" w:type="dxa"/>
                  <w:vAlign w:val="center"/>
                </w:tcPr>
                <w:p w14:paraId="36E9CA04">
                  <w:pPr>
                    <w:adjustRightInd w:val="0"/>
                    <w:snapToGrid w:val="0"/>
                    <w:jc w:val="center"/>
                    <w:rPr>
                      <w:kern w:val="0"/>
                    </w:rPr>
                  </w:pPr>
                  <w:r>
                    <w:rPr>
                      <w:rFonts w:hint="eastAsia"/>
                      <w:kern w:val="0"/>
                    </w:rPr>
                    <w:t>1</w:t>
                  </w:r>
                  <w:r>
                    <w:rPr>
                      <w:kern w:val="0"/>
                    </w:rPr>
                    <w:t>08</w:t>
                  </w:r>
                </w:p>
              </w:tc>
              <w:tc>
                <w:tcPr>
                  <w:tcW w:w="1435" w:type="dxa"/>
                  <w:vAlign w:val="center"/>
                </w:tcPr>
                <w:p w14:paraId="41F7C6E8">
                  <w:pPr>
                    <w:adjustRightInd w:val="0"/>
                    <w:snapToGrid w:val="0"/>
                    <w:jc w:val="center"/>
                    <w:rPr>
                      <w:kern w:val="0"/>
                    </w:rPr>
                  </w:pPr>
                  <w:r>
                    <w:rPr>
                      <w:kern w:val="0"/>
                    </w:rPr>
                    <w:t>/</w:t>
                  </w:r>
                </w:p>
              </w:tc>
              <w:tc>
                <w:tcPr>
                  <w:tcW w:w="891" w:type="dxa"/>
                  <w:vAlign w:val="center"/>
                </w:tcPr>
                <w:p w14:paraId="599688BF">
                  <w:pPr>
                    <w:adjustRightInd w:val="0"/>
                    <w:snapToGrid w:val="0"/>
                    <w:jc w:val="center"/>
                    <w:rPr>
                      <w:kern w:val="0"/>
                    </w:rPr>
                  </w:pPr>
                </w:p>
              </w:tc>
            </w:tr>
            <w:tr w14:paraId="7B65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163BD723">
                  <w:pPr>
                    <w:adjustRightInd w:val="0"/>
                    <w:snapToGrid w:val="0"/>
                    <w:jc w:val="center"/>
                    <w:rPr>
                      <w:kern w:val="0"/>
                    </w:rPr>
                  </w:pPr>
                </w:p>
              </w:tc>
              <w:tc>
                <w:tcPr>
                  <w:tcW w:w="718" w:type="dxa"/>
                  <w:vMerge w:val="continue"/>
                  <w:vAlign w:val="center"/>
                </w:tcPr>
                <w:p w14:paraId="10B91716">
                  <w:pPr>
                    <w:adjustRightInd w:val="0"/>
                    <w:snapToGrid w:val="0"/>
                    <w:jc w:val="center"/>
                    <w:rPr>
                      <w:kern w:val="0"/>
                    </w:rPr>
                  </w:pPr>
                </w:p>
              </w:tc>
              <w:tc>
                <w:tcPr>
                  <w:tcW w:w="2580" w:type="dxa"/>
                  <w:vAlign w:val="center"/>
                </w:tcPr>
                <w:p w14:paraId="27B75167">
                  <w:pPr>
                    <w:adjustRightInd w:val="0"/>
                    <w:snapToGrid w:val="0"/>
                    <w:jc w:val="center"/>
                    <w:rPr>
                      <w:spacing w:val="2"/>
                    </w:rPr>
                  </w:pPr>
                  <w:r>
                    <w:rPr>
                      <w:spacing w:val="2"/>
                    </w:rPr>
                    <w:t>氨氮</w:t>
                  </w:r>
                  <w:r>
                    <w:t>（以N计）</w:t>
                  </w:r>
                  <w:r>
                    <w:rPr>
                      <w:spacing w:val="2"/>
                    </w:rPr>
                    <w:t>（mg/L）</w:t>
                  </w:r>
                </w:p>
              </w:tc>
              <w:tc>
                <w:tcPr>
                  <w:tcW w:w="2157" w:type="dxa"/>
                  <w:vAlign w:val="center"/>
                </w:tcPr>
                <w:p w14:paraId="3EBAAEEA">
                  <w:pPr>
                    <w:adjustRightInd w:val="0"/>
                    <w:snapToGrid w:val="0"/>
                    <w:jc w:val="center"/>
                    <w:rPr>
                      <w:kern w:val="0"/>
                    </w:rPr>
                  </w:pPr>
                  <w:r>
                    <w:rPr>
                      <w:rFonts w:hint="eastAsia"/>
                      <w:kern w:val="0"/>
                    </w:rPr>
                    <w:t>0</w:t>
                  </w:r>
                  <w:r>
                    <w:rPr>
                      <w:kern w:val="0"/>
                    </w:rPr>
                    <w:t>.323</w:t>
                  </w:r>
                </w:p>
              </w:tc>
              <w:tc>
                <w:tcPr>
                  <w:tcW w:w="1435" w:type="dxa"/>
                  <w:tcBorders>
                    <w:top w:val="single" w:color="auto" w:sz="4" w:space="0"/>
                    <w:left w:val="single" w:color="auto" w:sz="4" w:space="0"/>
                    <w:bottom w:val="single" w:color="auto" w:sz="4" w:space="0"/>
                    <w:right w:val="single" w:color="auto" w:sz="4" w:space="0"/>
                  </w:tcBorders>
                  <w:vAlign w:val="center"/>
                </w:tcPr>
                <w:p w14:paraId="1AD52053">
                  <w:pPr>
                    <w:adjustRightInd w:val="0"/>
                    <w:snapToGrid w:val="0"/>
                    <w:jc w:val="center"/>
                    <w:rPr>
                      <w:kern w:val="0"/>
                    </w:rPr>
                  </w:pPr>
                  <w:r>
                    <w:rPr>
                      <w:szCs w:val="21"/>
                    </w:rPr>
                    <w:t>≤0.50</w:t>
                  </w:r>
                </w:p>
              </w:tc>
              <w:tc>
                <w:tcPr>
                  <w:tcW w:w="891" w:type="dxa"/>
                  <w:vAlign w:val="center"/>
                </w:tcPr>
                <w:p w14:paraId="7D45D768">
                  <w:pPr>
                    <w:adjustRightInd w:val="0"/>
                    <w:snapToGrid w:val="0"/>
                    <w:jc w:val="center"/>
                    <w:rPr>
                      <w:kern w:val="0"/>
                    </w:rPr>
                  </w:pPr>
                </w:p>
              </w:tc>
            </w:tr>
            <w:tr w14:paraId="7AE9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05C53693">
                  <w:pPr>
                    <w:adjustRightInd w:val="0"/>
                    <w:snapToGrid w:val="0"/>
                    <w:jc w:val="center"/>
                    <w:rPr>
                      <w:kern w:val="0"/>
                    </w:rPr>
                  </w:pPr>
                </w:p>
              </w:tc>
              <w:tc>
                <w:tcPr>
                  <w:tcW w:w="718" w:type="dxa"/>
                  <w:vMerge w:val="continue"/>
                  <w:vAlign w:val="center"/>
                </w:tcPr>
                <w:p w14:paraId="79CB4B17">
                  <w:pPr>
                    <w:adjustRightInd w:val="0"/>
                    <w:snapToGrid w:val="0"/>
                    <w:jc w:val="center"/>
                    <w:rPr>
                      <w:kern w:val="0"/>
                    </w:rPr>
                  </w:pPr>
                </w:p>
              </w:tc>
              <w:tc>
                <w:tcPr>
                  <w:tcW w:w="2580" w:type="dxa"/>
                  <w:vAlign w:val="center"/>
                </w:tcPr>
                <w:p w14:paraId="070C9936">
                  <w:pPr>
                    <w:adjustRightInd w:val="0"/>
                    <w:snapToGrid w:val="0"/>
                    <w:jc w:val="center"/>
                    <w:rPr>
                      <w:spacing w:val="2"/>
                    </w:rPr>
                  </w:pPr>
                  <w:r>
                    <w:rPr>
                      <w:spacing w:val="2"/>
                    </w:rPr>
                    <w:t>硝酸盐氮（mg/L）</w:t>
                  </w:r>
                </w:p>
              </w:tc>
              <w:tc>
                <w:tcPr>
                  <w:tcW w:w="2157" w:type="dxa"/>
                  <w:vAlign w:val="center"/>
                </w:tcPr>
                <w:p w14:paraId="095E56CE">
                  <w:pPr>
                    <w:adjustRightInd w:val="0"/>
                    <w:snapToGrid w:val="0"/>
                    <w:jc w:val="center"/>
                    <w:rPr>
                      <w:kern w:val="0"/>
                    </w:rPr>
                  </w:pPr>
                  <w:r>
                    <w:rPr>
                      <w:kern w:val="0"/>
                    </w:rPr>
                    <w:t>16.5</w:t>
                  </w:r>
                </w:p>
              </w:tc>
              <w:tc>
                <w:tcPr>
                  <w:tcW w:w="1435" w:type="dxa"/>
                  <w:tcBorders>
                    <w:top w:val="single" w:color="auto" w:sz="4" w:space="0"/>
                    <w:left w:val="single" w:color="auto" w:sz="4" w:space="0"/>
                    <w:bottom w:val="single" w:color="auto" w:sz="4" w:space="0"/>
                    <w:right w:val="single" w:color="auto" w:sz="4" w:space="0"/>
                  </w:tcBorders>
                  <w:vAlign w:val="center"/>
                </w:tcPr>
                <w:p w14:paraId="0334DA6E">
                  <w:pPr>
                    <w:adjustRightInd w:val="0"/>
                    <w:snapToGrid w:val="0"/>
                    <w:jc w:val="center"/>
                    <w:rPr>
                      <w:kern w:val="0"/>
                    </w:rPr>
                  </w:pPr>
                  <w:r>
                    <w:rPr>
                      <w:szCs w:val="21"/>
                    </w:rPr>
                    <w:t>≤</w:t>
                  </w:r>
                  <w:r>
                    <w:rPr>
                      <w:snapToGrid w:val="0"/>
                      <w:kern w:val="0"/>
                      <w:szCs w:val="21"/>
                    </w:rPr>
                    <w:t>20.0</w:t>
                  </w:r>
                </w:p>
              </w:tc>
              <w:tc>
                <w:tcPr>
                  <w:tcW w:w="891" w:type="dxa"/>
                  <w:vAlign w:val="center"/>
                </w:tcPr>
                <w:p w14:paraId="1DAC6D47">
                  <w:pPr>
                    <w:adjustRightInd w:val="0"/>
                    <w:snapToGrid w:val="0"/>
                    <w:jc w:val="center"/>
                    <w:rPr>
                      <w:kern w:val="0"/>
                    </w:rPr>
                  </w:pPr>
                </w:p>
              </w:tc>
            </w:tr>
            <w:tr w14:paraId="1BE5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58222F8A">
                  <w:pPr>
                    <w:adjustRightInd w:val="0"/>
                    <w:snapToGrid w:val="0"/>
                    <w:jc w:val="center"/>
                    <w:rPr>
                      <w:kern w:val="0"/>
                    </w:rPr>
                  </w:pPr>
                </w:p>
              </w:tc>
              <w:tc>
                <w:tcPr>
                  <w:tcW w:w="718" w:type="dxa"/>
                  <w:vMerge w:val="continue"/>
                  <w:vAlign w:val="center"/>
                </w:tcPr>
                <w:p w14:paraId="32869B46">
                  <w:pPr>
                    <w:adjustRightInd w:val="0"/>
                    <w:snapToGrid w:val="0"/>
                    <w:jc w:val="center"/>
                    <w:rPr>
                      <w:kern w:val="0"/>
                    </w:rPr>
                  </w:pPr>
                </w:p>
              </w:tc>
              <w:tc>
                <w:tcPr>
                  <w:tcW w:w="2580" w:type="dxa"/>
                  <w:vAlign w:val="center"/>
                </w:tcPr>
                <w:p w14:paraId="70FF939C">
                  <w:pPr>
                    <w:adjustRightInd w:val="0"/>
                    <w:snapToGrid w:val="0"/>
                    <w:jc w:val="center"/>
                    <w:rPr>
                      <w:spacing w:val="2"/>
                    </w:rPr>
                  </w:pPr>
                  <w:r>
                    <w:rPr>
                      <w:spacing w:val="2"/>
                    </w:rPr>
                    <w:t>亚硝酸盐氮（mg/L）</w:t>
                  </w:r>
                </w:p>
              </w:tc>
              <w:tc>
                <w:tcPr>
                  <w:tcW w:w="2157" w:type="dxa"/>
                  <w:vAlign w:val="center"/>
                </w:tcPr>
                <w:p w14:paraId="17CEB6F1">
                  <w:pPr>
                    <w:adjustRightInd w:val="0"/>
                    <w:snapToGrid w:val="0"/>
                    <w:jc w:val="center"/>
                    <w:rPr>
                      <w:kern w:val="0"/>
                    </w:rPr>
                  </w:pPr>
                  <w:r>
                    <w:rPr>
                      <w:rFonts w:hint="eastAsia"/>
                      <w:kern w:val="0"/>
                    </w:rPr>
                    <w:t>0</w:t>
                  </w:r>
                  <w:r>
                    <w:rPr>
                      <w:kern w:val="0"/>
                    </w:rPr>
                    <w:t>.013</w:t>
                  </w:r>
                </w:p>
              </w:tc>
              <w:tc>
                <w:tcPr>
                  <w:tcW w:w="1435" w:type="dxa"/>
                  <w:vAlign w:val="center"/>
                </w:tcPr>
                <w:p w14:paraId="704D0B59">
                  <w:pPr>
                    <w:adjustRightInd w:val="0"/>
                    <w:snapToGrid w:val="0"/>
                    <w:jc w:val="center"/>
                    <w:rPr>
                      <w:kern w:val="0"/>
                    </w:rPr>
                  </w:pPr>
                  <w:r>
                    <w:rPr>
                      <w:kern w:val="0"/>
                    </w:rPr>
                    <w:t>≤1.00</w:t>
                  </w:r>
                </w:p>
              </w:tc>
              <w:tc>
                <w:tcPr>
                  <w:tcW w:w="891" w:type="dxa"/>
                  <w:vAlign w:val="center"/>
                </w:tcPr>
                <w:p w14:paraId="56B94054">
                  <w:pPr>
                    <w:adjustRightInd w:val="0"/>
                    <w:snapToGrid w:val="0"/>
                    <w:jc w:val="center"/>
                    <w:rPr>
                      <w:kern w:val="0"/>
                    </w:rPr>
                  </w:pPr>
                </w:p>
              </w:tc>
            </w:tr>
            <w:tr w14:paraId="2BFA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57DECB62">
                  <w:pPr>
                    <w:adjustRightInd w:val="0"/>
                    <w:snapToGrid w:val="0"/>
                    <w:jc w:val="center"/>
                    <w:rPr>
                      <w:kern w:val="0"/>
                    </w:rPr>
                  </w:pPr>
                </w:p>
              </w:tc>
              <w:tc>
                <w:tcPr>
                  <w:tcW w:w="718" w:type="dxa"/>
                  <w:vMerge w:val="continue"/>
                  <w:vAlign w:val="center"/>
                </w:tcPr>
                <w:p w14:paraId="192D45E5">
                  <w:pPr>
                    <w:adjustRightInd w:val="0"/>
                    <w:snapToGrid w:val="0"/>
                    <w:jc w:val="center"/>
                    <w:rPr>
                      <w:kern w:val="0"/>
                    </w:rPr>
                  </w:pPr>
                </w:p>
              </w:tc>
              <w:tc>
                <w:tcPr>
                  <w:tcW w:w="2580" w:type="dxa"/>
                  <w:vAlign w:val="center"/>
                </w:tcPr>
                <w:p w14:paraId="78DF2D1E">
                  <w:pPr>
                    <w:adjustRightInd w:val="0"/>
                    <w:snapToGrid w:val="0"/>
                    <w:jc w:val="center"/>
                    <w:rPr>
                      <w:spacing w:val="2"/>
                    </w:rPr>
                  </w:pPr>
                  <w:r>
                    <w:rPr>
                      <w:spacing w:val="2"/>
                    </w:rPr>
                    <w:t>挥发酚（mg/L）</w:t>
                  </w:r>
                </w:p>
              </w:tc>
              <w:tc>
                <w:tcPr>
                  <w:tcW w:w="2157" w:type="dxa"/>
                  <w:vAlign w:val="center"/>
                </w:tcPr>
                <w:p w14:paraId="24D2CA51">
                  <w:pPr>
                    <w:adjustRightInd w:val="0"/>
                    <w:snapToGrid w:val="0"/>
                    <w:jc w:val="center"/>
                    <w:rPr>
                      <w:kern w:val="0"/>
                    </w:rPr>
                  </w:pPr>
                  <w:r>
                    <w:rPr>
                      <w:rFonts w:hint="eastAsia"/>
                      <w:kern w:val="0"/>
                    </w:rPr>
                    <w:t>＜0</w:t>
                  </w:r>
                  <w:r>
                    <w:rPr>
                      <w:kern w:val="0"/>
                    </w:rPr>
                    <w:t>.0003</w:t>
                  </w:r>
                </w:p>
              </w:tc>
              <w:tc>
                <w:tcPr>
                  <w:tcW w:w="1435" w:type="dxa"/>
                  <w:vAlign w:val="center"/>
                </w:tcPr>
                <w:p w14:paraId="45A846FD">
                  <w:pPr>
                    <w:adjustRightInd w:val="0"/>
                    <w:snapToGrid w:val="0"/>
                    <w:jc w:val="center"/>
                    <w:rPr>
                      <w:kern w:val="0"/>
                    </w:rPr>
                  </w:pPr>
                  <w:r>
                    <w:rPr>
                      <w:kern w:val="0"/>
                    </w:rPr>
                    <w:t>≤0.002</w:t>
                  </w:r>
                </w:p>
              </w:tc>
              <w:tc>
                <w:tcPr>
                  <w:tcW w:w="891" w:type="dxa"/>
                  <w:vAlign w:val="center"/>
                </w:tcPr>
                <w:p w14:paraId="63B82F46">
                  <w:pPr>
                    <w:adjustRightInd w:val="0"/>
                    <w:snapToGrid w:val="0"/>
                    <w:jc w:val="center"/>
                    <w:rPr>
                      <w:kern w:val="0"/>
                    </w:rPr>
                  </w:pPr>
                </w:p>
              </w:tc>
            </w:tr>
            <w:tr w14:paraId="76A2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455AB63B">
                  <w:pPr>
                    <w:adjustRightInd w:val="0"/>
                    <w:snapToGrid w:val="0"/>
                    <w:jc w:val="center"/>
                    <w:rPr>
                      <w:kern w:val="0"/>
                    </w:rPr>
                  </w:pPr>
                </w:p>
              </w:tc>
              <w:tc>
                <w:tcPr>
                  <w:tcW w:w="718" w:type="dxa"/>
                  <w:vMerge w:val="continue"/>
                  <w:vAlign w:val="center"/>
                </w:tcPr>
                <w:p w14:paraId="440DDDA9">
                  <w:pPr>
                    <w:adjustRightInd w:val="0"/>
                    <w:snapToGrid w:val="0"/>
                    <w:jc w:val="center"/>
                    <w:rPr>
                      <w:kern w:val="0"/>
                    </w:rPr>
                  </w:pPr>
                </w:p>
              </w:tc>
              <w:tc>
                <w:tcPr>
                  <w:tcW w:w="2580" w:type="dxa"/>
                  <w:vAlign w:val="center"/>
                </w:tcPr>
                <w:p w14:paraId="62FD6945">
                  <w:pPr>
                    <w:adjustRightInd w:val="0"/>
                    <w:snapToGrid w:val="0"/>
                    <w:jc w:val="center"/>
                    <w:rPr>
                      <w:spacing w:val="2"/>
                    </w:rPr>
                  </w:pPr>
                  <w:r>
                    <w:rPr>
                      <w:szCs w:val="21"/>
                    </w:rPr>
                    <w:t>氰化物</w:t>
                  </w:r>
                  <w:r>
                    <w:rPr>
                      <w:spacing w:val="2"/>
                    </w:rPr>
                    <w:t>（mg/L）</w:t>
                  </w:r>
                </w:p>
              </w:tc>
              <w:tc>
                <w:tcPr>
                  <w:tcW w:w="2157" w:type="dxa"/>
                  <w:vAlign w:val="center"/>
                </w:tcPr>
                <w:p w14:paraId="2EBC63D8">
                  <w:pPr>
                    <w:adjustRightInd w:val="0"/>
                    <w:snapToGrid w:val="0"/>
                    <w:jc w:val="center"/>
                    <w:rPr>
                      <w:kern w:val="0"/>
                    </w:rPr>
                  </w:pPr>
                  <w:r>
                    <w:rPr>
                      <w:rFonts w:hint="eastAsia"/>
                      <w:kern w:val="0"/>
                    </w:rPr>
                    <w:t>＜0</w:t>
                  </w:r>
                  <w:r>
                    <w:rPr>
                      <w:kern w:val="0"/>
                    </w:rPr>
                    <w:t>.002</w:t>
                  </w:r>
                </w:p>
              </w:tc>
              <w:tc>
                <w:tcPr>
                  <w:tcW w:w="1435" w:type="dxa"/>
                  <w:vAlign w:val="center"/>
                </w:tcPr>
                <w:p w14:paraId="0C4F1EE7">
                  <w:pPr>
                    <w:adjustRightInd w:val="0"/>
                    <w:snapToGrid w:val="0"/>
                    <w:jc w:val="center"/>
                    <w:rPr>
                      <w:kern w:val="0"/>
                    </w:rPr>
                  </w:pPr>
                  <w:r>
                    <w:rPr>
                      <w:kern w:val="0"/>
                    </w:rPr>
                    <w:t>≤0.05</w:t>
                  </w:r>
                </w:p>
              </w:tc>
              <w:tc>
                <w:tcPr>
                  <w:tcW w:w="891" w:type="dxa"/>
                  <w:vAlign w:val="center"/>
                </w:tcPr>
                <w:p w14:paraId="526137B1">
                  <w:pPr>
                    <w:adjustRightInd w:val="0"/>
                    <w:snapToGrid w:val="0"/>
                    <w:jc w:val="center"/>
                    <w:rPr>
                      <w:kern w:val="0"/>
                    </w:rPr>
                  </w:pPr>
                </w:p>
              </w:tc>
            </w:tr>
            <w:tr w14:paraId="6AE2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508343BD">
                  <w:pPr>
                    <w:adjustRightInd w:val="0"/>
                    <w:snapToGrid w:val="0"/>
                    <w:jc w:val="center"/>
                    <w:rPr>
                      <w:kern w:val="0"/>
                    </w:rPr>
                  </w:pPr>
                </w:p>
              </w:tc>
              <w:tc>
                <w:tcPr>
                  <w:tcW w:w="718" w:type="dxa"/>
                  <w:vMerge w:val="continue"/>
                  <w:vAlign w:val="center"/>
                </w:tcPr>
                <w:p w14:paraId="56CA7975">
                  <w:pPr>
                    <w:adjustRightInd w:val="0"/>
                    <w:snapToGrid w:val="0"/>
                    <w:jc w:val="center"/>
                    <w:rPr>
                      <w:kern w:val="0"/>
                    </w:rPr>
                  </w:pPr>
                </w:p>
              </w:tc>
              <w:tc>
                <w:tcPr>
                  <w:tcW w:w="2580" w:type="dxa"/>
                  <w:vAlign w:val="center"/>
                </w:tcPr>
                <w:p w14:paraId="30A26881">
                  <w:pPr>
                    <w:adjustRightInd w:val="0"/>
                    <w:snapToGrid w:val="0"/>
                    <w:jc w:val="center"/>
                    <w:rPr>
                      <w:spacing w:val="2"/>
                    </w:rPr>
                  </w:pPr>
                  <w:r>
                    <w:rPr>
                      <w:szCs w:val="21"/>
                    </w:rPr>
                    <w:t>砷（μg/L）</w:t>
                  </w:r>
                </w:p>
              </w:tc>
              <w:tc>
                <w:tcPr>
                  <w:tcW w:w="2157" w:type="dxa"/>
                  <w:vAlign w:val="center"/>
                </w:tcPr>
                <w:p w14:paraId="618FDF06">
                  <w:pPr>
                    <w:adjustRightInd w:val="0"/>
                    <w:snapToGrid w:val="0"/>
                    <w:jc w:val="center"/>
                    <w:rPr>
                      <w:kern w:val="0"/>
                    </w:rPr>
                  </w:pPr>
                  <w:r>
                    <w:rPr>
                      <w:rFonts w:hint="eastAsia"/>
                      <w:kern w:val="0"/>
                    </w:rPr>
                    <w:t>0</w:t>
                  </w:r>
                  <w:r>
                    <w:rPr>
                      <w:kern w:val="0"/>
                    </w:rPr>
                    <w:t>.3</w:t>
                  </w:r>
                </w:p>
              </w:tc>
              <w:tc>
                <w:tcPr>
                  <w:tcW w:w="1435" w:type="dxa"/>
                  <w:vAlign w:val="center"/>
                </w:tcPr>
                <w:p w14:paraId="676BD1ED">
                  <w:pPr>
                    <w:adjustRightInd w:val="0"/>
                    <w:snapToGrid w:val="0"/>
                    <w:jc w:val="center"/>
                    <w:rPr>
                      <w:kern w:val="0"/>
                    </w:rPr>
                  </w:pPr>
                  <w:r>
                    <w:rPr>
                      <w:kern w:val="0"/>
                    </w:rPr>
                    <w:t>≤10</w:t>
                  </w:r>
                </w:p>
              </w:tc>
              <w:tc>
                <w:tcPr>
                  <w:tcW w:w="891" w:type="dxa"/>
                  <w:vAlign w:val="center"/>
                </w:tcPr>
                <w:p w14:paraId="2E616EC1">
                  <w:pPr>
                    <w:adjustRightInd w:val="0"/>
                    <w:snapToGrid w:val="0"/>
                    <w:jc w:val="center"/>
                    <w:rPr>
                      <w:kern w:val="0"/>
                    </w:rPr>
                  </w:pPr>
                </w:p>
              </w:tc>
            </w:tr>
            <w:tr w14:paraId="1A59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15154B0D">
                  <w:pPr>
                    <w:adjustRightInd w:val="0"/>
                    <w:snapToGrid w:val="0"/>
                    <w:jc w:val="center"/>
                    <w:rPr>
                      <w:kern w:val="0"/>
                    </w:rPr>
                  </w:pPr>
                </w:p>
              </w:tc>
              <w:tc>
                <w:tcPr>
                  <w:tcW w:w="718" w:type="dxa"/>
                  <w:vMerge w:val="continue"/>
                  <w:vAlign w:val="center"/>
                </w:tcPr>
                <w:p w14:paraId="6CECF348">
                  <w:pPr>
                    <w:adjustRightInd w:val="0"/>
                    <w:snapToGrid w:val="0"/>
                    <w:jc w:val="center"/>
                    <w:rPr>
                      <w:kern w:val="0"/>
                    </w:rPr>
                  </w:pPr>
                </w:p>
              </w:tc>
              <w:tc>
                <w:tcPr>
                  <w:tcW w:w="2580" w:type="dxa"/>
                  <w:vAlign w:val="center"/>
                </w:tcPr>
                <w:p w14:paraId="593E0EE2">
                  <w:pPr>
                    <w:adjustRightInd w:val="0"/>
                    <w:snapToGrid w:val="0"/>
                    <w:jc w:val="center"/>
                    <w:rPr>
                      <w:spacing w:val="2"/>
                    </w:rPr>
                  </w:pPr>
                  <w:r>
                    <w:rPr>
                      <w:szCs w:val="21"/>
                    </w:rPr>
                    <w:t>汞（μg/L）</w:t>
                  </w:r>
                </w:p>
              </w:tc>
              <w:tc>
                <w:tcPr>
                  <w:tcW w:w="2157" w:type="dxa"/>
                  <w:vAlign w:val="center"/>
                </w:tcPr>
                <w:p w14:paraId="3CCDEC83">
                  <w:pPr>
                    <w:adjustRightInd w:val="0"/>
                    <w:snapToGrid w:val="0"/>
                    <w:jc w:val="center"/>
                    <w:rPr>
                      <w:kern w:val="0"/>
                    </w:rPr>
                  </w:pPr>
                  <w:r>
                    <w:rPr>
                      <w:rFonts w:hint="eastAsia"/>
                      <w:kern w:val="0"/>
                    </w:rPr>
                    <w:t>0</w:t>
                  </w:r>
                  <w:r>
                    <w:rPr>
                      <w:kern w:val="0"/>
                    </w:rPr>
                    <w:t>.04</w:t>
                  </w:r>
                </w:p>
              </w:tc>
              <w:tc>
                <w:tcPr>
                  <w:tcW w:w="1435" w:type="dxa"/>
                  <w:vAlign w:val="center"/>
                </w:tcPr>
                <w:p w14:paraId="42F73375">
                  <w:pPr>
                    <w:adjustRightInd w:val="0"/>
                    <w:snapToGrid w:val="0"/>
                    <w:jc w:val="center"/>
                    <w:rPr>
                      <w:kern w:val="0"/>
                    </w:rPr>
                  </w:pPr>
                  <w:r>
                    <w:rPr>
                      <w:kern w:val="0"/>
                    </w:rPr>
                    <w:t>≤1</w:t>
                  </w:r>
                </w:p>
              </w:tc>
              <w:tc>
                <w:tcPr>
                  <w:tcW w:w="891" w:type="dxa"/>
                  <w:vAlign w:val="center"/>
                </w:tcPr>
                <w:p w14:paraId="207DEF7D">
                  <w:pPr>
                    <w:adjustRightInd w:val="0"/>
                    <w:snapToGrid w:val="0"/>
                    <w:jc w:val="center"/>
                    <w:rPr>
                      <w:kern w:val="0"/>
                    </w:rPr>
                  </w:pPr>
                </w:p>
              </w:tc>
            </w:tr>
            <w:tr w14:paraId="3CB8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712CA600">
                  <w:pPr>
                    <w:adjustRightInd w:val="0"/>
                    <w:snapToGrid w:val="0"/>
                    <w:jc w:val="center"/>
                    <w:rPr>
                      <w:kern w:val="0"/>
                    </w:rPr>
                  </w:pPr>
                </w:p>
              </w:tc>
              <w:tc>
                <w:tcPr>
                  <w:tcW w:w="718" w:type="dxa"/>
                  <w:vMerge w:val="continue"/>
                  <w:vAlign w:val="center"/>
                </w:tcPr>
                <w:p w14:paraId="58E93AF2">
                  <w:pPr>
                    <w:adjustRightInd w:val="0"/>
                    <w:snapToGrid w:val="0"/>
                    <w:jc w:val="center"/>
                    <w:rPr>
                      <w:kern w:val="0"/>
                    </w:rPr>
                  </w:pPr>
                </w:p>
              </w:tc>
              <w:tc>
                <w:tcPr>
                  <w:tcW w:w="2580" w:type="dxa"/>
                  <w:vAlign w:val="center"/>
                </w:tcPr>
                <w:p w14:paraId="068733F4">
                  <w:pPr>
                    <w:adjustRightInd w:val="0"/>
                    <w:snapToGrid w:val="0"/>
                    <w:jc w:val="center"/>
                    <w:rPr>
                      <w:spacing w:val="2"/>
                    </w:rPr>
                  </w:pPr>
                  <w:r>
                    <w:rPr>
                      <w:szCs w:val="21"/>
                    </w:rPr>
                    <w:t>六价铬</w:t>
                  </w:r>
                  <w:r>
                    <w:rPr>
                      <w:spacing w:val="2"/>
                    </w:rPr>
                    <w:t>（mg/L）</w:t>
                  </w:r>
                </w:p>
              </w:tc>
              <w:tc>
                <w:tcPr>
                  <w:tcW w:w="2157" w:type="dxa"/>
                  <w:vAlign w:val="center"/>
                </w:tcPr>
                <w:p w14:paraId="0BE0C98C">
                  <w:pPr>
                    <w:adjustRightInd w:val="0"/>
                    <w:snapToGrid w:val="0"/>
                    <w:jc w:val="center"/>
                    <w:rPr>
                      <w:kern w:val="0"/>
                    </w:rPr>
                  </w:pPr>
                  <w:r>
                    <w:rPr>
                      <w:rFonts w:hint="eastAsia"/>
                      <w:kern w:val="0"/>
                    </w:rPr>
                    <w:t>0</w:t>
                  </w:r>
                  <w:r>
                    <w:rPr>
                      <w:kern w:val="0"/>
                    </w:rPr>
                    <w:t>.004</w:t>
                  </w:r>
                </w:p>
              </w:tc>
              <w:tc>
                <w:tcPr>
                  <w:tcW w:w="1435" w:type="dxa"/>
                  <w:vAlign w:val="center"/>
                </w:tcPr>
                <w:p w14:paraId="49A0B249">
                  <w:pPr>
                    <w:adjustRightInd w:val="0"/>
                    <w:snapToGrid w:val="0"/>
                    <w:jc w:val="center"/>
                    <w:rPr>
                      <w:kern w:val="0"/>
                    </w:rPr>
                  </w:pPr>
                  <w:r>
                    <w:rPr>
                      <w:kern w:val="0"/>
                    </w:rPr>
                    <w:t>≤0.05</w:t>
                  </w:r>
                </w:p>
              </w:tc>
              <w:tc>
                <w:tcPr>
                  <w:tcW w:w="891" w:type="dxa"/>
                  <w:vAlign w:val="center"/>
                </w:tcPr>
                <w:p w14:paraId="34E47DBA">
                  <w:pPr>
                    <w:adjustRightInd w:val="0"/>
                    <w:snapToGrid w:val="0"/>
                    <w:jc w:val="center"/>
                    <w:rPr>
                      <w:kern w:val="0"/>
                    </w:rPr>
                  </w:pPr>
                </w:p>
              </w:tc>
            </w:tr>
            <w:tr w14:paraId="77DE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7C218970">
                  <w:pPr>
                    <w:adjustRightInd w:val="0"/>
                    <w:snapToGrid w:val="0"/>
                    <w:jc w:val="center"/>
                    <w:rPr>
                      <w:kern w:val="0"/>
                    </w:rPr>
                  </w:pPr>
                </w:p>
              </w:tc>
              <w:tc>
                <w:tcPr>
                  <w:tcW w:w="718" w:type="dxa"/>
                  <w:vMerge w:val="continue"/>
                  <w:vAlign w:val="center"/>
                </w:tcPr>
                <w:p w14:paraId="2DA28ABF">
                  <w:pPr>
                    <w:adjustRightInd w:val="0"/>
                    <w:snapToGrid w:val="0"/>
                    <w:jc w:val="center"/>
                    <w:rPr>
                      <w:kern w:val="0"/>
                    </w:rPr>
                  </w:pPr>
                </w:p>
              </w:tc>
              <w:tc>
                <w:tcPr>
                  <w:tcW w:w="2580" w:type="dxa"/>
                  <w:vAlign w:val="center"/>
                </w:tcPr>
                <w:p w14:paraId="4FB17B02">
                  <w:pPr>
                    <w:adjustRightInd w:val="0"/>
                    <w:snapToGrid w:val="0"/>
                    <w:jc w:val="center"/>
                    <w:rPr>
                      <w:spacing w:val="2"/>
                    </w:rPr>
                  </w:pPr>
                  <w:r>
                    <w:rPr>
                      <w:szCs w:val="21"/>
                    </w:rPr>
                    <w:t>总硬度</w:t>
                  </w:r>
                  <w:r>
                    <w:rPr>
                      <w:spacing w:val="2"/>
                    </w:rPr>
                    <w:t>（mg/L）</w:t>
                  </w:r>
                </w:p>
              </w:tc>
              <w:tc>
                <w:tcPr>
                  <w:tcW w:w="2157" w:type="dxa"/>
                  <w:vAlign w:val="center"/>
                </w:tcPr>
                <w:p w14:paraId="66C8C95A">
                  <w:pPr>
                    <w:adjustRightInd w:val="0"/>
                    <w:snapToGrid w:val="0"/>
                    <w:jc w:val="center"/>
                    <w:rPr>
                      <w:kern w:val="0"/>
                    </w:rPr>
                  </w:pPr>
                  <w:r>
                    <w:rPr>
                      <w:rFonts w:hint="eastAsia"/>
                      <w:kern w:val="0"/>
                    </w:rPr>
                    <w:t>7</w:t>
                  </w:r>
                  <w:r>
                    <w:rPr>
                      <w:kern w:val="0"/>
                    </w:rPr>
                    <w:t>49</w:t>
                  </w:r>
                </w:p>
              </w:tc>
              <w:tc>
                <w:tcPr>
                  <w:tcW w:w="1435" w:type="dxa"/>
                  <w:vAlign w:val="center"/>
                </w:tcPr>
                <w:p w14:paraId="3FE1626E">
                  <w:pPr>
                    <w:adjustRightInd w:val="0"/>
                    <w:snapToGrid w:val="0"/>
                    <w:jc w:val="center"/>
                    <w:rPr>
                      <w:kern w:val="0"/>
                    </w:rPr>
                  </w:pPr>
                  <w:r>
                    <w:rPr>
                      <w:kern w:val="0"/>
                    </w:rPr>
                    <w:t>≤450</w:t>
                  </w:r>
                </w:p>
              </w:tc>
              <w:tc>
                <w:tcPr>
                  <w:tcW w:w="891" w:type="dxa"/>
                  <w:vAlign w:val="center"/>
                </w:tcPr>
                <w:p w14:paraId="4489DC8B">
                  <w:pPr>
                    <w:adjustRightInd w:val="0"/>
                    <w:snapToGrid w:val="0"/>
                    <w:jc w:val="center"/>
                    <w:rPr>
                      <w:kern w:val="0"/>
                    </w:rPr>
                  </w:pPr>
                </w:p>
              </w:tc>
            </w:tr>
            <w:tr w14:paraId="2721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326EDFEE">
                  <w:pPr>
                    <w:adjustRightInd w:val="0"/>
                    <w:snapToGrid w:val="0"/>
                    <w:jc w:val="center"/>
                    <w:rPr>
                      <w:kern w:val="0"/>
                    </w:rPr>
                  </w:pPr>
                </w:p>
              </w:tc>
              <w:tc>
                <w:tcPr>
                  <w:tcW w:w="718" w:type="dxa"/>
                  <w:vMerge w:val="continue"/>
                  <w:vAlign w:val="center"/>
                </w:tcPr>
                <w:p w14:paraId="62918E7E">
                  <w:pPr>
                    <w:adjustRightInd w:val="0"/>
                    <w:snapToGrid w:val="0"/>
                    <w:jc w:val="center"/>
                    <w:rPr>
                      <w:kern w:val="0"/>
                    </w:rPr>
                  </w:pPr>
                </w:p>
              </w:tc>
              <w:tc>
                <w:tcPr>
                  <w:tcW w:w="2580" w:type="dxa"/>
                  <w:vAlign w:val="center"/>
                </w:tcPr>
                <w:p w14:paraId="05145A3C">
                  <w:pPr>
                    <w:adjustRightInd w:val="0"/>
                    <w:snapToGrid w:val="0"/>
                    <w:jc w:val="center"/>
                    <w:rPr>
                      <w:spacing w:val="2"/>
                    </w:rPr>
                  </w:pPr>
                  <w:r>
                    <w:rPr>
                      <w:szCs w:val="21"/>
                    </w:rPr>
                    <w:t>铅（μg/L）</w:t>
                  </w:r>
                </w:p>
              </w:tc>
              <w:tc>
                <w:tcPr>
                  <w:tcW w:w="2157" w:type="dxa"/>
                  <w:vAlign w:val="center"/>
                </w:tcPr>
                <w:p w14:paraId="78D656D5">
                  <w:pPr>
                    <w:adjustRightInd w:val="0"/>
                    <w:snapToGrid w:val="0"/>
                    <w:jc w:val="center"/>
                    <w:rPr>
                      <w:kern w:val="0"/>
                    </w:rPr>
                  </w:pPr>
                  <w:r>
                    <w:rPr>
                      <w:rFonts w:hint="eastAsia"/>
                      <w:kern w:val="0"/>
                    </w:rPr>
                    <w:t>＜</w:t>
                  </w:r>
                  <w:r>
                    <w:rPr>
                      <w:kern w:val="0"/>
                    </w:rPr>
                    <w:t>0.0001</w:t>
                  </w:r>
                </w:p>
              </w:tc>
              <w:tc>
                <w:tcPr>
                  <w:tcW w:w="1435" w:type="dxa"/>
                  <w:vAlign w:val="center"/>
                </w:tcPr>
                <w:p w14:paraId="51CE1B92">
                  <w:pPr>
                    <w:adjustRightInd w:val="0"/>
                    <w:snapToGrid w:val="0"/>
                    <w:jc w:val="center"/>
                    <w:rPr>
                      <w:kern w:val="0"/>
                    </w:rPr>
                  </w:pPr>
                  <w:r>
                    <w:rPr>
                      <w:kern w:val="0"/>
                    </w:rPr>
                    <w:t>≤10</w:t>
                  </w:r>
                </w:p>
              </w:tc>
              <w:tc>
                <w:tcPr>
                  <w:tcW w:w="891" w:type="dxa"/>
                  <w:vAlign w:val="center"/>
                </w:tcPr>
                <w:p w14:paraId="6B0482FB">
                  <w:pPr>
                    <w:adjustRightInd w:val="0"/>
                    <w:snapToGrid w:val="0"/>
                    <w:jc w:val="center"/>
                    <w:rPr>
                      <w:kern w:val="0"/>
                    </w:rPr>
                  </w:pPr>
                </w:p>
              </w:tc>
            </w:tr>
            <w:tr w14:paraId="7687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58C0DDBE">
                  <w:pPr>
                    <w:adjustRightInd w:val="0"/>
                    <w:snapToGrid w:val="0"/>
                    <w:jc w:val="center"/>
                    <w:rPr>
                      <w:kern w:val="0"/>
                    </w:rPr>
                  </w:pPr>
                </w:p>
              </w:tc>
              <w:tc>
                <w:tcPr>
                  <w:tcW w:w="718" w:type="dxa"/>
                  <w:vMerge w:val="continue"/>
                  <w:vAlign w:val="center"/>
                </w:tcPr>
                <w:p w14:paraId="7A07A214">
                  <w:pPr>
                    <w:adjustRightInd w:val="0"/>
                    <w:snapToGrid w:val="0"/>
                    <w:jc w:val="center"/>
                    <w:rPr>
                      <w:kern w:val="0"/>
                    </w:rPr>
                  </w:pPr>
                </w:p>
              </w:tc>
              <w:tc>
                <w:tcPr>
                  <w:tcW w:w="2580" w:type="dxa"/>
                  <w:vAlign w:val="center"/>
                </w:tcPr>
                <w:p w14:paraId="11E1D43A">
                  <w:pPr>
                    <w:adjustRightInd w:val="0"/>
                    <w:snapToGrid w:val="0"/>
                    <w:jc w:val="center"/>
                    <w:rPr>
                      <w:spacing w:val="2"/>
                    </w:rPr>
                  </w:pPr>
                  <w:r>
                    <w:rPr>
                      <w:szCs w:val="21"/>
                    </w:rPr>
                    <w:t>氟化物</w:t>
                  </w:r>
                  <w:r>
                    <w:rPr>
                      <w:spacing w:val="2"/>
                    </w:rPr>
                    <w:t>（mg/L）</w:t>
                  </w:r>
                </w:p>
              </w:tc>
              <w:tc>
                <w:tcPr>
                  <w:tcW w:w="2157" w:type="dxa"/>
                  <w:vAlign w:val="center"/>
                </w:tcPr>
                <w:p w14:paraId="1F976B65">
                  <w:pPr>
                    <w:adjustRightInd w:val="0"/>
                    <w:snapToGrid w:val="0"/>
                    <w:jc w:val="center"/>
                    <w:rPr>
                      <w:kern w:val="0"/>
                    </w:rPr>
                  </w:pPr>
                  <w:r>
                    <w:rPr>
                      <w:rFonts w:hint="eastAsia"/>
                      <w:kern w:val="0"/>
                    </w:rPr>
                    <w:t>0</w:t>
                  </w:r>
                  <w:r>
                    <w:rPr>
                      <w:kern w:val="0"/>
                    </w:rPr>
                    <w:t>.64</w:t>
                  </w:r>
                </w:p>
              </w:tc>
              <w:tc>
                <w:tcPr>
                  <w:tcW w:w="1435" w:type="dxa"/>
                  <w:vAlign w:val="center"/>
                </w:tcPr>
                <w:p w14:paraId="0EFFCF9F">
                  <w:pPr>
                    <w:adjustRightInd w:val="0"/>
                    <w:snapToGrid w:val="0"/>
                    <w:jc w:val="center"/>
                    <w:rPr>
                      <w:kern w:val="0"/>
                    </w:rPr>
                  </w:pPr>
                  <w:r>
                    <w:rPr>
                      <w:kern w:val="0"/>
                    </w:rPr>
                    <w:t>≤1.0</w:t>
                  </w:r>
                </w:p>
              </w:tc>
              <w:tc>
                <w:tcPr>
                  <w:tcW w:w="891" w:type="dxa"/>
                  <w:vAlign w:val="center"/>
                </w:tcPr>
                <w:p w14:paraId="06CCB6A5">
                  <w:pPr>
                    <w:adjustRightInd w:val="0"/>
                    <w:snapToGrid w:val="0"/>
                    <w:jc w:val="center"/>
                    <w:rPr>
                      <w:kern w:val="0"/>
                    </w:rPr>
                  </w:pPr>
                </w:p>
              </w:tc>
            </w:tr>
            <w:tr w14:paraId="3968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4960F504">
                  <w:pPr>
                    <w:adjustRightInd w:val="0"/>
                    <w:snapToGrid w:val="0"/>
                    <w:jc w:val="center"/>
                    <w:rPr>
                      <w:kern w:val="0"/>
                    </w:rPr>
                  </w:pPr>
                </w:p>
              </w:tc>
              <w:tc>
                <w:tcPr>
                  <w:tcW w:w="718" w:type="dxa"/>
                  <w:vMerge w:val="continue"/>
                  <w:vAlign w:val="center"/>
                </w:tcPr>
                <w:p w14:paraId="27A47D23">
                  <w:pPr>
                    <w:adjustRightInd w:val="0"/>
                    <w:snapToGrid w:val="0"/>
                    <w:jc w:val="center"/>
                    <w:rPr>
                      <w:kern w:val="0"/>
                    </w:rPr>
                  </w:pPr>
                </w:p>
              </w:tc>
              <w:tc>
                <w:tcPr>
                  <w:tcW w:w="2580" w:type="dxa"/>
                  <w:vAlign w:val="center"/>
                </w:tcPr>
                <w:p w14:paraId="6C6163A8">
                  <w:pPr>
                    <w:adjustRightInd w:val="0"/>
                    <w:snapToGrid w:val="0"/>
                    <w:jc w:val="center"/>
                    <w:rPr>
                      <w:spacing w:val="2"/>
                    </w:rPr>
                  </w:pPr>
                  <w:r>
                    <w:rPr>
                      <w:szCs w:val="21"/>
                    </w:rPr>
                    <w:t>镉（μg/L）</w:t>
                  </w:r>
                </w:p>
              </w:tc>
              <w:tc>
                <w:tcPr>
                  <w:tcW w:w="2157" w:type="dxa"/>
                  <w:vAlign w:val="center"/>
                </w:tcPr>
                <w:p w14:paraId="6F3909DB">
                  <w:pPr>
                    <w:adjustRightInd w:val="0"/>
                    <w:snapToGrid w:val="0"/>
                    <w:jc w:val="center"/>
                    <w:rPr>
                      <w:kern w:val="0"/>
                    </w:rPr>
                  </w:pPr>
                  <w:r>
                    <w:rPr>
                      <w:rFonts w:hint="eastAsia"/>
                      <w:kern w:val="0"/>
                    </w:rPr>
                    <w:t>0</w:t>
                  </w:r>
                  <w:r>
                    <w:rPr>
                      <w:kern w:val="0"/>
                    </w:rPr>
                    <w:t>.0001</w:t>
                  </w:r>
                </w:p>
              </w:tc>
              <w:tc>
                <w:tcPr>
                  <w:tcW w:w="1435" w:type="dxa"/>
                  <w:vAlign w:val="center"/>
                </w:tcPr>
                <w:p w14:paraId="7A3C1110">
                  <w:pPr>
                    <w:adjustRightInd w:val="0"/>
                    <w:snapToGrid w:val="0"/>
                    <w:jc w:val="center"/>
                    <w:rPr>
                      <w:kern w:val="0"/>
                    </w:rPr>
                  </w:pPr>
                  <w:r>
                    <w:rPr>
                      <w:kern w:val="0"/>
                    </w:rPr>
                    <w:t>≤5</w:t>
                  </w:r>
                </w:p>
              </w:tc>
              <w:tc>
                <w:tcPr>
                  <w:tcW w:w="891" w:type="dxa"/>
                  <w:vAlign w:val="center"/>
                </w:tcPr>
                <w:p w14:paraId="6D67926A">
                  <w:pPr>
                    <w:adjustRightInd w:val="0"/>
                    <w:snapToGrid w:val="0"/>
                    <w:jc w:val="center"/>
                    <w:rPr>
                      <w:kern w:val="0"/>
                    </w:rPr>
                  </w:pPr>
                </w:p>
              </w:tc>
            </w:tr>
            <w:tr w14:paraId="3BDD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057C7FD7">
                  <w:pPr>
                    <w:adjustRightInd w:val="0"/>
                    <w:snapToGrid w:val="0"/>
                    <w:jc w:val="center"/>
                    <w:rPr>
                      <w:kern w:val="0"/>
                    </w:rPr>
                  </w:pPr>
                </w:p>
              </w:tc>
              <w:tc>
                <w:tcPr>
                  <w:tcW w:w="718" w:type="dxa"/>
                  <w:vMerge w:val="continue"/>
                  <w:vAlign w:val="center"/>
                </w:tcPr>
                <w:p w14:paraId="144102D2">
                  <w:pPr>
                    <w:adjustRightInd w:val="0"/>
                    <w:snapToGrid w:val="0"/>
                    <w:jc w:val="center"/>
                    <w:rPr>
                      <w:kern w:val="0"/>
                    </w:rPr>
                  </w:pPr>
                </w:p>
              </w:tc>
              <w:tc>
                <w:tcPr>
                  <w:tcW w:w="2580" w:type="dxa"/>
                  <w:vAlign w:val="center"/>
                </w:tcPr>
                <w:p w14:paraId="1D15F01B">
                  <w:pPr>
                    <w:adjustRightInd w:val="0"/>
                    <w:snapToGrid w:val="0"/>
                    <w:jc w:val="center"/>
                    <w:rPr>
                      <w:spacing w:val="2"/>
                    </w:rPr>
                  </w:pPr>
                  <w:r>
                    <w:rPr>
                      <w:szCs w:val="21"/>
                    </w:rPr>
                    <w:t>铁</w:t>
                  </w:r>
                  <w:r>
                    <w:rPr>
                      <w:spacing w:val="2"/>
                    </w:rPr>
                    <w:t>（mg/L）</w:t>
                  </w:r>
                </w:p>
              </w:tc>
              <w:tc>
                <w:tcPr>
                  <w:tcW w:w="2157" w:type="dxa"/>
                  <w:vAlign w:val="center"/>
                </w:tcPr>
                <w:p w14:paraId="6DA91007">
                  <w:pPr>
                    <w:adjustRightInd w:val="0"/>
                    <w:snapToGrid w:val="0"/>
                    <w:jc w:val="center"/>
                    <w:rPr>
                      <w:kern w:val="0"/>
                    </w:rPr>
                  </w:pPr>
                  <w:r>
                    <w:rPr>
                      <w:rFonts w:hint="eastAsia"/>
                      <w:kern w:val="0"/>
                    </w:rPr>
                    <w:t>0</w:t>
                  </w:r>
                  <w:r>
                    <w:rPr>
                      <w:kern w:val="0"/>
                    </w:rPr>
                    <w:t>.03</w:t>
                  </w:r>
                </w:p>
              </w:tc>
              <w:tc>
                <w:tcPr>
                  <w:tcW w:w="1435" w:type="dxa"/>
                  <w:tcBorders>
                    <w:top w:val="single" w:color="auto" w:sz="4" w:space="0"/>
                    <w:left w:val="single" w:color="auto" w:sz="4" w:space="0"/>
                    <w:bottom w:val="single" w:color="auto" w:sz="4" w:space="0"/>
                    <w:right w:val="single" w:color="auto" w:sz="4" w:space="0"/>
                  </w:tcBorders>
                  <w:vAlign w:val="center"/>
                </w:tcPr>
                <w:p w14:paraId="09D8BCAE">
                  <w:pPr>
                    <w:adjustRightInd w:val="0"/>
                    <w:snapToGrid w:val="0"/>
                    <w:jc w:val="center"/>
                    <w:rPr>
                      <w:kern w:val="0"/>
                      <w:szCs w:val="21"/>
                    </w:rPr>
                  </w:pPr>
                  <w:r>
                    <w:rPr>
                      <w:szCs w:val="21"/>
                    </w:rPr>
                    <w:t>≤</w:t>
                  </w:r>
                  <w:r>
                    <w:rPr>
                      <w:snapToGrid w:val="0"/>
                      <w:kern w:val="0"/>
                      <w:szCs w:val="21"/>
                    </w:rPr>
                    <w:t>0.3</w:t>
                  </w:r>
                </w:p>
              </w:tc>
              <w:tc>
                <w:tcPr>
                  <w:tcW w:w="891" w:type="dxa"/>
                  <w:vAlign w:val="center"/>
                </w:tcPr>
                <w:p w14:paraId="5ACB147C">
                  <w:pPr>
                    <w:adjustRightInd w:val="0"/>
                    <w:snapToGrid w:val="0"/>
                    <w:jc w:val="center"/>
                    <w:rPr>
                      <w:kern w:val="0"/>
                    </w:rPr>
                  </w:pPr>
                </w:p>
              </w:tc>
            </w:tr>
            <w:tr w14:paraId="776B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43FC1670">
                  <w:pPr>
                    <w:adjustRightInd w:val="0"/>
                    <w:snapToGrid w:val="0"/>
                    <w:jc w:val="center"/>
                    <w:rPr>
                      <w:kern w:val="0"/>
                    </w:rPr>
                  </w:pPr>
                </w:p>
              </w:tc>
              <w:tc>
                <w:tcPr>
                  <w:tcW w:w="718" w:type="dxa"/>
                  <w:vMerge w:val="continue"/>
                  <w:vAlign w:val="center"/>
                </w:tcPr>
                <w:p w14:paraId="38F59DE8">
                  <w:pPr>
                    <w:adjustRightInd w:val="0"/>
                    <w:snapToGrid w:val="0"/>
                    <w:jc w:val="center"/>
                    <w:rPr>
                      <w:kern w:val="0"/>
                    </w:rPr>
                  </w:pPr>
                </w:p>
              </w:tc>
              <w:tc>
                <w:tcPr>
                  <w:tcW w:w="2580" w:type="dxa"/>
                  <w:vAlign w:val="center"/>
                </w:tcPr>
                <w:p w14:paraId="41B7913E">
                  <w:pPr>
                    <w:adjustRightInd w:val="0"/>
                    <w:snapToGrid w:val="0"/>
                    <w:jc w:val="center"/>
                    <w:rPr>
                      <w:spacing w:val="2"/>
                    </w:rPr>
                  </w:pPr>
                  <w:r>
                    <w:rPr>
                      <w:szCs w:val="21"/>
                    </w:rPr>
                    <w:t>锰</w:t>
                  </w:r>
                  <w:r>
                    <w:rPr>
                      <w:spacing w:val="2"/>
                    </w:rPr>
                    <w:t>（mg/L）</w:t>
                  </w:r>
                </w:p>
              </w:tc>
              <w:tc>
                <w:tcPr>
                  <w:tcW w:w="2157" w:type="dxa"/>
                  <w:vAlign w:val="center"/>
                </w:tcPr>
                <w:p w14:paraId="3A4BC7B3">
                  <w:pPr>
                    <w:adjustRightInd w:val="0"/>
                    <w:snapToGrid w:val="0"/>
                    <w:jc w:val="center"/>
                    <w:rPr>
                      <w:kern w:val="0"/>
                    </w:rPr>
                  </w:pPr>
                  <w:r>
                    <w:rPr>
                      <w:rFonts w:hint="eastAsia"/>
                      <w:kern w:val="0"/>
                    </w:rPr>
                    <w:t>0</w:t>
                  </w:r>
                  <w:r>
                    <w:rPr>
                      <w:kern w:val="0"/>
                    </w:rPr>
                    <w:t>.01</w:t>
                  </w:r>
                </w:p>
              </w:tc>
              <w:tc>
                <w:tcPr>
                  <w:tcW w:w="1435" w:type="dxa"/>
                  <w:tcBorders>
                    <w:top w:val="single" w:color="auto" w:sz="4" w:space="0"/>
                    <w:left w:val="single" w:color="auto" w:sz="4" w:space="0"/>
                    <w:bottom w:val="single" w:color="auto" w:sz="4" w:space="0"/>
                    <w:right w:val="single" w:color="auto" w:sz="4" w:space="0"/>
                  </w:tcBorders>
                  <w:vAlign w:val="center"/>
                </w:tcPr>
                <w:p w14:paraId="0838DF25">
                  <w:pPr>
                    <w:adjustRightInd w:val="0"/>
                    <w:snapToGrid w:val="0"/>
                    <w:jc w:val="center"/>
                    <w:rPr>
                      <w:kern w:val="0"/>
                    </w:rPr>
                  </w:pPr>
                  <w:r>
                    <w:rPr>
                      <w:szCs w:val="21"/>
                    </w:rPr>
                    <w:t>≤</w:t>
                  </w:r>
                  <w:r>
                    <w:rPr>
                      <w:snapToGrid w:val="0"/>
                      <w:kern w:val="0"/>
                      <w:szCs w:val="21"/>
                    </w:rPr>
                    <w:t>0.10</w:t>
                  </w:r>
                </w:p>
              </w:tc>
              <w:tc>
                <w:tcPr>
                  <w:tcW w:w="891" w:type="dxa"/>
                  <w:vAlign w:val="center"/>
                </w:tcPr>
                <w:p w14:paraId="08D53C00">
                  <w:pPr>
                    <w:adjustRightInd w:val="0"/>
                    <w:snapToGrid w:val="0"/>
                    <w:jc w:val="center"/>
                    <w:rPr>
                      <w:kern w:val="0"/>
                    </w:rPr>
                  </w:pPr>
                </w:p>
              </w:tc>
            </w:tr>
            <w:tr w14:paraId="6189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748A2005">
                  <w:pPr>
                    <w:adjustRightInd w:val="0"/>
                    <w:snapToGrid w:val="0"/>
                    <w:jc w:val="center"/>
                    <w:rPr>
                      <w:kern w:val="0"/>
                    </w:rPr>
                  </w:pPr>
                </w:p>
              </w:tc>
              <w:tc>
                <w:tcPr>
                  <w:tcW w:w="718" w:type="dxa"/>
                  <w:vMerge w:val="continue"/>
                  <w:vAlign w:val="center"/>
                </w:tcPr>
                <w:p w14:paraId="71FB5D52">
                  <w:pPr>
                    <w:adjustRightInd w:val="0"/>
                    <w:snapToGrid w:val="0"/>
                    <w:jc w:val="center"/>
                    <w:rPr>
                      <w:kern w:val="0"/>
                    </w:rPr>
                  </w:pPr>
                </w:p>
              </w:tc>
              <w:tc>
                <w:tcPr>
                  <w:tcW w:w="2580" w:type="dxa"/>
                  <w:vAlign w:val="center"/>
                </w:tcPr>
                <w:p w14:paraId="5337F638">
                  <w:pPr>
                    <w:adjustRightInd w:val="0"/>
                    <w:snapToGrid w:val="0"/>
                    <w:jc w:val="center"/>
                    <w:rPr>
                      <w:spacing w:val="2"/>
                    </w:rPr>
                  </w:pPr>
                  <w:r>
                    <w:rPr>
                      <w:szCs w:val="21"/>
                    </w:rPr>
                    <w:t>溶解性总固体</w:t>
                  </w:r>
                  <w:r>
                    <w:rPr>
                      <w:spacing w:val="2"/>
                    </w:rPr>
                    <w:t>（mg/L）</w:t>
                  </w:r>
                </w:p>
              </w:tc>
              <w:tc>
                <w:tcPr>
                  <w:tcW w:w="2157" w:type="dxa"/>
                  <w:vAlign w:val="center"/>
                </w:tcPr>
                <w:p w14:paraId="24ED9DAF">
                  <w:pPr>
                    <w:adjustRightInd w:val="0"/>
                    <w:snapToGrid w:val="0"/>
                    <w:jc w:val="center"/>
                    <w:rPr>
                      <w:kern w:val="0"/>
                    </w:rPr>
                  </w:pPr>
                  <w:r>
                    <w:rPr>
                      <w:kern w:val="0"/>
                    </w:rPr>
                    <w:t>916</w:t>
                  </w:r>
                </w:p>
              </w:tc>
              <w:tc>
                <w:tcPr>
                  <w:tcW w:w="1435" w:type="dxa"/>
                  <w:vAlign w:val="center"/>
                </w:tcPr>
                <w:p w14:paraId="4AC70629">
                  <w:pPr>
                    <w:adjustRightInd w:val="0"/>
                    <w:snapToGrid w:val="0"/>
                    <w:jc w:val="center"/>
                    <w:rPr>
                      <w:kern w:val="0"/>
                    </w:rPr>
                  </w:pPr>
                  <w:r>
                    <w:rPr>
                      <w:kern w:val="0"/>
                    </w:rPr>
                    <w:t>≤1000</w:t>
                  </w:r>
                </w:p>
              </w:tc>
              <w:tc>
                <w:tcPr>
                  <w:tcW w:w="891" w:type="dxa"/>
                  <w:vAlign w:val="center"/>
                </w:tcPr>
                <w:p w14:paraId="50442697">
                  <w:pPr>
                    <w:adjustRightInd w:val="0"/>
                    <w:snapToGrid w:val="0"/>
                    <w:jc w:val="center"/>
                    <w:rPr>
                      <w:kern w:val="0"/>
                    </w:rPr>
                  </w:pPr>
                </w:p>
              </w:tc>
            </w:tr>
            <w:tr w14:paraId="7243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6A188D72">
                  <w:pPr>
                    <w:adjustRightInd w:val="0"/>
                    <w:snapToGrid w:val="0"/>
                    <w:jc w:val="center"/>
                    <w:rPr>
                      <w:kern w:val="0"/>
                    </w:rPr>
                  </w:pPr>
                </w:p>
              </w:tc>
              <w:tc>
                <w:tcPr>
                  <w:tcW w:w="718" w:type="dxa"/>
                  <w:vMerge w:val="continue"/>
                  <w:vAlign w:val="center"/>
                </w:tcPr>
                <w:p w14:paraId="4AF74AA5">
                  <w:pPr>
                    <w:adjustRightInd w:val="0"/>
                    <w:snapToGrid w:val="0"/>
                    <w:jc w:val="center"/>
                    <w:rPr>
                      <w:kern w:val="0"/>
                    </w:rPr>
                  </w:pPr>
                </w:p>
              </w:tc>
              <w:tc>
                <w:tcPr>
                  <w:tcW w:w="2580" w:type="dxa"/>
                  <w:vAlign w:val="center"/>
                </w:tcPr>
                <w:p w14:paraId="0BF77BEE">
                  <w:pPr>
                    <w:adjustRightInd w:val="0"/>
                    <w:snapToGrid w:val="0"/>
                    <w:jc w:val="center"/>
                    <w:rPr>
                      <w:spacing w:val="2"/>
                    </w:rPr>
                  </w:pPr>
                  <w:r>
                    <w:rPr>
                      <w:szCs w:val="21"/>
                    </w:rPr>
                    <w:t>耗氧量</w:t>
                  </w:r>
                  <w:r>
                    <w:rPr>
                      <w:spacing w:val="2"/>
                    </w:rPr>
                    <w:t>（mg/L）</w:t>
                  </w:r>
                </w:p>
              </w:tc>
              <w:tc>
                <w:tcPr>
                  <w:tcW w:w="2157" w:type="dxa"/>
                  <w:vAlign w:val="center"/>
                </w:tcPr>
                <w:p w14:paraId="305A00BA">
                  <w:pPr>
                    <w:adjustRightInd w:val="0"/>
                    <w:snapToGrid w:val="0"/>
                    <w:jc w:val="center"/>
                    <w:rPr>
                      <w:kern w:val="0"/>
                    </w:rPr>
                  </w:pPr>
                  <w:r>
                    <w:rPr>
                      <w:rFonts w:hint="eastAsia"/>
                      <w:kern w:val="0"/>
                    </w:rPr>
                    <w:t>1</w:t>
                  </w:r>
                  <w:r>
                    <w:rPr>
                      <w:kern w:val="0"/>
                    </w:rPr>
                    <w:t>.6</w:t>
                  </w:r>
                </w:p>
              </w:tc>
              <w:tc>
                <w:tcPr>
                  <w:tcW w:w="1435" w:type="dxa"/>
                  <w:vAlign w:val="center"/>
                </w:tcPr>
                <w:p w14:paraId="07DA99F1">
                  <w:pPr>
                    <w:adjustRightInd w:val="0"/>
                    <w:snapToGrid w:val="0"/>
                    <w:jc w:val="center"/>
                    <w:rPr>
                      <w:kern w:val="0"/>
                    </w:rPr>
                  </w:pPr>
                  <w:r>
                    <w:rPr>
                      <w:kern w:val="0"/>
                    </w:rPr>
                    <w:t>≤3</w:t>
                  </w:r>
                </w:p>
              </w:tc>
              <w:tc>
                <w:tcPr>
                  <w:tcW w:w="891" w:type="dxa"/>
                  <w:vAlign w:val="center"/>
                </w:tcPr>
                <w:p w14:paraId="68507922">
                  <w:pPr>
                    <w:adjustRightInd w:val="0"/>
                    <w:snapToGrid w:val="0"/>
                    <w:jc w:val="center"/>
                    <w:rPr>
                      <w:kern w:val="0"/>
                    </w:rPr>
                  </w:pPr>
                </w:p>
              </w:tc>
            </w:tr>
            <w:tr w14:paraId="74A8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32A44D7D">
                  <w:pPr>
                    <w:adjustRightInd w:val="0"/>
                    <w:snapToGrid w:val="0"/>
                    <w:jc w:val="center"/>
                    <w:rPr>
                      <w:kern w:val="0"/>
                    </w:rPr>
                  </w:pPr>
                </w:p>
              </w:tc>
              <w:tc>
                <w:tcPr>
                  <w:tcW w:w="718" w:type="dxa"/>
                  <w:vMerge w:val="continue"/>
                  <w:vAlign w:val="center"/>
                </w:tcPr>
                <w:p w14:paraId="643D9571">
                  <w:pPr>
                    <w:adjustRightInd w:val="0"/>
                    <w:snapToGrid w:val="0"/>
                    <w:jc w:val="center"/>
                    <w:rPr>
                      <w:kern w:val="0"/>
                    </w:rPr>
                  </w:pPr>
                </w:p>
              </w:tc>
              <w:tc>
                <w:tcPr>
                  <w:tcW w:w="2580" w:type="dxa"/>
                  <w:vAlign w:val="center"/>
                </w:tcPr>
                <w:p w14:paraId="299AF282">
                  <w:pPr>
                    <w:adjustRightInd w:val="0"/>
                    <w:snapToGrid w:val="0"/>
                    <w:jc w:val="center"/>
                    <w:rPr>
                      <w:spacing w:val="2"/>
                    </w:rPr>
                  </w:pPr>
                  <w:r>
                    <w:rPr>
                      <w:szCs w:val="21"/>
                    </w:rPr>
                    <w:t>硫酸盐</w:t>
                  </w:r>
                  <w:r>
                    <w:rPr>
                      <w:spacing w:val="2"/>
                    </w:rPr>
                    <w:t>（mg/L）</w:t>
                  </w:r>
                </w:p>
              </w:tc>
              <w:tc>
                <w:tcPr>
                  <w:tcW w:w="2157" w:type="dxa"/>
                  <w:vAlign w:val="center"/>
                </w:tcPr>
                <w:p w14:paraId="385632A1">
                  <w:pPr>
                    <w:adjustRightInd w:val="0"/>
                    <w:snapToGrid w:val="0"/>
                    <w:jc w:val="center"/>
                    <w:rPr>
                      <w:kern w:val="0"/>
                    </w:rPr>
                  </w:pPr>
                  <w:r>
                    <w:rPr>
                      <w:rFonts w:hint="eastAsia"/>
                      <w:kern w:val="0"/>
                    </w:rPr>
                    <w:t>1</w:t>
                  </w:r>
                  <w:r>
                    <w:rPr>
                      <w:kern w:val="0"/>
                    </w:rPr>
                    <w:t>67</w:t>
                  </w:r>
                </w:p>
              </w:tc>
              <w:tc>
                <w:tcPr>
                  <w:tcW w:w="1435" w:type="dxa"/>
                  <w:vAlign w:val="center"/>
                </w:tcPr>
                <w:p w14:paraId="5DE11650">
                  <w:pPr>
                    <w:adjustRightInd w:val="0"/>
                    <w:snapToGrid w:val="0"/>
                    <w:jc w:val="center"/>
                    <w:rPr>
                      <w:kern w:val="0"/>
                    </w:rPr>
                  </w:pPr>
                  <w:r>
                    <w:rPr>
                      <w:kern w:val="0"/>
                    </w:rPr>
                    <w:t>≤250</w:t>
                  </w:r>
                </w:p>
              </w:tc>
              <w:tc>
                <w:tcPr>
                  <w:tcW w:w="891" w:type="dxa"/>
                  <w:vAlign w:val="center"/>
                </w:tcPr>
                <w:p w14:paraId="1F21F460">
                  <w:pPr>
                    <w:adjustRightInd w:val="0"/>
                    <w:snapToGrid w:val="0"/>
                    <w:jc w:val="center"/>
                    <w:rPr>
                      <w:kern w:val="0"/>
                    </w:rPr>
                  </w:pPr>
                </w:p>
              </w:tc>
            </w:tr>
            <w:tr w14:paraId="4C12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0871FB54">
                  <w:pPr>
                    <w:adjustRightInd w:val="0"/>
                    <w:snapToGrid w:val="0"/>
                    <w:jc w:val="center"/>
                    <w:rPr>
                      <w:kern w:val="0"/>
                    </w:rPr>
                  </w:pPr>
                </w:p>
              </w:tc>
              <w:tc>
                <w:tcPr>
                  <w:tcW w:w="718" w:type="dxa"/>
                  <w:vMerge w:val="continue"/>
                  <w:vAlign w:val="center"/>
                </w:tcPr>
                <w:p w14:paraId="17C3715A">
                  <w:pPr>
                    <w:adjustRightInd w:val="0"/>
                    <w:snapToGrid w:val="0"/>
                    <w:jc w:val="center"/>
                    <w:rPr>
                      <w:kern w:val="0"/>
                    </w:rPr>
                  </w:pPr>
                </w:p>
              </w:tc>
              <w:tc>
                <w:tcPr>
                  <w:tcW w:w="2580" w:type="dxa"/>
                  <w:vAlign w:val="center"/>
                </w:tcPr>
                <w:p w14:paraId="3FE04723">
                  <w:pPr>
                    <w:adjustRightInd w:val="0"/>
                    <w:snapToGrid w:val="0"/>
                    <w:jc w:val="center"/>
                    <w:rPr>
                      <w:spacing w:val="2"/>
                    </w:rPr>
                  </w:pPr>
                  <w:r>
                    <w:rPr>
                      <w:szCs w:val="21"/>
                    </w:rPr>
                    <w:t>氯化物</w:t>
                  </w:r>
                  <w:r>
                    <w:rPr>
                      <w:spacing w:val="2"/>
                    </w:rPr>
                    <w:t>（mg/L）</w:t>
                  </w:r>
                </w:p>
              </w:tc>
              <w:tc>
                <w:tcPr>
                  <w:tcW w:w="2157" w:type="dxa"/>
                  <w:vAlign w:val="center"/>
                </w:tcPr>
                <w:p w14:paraId="1A15E175">
                  <w:pPr>
                    <w:adjustRightInd w:val="0"/>
                    <w:snapToGrid w:val="0"/>
                    <w:jc w:val="center"/>
                    <w:rPr>
                      <w:kern w:val="0"/>
                    </w:rPr>
                  </w:pPr>
                  <w:r>
                    <w:rPr>
                      <w:rFonts w:hint="eastAsia"/>
                      <w:kern w:val="0"/>
                    </w:rPr>
                    <w:t>1</w:t>
                  </w:r>
                  <w:r>
                    <w:rPr>
                      <w:kern w:val="0"/>
                    </w:rPr>
                    <w:t>04</w:t>
                  </w:r>
                </w:p>
              </w:tc>
              <w:tc>
                <w:tcPr>
                  <w:tcW w:w="1435" w:type="dxa"/>
                  <w:vAlign w:val="center"/>
                </w:tcPr>
                <w:p w14:paraId="547713E1">
                  <w:pPr>
                    <w:adjustRightInd w:val="0"/>
                    <w:snapToGrid w:val="0"/>
                    <w:jc w:val="center"/>
                    <w:rPr>
                      <w:kern w:val="0"/>
                    </w:rPr>
                  </w:pPr>
                  <w:r>
                    <w:rPr>
                      <w:kern w:val="0"/>
                    </w:rPr>
                    <w:t>≤250</w:t>
                  </w:r>
                </w:p>
              </w:tc>
              <w:tc>
                <w:tcPr>
                  <w:tcW w:w="891" w:type="dxa"/>
                  <w:vAlign w:val="center"/>
                </w:tcPr>
                <w:p w14:paraId="7742786D">
                  <w:pPr>
                    <w:adjustRightInd w:val="0"/>
                    <w:snapToGrid w:val="0"/>
                    <w:jc w:val="center"/>
                    <w:rPr>
                      <w:kern w:val="0"/>
                    </w:rPr>
                  </w:pPr>
                </w:p>
              </w:tc>
            </w:tr>
            <w:tr w14:paraId="2B4F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09E9A94D">
                  <w:pPr>
                    <w:adjustRightInd w:val="0"/>
                    <w:snapToGrid w:val="0"/>
                    <w:jc w:val="center"/>
                    <w:rPr>
                      <w:kern w:val="0"/>
                    </w:rPr>
                  </w:pPr>
                </w:p>
              </w:tc>
              <w:tc>
                <w:tcPr>
                  <w:tcW w:w="718" w:type="dxa"/>
                  <w:vMerge w:val="continue"/>
                  <w:vAlign w:val="center"/>
                </w:tcPr>
                <w:p w14:paraId="64109615">
                  <w:pPr>
                    <w:adjustRightInd w:val="0"/>
                    <w:snapToGrid w:val="0"/>
                    <w:jc w:val="center"/>
                    <w:rPr>
                      <w:kern w:val="0"/>
                    </w:rPr>
                  </w:pPr>
                </w:p>
              </w:tc>
              <w:tc>
                <w:tcPr>
                  <w:tcW w:w="2580" w:type="dxa"/>
                  <w:vAlign w:val="center"/>
                </w:tcPr>
                <w:p w14:paraId="6B5A9CC9">
                  <w:pPr>
                    <w:adjustRightInd w:val="0"/>
                    <w:snapToGrid w:val="0"/>
                    <w:jc w:val="center"/>
                    <w:rPr>
                      <w:spacing w:val="2"/>
                    </w:rPr>
                  </w:pPr>
                  <w:r>
                    <w:rPr>
                      <w:szCs w:val="21"/>
                    </w:rPr>
                    <w:t>总大肠菌群（MPN/L）</w:t>
                  </w:r>
                </w:p>
              </w:tc>
              <w:tc>
                <w:tcPr>
                  <w:tcW w:w="2157" w:type="dxa"/>
                  <w:vAlign w:val="center"/>
                </w:tcPr>
                <w:p w14:paraId="0E3DC036">
                  <w:pPr>
                    <w:adjustRightInd w:val="0"/>
                    <w:snapToGrid w:val="0"/>
                    <w:jc w:val="center"/>
                    <w:rPr>
                      <w:kern w:val="0"/>
                    </w:rPr>
                  </w:pPr>
                  <w:r>
                    <w:rPr>
                      <w:rFonts w:hint="eastAsia"/>
                      <w:kern w:val="0"/>
                    </w:rPr>
                    <w:t>＜3</w:t>
                  </w:r>
                </w:p>
              </w:tc>
              <w:tc>
                <w:tcPr>
                  <w:tcW w:w="1435" w:type="dxa"/>
                  <w:vAlign w:val="center"/>
                </w:tcPr>
                <w:p w14:paraId="72038E63">
                  <w:pPr>
                    <w:adjustRightInd w:val="0"/>
                    <w:snapToGrid w:val="0"/>
                    <w:jc w:val="center"/>
                    <w:rPr>
                      <w:kern w:val="0"/>
                    </w:rPr>
                  </w:pPr>
                  <w:r>
                    <w:rPr>
                      <w:kern w:val="0"/>
                    </w:rPr>
                    <w:t>≤3.0</w:t>
                  </w:r>
                </w:p>
              </w:tc>
              <w:tc>
                <w:tcPr>
                  <w:tcW w:w="891" w:type="dxa"/>
                  <w:vAlign w:val="center"/>
                </w:tcPr>
                <w:p w14:paraId="0D7A63B4">
                  <w:pPr>
                    <w:adjustRightInd w:val="0"/>
                    <w:snapToGrid w:val="0"/>
                    <w:jc w:val="center"/>
                    <w:rPr>
                      <w:kern w:val="0"/>
                    </w:rPr>
                  </w:pPr>
                </w:p>
              </w:tc>
            </w:tr>
            <w:tr w14:paraId="585D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2AD53BBC">
                  <w:pPr>
                    <w:adjustRightInd w:val="0"/>
                    <w:snapToGrid w:val="0"/>
                    <w:jc w:val="center"/>
                    <w:rPr>
                      <w:kern w:val="0"/>
                    </w:rPr>
                  </w:pPr>
                </w:p>
              </w:tc>
              <w:tc>
                <w:tcPr>
                  <w:tcW w:w="718" w:type="dxa"/>
                  <w:vMerge w:val="continue"/>
                  <w:vAlign w:val="center"/>
                </w:tcPr>
                <w:p w14:paraId="51615D4F">
                  <w:pPr>
                    <w:adjustRightInd w:val="0"/>
                    <w:snapToGrid w:val="0"/>
                    <w:jc w:val="center"/>
                    <w:rPr>
                      <w:kern w:val="0"/>
                    </w:rPr>
                  </w:pPr>
                </w:p>
              </w:tc>
              <w:tc>
                <w:tcPr>
                  <w:tcW w:w="2580" w:type="dxa"/>
                  <w:vAlign w:val="center"/>
                </w:tcPr>
                <w:p w14:paraId="1F457A84">
                  <w:pPr>
                    <w:adjustRightInd w:val="0"/>
                    <w:snapToGrid w:val="0"/>
                    <w:jc w:val="center"/>
                    <w:rPr>
                      <w:spacing w:val="2"/>
                    </w:rPr>
                  </w:pPr>
                  <w:r>
                    <w:rPr>
                      <w:szCs w:val="21"/>
                    </w:rPr>
                    <w:t>菌落总数</w:t>
                  </w:r>
                  <w:r>
                    <w:rPr>
                      <w:spacing w:val="2"/>
                    </w:rPr>
                    <w:t>（CFU/mL）</w:t>
                  </w:r>
                </w:p>
              </w:tc>
              <w:tc>
                <w:tcPr>
                  <w:tcW w:w="2157" w:type="dxa"/>
                  <w:vAlign w:val="center"/>
                </w:tcPr>
                <w:p w14:paraId="4779D320">
                  <w:pPr>
                    <w:adjustRightInd w:val="0"/>
                    <w:snapToGrid w:val="0"/>
                    <w:jc w:val="center"/>
                    <w:rPr>
                      <w:kern w:val="0"/>
                    </w:rPr>
                  </w:pPr>
                  <w:r>
                    <w:rPr>
                      <w:rFonts w:hint="eastAsia"/>
                      <w:kern w:val="0"/>
                    </w:rPr>
                    <w:t>5</w:t>
                  </w:r>
                  <w:r>
                    <w:rPr>
                      <w:kern w:val="0"/>
                    </w:rPr>
                    <w:t>5</w:t>
                  </w:r>
                </w:p>
              </w:tc>
              <w:tc>
                <w:tcPr>
                  <w:tcW w:w="1435" w:type="dxa"/>
                  <w:vAlign w:val="center"/>
                </w:tcPr>
                <w:p w14:paraId="27A53CCE">
                  <w:pPr>
                    <w:adjustRightInd w:val="0"/>
                    <w:snapToGrid w:val="0"/>
                    <w:jc w:val="center"/>
                    <w:rPr>
                      <w:kern w:val="0"/>
                    </w:rPr>
                  </w:pPr>
                  <w:r>
                    <w:rPr>
                      <w:kern w:val="0"/>
                    </w:rPr>
                    <w:t>≤100</w:t>
                  </w:r>
                </w:p>
              </w:tc>
              <w:tc>
                <w:tcPr>
                  <w:tcW w:w="891" w:type="dxa"/>
                  <w:vAlign w:val="center"/>
                </w:tcPr>
                <w:p w14:paraId="091A7DEF">
                  <w:pPr>
                    <w:adjustRightInd w:val="0"/>
                    <w:snapToGrid w:val="0"/>
                    <w:jc w:val="center"/>
                    <w:rPr>
                      <w:kern w:val="0"/>
                    </w:rPr>
                  </w:pPr>
                </w:p>
              </w:tc>
            </w:tr>
            <w:tr w14:paraId="0A29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20" w:type="dxa"/>
                  <w:vMerge w:val="continue"/>
                  <w:vAlign w:val="center"/>
                </w:tcPr>
                <w:p w14:paraId="28EC378C">
                  <w:pPr>
                    <w:adjustRightInd w:val="0"/>
                    <w:snapToGrid w:val="0"/>
                    <w:jc w:val="center"/>
                    <w:rPr>
                      <w:kern w:val="0"/>
                    </w:rPr>
                  </w:pPr>
                </w:p>
              </w:tc>
              <w:tc>
                <w:tcPr>
                  <w:tcW w:w="718" w:type="dxa"/>
                  <w:vMerge w:val="continue"/>
                  <w:vAlign w:val="center"/>
                </w:tcPr>
                <w:p w14:paraId="091BC8BC">
                  <w:pPr>
                    <w:adjustRightInd w:val="0"/>
                    <w:snapToGrid w:val="0"/>
                    <w:jc w:val="center"/>
                    <w:rPr>
                      <w:kern w:val="0"/>
                    </w:rPr>
                  </w:pPr>
                </w:p>
              </w:tc>
              <w:tc>
                <w:tcPr>
                  <w:tcW w:w="2580" w:type="dxa"/>
                  <w:vAlign w:val="center"/>
                </w:tcPr>
                <w:p w14:paraId="09F083BB">
                  <w:pPr>
                    <w:adjustRightInd w:val="0"/>
                    <w:snapToGrid w:val="0"/>
                    <w:jc w:val="center"/>
                    <w:rPr>
                      <w:spacing w:val="2"/>
                    </w:rPr>
                  </w:pPr>
                  <w:r>
                    <w:rPr>
                      <w:szCs w:val="21"/>
                    </w:rPr>
                    <w:t>石油类</w:t>
                  </w:r>
                  <w:r>
                    <w:rPr>
                      <w:spacing w:val="2"/>
                    </w:rPr>
                    <w:t>（mg/L）</w:t>
                  </w:r>
                </w:p>
              </w:tc>
              <w:tc>
                <w:tcPr>
                  <w:tcW w:w="2157" w:type="dxa"/>
                  <w:vAlign w:val="center"/>
                </w:tcPr>
                <w:p w14:paraId="6AFA4F95">
                  <w:pPr>
                    <w:adjustRightInd w:val="0"/>
                    <w:snapToGrid w:val="0"/>
                    <w:jc w:val="center"/>
                    <w:rPr>
                      <w:kern w:val="0"/>
                    </w:rPr>
                  </w:pPr>
                  <w:r>
                    <w:rPr>
                      <w:rFonts w:hint="eastAsia"/>
                      <w:kern w:val="0"/>
                    </w:rPr>
                    <w:t>＜0</w:t>
                  </w:r>
                  <w:r>
                    <w:rPr>
                      <w:kern w:val="0"/>
                    </w:rPr>
                    <w:t>.01</w:t>
                  </w:r>
                </w:p>
              </w:tc>
              <w:tc>
                <w:tcPr>
                  <w:tcW w:w="1435" w:type="dxa"/>
                  <w:vAlign w:val="center"/>
                </w:tcPr>
                <w:p w14:paraId="1FCBFF3E">
                  <w:pPr>
                    <w:adjustRightInd w:val="0"/>
                    <w:snapToGrid w:val="0"/>
                    <w:jc w:val="center"/>
                    <w:rPr>
                      <w:kern w:val="0"/>
                    </w:rPr>
                  </w:pPr>
                  <w:r>
                    <w:rPr>
                      <w:kern w:val="0"/>
                    </w:rPr>
                    <w:t>≤0.05</w:t>
                  </w:r>
                </w:p>
              </w:tc>
              <w:tc>
                <w:tcPr>
                  <w:tcW w:w="891" w:type="dxa"/>
                  <w:vAlign w:val="center"/>
                </w:tcPr>
                <w:p w14:paraId="700BA797">
                  <w:pPr>
                    <w:adjustRightInd w:val="0"/>
                    <w:snapToGrid w:val="0"/>
                    <w:jc w:val="center"/>
                    <w:rPr>
                      <w:kern w:val="0"/>
                    </w:rPr>
                  </w:pPr>
                </w:p>
              </w:tc>
            </w:tr>
          </w:tbl>
          <w:p w14:paraId="6C075C66">
            <w:pPr>
              <w:adjustRightInd w:val="0"/>
              <w:snapToGrid w:val="0"/>
              <w:spacing w:line="360" w:lineRule="auto"/>
              <w:ind w:firstLine="480" w:firstLineChars="200"/>
              <w:rPr>
                <w:kern w:val="0"/>
                <w:sz w:val="24"/>
              </w:rPr>
            </w:pPr>
            <w:r>
              <w:rPr>
                <w:rFonts w:hint="eastAsia"/>
                <w:kern w:val="0"/>
                <w:sz w:val="24"/>
              </w:rPr>
              <w:t>由</w:t>
            </w:r>
            <w:r>
              <w:rPr>
                <w:kern w:val="0"/>
                <w:sz w:val="24"/>
              </w:rPr>
              <w:t>地下水监测结果可知，本项目石油类满足《地表水环境质量标准》（GB3838-2002）Ⅲ类标准限值要求</w:t>
            </w:r>
            <w:r>
              <w:rPr>
                <w:rFonts w:hint="eastAsia"/>
                <w:kern w:val="0"/>
                <w:sz w:val="24"/>
              </w:rPr>
              <w:t>，其余</w:t>
            </w:r>
            <w:r>
              <w:rPr>
                <w:kern w:val="0"/>
                <w:sz w:val="24"/>
              </w:rPr>
              <w:t>监测因子均可满足《地下水质量标准》（GB/T14848-2017）Ⅲ类标准限值</w:t>
            </w:r>
            <w:r>
              <w:rPr>
                <w:rFonts w:hint="eastAsia"/>
                <w:kern w:val="0"/>
                <w:sz w:val="24"/>
              </w:rPr>
              <w:t>，区域地下水环境质量良好</w:t>
            </w:r>
            <w:r>
              <w:rPr>
                <w:kern w:val="0"/>
                <w:sz w:val="24"/>
              </w:rPr>
              <w:t>。</w:t>
            </w:r>
          </w:p>
          <w:p w14:paraId="7170B22F">
            <w:pPr>
              <w:numPr>
                <w:ilvl w:val="0"/>
                <w:numId w:val="14"/>
              </w:numPr>
              <w:adjustRightInd w:val="0"/>
              <w:snapToGrid w:val="0"/>
              <w:spacing w:line="360" w:lineRule="auto"/>
              <w:ind w:firstLine="482" w:firstLineChars="200"/>
              <w:jc w:val="left"/>
              <w:rPr>
                <w:b/>
                <w:bCs/>
                <w:kern w:val="0"/>
                <w:sz w:val="24"/>
              </w:rPr>
            </w:pPr>
            <w:r>
              <w:rPr>
                <w:b/>
                <w:bCs/>
                <w:kern w:val="0"/>
                <w:sz w:val="24"/>
              </w:rPr>
              <w:t>土壤环境</w:t>
            </w:r>
          </w:p>
          <w:p w14:paraId="0B709C1B">
            <w:pPr>
              <w:adjustRightInd w:val="0"/>
              <w:snapToGrid w:val="0"/>
              <w:spacing w:line="360" w:lineRule="auto"/>
              <w:ind w:firstLine="480" w:firstLineChars="200"/>
              <w:rPr>
                <w:kern w:val="0"/>
                <w:sz w:val="24"/>
              </w:rPr>
            </w:pPr>
            <w:r>
              <w:rPr>
                <w:kern w:val="0"/>
                <w:sz w:val="24"/>
              </w:rPr>
              <w:t>根据《建设项目环境影响报告表编制计算指南（污染影响类）（试行）》，土壤环境原则上不开展环境质量现状调查。建设项目存在土壤环境污染途径的，应结合污染源、保护目标分布情况开展现状调查以留作背景值。为了解本项目所在区域土壤环境质量现状，建设单位委托</w:t>
            </w:r>
            <w:r>
              <w:rPr>
                <w:rFonts w:hint="eastAsia"/>
                <w:kern w:val="0"/>
                <w:sz w:val="24"/>
              </w:rPr>
              <w:t>河南凯勋检测技术有限公司</w:t>
            </w:r>
            <w:r>
              <w:rPr>
                <w:kern w:val="0"/>
                <w:sz w:val="24"/>
              </w:rPr>
              <w:t>公司于2025年2月11日对项目</w:t>
            </w:r>
            <w:r>
              <w:rPr>
                <w:rFonts w:hint="eastAsia"/>
                <w:kern w:val="0"/>
                <w:sz w:val="24"/>
              </w:rPr>
              <w:t>厂址</w:t>
            </w:r>
            <w:r>
              <w:rPr>
                <w:kern w:val="0"/>
                <w:sz w:val="24"/>
              </w:rPr>
              <w:t>土壤进行了取样调查。本次评价在项目占地范围内设置了1个表层监测样点，监测因子是《土壤环境质量 建设用地土壤污染风险管控标准（试行）》（GB36600-2018）表1所列45项基本因子和石油烃，项目土壤环境监测结果见</w:t>
            </w:r>
            <w:r>
              <w:rPr>
                <w:rFonts w:hint="eastAsia"/>
                <w:kern w:val="0"/>
                <w:sz w:val="24"/>
              </w:rPr>
              <w:t>下</w:t>
            </w:r>
            <w:r>
              <w:rPr>
                <w:kern w:val="0"/>
                <w:sz w:val="24"/>
              </w:rPr>
              <w:t>表。</w:t>
            </w:r>
          </w:p>
          <w:p w14:paraId="7A2161FD">
            <w:pPr>
              <w:adjustRightInd w:val="0"/>
              <w:snapToGrid w:val="0"/>
              <w:jc w:val="center"/>
              <w:rPr>
                <w:b/>
                <w:bCs/>
                <w:kern w:val="0"/>
                <w:sz w:val="24"/>
              </w:rPr>
            </w:pPr>
            <w:r>
              <w:rPr>
                <w:b/>
                <w:bCs/>
                <w:kern w:val="0"/>
                <w:sz w:val="24"/>
              </w:rPr>
              <w:t>表</w:t>
            </w:r>
            <w:r>
              <w:rPr>
                <w:rFonts w:hint="eastAsia"/>
                <w:b/>
                <w:bCs/>
                <w:kern w:val="0"/>
                <w:sz w:val="24"/>
              </w:rPr>
              <w:t>20</w:t>
            </w:r>
            <w:r>
              <w:rPr>
                <w:b/>
                <w:bCs/>
                <w:kern w:val="0"/>
                <w:sz w:val="24"/>
              </w:rPr>
              <w:t xml:space="preserve">   项目土壤现状监测结果一览表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61"/>
              <w:gridCol w:w="1984"/>
              <w:gridCol w:w="1844"/>
              <w:gridCol w:w="1369"/>
            </w:tblGrid>
            <w:tr w14:paraId="510D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tcBorders>
                    <w:top w:val="single" w:color="auto" w:sz="4" w:space="0"/>
                    <w:bottom w:val="single" w:color="auto" w:sz="4" w:space="0"/>
                    <w:right w:val="single" w:color="auto" w:sz="4" w:space="0"/>
                  </w:tcBorders>
                  <w:vAlign w:val="center"/>
                </w:tcPr>
                <w:p w14:paraId="6DB9313A">
                  <w:pPr>
                    <w:adjustRightInd w:val="0"/>
                    <w:snapToGrid w:val="0"/>
                    <w:jc w:val="center"/>
                    <w:rPr>
                      <w:rFonts w:eastAsiaTheme="minorEastAsia"/>
                      <w:snapToGrid w:val="0"/>
                      <w:kern w:val="0"/>
                      <w:szCs w:val="21"/>
                    </w:rPr>
                  </w:pPr>
                  <w:r>
                    <w:rPr>
                      <w:rFonts w:eastAsiaTheme="minorEastAsia"/>
                      <w:szCs w:val="21"/>
                    </w:rPr>
                    <w:t>监测因子</w:t>
                  </w:r>
                </w:p>
              </w:tc>
              <w:tc>
                <w:tcPr>
                  <w:tcW w:w="1187" w:type="pct"/>
                  <w:tcBorders>
                    <w:top w:val="single" w:color="auto" w:sz="4" w:space="0"/>
                    <w:left w:val="single" w:color="auto" w:sz="4" w:space="0"/>
                    <w:bottom w:val="single" w:color="auto" w:sz="4" w:space="0"/>
                    <w:right w:val="single" w:color="auto" w:sz="4" w:space="0"/>
                  </w:tcBorders>
                  <w:vAlign w:val="center"/>
                </w:tcPr>
                <w:p w14:paraId="74A263E5">
                  <w:pPr>
                    <w:tabs>
                      <w:tab w:val="center" w:pos="1440"/>
                    </w:tabs>
                    <w:adjustRightInd w:val="0"/>
                    <w:snapToGrid w:val="0"/>
                    <w:jc w:val="center"/>
                    <w:rPr>
                      <w:rFonts w:eastAsiaTheme="minorEastAsia"/>
                      <w:szCs w:val="21"/>
                    </w:rPr>
                  </w:pPr>
                  <w:r>
                    <w:rPr>
                      <w:rFonts w:eastAsiaTheme="minorEastAsia"/>
                      <w:szCs w:val="21"/>
                    </w:rPr>
                    <w:t>监测数据</w:t>
                  </w:r>
                </w:p>
              </w:tc>
              <w:tc>
                <w:tcPr>
                  <w:tcW w:w="1103" w:type="pct"/>
                  <w:tcBorders>
                    <w:top w:val="single" w:color="auto" w:sz="4" w:space="0"/>
                    <w:left w:val="single" w:color="auto" w:sz="4" w:space="0"/>
                    <w:bottom w:val="single" w:color="auto" w:sz="4" w:space="0"/>
                    <w:right w:val="single" w:color="auto" w:sz="4" w:space="0"/>
                  </w:tcBorders>
                  <w:vAlign w:val="center"/>
                </w:tcPr>
                <w:p w14:paraId="14DF42B4">
                  <w:pPr>
                    <w:adjustRightInd w:val="0"/>
                    <w:snapToGrid w:val="0"/>
                    <w:jc w:val="center"/>
                    <w:rPr>
                      <w:rFonts w:eastAsiaTheme="minorEastAsia"/>
                      <w:snapToGrid w:val="0"/>
                      <w:kern w:val="0"/>
                      <w:szCs w:val="21"/>
                    </w:rPr>
                  </w:pPr>
                  <w:r>
                    <w:rPr>
                      <w:rFonts w:eastAsiaTheme="minorEastAsia"/>
                      <w:szCs w:val="21"/>
                    </w:rPr>
                    <w:t>标准值</w:t>
                  </w:r>
                </w:p>
              </w:tc>
              <w:tc>
                <w:tcPr>
                  <w:tcW w:w="819" w:type="pct"/>
                  <w:tcBorders>
                    <w:top w:val="single" w:color="auto" w:sz="4" w:space="0"/>
                    <w:left w:val="single" w:color="auto" w:sz="4" w:space="0"/>
                    <w:bottom w:val="single" w:color="auto" w:sz="4" w:space="0"/>
                  </w:tcBorders>
                  <w:vAlign w:val="center"/>
                </w:tcPr>
                <w:p w14:paraId="540EA644">
                  <w:pPr>
                    <w:adjustRightInd w:val="0"/>
                    <w:snapToGrid w:val="0"/>
                    <w:jc w:val="center"/>
                    <w:rPr>
                      <w:rFonts w:eastAsiaTheme="minorEastAsia"/>
                      <w:snapToGrid w:val="0"/>
                      <w:kern w:val="0"/>
                      <w:szCs w:val="21"/>
                    </w:rPr>
                  </w:pPr>
                  <w:r>
                    <w:rPr>
                      <w:rFonts w:eastAsiaTheme="minorEastAsia"/>
                      <w:szCs w:val="21"/>
                    </w:rPr>
                    <w:t>达标情况</w:t>
                  </w:r>
                </w:p>
              </w:tc>
            </w:tr>
            <w:tr w14:paraId="0985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tcBorders>
                    <w:top w:val="single" w:color="auto" w:sz="4" w:space="0"/>
                    <w:bottom w:val="single" w:color="auto" w:sz="4" w:space="0"/>
                    <w:right w:val="single" w:color="auto" w:sz="4" w:space="0"/>
                  </w:tcBorders>
                  <w:vAlign w:val="center"/>
                </w:tcPr>
                <w:p w14:paraId="09F6280F">
                  <w:pPr>
                    <w:adjustRightInd w:val="0"/>
                    <w:snapToGrid w:val="0"/>
                    <w:jc w:val="center"/>
                    <w:rPr>
                      <w:rFonts w:eastAsiaTheme="minorEastAsia"/>
                      <w:szCs w:val="21"/>
                    </w:rPr>
                  </w:pPr>
                  <w:r>
                    <w:rPr>
                      <w:rFonts w:eastAsiaTheme="minorEastAsia"/>
                      <w:szCs w:val="21"/>
                    </w:rPr>
                    <w:t>监测点位</w:t>
                  </w:r>
                </w:p>
              </w:tc>
              <w:tc>
                <w:tcPr>
                  <w:tcW w:w="1187" w:type="pct"/>
                  <w:tcBorders>
                    <w:top w:val="single" w:color="auto" w:sz="4" w:space="0"/>
                    <w:left w:val="single" w:color="auto" w:sz="4" w:space="0"/>
                    <w:bottom w:val="single" w:color="auto" w:sz="4" w:space="0"/>
                    <w:right w:val="single" w:color="auto" w:sz="4" w:space="0"/>
                  </w:tcBorders>
                  <w:vAlign w:val="center"/>
                </w:tcPr>
                <w:p w14:paraId="436B6C50">
                  <w:pPr>
                    <w:tabs>
                      <w:tab w:val="center" w:pos="1440"/>
                    </w:tabs>
                    <w:adjustRightInd w:val="0"/>
                    <w:snapToGrid w:val="0"/>
                    <w:jc w:val="center"/>
                    <w:rPr>
                      <w:rFonts w:eastAsiaTheme="minorEastAsia"/>
                      <w:szCs w:val="21"/>
                    </w:rPr>
                  </w:pPr>
                  <w:r>
                    <w:rPr>
                      <w:rFonts w:eastAsiaTheme="minorEastAsia"/>
                      <w:szCs w:val="21"/>
                    </w:rPr>
                    <w:t>生产车间边界处</w:t>
                  </w:r>
                </w:p>
              </w:tc>
              <w:tc>
                <w:tcPr>
                  <w:tcW w:w="1103" w:type="pct"/>
                  <w:tcBorders>
                    <w:top w:val="single" w:color="auto" w:sz="4" w:space="0"/>
                    <w:left w:val="single" w:color="auto" w:sz="4" w:space="0"/>
                    <w:bottom w:val="single" w:color="auto" w:sz="4" w:space="0"/>
                    <w:right w:val="single" w:color="auto" w:sz="4" w:space="0"/>
                  </w:tcBorders>
                  <w:vAlign w:val="center"/>
                </w:tcPr>
                <w:p w14:paraId="0B2720FE">
                  <w:pPr>
                    <w:adjustRightInd w:val="0"/>
                    <w:snapToGrid w:val="0"/>
                    <w:jc w:val="center"/>
                    <w:rPr>
                      <w:rFonts w:eastAsiaTheme="minorEastAsia"/>
                      <w:szCs w:val="21"/>
                    </w:rPr>
                  </w:pPr>
                  <w:r>
                    <w:rPr>
                      <w:rFonts w:eastAsiaTheme="minorEastAsia"/>
                      <w:szCs w:val="21"/>
                    </w:rPr>
                    <w:t>/</w:t>
                  </w:r>
                </w:p>
              </w:tc>
              <w:tc>
                <w:tcPr>
                  <w:tcW w:w="819" w:type="pct"/>
                  <w:tcBorders>
                    <w:top w:val="single" w:color="auto" w:sz="4" w:space="0"/>
                    <w:left w:val="single" w:color="auto" w:sz="4" w:space="0"/>
                    <w:bottom w:val="single" w:color="auto" w:sz="4" w:space="0"/>
                  </w:tcBorders>
                  <w:vAlign w:val="center"/>
                </w:tcPr>
                <w:p w14:paraId="77296146">
                  <w:pPr>
                    <w:adjustRightInd w:val="0"/>
                    <w:snapToGrid w:val="0"/>
                    <w:jc w:val="center"/>
                    <w:rPr>
                      <w:rFonts w:eastAsiaTheme="minorEastAsia"/>
                      <w:szCs w:val="21"/>
                    </w:rPr>
                  </w:pPr>
                  <w:r>
                    <w:rPr>
                      <w:rFonts w:eastAsiaTheme="minorEastAsia"/>
                      <w:szCs w:val="21"/>
                    </w:rPr>
                    <w:t>/</w:t>
                  </w:r>
                </w:p>
              </w:tc>
            </w:tr>
            <w:tr w14:paraId="6B9D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924F84E">
                  <w:pPr>
                    <w:adjustRightInd w:val="0"/>
                    <w:snapToGrid w:val="0"/>
                    <w:jc w:val="center"/>
                    <w:rPr>
                      <w:rFonts w:eastAsiaTheme="minorEastAsia"/>
                      <w:snapToGrid w:val="0"/>
                      <w:kern w:val="0"/>
                      <w:szCs w:val="21"/>
                    </w:rPr>
                  </w:pPr>
                  <w:r>
                    <w:rPr>
                      <w:rFonts w:eastAsiaTheme="minorEastAsia"/>
                      <w:szCs w:val="21"/>
                    </w:rPr>
                    <w:t>石油烃（C</w:t>
                  </w:r>
                  <w:r>
                    <w:rPr>
                      <w:rFonts w:eastAsiaTheme="minorEastAsia"/>
                      <w:szCs w:val="21"/>
                      <w:vertAlign w:val="subscript"/>
                    </w:rPr>
                    <w:t>10</w:t>
                  </w:r>
                  <w:r>
                    <w:rPr>
                      <w:rFonts w:eastAsiaTheme="minorEastAsia"/>
                      <w:szCs w:val="21"/>
                    </w:rPr>
                    <w:t>-C</w:t>
                  </w:r>
                  <w:r>
                    <w:rPr>
                      <w:rFonts w:eastAsiaTheme="minorEastAsia"/>
                      <w:szCs w:val="21"/>
                      <w:vertAlign w:val="subscript"/>
                    </w:rPr>
                    <w:t>40</w:t>
                  </w:r>
                  <w:r>
                    <w:rPr>
                      <w:rFonts w:eastAsiaTheme="minorEastAsia"/>
                      <w:szCs w:val="21"/>
                    </w:rPr>
                    <w:t>）（mg/kg）</w:t>
                  </w:r>
                </w:p>
              </w:tc>
              <w:tc>
                <w:tcPr>
                  <w:tcW w:w="1187" w:type="pct"/>
                  <w:vAlign w:val="center"/>
                </w:tcPr>
                <w:p w14:paraId="4A56B787">
                  <w:pPr>
                    <w:adjustRightInd w:val="0"/>
                    <w:snapToGrid w:val="0"/>
                    <w:jc w:val="center"/>
                    <w:rPr>
                      <w:rFonts w:eastAsiaTheme="minorEastAsia"/>
                      <w:snapToGrid w:val="0"/>
                      <w:kern w:val="0"/>
                      <w:szCs w:val="21"/>
                    </w:rPr>
                  </w:pPr>
                  <w:r>
                    <w:rPr>
                      <w:rFonts w:eastAsiaTheme="minorEastAsia"/>
                      <w:snapToGrid w:val="0"/>
                      <w:kern w:val="0"/>
                      <w:szCs w:val="21"/>
                    </w:rPr>
                    <w:t>18</w:t>
                  </w:r>
                </w:p>
              </w:tc>
              <w:tc>
                <w:tcPr>
                  <w:tcW w:w="1103" w:type="pct"/>
                  <w:tcBorders>
                    <w:top w:val="single" w:color="auto" w:sz="4" w:space="0"/>
                    <w:left w:val="single" w:color="auto" w:sz="4" w:space="0"/>
                    <w:bottom w:val="single" w:color="auto" w:sz="4" w:space="0"/>
                    <w:right w:val="single" w:color="auto" w:sz="4" w:space="0"/>
                  </w:tcBorders>
                  <w:vAlign w:val="center"/>
                </w:tcPr>
                <w:p w14:paraId="7BCBA529">
                  <w:pPr>
                    <w:adjustRightInd w:val="0"/>
                    <w:snapToGrid w:val="0"/>
                    <w:jc w:val="center"/>
                    <w:rPr>
                      <w:rFonts w:eastAsiaTheme="minorEastAsia"/>
                      <w:snapToGrid w:val="0"/>
                      <w:kern w:val="0"/>
                      <w:szCs w:val="21"/>
                    </w:rPr>
                  </w:pPr>
                  <w:r>
                    <w:rPr>
                      <w:rFonts w:eastAsiaTheme="minorEastAsia"/>
                      <w:snapToGrid w:val="0"/>
                      <w:kern w:val="0"/>
                      <w:szCs w:val="21"/>
                    </w:rPr>
                    <w:t>4500</w:t>
                  </w:r>
                </w:p>
              </w:tc>
              <w:tc>
                <w:tcPr>
                  <w:tcW w:w="819" w:type="pct"/>
                  <w:tcBorders>
                    <w:top w:val="single" w:color="auto" w:sz="4" w:space="0"/>
                    <w:left w:val="single" w:color="auto" w:sz="4" w:space="0"/>
                    <w:bottom w:val="single" w:color="auto" w:sz="4" w:space="0"/>
                  </w:tcBorders>
                  <w:vAlign w:val="center"/>
                </w:tcPr>
                <w:p w14:paraId="4E8BFE0B">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52D8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21845458">
                  <w:pPr>
                    <w:adjustRightInd w:val="0"/>
                    <w:snapToGrid w:val="0"/>
                    <w:jc w:val="center"/>
                    <w:rPr>
                      <w:rFonts w:eastAsiaTheme="minorEastAsia"/>
                      <w:snapToGrid w:val="0"/>
                      <w:kern w:val="0"/>
                      <w:szCs w:val="21"/>
                    </w:rPr>
                  </w:pPr>
                  <w:r>
                    <w:rPr>
                      <w:rFonts w:eastAsiaTheme="minorEastAsia"/>
                      <w:szCs w:val="21"/>
                    </w:rPr>
                    <w:t>总砷（mg/kg）</w:t>
                  </w:r>
                </w:p>
              </w:tc>
              <w:tc>
                <w:tcPr>
                  <w:tcW w:w="1187" w:type="pct"/>
                  <w:vAlign w:val="center"/>
                </w:tcPr>
                <w:p w14:paraId="6CA474EE">
                  <w:pPr>
                    <w:adjustRightInd w:val="0"/>
                    <w:snapToGrid w:val="0"/>
                    <w:jc w:val="center"/>
                    <w:rPr>
                      <w:rFonts w:eastAsiaTheme="minorEastAsia"/>
                      <w:snapToGrid w:val="0"/>
                      <w:kern w:val="0"/>
                      <w:szCs w:val="21"/>
                    </w:rPr>
                  </w:pPr>
                  <w:r>
                    <w:rPr>
                      <w:rFonts w:eastAsiaTheme="minorEastAsia"/>
                      <w:snapToGrid w:val="0"/>
                      <w:kern w:val="0"/>
                      <w:szCs w:val="21"/>
                    </w:rPr>
                    <w:t>9.58</w:t>
                  </w:r>
                </w:p>
              </w:tc>
              <w:tc>
                <w:tcPr>
                  <w:tcW w:w="1103" w:type="pct"/>
                  <w:tcBorders>
                    <w:top w:val="single" w:color="auto" w:sz="4" w:space="0"/>
                    <w:left w:val="single" w:color="auto" w:sz="4" w:space="0"/>
                    <w:bottom w:val="single" w:color="auto" w:sz="4" w:space="0"/>
                    <w:right w:val="single" w:color="auto" w:sz="4" w:space="0"/>
                  </w:tcBorders>
                  <w:vAlign w:val="center"/>
                </w:tcPr>
                <w:p w14:paraId="7C26BACE">
                  <w:pPr>
                    <w:adjustRightInd w:val="0"/>
                    <w:snapToGrid w:val="0"/>
                    <w:jc w:val="center"/>
                    <w:rPr>
                      <w:rFonts w:eastAsiaTheme="minorEastAsia"/>
                      <w:snapToGrid w:val="0"/>
                      <w:kern w:val="0"/>
                      <w:szCs w:val="21"/>
                    </w:rPr>
                  </w:pPr>
                  <w:r>
                    <w:rPr>
                      <w:rFonts w:eastAsiaTheme="minorEastAsia"/>
                      <w:snapToGrid w:val="0"/>
                      <w:kern w:val="0"/>
                      <w:szCs w:val="21"/>
                    </w:rPr>
                    <w:t>60</w:t>
                  </w:r>
                </w:p>
              </w:tc>
              <w:tc>
                <w:tcPr>
                  <w:tcW w:w="819" w:type="pct"/>
                  <w:tcBorders>
                    <w:top w:val="single" w:color="auto" w:sz="4" w:space="0"/>
                    <w:left w:val="single" w:color="auto" w:sz="4" w:space="0"/>
                    <w:bottom w:val="single" w:color="auto" w:sz="4" w:space="0"/>
                  </w:tcBorders>
                </w:tcPr>
                <w:p w14:paraId="74D963D9">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23DC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5512C2EA">
                  <w:pPr>
                    <w:adjustRightInd w:val="0"/>
                    <w:snapToGrid w:val="0"/>
                    <w:jc w:val="center"/>
                    <w:rPr>
                      <w:rFonts w:eastAsiaTheme="minorEastAsia"/>
                      <w:snapToGrid w:val="0"/>
                      <w:kern w:val="0"/>
                      <w:szCs w:val="21"/>
                    </w:rPr>
                  </w:pPr>
                  <w:r>
                    <w:rPr>
                      <w:rFonts w:eastAsiaTheme="minorEastAsia"/>
                      <w:szCs w:val="21"/>
                    </w:rPr>
                    <w:t>镉（mg/kg）</w:t>
                  </w:r>
                </w:p>
              </w:tc>
              <w:tc>
                <w:tcPr>
                  <w:tcW w:w="1187" w:type="pct"/>
                  <w:vAlign w:val="center"/>
                </w:tcPr>
                <w:p w14:paraId="4BCC66DF">
                  <w:pPr>
                    <w:adjustRightInd w:val="0"/>
                    <w:snapToGrid w:val="0"/>
                    <w:jc w:val="center"/>
                    <w:rPr>
                      <w:rFonts w:eastAsiaTheme="minorEastAsia"/>
                      <w:snapToGrid w:val="0"/>
                      <w:kern w:val="0"/>
                      <w:szCs w:val="21"/>
                    </w:rPr>
                  </w:pPr>
                  <w:r>
                    <w:rPr>
                      <w:rFonts w:eastAsiaTheme="minorEastAsia"/>
                      <w:snapToGrid w:val="0"/>
                      <w:kern w:val="0"/>
                      <w:szCs w:val="21"/>
                    </w:rPr>
                    <w:t>0.12</w:t>
                  </w:r>
                </w:p>
              </w:tc>
              <w:tc>
                <w:tcPr>
                  <w:tcW w:w="1103" w:type="pct"/>
                  <w:tcBorders>
                    <w:top w:val="single" w:color="auto" w:sz="4" w:space="0"/>
                    <w:left w:val="single" w:color="auto" w:sz="4" w:space="0"/>
                    <w:bottom w:val="single" w:color="auto" w:sz="4" w:space="0"/>
                    <w:right w:val="single" w:color="auto" w:sz="4" w:space="0"/>
                  </w:tcBorders>
                  <w:vAlign w:val="center"/>
                </w:tcPr>
                <w:p w14:paraId="7B934702">
                  <w:pPr>
                    <w:adjustRightInd w:val="0"/>
                    <w:snapToGrid w:val="0"/>
                    <w:jc w:val="center"/>
                    <w:rPr>
                      <w:rFonts w:eastAsiaTheme="minorEastAsia"/>
                      <w:snapToGrid w:val="0"/>
                      <w:kern w:val="0"/>
                      <w:szCs w:val="21"/>
                    </w:rPr>
                  </w:pPr>
                  <w:r>
                    <w:rPr>
                      <w:rFonts w:eastAsiaTheme="minorEastAsia"/>
                      <w:snapToGrid w:val="0"/>
                      <w:kern w:val="0"/>
                      <w:szCs w:val="21"/>
                    </w:rPr>
                    <w:t>65</w:t>
                  </w:r>
                </w:p>
              </w:tc>
              <w:tc>
                <w:tcPr>
                  <w:tcW w:w="819" w:type="pct"/>
                  <w:tcBorders>
                    <w:top w:val="single" w:color="auto" w:sz="4" w:space="0"/>
                    <w:left w:val="single" w:color="auto" w:sz="4" w:space="0"/>
                    <w:bottom w:val="single" w:color="auto" w:sz="4" w:space="0"/>
                  </w:tcBorders>
                </w:tcPr>
                <w:p w14:paraId="5C181B4D">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76EA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515CA9D2">
                  <w:pPr>
                    <w:adjustRightInd w:val="0"/>
                    <w:snapToGrid w:val="0"/>
                    <w:jc w:val="center"/>
                    <w:rPr>
                      <w:rFonts w:eastAsiaTheme="minorEastAsia"/>
                      <w:snapToGrid w:val="0"/>
                      <w:kern w:val="0"/>
                      <w:szCs w:val="21"/>
                    </w:rPr>
                  </w:pPr>
                  <w:r>
                    <w:rPr>
                      <w:rFonts w:eastAsiaTheme="minorEastAsia"/>
                      <w:szCs w:val="21"/>
                    </w:rPr>
                    <w:t>六价铬（mg/kg）</w:t>
                  </w:r>
                </w:p>
              </w:tc>
              <w:tc>
                <w:tcPr>
                  <w:tcW w:w="1187" w:type="pct"/>
                  <w:vAlign w:val="center"/>
                </w:tcPr>
                <w:p w14:paraId="6AEBBC5F">
                  <w:pPr>
                    <w:adjustRightInd w:val="0"/>
                    <w:snapToGrid w:val="0"/>
                    <w:jc w:val="center"/>
                    <w:rPr>
                      <w:rFonts w:eastAsiaTheme="minorEastAsia"/>
                      <w:snapToGrid w:val="0"/>
                      <w:kern w:val="0"/>
                      <w:szCs w:val="21"/>
                    </w:rPr>
                  </w:pPr>
                  <w:r>
                    <w:rPr>
                      <w:rFonts w:eastAsiaTheme="minorEastAsia"/>
                      <w:snapToGrid w:val="0"/>
                      <w:kern w:val="0"/>
                      <w:szCs w:val="21"/>
                    </w:rPr>
                    <w:t>＜0.5</w:t>
                  </w:r>
                </w:p>
              </w:tc>
              <w:tc>
                <w:tcPr>
                  <w:tcW w:w="1103" w:type="pct"/>
                  <w:tcBorders>
                    <w:top w:val="single" w:color="auto" w:sz="4" w:space="0"/>
                    <w:left w:val="single" w:color="auto" w:sz="4" w:space="0"/>
                    <w:bottom w:val="single" w:color="auto" w:sz="4" w:space="0"/>
                    <w:right w:val="single" w:color="auto" w:sz="4" w:space="0"/>
                  </w:tcBorders>
                  <w:vAlign w:val="center"/>
                </w:tcPr>
                <w:p w14:paraId="70A6759B">
                  <w:pPr>
                    <w:adjustRightInd w:val="0"/>
                    <w:snapToGrid w:val="0"/>
                    <w:jc w:val="center"/>
                    <w:rPr>
                      <w:rFonts w:eastAsiaTheme="minorEastAsia"/>
                      <w:snapToGrid w:val="0"/>
                      <w:kern w:val="0"/>
                      <w:szCs w:val="21"/>
                    </w:rPr>
                  </w:pPr>
                  <w:r>
                    <w:rPr>
                      <w:rFonts w:eastAsiaTheme="minorEastAsia"/>
                      <w:snapToGrid w:val="0"/>
                      <w:kern w:val="0"/>
                      <w:szCs w:val="21"/>
                    </w:rPr>
                    <w:t>5.7</w:t>
                  </w:r>
                </w:p>
              </w:tc>
              <w:tc>
                <w:tcPr>
                  <w:tcW w:w="819" w:type="pct"/>
                  <w:tcBorders>
                    <w:top w:val="single" w:color="auto" w:sz="4" w:space="0"/>
                    <w:left w:val="single" w:color="auto" w:sz="4" w:space="0"/>
                    <w:bottom w:val="single" w:color="auto" w:sz="4" w:space="0"/>
                  </w:tcBorders>
                </w:tcPr>
                <w:p w14:paraId="3CFAA722">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0AB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1E10DB58">
                  <w:pPr>
                    <w:adjustRightInd w:val="0"/>
                    <w:snapToGrid w:val="0"/>
                    <w:jc w:val="center"/>
                    <w:rPr>
                      <w:rFonts w:eastAsiaTheme="minorEastAsia"/>
                      <w:snapToGrid w:val="0"/>
                      <w:kern w:val="0"/>
                      <w:szCs w:val="21"/>
                    </w:rPr>
                  </w:pPr>
                  <w:r>
                    <w:rPr>
                      <w:rFonts w:eastAsiaTheme="minorEastAsia"/>
                      <w:szCs w:val="21"/>
                    </w:rPr>
                    <w:t>铜（mg/kg）</w:t>
                  </w:r>
                </w:p>
              </w:tc>
              <w:tc>
                <w:tcPr>
                  <w:tcW w:w="1187" w:type="pct"/>
                  <w:vAlign w:val="center"/>
                </w:tcPr>
                <w:p w14:paraId="07BB700D">
                  <w:pPr>
                    <w:adjustRightInd w:val="0"/>
                    <w:snapToGrid w:val="0"/>
                    <w:jc w:val="center"/>
                    <w:rPr>
                      <w:rFonts w:eastAsiaTheme="minorEastAsia"/>
                      <w:snapToGrid w:val="0"/>
                      <w:kern w:val="0"/>
                      <w:szCs w:val="21"/>
                    </w:rPr>
                  </w:pPr>
                  <w:r>
                    <w:rPr>
                      <w:rFonts w:eastAsiaTheme="minorEastAsia"/>
                      <w:snapToGrid w:val="0"/>
                      <w:kern w:val="0"/>
                      <w:szCs w:val="21"/>
                    </w:rPr>
                    <w:t>18</w:t>
                  </w:r>
                </w:p>
              </w:tc>
              <w:tc>
                <w:tcPr>
                  <w:tcW w:w="1103" w:type="pct"/>
                  <w:tcBorders>
                    <w:top w:val="single" w:color="auto" w:sz="4" w:space="0"/>
                    <w:left w:val="single" w:color="auto" w:sz="4" w:space="0"/>
                    <w:bottom w:val="single" w:color="auto" w:sz="4" w:space="0"/>
                    <w:right w:val="single" w:color="auto" w:sz="4" w:space="0"/>
                  </w:tcBorders>
                  <w:vAlign w:val="center"/>
                </w:tcPr>
                <w:p w14:paraId="3CC6553A">
                  <w:pPr>
                    <w:adjustRightInd w:val="0"/>
                    <w:snapToGrid w:val="0"/>
                    <w:jc w:val="center"/>
                    <w:rPr>
                      <w:rFonts w:eastAsiaTheme="minorEastAsia"/>
                      <w:snapToGrid w:val="0"/>
                      <w:kern w:val="0"/>
                      <w:szCs w:val="21"/>
                    </w:rPr>
                  </w:pPr>
                  <w:r>
                    <w:rPr>
                      <w:rFonts w:eastAsiaTheme="minorEastAsia"/>
                      <w:snapToGrid w:val="0"/>
                      <w:kern w:val="0"/>
                      <w:szCs w:val="21"/>
                    </w:rPr>
                    <w:t>18000</w:t>
                  </w:r>
                </w:p>
              </w:tc>
              <w:tc>
                <w:tcPr>
                  <w:tcW w:w="819" w:type="pct"/>
                  <w:tcBorders>
                    <w:top w:val="single" w:color="auto" w:sz="4" w:space="0"/>
                    <w:left w:val="single" w:color="auto" w:sz="4" w:space="0"/>
                    <w:bottom w:val="single" w:color="auto" w:sz="4" w:space="0"/>
                  </w:tcBorders>
                </w:tcPr>
                <w:p w14:paraId="1FC055E2">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7F83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3E8DAFF6">
                  <w:pPr>
                    <w:adjustRightInd w:val="0"/>
                    <w:snapToGrid w:val="0"/>
                    <w:jc w:val="center"/>
                    <w:rPr>
                      <w:rFonts w:eastAsiaTheme="minorEastAsia"/>
                      <w:snapToGrid w:val="0"/>
                      <w:kern w:val="0"/>
                      <w:szCs w:val="21"/>
                    </w:rPr>
                  </w:pPr>
                  <w:r>
                    <w:rPr>
                      <w:rFonts w:eastAsiaTheme="minorEastAsia"/>
                      <w:szCs w:val="21"/>
                    </w:rPr>
                    <w:t>铅（mg/kg）</w:t>
                  </w:r>
                </w:p>
              </w:tc>
              <w:tc>
                <w:tcPr>
                  <w:tcW w:w="1187" w:type="pct"/>
                  <w:vAlign w:val="center"/>
                </w:tcPr>
                <w:p w14:paraId="5CA44389">
                  <w:pPr>
                    <w:adjustRightInd w:val="0"/>
                    <w:snapToGrid w:val="0"/>
                    <w:jc w:val="center"/>
                    <w:rPr>
                      <w:rFonts w:eastAsiaTheme="minorEastAsia"/>
                      <w:snapToGrid w:val="0"/>
                      <w:kern w:val="0"/>
                      <w:szCs w:val="21"/>
                    </w:rPr>
                  </w:pPr>
                  <w:r>
                    <w:rPr>
                      <w:rFonts w:eastAsiaTheme="minorEastAsia"/>
                      <w:snapToGrid w:val="0"/>
                      <w:kern w:val="0"/>
                      <w:szCs w:val="21"/>
                    </w:rPr>
                    <w:t>18.8</w:t>
                  </w:r>
                </w:p>
              </w:tc>
              <w:tc>
                <w:tcPr>
                  <w:tcW w:w="1103" w:type="pct"/>
                  <w:tcBorders>
                    <w:top w:val="single" w:color="auto" w:sz="4" w:space="0"/>
                    <w:left w:val="single" w:color="auto" w:sz="4" w:space="0"/>
                    <w:bottom w:val="single" w:color="auto" w:sz="4" w:space="0"/>
                    <w:right w:val="single" w:color="auto" w:sz="4" w:space="0"/>
                  </w:tcBorders>
                  <w:vAlign w:val="center"/>
                </w:tcPr>
                <w:p w14:paraId="24BFD070">
                  <w:pPr>
                    <w:adjustRightInd w:val="0"/>
                    <w:snapToGrid w:val="0"/>
                    <w:jc w:val="center"/>
                    <w:rPr>
                      <w:rFonts w:eastAsiaTheme="minorEastAsia"/>
                      <w:snapToGrid w:val="0"/>
                      <w:kern w:val="0"/>
                      <w:szCs w:val="21"/>
                    </w:rPr>
                  </w:pPr>
                  <w:r>
                    <w:rPr>
                      <w:rFonts w:eastAsiaTheme="minorEastAsia"/>
                      <w:snapToGrid w:val="0"/>
                      <w:kern w:val="0"/>
                      <w:szCs w:val="21"/>
                    </w:rPr>
                    <w:t>800</w:t>
                  </w:r>
                </w:p>
              </w:tc>
              <w:tc>
                <w:tcPr>
                  <w:tcW w:w="819" w:type="pct"/>
                  <w:tcBorders>
                    <w:top w:val="single" w:color="auto" w:sz="4" w:space="0"/>
                    <w:left w:val="single" w:color="auto" w:sz="4" w:space="0"/>
                    <w:bottom w:val="single" w:color="auto" w:sz="4" w:space="0"/>
                  </w:tcBorders>
                </w:tcPr>
                <w:p w14:paraId="6DAC2137">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908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7855733">
                  <w:pPr>
                    <w:adjustRightInd w:val="0"/>
                    <w:snapToGrid w:val="0"/>
                    <w:jc w:val="center"/>
                    <w:rPr>
                      <w:rFonts w:eastAsiaTheme="minorEastAsia"/>
                      <w:snapToGrid w:val="0"/>
                      <w:kern w:val="0"/>
                      <w:szCs w:val="21"/>
                    </w:rPr>
                  </w:pPr>
                  <w:r>
                    <w:rPr>
                      <w:rFonts w:eastAsiaTheme="minorEastAsia"/>
                      <w:szCs w:val="21"/>
                    </w:rPr>
                    <w:t>总汞（mg/kg）</w:t>
                  </w:r>
                </w:p>
              </w:tc>
              <w:tc>
                <w:tcPr>
                  <w:tcW w:w="1187" w:type="pct"/>
                  <w:shd w:val="clear" w:color="auto" w:fill="auto"/>
                  <w:vAlign w:val="center"/>
                </w:tcPr>
                <w:p w14:paraId="016F3159">
                  <w:pPr>
                    <w:adjustRightInd w:val="0"/>
                    <w:snapToGrid w:val="0"/>
                    <w:jc w:val="center"/>
                    <w:rPr>
                      <w:rFonts w:eastAsiaTheme="minorEastAsia"/>
                      <w:snapToGrid w:val="0"/>
                      <w:kern w:val="0"/>
                      <w:szCs w:val="21"/>
                    </w:rPr>
                  </w:pPr>
                  <w:r>
                    <w:rPr>
                      <w:rFonts w:eastAsiaTheme="minorEastAsia"/>
                      <w:snapToGrid w:val="0"/>
                      <w:kern w:val="0"/>
                      <w:szCs w:val="21"/>
                    </w:rPr>
                    <w:t>0.01</w:t>
                  </w:r>
                </w:p>
              </w:tc>
              <w:tc>
                <w:tcPr>
                  <w:tcW w:w="1103" w:type="pct"/>
                  <w:tcBorders>
                    <w:top w:val="single" w:color="auto" w:sz="4" w:space="0"/>
                    <w:left w:val="single" w:color="auto" w:sz="4" w:space="0"/>
                    <w:bottom w:val="single" w:color="auto" w:sz="4" w:space="0"/>
                    <w:right w:val="single" w:color="auto" w:sz="4" w:space="0"/>
                  </w:tcBorders>
                  <w:vAlign w:val="center"/>
                </w:tcPr>
                <w:p w14:paraId="21C4D370">
                  <w:pPr>
                    <w:adjustRightInd w:val="0"/>
                    <w:snapToGrid w:val="0"/>
                    <w:jc w:val="center"/>
                    <w:rPr>
                      <w:rFonts w:eastAsiaTheme="minorEastAsia"/>
                      <w:snapToGrid w:val="0"/>
                      <w:kern w:val="0"/>
                      <w:szCs w:val="21"/>
                    </w:rPr>
                  </w:pPr>
                  <w:r>
                    <w:rPr>
                      <w:rFonts w:eastAsiaTheme="minorEastAsia"/>
                      <w:snapToGrid w:val="0"/>
                      <w:kern w:val="0"/>
                      <w:szCs w:val="21"/>
                    </w:rPr>
                    <w:t>38</w:t>
                  </w:r>
                </w:p>
              </w:tc>
              <w:tc>
                <w:tcPr>
                  <w:tcW w:w="819" w:type="pct"/>
                  <w:tcBorders>
                    <w:top w:val="single" w:color="auto" w:sz="4" w:space="0"/>
                    <w:left w:val="single" w:color="auto" w:sz="4" w:space="0"/>
                    <w:bottom w:val="single" w:color="auto" w:sz="4" w:space="0"/>
                  </w:tcBorders>
                </w:tcPr>
                <w:p w14:paraId="16F03AB2">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5A92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74C348AA">
                  <w:pPr>
                    <w:tabs>
                      <w:tab w:val="center" w:pos="1440"/>
                    </w:tabs>
                    <w:adjustRightInd w:val="0"/>
                    <w:snapToGrid w:val="0"/>
                    <w:jc w:val="center"/>
                    <w:rPr>
                      <w:rFonts w:eastAsiaTheme="minorEastAsia"/>
                      <w:snapToGrid w:val="0"/>
                      <w:kern w:val="0"/>
                      <w:szCs w:val="21"/>
                    </w:rPr>
                  </w:pPr>
                  <w:r>
                    <w:rPr>
                      <w:rFonts w:eastAsiaTheme="minorEastAsia"/>
                      <w:szCs w:val="21"/>
                    </w:rPr>
                    <w:t>镍（mg/kg）</w:t>
                  </w:r>
                </w:p>
              </w:tc>
              <w:tc>
                <w:tcPr>
                  <w:tcW w:w="1187" w:type="pct"/>
                  <w:vAlign w:val="center"/>
                </w:tcPr>
                <w:p w14:paraId="02C7994F">
                  <w:pPr>
                    <w:adjustRightInd w:val="0"/>
                    <w:snapToGrid w:val="0"/>
                    <w:jc w:val="center"/>
                    <w:rPr>
                      <w:rFonts w:eastAsiaTheme="minorEastAsia"/>
                      <w:snapToGrid w:val="0"/>
                      <w:kern w:val="0"/>
                      <w:szCs w:val="21"/>
                    </w:rPr>
                  </w:pPr>
                  <w:r>
                    <w:rPr>
                      <w:rFonts w:eastAsiaTheme="minorEastAsia"/>
                      <w:snapToGrid w:val="0"/>
                      <w:kern w:val="0"/>
                      <w:szCs w:val="21"/>
                    </w:rPr>
                    <w:t>28</w:t>
                  </w:r>
                </w:p>
              </w:tc>
              <w:tc>
                <w:tcPr>
                  <w:tcW w:w="1103" w:type="pct"/>
                  <w:tcBorders>
                    <w:top w:val="single" w:color="auto" w:sz="4" w:space="0"/>
                    <w:left w:val="single" w:color="auto" w:sz="4" w:space="0"/>
                    <w:bottom w:val="single" w:color="auto" w:sz="4" w:space="0"/>
                    <w:right w:val="single" w:color="auto" w:sz="4" w:space="0"/>
                  </w:tcBorders>
                  <w:vAlign w:val="center"/>
                </w:tcPr>
                <w:p w14:paraId="3E512B04">
                  <w:pPr>
                    <w:adjustRightInd w:val="0"/>
                    <w:snapToGrid w:val="0"/>
                    <w:jc w:val="center"/>
                    <w:rPr>
                      <w:rFonts w:eastAsiaTheme="minorEastAsia"/>
                      <w:snapToGrid w:val="0"/>
                      <w:kern w:val="0"/>
                      <w:szCs w:val="21"/>
                    </w:rPr>
                  </w:pPr>
                  <w:r>
                    <w:rPr>
                      <w:rFonts w:eastAsiaTheme="minorEastAsia"/>
                      <w:snapToGrid w:val="0"/>
                      <w:kern w:val="0"/>
                      <w:szCs w:val="21"/>
                    </w:rPr>
                    <w:t>900</w:t>
                  </w:r>
                </w:p>
              </w:tc>
              <w:tc>
                <w:tcPr>
                  <w:tcW w:w="819" w:type="pct"/>
                  <w:tcBorders>
                    <w:top w:val="single" w:color="auto" w:sz="4" w:space="0"/>
                    <w:left w:val="single" w:color="auto" w:sz="4" w:space="0"/>
                    <w:bottom w:val="single" w:color="auto" w:sz="4" w:space="0"/>
                  </w:tcBorders>
                </w:tcPr>
                <w:p w14:paraId="4AEBFE97">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7105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48C0F7D0">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四氯化碳(μ</w:t>
                  </w:r>
                  <w:r>
                    <w:rPr>
                      <w:rFonts w:eastAsiaTheme="minorEastAsia"/>
                      <w:szCs w:val="21"/>
                    </w:rPr>
                    <w:t>g/</w:t>
                  </w:r>
                  <w:r>
                    <w:rPr>
                      <w:rFonts w:eastAsiaTheme="minorEastAsia"/>
                      <w:kern w:val="0"/>
                      <w:szCs w:val="21"/>
                    </w:rPr>
                    <w:t>kg)</w:t>
                  </w:r>
                </w:p>
              </w:tc>
              <w:tc>
                <w:tcPr>
                  <w:tcW w:w="1187" w:type="pct"/>
                  <w:vAlign w:val="center"/>
                </w:tcPr>
                <w:p w14:paraId="2DEFC62C">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62925721">
                  <w:pPr>
                    <w:adjustRightInd w:val="0"/>
                    <w:snapToGrid w:val="0"/>
                    <w:jc w:val="center"/>
                    <w:rPr>
                      <w:rFonts w:eastAsiaTheme="minorEastAsia"/>
                      <w:snapToGrid w:val="0"/>
                      <w:kern w:val="0"/>
                      <w:szCs w:val="21"/>
                    </w:rPr>
                  </w:pPr>
                  <w:r>
                    <w:rPr>
                      <w:rFonts w:eastAsiaTheme="minorEastAsia"/>
                      <w:snapToGrid w:val="0"/>
                      <w:kern w:val="0"/>
                      <w:szCs w:val="21"/>
                    </w:rPr>
                    <w:t>2.8</w:t>
                  </w:r>
                </w:p>
              </w:tc>
              <w:tc>
                <w:tcPr>
                  <w:tcW w:w="819" w:type="pct"/>
                  <w:tcBorders>
                    <w:top w:val="single" w:color="auto" w:sz="4" w:space="0"/>
                    <w:left w:val="single" w:color="auto" w:sz="4" w:space="0"/>
                    <w:bottom w:val="single" w:color="auto" w:sz="4" w:space="0"/>
                  </w:tcBorders>
                </w:tcPr>
                <w:p w14:paraId="23258254">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B30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7E3A9B32">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氯仿(μ</w:t>
                  </w:r>
                  <w:r>
                    <w:rPr>
                      <w:rFonts w:eastAsiaTheme="minorEastAsia"/>
                      <w:szCs w:val="21"/>
                    </w:rPr>
                    <w:t>g/</w:t>
                  </w:r>
                  <w:r>
                    <w:rPr>
                      <w:rFonts w:eastAsiaTheme="minorEastAsia"/>
                      <w:kern w:val="0"/>
                      <w:szCs w:val="21"/>
                    </w:rPr>
                    <w:t>kg)</w:t>
                  </w:r>
                </w:p>
              </w:tc>
              <w:tc>
                <w:tcPr>
                  <w:tcW w:w="1187" w:type="pct"/>
                </w:tcPr>
                <w:p w14:paraId="2960D828">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03514E47">
                  <w:pPr>
                    <w:adjustRightInd w:val="0"/>
                    <w:snapToGrid w:val="0"/>
                    <w:jc w:val="center"/>
                    <w:rPr>
                      <w:rFonts w:eastAsiaTheme="minorEastAsia"/>
                      <w:snapToGrid w:val="0"/>
                      <w:kern w:val="0"/>
                      <w:szCs w:val="21"/>
                    </w:rPr>
                  </w:pPr>
                  <w:r>
                    <w:rPr>
                      <w:rFonts w:eastAsiaTheme="minorEastAsia"/>
                      <w:snapToGrid w:val="0"/>
                      <w:kern w:val="0"/>
                      <w:szCs w:val="21"/>
                    </w:rPr>
                    <w:t>0.9</w:t>
                  </w:r>
                </w:p>
              </w:tc>
              <w:tc>
                <w:tcPr>
                  <w:tcW w:w="819" w:type="pct"/>
                  <w:tcBorders>
                    <w:top w:val="single" w:color="auto" w:sz="4" w:space="0"/>
                    <w:left w:val="single" w:color="auto" w:sz="4" w:space="0"/>
                    <w:bottom w:val="single" w:color="auto" w:sz="4" w:space="0"/>
                  </w:tcBorders>
                </w:tcPr>
                <w:p w14:paraId="6134A1CE">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5B17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438256C8">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氯甲烷(μ</w:t>
                  </w:r>
                  <w:r>
                    <w:rPr>
                      <w:rFonts w:eastAsiaTheme="minorEastAsia"/>
                      <w:szCs w:val="21"/>
                    </w:rPr>
                    <w:t>g/</w:t>
                  </w:r>
                  <w:r>
                    <w:rPr>
                      <w:rFonts w:eastAsiaTheme="minorEastAsia"/>
                      <w:kern w:val="0"/>
                      <w:szCs w:val="21"/>
                    </w:rPr>
                    <w:t>kg)</w:t>
                  </w:r>
                </w:p>
              </w:tc>
              <w:tc>
                <w:tcPr>
                  <w:tcW w:w="1187" w:type="pct"/>
                </w:tcPr>
                <w:p w14:paraId="7A480F38">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397CCC02">
                  <w:pPr>
                    <w:adjustRightInd w:val="0"/>
                    <w:snapToGrid w:val="0"/>
                    <w:jc w:val="center"/>
                    <w:rPr>
                      <w:rFonts w:eastAsiaTheme="minorEastAsia"/>
                      <w:snapToGrid w:val="0"/>
                      <w:kern w:val="0"/>
                      <w:szCs w:val="21"/>
                    </w:rPr>
                  </w:pPr>
                  <w:r>
                    <w:rPr>
                      <w:rFonts w:eastAsiaTheme="minorEastAsia"/>
                      <w:snapToGrid w:val="0"/>
                      <w:kern w:val="0"/>
                      <w:szCs w:val="21"/>
                    </w:rPr>
                    <w:t>37</w:t>
                  </w:r>
                </w:p>
              </w:tc>
              <w:tc>
                <w:tcPr>
                  <w:tcW w:w="819" w:type="pct"/>
                  <w:tcBorders>
                    <w:top w:val="single" w:color="auto" w:sz="4" w:space="0"/>
                    <w:left w:val="single" w:color="auto" w:sz="4" w:space="0"/>
                    <w:bottom w:val="single" w:color="auto" w:sz="4" w:space="0"/>
                  </w:tcBorders>
                </w:tcPr>
                <w:p w14:paraId="03AB3B87">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D58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28C4FC00">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1,1-二氯乙烷(μ</w:t>
                  </w:r>
                  <w:r>
                    <w:rPr>
                      <w:rFonts w:eastAsiaTheme="minorEastAsia"/>
                      <w:szCs w:val="21"/>
                    </w:rPr>
                    <w:t>g/</w:t>
                  </w:r>
                  <w:r>
                    <w:rPr>
                      <w:rFonts w:eastAsiaTheme="minorEastAsia"/>
                      <w:kern w:val="0"/>
                      <w:szCs w:val="21"/>
                    </w:rPr>
                    <w:t>kg)</w:t>
                  </w:r>
                </w:p>
              </w:tc>
              <w:tc>
                <w:tcPr>
                  <w:tcW w:w="1187" w:type="pct"/>
                </w:tcPr>
                <w:p w14:paraId="28045D60">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4A7EE964">
                  <w:pPr>
                    <w:adjustRightInd w:val="0"/>
                    <w:snapToGrid w:val="0"/>
                    <w:jc w:val="center"/>
                    <w:rPr>
                      <w:rFonts w:eastAsiaTheme="minorEastAsia"/>
                      <w:snapToGrid w:val="0"/>
                      <w:kern w:val="0"/>
                      <w:szCs w:val="21"/>
                    </w:rPr>
                  </w:pPr>
                  <w:r>
                    <w:rPr>
                      <w:rFonts w:eastAsiaTheme="minorEastAsia"/>
                      <w:szCs w:val="21"/>
                    </w:rPr>
                    <w:t>9</w:t>
                  </w:r>
                </w:p>
              </w:tc>
              <w:tc>
                <w:tcPr>
                  <w:tcW w:w="819" w:type="pct"/>
                  <w:tcBorders>
                    <w:top w:val="single" w:color="auto" w:sz="4" w:space="0"/>
                    <w:left w:val="single" w:color="auto" w:sz="4" w:space="0"/>
                    <w:bottom w:val="single" w:color="auto" w:sz="4" w:space="0"/>
                  </w:tcBorders>
                </w:tcPr>
                <w:p w14:paraId="01CC800B">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7300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7245E387">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1,2-二氯乙烷(μ</w:t>
                  </w:r>
                  <w:r>
                    <w:rPr>
                      <w:rFonts w:eastAsiaTheme="minorEastAsia"/>
                      <w:szCs w:val="21"/>
                    </w:rPr>
                    <w:t>g/</w:t>
                  </w:r>
                  <w:r>
                    <w:rPr>
                      <w:rFonts w:eastAsiaTheme="minorEastAsia"/>
                      <w:kern w:val="0"/>
                      <w:szCs w:val="21"/>
                    </w:rPr>
                    <w:t>kg)</w:t>
                  </w:r>
                </w:p>
              </w:tc>
              <w:tc>
                <w:tcPr>
                  <w:tcW w:w="1187" w:type="pct"/>
                </w:tcPr>
                <w:p w14:paraId="7E36AF9F">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12FC5117">
                  <w:pPr>
                    <w:adjustRightInd w:val="0"/>
                    <w:snapToGrid w:val="0"/>
                    <w:jc w:val="center"/>
                    <w:rPr>
                      <w:rFonts w:eastAsiaTheme="minorEastAsia"/>
                      <w:snapToGrid w:val="0"/>
                      <w:kern w:val="0"/>
                      <w:szCs w:val="21"/>
                    </w:rPr>
                  </w:pPr>
                  <w:r>
                    <w:rPr>
                      <w:rFonts w:eastAsiaTheme="minorEastAsia"/>
                      <w:szCs w:val="21"/>
                    </w:rPr>
                    <w:t>5</w:t>
                  </w:r>
                </w:p>
              </w:tc>
              <w:tc>
                <w:tcPr>
                  <w:tcW w:w="819" w:type="pct"/>
                  <w:tcBorders>
                    <w:top w:val="single" w:color="auto" w:sz="4" w:space="0"/>
                    <w:left w:val="single" w:color="auto" w:sz="4" w:space="0"/>
                    <w:bottom w:val="single" w:color="auto" w:sz="4" w:space="0"/>
                  </w:tcBorders>
                </w:tcPr>
                <w:p w14:paraId="74BF893D">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481E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025C2543">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1,1-二氯乙烯(μ</w:t>
                  </w:r>
                  <w:r>
                    <w:rPr>
                      <w:rFonts w:eastAsiaTheme="minorEastAsia"/>
                      <w:szCs w:val="21"/>
                    </w:rPr>
                    <w:t>g/</w:t>
                  </w:r>
                  <w:r>
                    <w:rPr>
                      <w:rFonts w:eastAsiaTheme="minorEastAsia"/>
                      <w:kern w:val="0"/>
                      <w:szCs w:val="21"/>
                    </w:rPr>
                    <w:t>kg)</w:t>
                  </w:r>
                </w:p>
              </w:tc>
              <w:tc>
                <w:tcPr>
                  <w:tcW w:w="1187" w:type="pct"/>
                </w:tcPr>
                <w:p w14:paraId="240E27A0">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4E12E604">
                  <w:pPr>
                    <w:adjustRightInd w:val="0"/>
                    <w:snapToGrid w:val="0"/>
                    <w:jc w:val="center"/>
                    <w:rPr>
                      <w:rFonts w:eastAsiaTheme="minorEastAsia"/>
                      <w:snapToGrid w:val="0"/>
                      <w:kern w:val="0"/>
                      <w:szCs w:val="21"/>
                    </w:rPr>
                  </w:pPr>
                  <w:r>
                    <w:rPr>
                      <w:rFonts w:eastAsiaTheme="minorEastAsia"/>
                      <w:szCs w:val="21"/>
                    </w:rPr>
                    <w:t>66</w:t>
                  </w:r>
                </w:p>
              </w:tc>
              <w:tc>
                <w:tcPr>
                  <w:tcW w:w="819" w:type="pct"/>
                  <w:tcBorders>
                    <w:top w:val="single" w:color="auto" w:sz="4" w:space="0"/>
                    <w:left w:val="single" w:color="auto" w:sz="4" w:space="0"/>
                    <w:bottom w:val="single" w:color="auto" w:sz="4" w:space="0"/>
                  </w:tcBorders>
                </w:tcPr>
                <w:p w14:paraId="460EFD79">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F2B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17ED756">
                  <w:pPr>
                    <w:tabs>
                      <w:tab w:val="center" w:pos="1440"/>
                    </w:tabs>
                    <w:adjustRightInd w:val="0"/>
                    <w:snapToGrid w:val="0"/>
                    <w:jc w:val="center"/>
                    <w:rPr>
                      <w:rFonts w:eastAsiaTheme="minorEastAsia"/>
                      <w:snapToGrid w:val="0"/>
                      <w:kern w:val="0"/>
                      <w:szCs w:val="21"/>
                    </w:rPr>
                  </w:pPr>
                  <w:r>
                    <w:rPr>
                      <w:rFonts w:eastAsiaTheme="minorEastAsia"/>
                      <w:kern w:val="0"/>
                      <w:szCs w:val="21"/>
                    </w:rPr>
                    <w:t>顺-1,2 -二氯乙烯(μ</w:t>
                  </w:r>
                  <w:r>
                    <w:rPr>
                      <w:rFonts w:eastAsiaTheme="minorEastAsia"/>
                      <w:szCs w:val="21"/>
                    </w:rPr>
                    <w:t>g/</w:t>
                  </w:r>
                  <w:r>
                    <w:rPr>
                      <w:rFonts w:eastAsiaTheme="minorEastAsia"/>
                      <w:kern w:val="0"/>
                      <w:szCs w:val="21"/>
                    </w:rPr>
                    <w:t>kg)</w:t>
                  </w:r>
                </w:p>
              </w:tc>
              <w:tc>
                <w:tcPr>
                  <w:tcW w:w="1187" w:type="pct"/>
                </w:tcPr>
                <w:p w14:paraId="5A17DFB9">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60EEA21C">
                  <w:pPr>
                    <w:adjustRightInd w:val="0"/>
                    <w:snapToGrid w:val="0"/>
                    <w:jc w:val="center"/>
                    <w:rPr>
                      <w:rFonts w:eastAsiaTheme="minorEastAsia"/>
                      <w:snapToGrid w:val="0"/>
                      <w:kern w:val="0"/>
                      <w:szCs w:val="21"/>
                    </w:rPr>
                  </w:pPr>
                  <w:r>
                    <w:rPr>
                      <w:rFonts w:eastAsiaTheme="minorEastAsia"/>
                      <w:szCs w:val="21"/>
                    </w:rPr>
                    <w:t>596</w:t>
                  </w:r>
                </w:p>
              </w:tc>
              <w:tc>
                <w:tcPr>
                  <w:tcW w:w="819" w:type="pct"/>
                  <w:tcBorders>
                    <w:top w:val="single" w:color="auto" w:sz="4" w:space="0"/>
                    <w:left w:val="single" w:color="auto" w:sz="4" w:space="0"/>
                    <w:bottom w:val="single" w:color="auto" w:sz="4" w:space="0"/>
                  </w:tcBorders>
                </w:tcPr>
                <w:p w14:paraId="3DCDE736">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4AB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EF1FA7A">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反-1,2 -二氯乙烯(μ</w:t>
                  </w:r>
                  <w:r>
                    <w:rPr>
                      <w:rFonts w:eastAsiaTheme="minorEastAsia"/>
                      <w:szCs w:val="21"/>
                    </w:rPr>
                    <w:t>g/</w:t>
                  </w:r>
                  <w:r>
                    <w:rPr>
                      <w:rFonts w:eastAsiaTheme="minorEastAsia"/>
                      <w:kern w:val="0"/>
                      <w:szCs w:val="21"/>
                    </w:rPr>
                    <w:t>kg)</w:t>
                  </w:r>
                </w:p>
              </w:tc>
              <w:tc>
                <w:tcPr>
                  <w:tcW w:w="1187" w:type="pct"/>
                </w:tcPr>
                <w:p w14:paraId="542314E7">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60E5C20D">
                  <w:pPr>
                    <w:adjustRightInd w:val="0"/>
                    <w:snapToGrid w:val="0"/>
                    <w:jc w:val="center"/>
                    <w:rPr>
                      <w:rFonts w:eastAsiaTheme="minorEastAsia"/>
                      <w:snapToGrid w:val="0"/>
                      <w:kern w:val="0"/>
                      <w:szCs w:val="21"/>
                    </w:rPr>
                  </w:pPr>
                  <w:r>
                    <w:rPr>
                      <w:rFonts w:eastAsiaTheme="minorEastAsia"/>
                      <w:szCs w:val="21"/>
                    </w:rPr>
                    <w:t>54</w:t>
                  </w:r>
                </w:p>
              </w:tc>
              <w:tc>
                <w:tcPr>
                  <w:tcW w:w="819" w:type="pct"/>
                  <w:tcBorders>
                    <w:top w:val="single" w:color="auto" w:sz="4" w:space="0"/>
                    <w:left w:val="single" w:color="auto" w:sz="4" w:space="0"/>
                    <w:bottom w:val="single" w:color="auto" w:sz="4" w:space="0"/>
                  </w:tcBorders>
                </w:tcPr>
                <w:p w14:paraId="69524848">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45DE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2349C76C">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二氯甲烷(μ</w:t>
                  </w:r>
                  <w:r>
                    <w:rPr>
                      <w:rFonts w:eastAsiaTheme="minorEastAsia"/>
                      <w:szCs w:val="21"/>
                    </w:rPr>
                    <w:t>g/</w:t>
                  </w:r>
                  <w:r>
                    <w:rPr>
                      <w:rFonts w:eastAsiaTheme="minorEastAsia"/>
                      <w:kern w:val="0"/>
                      <w:szCs w:val="21"/>
                    </w:rPr>
                    <w:t>kg)</w:t>
                  </w:r>
                </w:p>
              </w:tc>
              <w:tc>
                <w:tcPr>
                  <w:tcW w:w="1187" w:type="pct"/>
                </w:tcPr>
                <w:p w14:paraId="60745113">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695733BF">
                  <w:pPr>
                    <w:adjustRightInd w:val="0"/>
                    <w:snapToGrid w:val="0"/>
                    <w:jc w:val="center"/>
                    <w:rPr>
                      <w:rFonts w:eastAsiaTheme="minorEastAsia"/>
                      <w:snapToGrid w:val="0"/>
                      <w:kern w:val="0"/>
                      <w:szCs w:val="21"/>
                    </w:rPr>
                  </w:pPr>
                  <w:r>
                    <w:rPr>
                      <w:rFonts w:eastAsiaTheme="minorEastAsia"/>
                      <w:szCs w:val="21"/>
                    </w:rPr>
                    <w:t>616</w:t>
                  </w:r>
                </w:p>
              </w:tc>
              <w:tc>
                <w:tcPr>
                  <w:tcW w:w="819" w:type="pct"/>
                  <w:tcBorders>
                    <w:top w:val="single" w:color="auto" w:sz="4" w:space="0"/>
                    <w:left w:val="single" w:color="auto" w:sz="4" w:space="0"/>
                    <w:bottom w:val="single" w:color="auto" w:sz="4" w:space="0"/>
                  </w:tcBorders>
                </w:tcPr>
                <w:p w14:paraId="51690B2A">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53C7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77DEF072">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1,2-二氯丙烷(μ</w:t>
                  </w:r>
                  <w:r>
                    <w:rPr>
                      <w:rFonts w:eastAsiaTheme="minorEastAsia"/>
                      <w:szCs w:val="21"/>
                    </w:rPr>
                    <w:t>g/</w:t>
                  </w:r>
                  <w:r>
                    <w:rPr>
                      <w:rFonts w:eastAsiaTheme="minorEastAsia"/>
                      <w:kern w:val="0"/>
                      <w:szCs w:val="21"/>
                    </w:rPr>
                    <w:t>kg)</w:t>
                  </w:r>
                </w:p>
              </w:tc>
              <w:tc>
                <w:tcPr>
                  <w:tcW w:w="1187" w:type="pct"/>
                </w:tcPr>
                <w:p w14:paraId="3EBB4A56">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321FA813">
                  <w:pPr>
                    <w:adjustRightInd w:val="0"/>
                    <w:snapToGrid w:val="0"/>
                    <w:jc w:val="center"/>
                    <w:rPr>
                      <w:rFonts w:eastAsiaTheme="minorEastAsia"/>
                      <w:snapToGrid w:val="0"/>
                      <w:kern w:val="0"/>
                      <w:szCs w:val="21"/>
                    </w:rPr>
                  </w:pPr>
                  <w:r>
                    <w:rPr>
                      <w:rFonts w:eastAsiaTheme="minorEastAsia"/>
                      <w:szCs w:val="21"/>
                    </w:rPr>
                    <w:t>5</w:t>
                  </w:r>
                </w:p>
              </w:tc>
              <w:tc>
                <w:tcPr>
                  <w:tcW w:w="819" w:type="pct"/>
                  <w:tcBorders>
                    <w:top w:val="single" w:color="auto" w:sz="4" w:space="0"/>
                    <w:left w:val="single" w:color="auto" w:sz="4" w:space="0"/>
                    <w:bottom w:val="single" w:color="auto" w:sz="4" w:space="0"/>
                  </w:tcBorders>
                </w:tcPr>
                <w:p w14:paraId="037FAAC9">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4F78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2B285758">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1,1,1,2-四氯乙烷(μ</w:t>
                  </w:r>
                  <w:r>
                    <w:rPr>
                      <w:rFonts w:eastAsiaTheme="minorEastAsia"/>
                      <w:szCs w:val="21"/>
                    </w:rPr>
                    <w:t>g/</w:t>
                  </w:r>
                  <w:r>
                    <w:rPr>
                      <w:rFonts w:eastAsiaTheme="minorEastAsia"/>
                      <w:kern w:val="0"/>
                      <w:szCs w:val="21"/>
                    </w:rPr>
                    <w:t>kg)</w:t>
                  </w:r>
                </w:p>
              </w:tc>
              <w:tc>
                <w:tcPr>
                  <w:tcW w:w="1187" w:type="pct"/>
                </w:tcPr>
                <w:p w14:paraId="45AB961F">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62AB0438">
                  <w:pPr>
                    <w:adjustRightInd w:val="0"/>
                    <w:snapToGrid w:val="0"/>
                    <w:jc w:val="center"/>
                    <w:rPr>
                      <w:rFonts w:eastAsiaTheme="minorEastAsia"/>
                      <w:snapToGrid w:val="0"/>
                      <w:kern w:val="0"/>
                      <w:szCs w:val="21"/>
                    </w:rPr>
                  </w:pPr>
                  <w:r>
                    <w:rPr>
                      <w:rFonts w:eastAsiaTheme="minorEastAsia"/>
                      <w:szCs w:val="21"/>
                    </w:rPr>
                    <w:t>10</w:t>
                  </w:r>
                </w:p>
              </w:tc>
              <w:tc>
                <w:tcPr>
                  <w:tcW w:w="819" w:type="pct"/>
                  <w:tcBorders>
                    <w:top w:val="single" w:color="auto" w:sz="4" w:space="0"/>
                    <w:left w:val="single" w:color="auto" w:sz="4" w:space="0"/>
                    <w:bottom w:val="single" w:color="auto" w:sz="4" w:space="0"/>
                  </w:tcBorders>
                </w:tcPr>
                <w:p w14:paraId="55CDB3D5">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47E3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700405E">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1,1,2,2-四氯乙烷(μ</w:t>
                  </w:r>
                  <w:r>
                    <w:rPr>
                      <w:rFonts w:eastAsiaTheme="minorEastAsia"/>
                      <w:szCs w:val="21"/>
                    </w:rPr>
                    <w:t>g/</w:t>
                  </w:r>
                  <w:r>
                    <w:rPr>
                      <w:rFonts w:eastAsiaTheme="minorEastAsia"/>
                      <w:kern w:val="0"/>
                      <w:szCs w:val="21"/>
                    </w:rPr>
                    <w:t>kg)</w:t>
                  </w:r>
                </w:p>
              </w:tc>
              <w:tc>
                <w:tcPr>
                  <w:tcW w:w="1187" w:type="pct"/>
                </w:tcPr>
                <w:p w14:paraId="0FB252FB">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47263230">
                  <w:pPr>
                    <w:adjustRightInd w:val="0"/>
                    <w:snapToGrid w:val="0"/>
                    <w:jc w:val="center"/>
                    <w:rPr>
                      <w:rFonts w:eastAsiaTheme="minorEastAsia"/>
                      <w:snapToGrid w:val="0"/>
                      <w:kern w:val="0"/>
                      <w:szCs w:val="21"/>
                    </w:rPr>
                  </w:pPr>
                  <w:r>
                    <w:rPr>
                      <w:rFonts w:eastAsiaTheme="minorEastAsia"/>
                      <w:szCs w:val="21"/>
                    </w:rPr>
                    <w:t>6.8</w:t>
                  </w:r>
                </w:p>
              </w:tc>
              <w:tc>
                <w:tcPr>
                  <w:tcW w:w="819" w:type="pct"/>
                  <w:tcBorders>
                    <w:top w:val="single" w:color="auto" w:sz="4" w:space="0"/>
                    <w:left w:val="single" w:color="auto" w:sz="4" w:space="0"/>
                    <w:bottom w:val="single" w:color="auto" w:sz="4" w:space="0"/>
                  </w:tcBorders>
                </w:tcPr>
                <w:p w14:paraId="1F602E76">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574B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FA52891">
                  <w:pPr>
                    <w:tabs>
                      <w:tab w:val="center" w:pos="1440"/>
                    </w:tabs>
                    <w:adjustRightInd w:val="0"/>
                    <w:snapToGrid w:val="0"/>
                    <w:jc w:val="center"/>
                    <w:rPr>
                      <w:rFonts w:eastAsiaTheme="minorEastAsia"/>
                      <w:snapToGrid w:val="0"/>
                      <w:kern w:val="0"/>
                      <w:szCs w:val="21"/>
                    </w:rPr>
                  </w:pPr>
                  <w:r>
                    <w:rPr>
                      <w:rFonts w:eastAsiaTheme="minorEastAsia"/>
                      <w:kern w:val="0"/>
                      <w:szCs w:val="21"/>
                    </w:rPr>
                    <w:t>四氯乙烯(μ</w:t>
                  </w:r>
                  <w:r>
                    <w:rPr>
                      <w:rFonts w:eastAsiaTheme="minorEastAsia"/>
                      <w:szCs w:val="21"/>
                    </w:rPr>
                    <w:t>g/</w:t>
                  </w:r>
                  <w:r>
                    <w:rPr>
                      <w:rFonts w:eastAsiaTheme="minorEastAsia"/>
                      <w:kern w:val="0"/>
                      <w:szCs w:val="21"/>
                    </w:rPr>
                    <w:t>kg)</w:t>
                  </w:r>
                </w:p>
              </w:tc>
              <w:tc>
                <w:tcPr>
                  <w:tcW w:w="1187" w:type="pct"/>
                </w:tcPr>
                <w:p w14:paraId="2E123B89">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0C82D02A">
                  <w:pPr>
                    <w:adjustRightInd w:val="0"/>
                    <w:snapToGrid w:val="0"/>
                    <w:jc w:val="center"/>
                    <w:rPr>
                      <w:rFonts w:eastAsiaTheme="minorEastAsia"/>
                      <w:snapToGrid w:val="0"/>
                      <w:kern w:val="0"/>
                      <w:szCs w:val="21"/>
                    </w:rPr>
                  </w:pPr>
                  <w:r>
                    <w:rPr>
                      <w:rFonts w:eastAsiaTheme="minorEastAsia"/>
                      <w:szCs w:val="21"/>
                    </w:rPr>
                    <w:t>53</w:t>
                  </w:r>
                </w:p>
              </w:tc>
              <w:tc>
                <w:tcPr>
                  <w:tcW w:w="819" w:type="pct"/>
                  <w:tcBorders>
                    <w:top w:val="single" w:color="auto" w:sz="4" w:space="0"/>
                    <w:left w:val="single" w:color="auto" w:sz="4" w:space="0"/>
                    <w:bottom w:val="single" w:color="auto" w:sz="4" w:space="0"/>
                  </w:tcBorders>
                </w:tcPr>
                <w:p w14:paraId="1178831F">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4F3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747F4D6D">
                  <w:pPr>
                    <w:tabs>
                      <w:tab w:val="center" w:pos="1440"/>
                    </w:tabs>
                    <w:adjustRightInd w:val="0"/>
                    <w:snapToGrid w:val="0"/>
                    <w:jc w:val="center"/>
                    <w:rPr>
                      <w:rFonts w:eastAsiaTheme="minorEastAsia"/>
                      <w:snapToGrid w:val="0"/>
                      <w:kern w:val="0"/>
                      <w:szCs w:val="21"/>
                    </w:rPr>
                  </w:pPr>
                  <w:r>
                    <w:rPr>
                      <w:rFonts w:eastAsiaTheme="minorEastAsia"/>
                      <w:kern w:val="0"/>
                      <w:szCs w:val="21"/>
                    </w:rPr>
                    <w:t>1,1,1-三氯乙烷(μ</w:t>
                  </w:r>
                  <w:r>
                    <w:rPr>
                      <w:rFonts w:eastAsiaTheme="minorEastAsia"/>
                      <w:szCs w:val="21"/>
                    </w:rPr>
                    <w:t>g/</w:t>
                  </w:r>
                  <w:r>
                    <w:rPr>
                      <w:rFonts w:eastAsiaTheme="minorEastAsia"/>
                      <w:kern w:val="0"/>
                      <w:szCs w:val="21"/>
                    </w:rPr>
                    <w:t>kg)</w:t>
                  </w:r>
                </w:p>
              </w:tc>
              <w:tc>
                <w:tcPr>
                  <w:tcW w:w="1187" w:type="pct"/>
                </w:tcPr>
                <w:p w14:paraId="52CA55D8">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374C1410">
                  <w:pPr>
                    <w:adjustRightInd w:val="0"/>
                    <w:snapToGrid w:val="0"/>
                    <w:jc w:val="center"/>
                    <w:rPr>
                      <w:rFonts w:eastAsiaTheme="minorEastAsia"/>
                      <w:snapToGrid w:val="0"/>
                      <w:kern w:val="0"/>
                      <w:szCs w:val="21"/>
                    </w:rPr>
                  </w:pPr>
                  <w:r>
                    <w:rPr>
                      <w:rFonts w:eastAsiaTheme="minorEastAsia"/>
                      <w:szCs w:val="21"/>
                    </w:rPr>
                    <w:t>840</w:t>
                  </w:r>
                </w:p>
              </w:tc>
              <w:tc>
                <w:tcPr>
                  <w:tcW w:w="819" w:type="pct"/>
                  <w:tcBorders>
                    <w:top w:val="single" w:color="auto" w:sz="4" w:space="0"/>
                    <w:left w:val="single" w:color="auto" w:sz="4" w:space="0"/>
                    <w:bottom w:val="single" w:color="auto" w:sz="4" w:space="0"/>
                  </w:tcBorders>
                </w:tcPr>
                <w:p w14:paraId="7CAA866C">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2DD5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07AE8407">
                  <w:pPr>
                    <w:tabs>
                      <w:tab w:val="center" w:pos="1440"/>
                    </w:tabs>
                    <w:adjustRightInd w:val="0"/>
                    <w:snapToGrid w:val="0"/>
                    <w:jc w:val="center"/>
                    <w:rPr>
                      <w:rFonts w:eastAsiaTheme="minorEastAsia"/>
                      <w:snapToGrid w:val="0"/>
                      <w:kern w:val="0"/>
                      <w:szCs w:val="21"/>
                    </w:rPr>
                  </w:pPr>
                  <w:r>
                    <w:rPr>
                      <w:rFonts w:eastAsiaTheme="minorEastAsia"/>
                      <w:kern w:val="0"/>
                      <w:szCs w:val="21"/>
                    </w:rPr>
                    <w:t>1,1,2-三氯乙烷(μ</w:t>
                  </w:r>
                  <w:r>
                    <w:rPr>
                      <w:rFonts w:eastAsiaTheme="minorEastAsia"/>
                      <w:szCs w:val="21"/>
                    </w:rPr>
                    <w:t>g/</w:t>
                  </w:r>
                  <w:r>
                    <w:rPr>
                      <w:rFonts w:eastAsiaTheme="minorEastAsia"/>
                      <w:kern w:val="0"/>
                      <w:szCs w:val="21"/>
                    </w:rPr>
                    <w:t>kg)</w:t>
                  </w:r>
                </w:p>
              </w:tc>
              <w:tc>
                <w:tcPr>
                  <w:tcW w:w="1187" w:type="pct"/>
                </w:tcPr>
                <w:p w14:paraId="4D0BBD3C">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56678595">
                  <w:pPr>
                    <w:adjustRightInd w:val="0"/>
                    <w:snapToGrid w:val="0"/>
                    <w:jc w:val="center"/>
                    <w:rPr>
                      <w:rFonts w:eastAsiaTheme="minorEastAsia"/>
                      <w:snapToGrid w:val="0"/>
                      <w:kern w:val="0"/>
                      <w:szCs w:val="21"/>
                    </w:rPr>
                  </w:pPr>
                  <w:r>
                    <w:rPr>
                      <w:rFonts w:eastAsiaTheme="minorEastAsia"/>
                      <w:szCs w:val="21"/>
                    </w:rPr>
                    <w:t>2.8</w:t>
                  </w:r>
                </w:p>
              </w:tc>
              <w:tc>
                <w:tcPr>
                  <w:tcW w:w="819" w:type="pct"/>
                  <w:tcBorders>
                    <w:top w:val="single" w:color="auto" w:sz="4" w:space="0"/>
                    <w:left w:val="single" w:color="auto" w:sz="4" w:space="0"/>
                    <w:bottom w:val="single" w:color="auto" w:sz="4" w:space="0"/>
                  </w:tcBorders>
                </w:tcPr>
                <w:p w14:paraId="5C7C765A">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27AA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6B7C42A">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三氯乙烯(μ</w:t>
                  </w:r>
                  <w:r>
                    <w:rPr>
                      <w:rFonts w:eastAsiaTheme="minorEastAsia"/>
                      <w:szCs w:val="21"/>
                    </w:rPr>
                    <w:t>g/</w:t>
                  </w:r>
                  <w:r>
                    <w:rPr>
                      <w:rFonts w:eastAsiaTheme="minorEastAsia"/>
                      <w:kern w:val="0"/>
                      <w:szCs w:val="21"/>
                    </w:rPr>
                    <w:t>kg)</w:t>
                  </w:r>
                </w:p>
              </w:tc>
              <w:tc>
                <w:tcPr>
                  <w:tcW w:w="1187" w:type="pct"/>
                </w:tcPr>
                <w:p w14:paraId="32ED6F20">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59CCFFBB">
                  <w:pPr>
                    <w:adjustRightInd w:val="0"/>
                    <w:snapToGrid w:val="0"/>
                    <w:jc w:val="center"/>
                    <w:rPr>
                      <w:rFonts w:eastAsiaTheme="minorEastAsia"/>
                      <w:snapToGrid w:val="0"/>
                      <w:kern w:val="0"/>
                      <w:szCs w:val="21"/>
                    </w:rPr>
                  </w:pPr>
                  <w:r>
                    <w:rPr>
                      <w:rFonts w:eastAsiaTheme="minorEastAsia"/>
                      <w:szCs w:val="21"/>
                    </w:rPr>
                    <w:t>2.8</w:t>
                  </w:r>
                </w:p>
              </w:tc>
              <w:tc>
                <w:tcPr>
                  <w:tcW w:w="819" w:type="pct"/>
                  <w:tcBorders>
                    <w:top w:val="single" w:color="auto" w:sz="4" w:space="0"/>
                    <w:left w:val="single" w:color="auto" w:sz="4" w:space="0"/>
                    <w:bottom w:val="single" w:color="auto" w:sz="4" w:space="0"/>
                  </w:tcBorders>
                </w:tcPr>
                <w:p w14:paraId="287B925C">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3DD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574A7197">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1,2,3-三氯丙烷(μ</w:t>
                  </w:r>
                  <w:r>
                    <w:rPr>
                      <w:rFonts w:eastAsiaTheme="minorEastAsia"/>
                      <w:szCs w:val="21"/>
                    </w:rPr>
                    <w:t>g/</w:t>
                  </w:r>
                  <w:r>
                    <w:rPr>
                      <w:rFonts w:eastAsiaTheme="minorEastAsia"/>
                      <w:kern w:val="0"/>
                      <w:szCs w:val="21"/>
                    </w:rPr>
                    <w:t>kg)</w:t>
                  </w:r>
                </w:p>
              </w:tc>
              <w:tc>
                <w:tcPr>
                  <w:tcW w:w="1187" w:type="pct"/>
                </w:tcPr>
                <w:p w14:paraId="5DF4A3A4">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0D36B91A">
                  <w:pPr>
                    <w:adjustRightInd w:val="0"/>
                    <w:snapToGrid w:val="0"/>
                    <w:jc w:val="center"/>
                    <w:rPr>
                      <w:rFonts w:eastAsiaTheme="minorEastAsia"/>
                      <w:snapToGrid w:val="0"/>
                      <w:kern w:val="0"/>
                      <w:szCs w:val="21"/>
                    </w:rPr>
                  </w:pPr>
                  <w:r>
                    <w:rPr>
                      <w:rFonts w:eastAsiaTheme="minorEastAsia"/>
                      <w:szCs w:val="21"/>
                    </w:rPr>
                    <w:t>0.5</w:t>
                  </w:r>
                </w:p>
              </w:tc>
              <w:tc>
                <w:tcPr>
                  <w:tcW w:w="819" w:type="pct"/>
                  <w:tcBorders>
                    <w:top w:val="single" w:color="auto" w:sz="4" w:space="0"/>
                    <w:left w:val="single" w:color="auto" w:sz="4" w:space="0"/>
                    <w:bottom w:val="single" w:color="auto" w:sz="4" w:space="0"/>
                  </w:tcBorders>
                </w:tcPr>
                <w:p w14:paraId="0767CADA">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18F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5F2981A7">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氯乙烯(μ</w:t>
                  </w:r>
                  <w:r>
                    <w:rPr>
                      <w:rFonts w:eastAsiaTheme="minorEastAsia"/>
                      <w:szCs w:val="21"/>
                    </w:rPr>
                    <w:t>g/</w:t>
                  </w:r>
                  <w:r>
                    <w:rPr>
                      <w:rFonts w:eastAsiaTheme="minorEastAsia"/>
                      <w:kern w:val="0"/>
                      <w:szCs w:val="21"/>
                    </w:rPr>
                    <w:t>kg)</w:t>
                  </w:r>
                </w:p>
              </w:tc>
              <w:tc>
                <w:tcPr>
                  <w:tcW w:w="1187" w:type="pct"/>
                </w:tcPr>
                <w:p w14:paraId="565FC8E5">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33AAE23E">
                  <w:pPr>
                    <w:adjustRightInd w:val="0"/>
                    <w:snapToGrid w:val="0"/>
                    <w:jc w:val="center"/>
                    <w:rPr>
                      <w:rFonts w:eastAsiaTheme="minorEastAsia"/>
                      <w:snapToGrid w:val="0"/>
                      <w:kern w:val="0"/>
                      <w:szCs w:val="21"/>
                    </w:rPr>
                  </w:pPr>
                  <w:r>
                    <w:rPr>
                      <w:rFonts w:eastAsiaTheme="minorEastAsia"/>
                      <w:szCs w:val="21"/>
                    </w:rPr>
                    <w:t>0.43</w:t>
                  </w:r>
                </w:p>
              </w:tc>
              <w:tc>
                <w:tcPr>
                  <w:tcW w:w="819" w:type="pct"/>
                  <w:tcBorders>
                    <w:top w:val="single" w:color="auto" w:sz="4" w:space="0"/>
                    <w:left w:val="single" w:color="auto" w:sz="4" w:space="0"/>
                    <w:bottom w:val="single" w:color="auto" w:sz="4" w:space="0"/>
                  </w:tcBorders>
                </w:tcPr>
                <w:p w14:paraId="3DB63153">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F83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3A7D33EB">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苯(μ</w:t>
                  </w:r>
                  <w:r>
                    <w:rPr>
                      <w:rFonts w:eastAsiaTheme="minorEastAsia"/>
                      <w:szCs w:val="21"/>
                    </w:rPr>
                    <w:t>g/</w:t>
                  </w:r>
                  <w:r>
                    <w:rPr>
                      <w:rFonts w:eastAsiaTheme="minorEastAsia"/>
                      <w:kern w:val="0"/>
                      <w:szCs w:val="21"/>
                    </w:rPr>
                    <w:t>kg)</w:t>
                  </w:r>
                </w:p>
              </w:tc>
              <w:tc>
                <w:tcPr>
                  <w:tcW w:w="1187" w:type="pct"/>
                </w:tcPr>
                <w:p w14:paraId="703D9822">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0602416C">
                  <w:pPr>
                    <w:adjustRightInd w:val="0"/>
                    <w:snapToGrid w:val="0"/>
                    <w:jc w:val="center"/>
                    <w:rPr>
                      <w:rFonts w:eastAsiaTheme="minorEastAsia"/>
                      <w:snapToGrid w:val="0"/>
                      <w:kern w:val="0"/>
                      <w:szCs w:val="21"/>
                    </w:rPr>
                  </w:pPr>
                  <w:r>
                    <w:rPr>
                      <w:rFonts w:eastAsiaTheme="minorEastAsia"/>
                      <w:szCs w:val="21"/>
                    </w:rPr>
                    <w:t>4</w:t>
                  </w:r>
                </w:p>
              </w:tc>
              <w:tc>
                <w:tcPr>
                  <w:tcW w:w="819" w:type="pct"/>
                  <w:tcBorders>
                    <w:top w:val="single" w:color="auto" w:sz="4" w:space="0"/>
                    <w:left w:val="single" w:color="auto" w:sz="4" w:space="0"/>
                    <w:bottom w:val="single" w:color="auto" w:sz="4" w:space="0"/>
                  </w:tcBorders>
                </w:tcPr>
                <w:p w14:paraId="1F948375">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54B2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2440DF4F">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氯苯(μ</w:t>
                  </w:r>
                  <w:r>
                    <w:rPr>
                      <w:rFonts w:eastAsiaTheme="minorEastAsia"/>
                      <w:szCs w:val="21"/>
                    </w:rPr>
                    <w:t>g/</w:t>
                  </w:r>
                  <w:r>
                    <w:rPr>
                      <w:rFonts w:eastAsiaTheme="minorEastAsia"/>
                      <w:kern w:val="0"/>
                      <w:szCs w:val="21"/>
                    </w:rPr>
                    <w:t>kg)</w:t>
                  </w:r>
                </w:p>
              </w:tc>
              <w:tc>
                <w:tcPr>
                  <w:tcW w:w="1187" w:type="pct"/>
                </w:tcPr>
                <w:p w14:paraId="67C3944B">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551CDCBC">
                  <w:pPr>
                    <w:adjustRightInd w:val="0"/>
                    <w:snapToGrid w:val="0"/>
                    <w:jc w:val="center"/>
                    <w:rPr>
                      <w:rFonts w:eastAsiaTheme="minorEastAsia"/>
                      <w:snapToGrid w:val="0"/>
                      <w:kern w:val="0"/>
                      <w:szCs w:val="21"/>
                    </w:rPr>
                  </w:pPr>
                  <w:r>
                    <w:rPr>
                      <w:rFonts w:eastAsiaTheme="minorEastAsia"/>
                      <w:szCs w:val="21"/>
                    </w:rPr>
                    <w:t>270</w:t>
                  </w:r>
                </w:p>
              </w:tc>
              <w:tc>
                <w:tcPr>
                  <w:tcW w:w="819" w:type="pct"/>
                  <w:tcBorders>
                    <w:top w:val="single" w:color="auto" w:sz="4" w:space="0"/>
                    <w:left w:val="single" w:color="auto" w:sz="4" w:space="0"/>
                    <w:bottom w:val="single" w:color="auto" w:sz="4" w:space="0"/>
                  </w:tcBorders>
                </w:tcPr>
                <w:p w14:paraId="4F4CE9D1">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2F89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E97977D">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1,2-二氯苯(μ</w:t>
                  </w:r>
                  <w:r>
                    <w:rPr>
                      <w:rFonts w:eastAsiaTheme="minorEastAsia"/>
                      <w:szCs w:val="21"/>
                    </w:rPr>
                    <w:t>g/</w:t>
                  </w:r>
                  <w:r>
                    <w:rPr>
                      <w:rFonts w:eastAsiaTheme="minorEastAsia"/>
                      <w:kern w:val="0"/>
                      <w:szCs w:val="21"/>
                    </w:rPr>
                    <w:t>kg)</w:t>
                  </w:r>
                </w:p>
              </w:tc>
              <w:tc>
                <w:tcPr>
                  <w:tcW w:w="1187" w:type="pct"/>
                </w:tcPr>
                <w:p w14:paraId="489B87C7">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11B4B064">
                  <w:pPr>
                    <w:adjustRightInd w:val="0"/>
                    <w:snapToGrid w:val="0"/>
                    <w:jc w:val="center"/>
                    <w:rPr>
                      <w:rFonts w:eastAsiaTheme="minorEastAsia"/>
                      <w:snapToGrid w:val="0"/>
                      <w:kern w:val="0"/>
                      <w:szCs w:val="21"/>
                    </w:rPr>
                  </w:pPr>
                  <w:r>
                    <w:rPr>
                      <w:rFonts w:eastAsiaTheme="minorEastAsia"/>
                      <w:szCs w:val="21"/>
                    </w:rPr>
                    <w:t>560</w:t>
                  </w:r>
                </w:p>
              </w:tc>
              <w:tc>
                <w:tcPr>
                  <w:tcW w:w="819" w:type="pct"/>
                  <w:tcBorders>
                    <w:top w:val="single" w:color="auto" w:sz="4" w:space="0"/>
                    <w:left w:val="single" w:color="auto" w:sz="4" w:space="0"/>
                    <w:bottom w:val="single" w:color="auto" w:sz="4" w:space="0"/>
                  </w:tcBorders>
                </w:tcPr>
                <w:p w14:paraId="5BDFB0A9">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1C3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3DF92D04">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1,4-二氯苯(μ</w:t>
                  </w:r>
                  <w:r>
                    <w:rPr>
                      <w:rFonts w:eastAsiaTheme="minorEastAsia"/>
                      <w:szCs w:val="21"/>
                    </w:rPr>
                    <w:t>g/</w:t>
                  </w:r>
                  <w:r>
                    <w:rPr>
                      <w:rFonts w:eastAsiaTheme="minorEastAsia"/>
                      <w:kern w:val="0"/>
                      <w:szCs w:val="21"/>
                    </w:rPr>
                    <w:t>kg)</w:t>
                  </w:r>
                </w:p>
              </w:tc>
              <w:tc>
                <w:tcPr>
                  <w:tcW w:w="1187" w:type="pct"/>
                </w:tcPr>
                <w:p w14:paraId="1B40C840">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1F4EF1E7">
                  <w:pPr>
                    <w:adjustRightInd w:val="0"/>
                    <w:snapToGrid w:val="0"/>
                    <w:jc w:val="center"/>
                    <w:rPr>
                      <w:rFonts w:eastAsiaTheme="minorEastAsia"/>
                      <w:snapToGrid w:val="0"/>
                      <w:kern w:val="0"/>
                      <w:szCs w:val="21"/>
                    </w:rPr>
                  </w:pPr>
                  <w:r>
                    <w:rPr>
                      <w:rFonts w:eastAsiaTheme="minorEastAsia"/>
                      <w:szCs w:val="21"/>
                    </w:rPr>
                    <w:t>20</w:t>
                  </w:r>
                </w:p>
              </w:tc>
              <w:tc>
                <w:tcPr>
                  <w:tcW w:w="819" w:type="pct"/>
                  <w:tcBorders>
                    <w:top w:val="single" w:color="auto" w:sz="4" w:space="0"/>
                    <w:left w:val="single" w:color="auto" w:sz="4" w:space="0"/>
                    <w:bottom w:val="single" w:color="auto" w:sz="4" w:space="0"/>
                  </w:tcBorders>
                </w:tcPr>
                <w:p w14:paraId="32A2FCAA">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5A5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435FD701">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乙苯(μ</w:t>
                  </w:r>
                  <w:r>
                    <w:rPr>
                      <w:rFonts w:eastAsiaTheme="minorEastAsia"/>
                      <w:szCs w:val="21"/>
                    </w:rPr>
                    <w:t>g/</w:t>
                  </w:r>
                  <w:r>
                    <w:rPr>
                      <w:rFonts w:eastAsiaTheme="minorEastAsia"/>
                      <w:kern w:val="0"/>
                      <w:szCs w:val="21"/>
                    </w:rPr>
                    <w:t>kg)</w:t>
                  </w:r>
                </w:p>
              </w:tc>
              <w:tc>
                <w:tcPr>
                  <w:tcW w:w="1187" w:type="pct"/>
                </w:tcPr>
                <w:p w14:paraId="4EC80D7D">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6BBA633A">
                  <w:pPr>
                    <w:adjustRightInd w:val="0"/>
                    <w:snapToGrid w:val="0"/>
                    <w:jc w:val="center"/>
                    <w:rPr>
                      <w:rFonts w:eastAsiaTheme="minorEastAsia"/>
                      <w:snapToGrid w:val="0"/>
                      <w:kern w:val="0"/>
                      <w:szCs w:val="21"/>
                    </w:rPr>
                  </w:pPr>
                  <w:r>
                    <w:rPr>
                      <w:rFonts w:eastAsiaTheme="minorEastAsia"/>
                      <w:szCs w:val="21"/>
                    </w:rPr>
                    <w:t>28</w:t>
                  </w:r>
                </w:p>
              </w:tc>
              <w:tc>
                <w:tcPr>
                  <w:tcW w:w="819" w:type="pct"/>
                  <w:tcBorders>
                    <w:top w:val="single" w:color="auto" w:sz="4" w:space="0"/>
                    <w:left w:val="single" w:color="auto" w:sz="4" w:space="0"/>
                    <w:bottom w:val="single" w:color="auto" w:sz="4" w:space="0"/>
                  </w:tcBorders>
                </w:tcPr>
                <w:p w14:paraId="687D9AB5">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850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18303B5E">
                  <w:pPr>
                    <w:tabs>
                      <w:tab w:val="center" w:pos="1440"/>
                    </w:tabs>
                    <w:adjustRightInd w:val="0"/>
                    <w:snapToGrid w:val="0"/>
                    <w:spacing w:line="240" w:lineRule="exact"/>
                    <w:jc w:val="center"/>
                    <w:rPr>
                      <w:rFonts w:eastAsiaTheme="minorEastAsia"/>
                      <w:snapToGrid w:val="0"/>
                      <w:kern w:val="0"/>
                      <w:szCs w:val="21"/>
                    </w:rPr>
                  </w:pPr>
                  <w:r>
                    <w:rPr>
                      <w:rFonts w:eastAsiaTheme="minorEastAsia"/>
                      <w:kern w:val="0"/>
                      <w:szCs w:val="21"/>
                    </w:rPr>
                    <w:t>苯乙烯(μ</w:t>
                  </w:r>
                  <w:r>
                    <w:rPr>
                      <w:rFonts w:eastAsiaTheme="minorEastAsia"/>
                      <w:szCs w:val="21"/>
                    </w:rPr>
                    <w:t>g/</w:t>
                  </w:r>
                  <w:r>
                    <w:rPr>
                      <w:rFonts w:eastAsiaTheme="minorEastAsia"/>
                      <w:kern w:val="0"/>
                      <w:szCs w:val="21"/>
                    </w:rPr>
                    <w:t>kg)</w:t>
                  </w:r>
                </w:p>
              </w:tc>
              <w:tc>
                <w:tcPr>
                  <w:tcW w:w="1187" w:type="pct"/>
                </w:tcPr>
                <w:p w14:paraId="0D62540D">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103F3478">
                  <w:pPr>
                    <w:adjustRightInd w:val="0"/>
                    <w:snapToGrid w:val="0"/>
                    <w:jc w:val="center"/>
                    <w:rPr>
                      <w:rFonts w:eastAsiaTheme="minorEastAsia"/>
                      <w:snapToGrid w:val="0"/>
                      <w:kern w:val="0"/>
                      <w:szCs w:val="21"/>
                    </w:rPr>
                  </w:pPr>
                  <w:r>
                    <w:rPr>
                      <w:rFonts w:eastAsiaTheme="minorEastAsia"/>
                      <w:szCs w:val="21"/>
                    </w:rPr>
                    <w:t>1290</w:t>
                  </w:r>
                </w:p>
              </w:tc>
              <w:tc>
                <w:tcPr>
                  <w:tcW w:w="819" w:type="pct"/>
                  <w:tcBorders>
                    <w:top w:val="single" w:color="auto" w:sz="4" w:space="0"/>
                    <w:left w:val="single" w:color="auto" w:sz="4" w:space="0"/>
                    <w:bottom w:val="single" w:color="auto" w:sz="4" w:space="0"/>
                  </w:tcBorders>
                </w:tcPr>
                <w:p w14:paraId="63CC867B">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D08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7040D25F">
                  <w:pPr>
                    <w:tabs>
                      <w:tab w:val="center" w:pos="1440"/>
                    </w:tabs>
                    <w:adjustRightInd w:val="0"/>
                    <w:snapToGrid w:val="0"/>
                    <w:jc w:val="center"/>
                    <w:rPr>
                      <w:rFonts w:eastAsiaTheme="minorEastAsia"/>
                      <w:snapToGrid w:val="0"/>
                      <w:kern w:val="0"/>
                      <w:szCs w:val="21"/>
                    </w:rPr>
                  </w:pPr>
                  <w:r>
                    <w:rPr>
                      <w:rFonts w:eastAsiaTheme="minorEastAsia"/>
                      <w:kern w:val="0"/>
                      <w:szCs w:val="21"/>
                    </w:rPr>
                    <w:t>甲苯(μ</w:t>
                  </w:r>
                  <w:r>
                    <w:rPr>
                      <w:rFonts w:eastAsiaTheme="minorEastAsia"/>
                      <w:szCs w:val="21"/>
                    </w:rPr>
                    <w:t>g/</w:t>
                  </w:r>
                  <w:r>
                    <w:rPr>
                      <w:rFonts w:eastAsiaTheme="minorEastAsia"/>
                      <w:kern w:val="0"/>
                      <w:szCs w:val="21"/>
                    </w:rPr>
                    <w:t>kg)</w:t>
                  </w:r>
                </w:p>
              </w:tc>
              <w:tc>
                <w:tcPr>
                  <w:tcW w:w="1187" w:type="pct"/>
                </w:tcPr>
                <w:p w14:paraId="01D388E4">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2B374867">
                  <w:pPr>
                    <w:adjustRightInd w:val="0"/>
                    <w:snapToGrid w:val="0"/>
                    <w:jc w:val="center"/>
                    <w:rPr>
                      <w:rFonts w:eastAsiaTheme="minorEastAsia"/>
                      <w:snapToGrid w:val="0"/>
                      <w:kern w:val="0"/>
                      <w:szCs w:val="21"/>
                    </w:rPr>
                  </w:pPr>
                  <w:r>
                    <w:rPr>
                      <w:rFonts w:eastAsiaTheme="minorEastAsia"/>
                      <w:szCs w:val="21"/>
                    </w:rPr>
                    <w:t>1200</w:t>
                  </w:r>
                </w:p>
              </w:tc>
              <w:tc>
                <w:tcPr>
                  <w:tcW w:w="819" w:type="pct"/>
                  <w:tcBorders>
                    <w:top w:val="single" w:color="auto" w:sz="4" w:space="0"/>
                    <w:left w:val="single" w:color="auto" w:sz="4" w:space="0"/>
                    <w:bottom w:val="single" w:color="auto" w:sz="4" w:space="0"/>
                  </w:tcBorders>
                </w:tcPr>
                <w:p w14:paraId="02E16C65">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608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5743C919">
                  <w:pPr>
                    <w:tabs>
                      <w:tab w:val="center" w:pos="1440"/>
                    </w:tabs>
                    <w:adjustRightInd w:val="0"/>
                    <w:snapToGrid w:val="0"/>
                    <w:jc w:val="center"/>
                    <w:rPr>
                      <w:rFonts w:eastAsiaTheme="minorEastAsia"/>
                      <w:snapToGrid w:val="0"/>
                      <w:kern w:val="0"/>
                      <w:szCs w:val="21"/>
                    </w:rPr>
                  </w:pPr>
                  <w:r>
                    <w:rPr>
                      <w:rFonts w:eastAsiaTheme="minorEastAsia"/>
                      <w:kern w:val="0"/>
                      <w:szCs w:val="21"/>
                    </w:rPr>
                    <w:t>间-二甲苯+对-二甲苯(μ</w:t>
                  </w:r>
                  <w:r>
                    <w:rPr>
                      <w:rFonts w:eastAsiaTheme="minorEastAsia"/>
                      <w:szCs w:val="21"/>
                    </w:rPr>
                    <w:t>g/</w:t>
                  </w:r>
                  <w:r>
                    <w:rPr>
                      <w:rFonts w:eastAsiaTheme="minorEastAsia"/>
                      <w:kern w:val="0"/>
                      <w:szCs w:val="21"/>
                    </w:rPr>
                    <w:t>kg)</w:t>
                  </w:r>
                </w:p>
              </w:tc>
              <w:tc>
                <w:tcPr>
                  <w:tcW w:w="1187" w:type="pct"/>
                </w:tcPr>
                <w:p w14:paraId="5E86B825">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71534B24">
                  <w:pPr>
                    <w:adjustRightInd w:val="0"/>
                    <w:snapToGrid w:val="0"/>
                    <w:jc w:val="center"/>
                    <w:rPr>
                      <w:rFonts w:eastAsiaTheme="minorEastAsia"/>
                      <w:snapToGrid w:val="0"/>
                      <w:kern w:val="0"/>
                      <w:szCs w:val="21"/>
                    </w:rPr>
                  </w:pPr>
                  <w:r>
                    <w:rPr>
                      <w:rFonts w:eastAsiaTheme="minorEastAsia"/>
                      <w:szCs w:val="21"/>
                    </w:rPr>
                    <w:t>570</w:t>
                  </w:r>
                </w:p>
              </w:tc>
              <w:tc>
                <w:tcPr>
                  <w:tcW w:w="819" w:type="pct"/>
                  <w:tcBorders>
                    <w:top w:val="single" w:color="auto" w:sz="4" w:space="0"/>
                    <w:left w:val="single" w:color="auto" w:sz="4" w:space="0"/>
                    <w:bottom w:val="single" w:color="auto" w:sz="4" w:space="0"/>
                  </w:tcBorders>
                </w:tcPr>
                <w:p w14:paraId="23768CE8">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0867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592E8363">
                  <w:pPr>
                    <w:tabs>
                      <w:tab w:val="center" w:pos="1440"/>
                    </w:tabs>
                    <w:adjustRightInd w:val="0"/>
                    <w:snapToGrid w:val="0"/>
                    <w:jc w:val="center"/>
                    <w:rPr>
                      <w:rFonts w:eastAsiaTheme="minorEastAsia"/>
                      <w:snapToGrid w:val="0"/>
                      <w:kern w:val="0"/>
                      <w:szCs w:val="21"/>
                    </w:rPr>
                  </w:pPr>
                  <w:r>
                    <w:rPr>
                      <w:rFonts w:eastAsiaTheme="minorEastAsia"/>
                      <w:kern w:val="0"/>
                      <w:szCs w:val="21"/>
                    </w:rPr>
                    <w:t>邻-二甲苯(μ</w:t>
                  </w:r>
                  <w:r>
                    <w:rPr>
                      <w:rFonts w:eastAsiaTheme="minorEastAsia"/>
                      <w:szCs w:val="21"/>
                    </w:rPr>
                    <w:t>g/</w:t>
                  </w:r>
                  <w:r>
                    <w:rPr>
                      <w:rFonts w:eastAsiaTheme="minorEastAsia"/>
                      <w:kern w:val="0"/>
                      <w:szCs w:val="21"/>
                    </w:rPr>
                    <w:t>kg)</w:t>
                  </w:r>
                </w:p>
              </w:tc>
              <w:tc>
                <w:tcPr>
                  <w:tcW w:w="1187" w:type="pct"/>
                </w:tcPr>
                <w:p w14:paraId="68735BA2">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2C8F3A8F">
                  <w:pPr>
                    <w:adjustRightInd w:val="0"/>
                    <w:snapToGrid w:val="0"/>
                    <w:jc w:val="center"/>
                    <w:rPr>
                      <w:rFonts w:eastAsiaTheme="minorEastAsia"/>
                      <w:snapToGrid w:val="0"/>
                      <w:kern w:val="0"/>
                      <w:szCs w:val="21"/>
                    </w:rPr>
                  </w:pPr>
                  <w:r>
                    <w:rPr>
                      <w:rFonts w:eastAsiaTheme="minorEastAsia"/>
                      <w:szCs w:val="21"/>
                    </w:rPr>
                    <w:t>640</w:t>
                  </w:r>
                </w:p>
              </w:tc>
              <w:tc>
                <w:tcPr>
                  <w:tcW w:w="819" w:type="pct"/>
                  <w:tcBorders>
                    <w:top w:val="single" w:color="auto" w:sz="4" w:space="0"/>
                    <w:left w:val="single" w:color="auto" w:sz="4" w:space="0"/>
                    <w:bottom w:val="single" w:color="auto" w:sz="4" w:space="0"/>
                  </w:tcBorders>
                </w:tcPr>
                <w:p w14:paraId="0DC63839">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66C7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0B57DF76">
                  <w:pPr>
                    <w:tabs>
                      <w:tab w:val="center" w:pos="1440"/>
                    </w:tabs>
                    <w:adjustRightInd w:val="0"/>
                    <w:snapToGrid w:val="0"/>
                    <w:jc w:val="center"/>
                    <w:rPr>
                      <w:rFonts w:eastAsiaTheme="minorEastAsia"/>
                      <w:snapToGrid w:val="0"/>
                      <w:kern w:val="0"/>
                      <w:szCs w:val="21"/>
                    </w:rPr>
                  </w:pPr>
                  <w:r>
                    <w:rPr>
                      <w:rFonts w:eastAsiaTheme="minorEastAsia"/>
                      <w:kern w:val="0"/>
                      <w:szCs w:val="21"/>
                    </w:rPr>
                    <w:t>硝基苯(mg/kg)</w:t>
                  </w:r>
                </w:p>
              </w:tc>
              <w:tc>
                <w:tcPr>
                  <w:tcW w:w="1187" w:type="pct"/>
                </w:tcPr>
                <w:p w14:paraId="452471B5">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222AFD4E">
                  <w:pPr>
                    <w:adjustRightInd w:val="0"/>
                    <w:snapToGrid w:val="0"/>
                    <w:jc w:val="center"/>
                    <w:rPr>
                      <w:rFonts w:eastAsiaTheme="minorEastAsia"/>
                      <w:snapToGrid w:val="0"/>
                      <w:kern w:val="0"/>
                      <w:szCs w:val="21"/>
                    </w:rPr>
                  </w:pPr>
                  <w:r>
                    <w:rPr>
                      <w:rFonts w:eastAsiaTheme="minorEastAsia"/>
                      <w:szCs w:val="21"/>
                    </w:rPr>
                    <w:t>76</w:t>
                  </w:r>
                </w:p>
              </w:tc>
              <w:tc>
                <w:tcPr>
                  <w:tcW w:w="819" w:type="pct"/>
                  <w:tcBorders>
                    <w:top w:val="single" w:color="auto" w:sz="4" w:space="0"/>
                    <w:left w:val="single" w:color="auto" w:sz="4" w:space="0"/>
                    <w:bottom w:val="single" w:color="auto" w:sz="4" w:space="0"/>
                  </w:tcBorders>
                </w:tcPr>
                <w:p w14:paraId="664456ED">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6EE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147C436E">
                  <w:pPr>
                    <w:tabs>
                      <w:tab w:val="center" w:pos="1440"/>
                    </w:tabs>
                    <w:adjustRightInd w:val="0"/>
                    <w:snapToGrid w:val="0"/>
                    <w:jc w:val="center"/>
                    <w:rPr>
                      <w:rFonts w:eastAsiaTheme="minorEastAsia"/>
                      <w:snapToGrid w:val="0"/>
                      <w:kern w:val="0"/>
                      <w:szCs w:val="21"/>
                    </w:rPr>
                  </w:pPr>
                  <w:r>
                    <w:rPr>
                      <w:rFonts w:eastAsiaTheme="minorEastAsia"/>
                      <w:kern w:val="0"/>
                      <w:szCs w:val="21"/>
                    </w:rPr>
                    <w:t>苯胺(mg/kg)</w:t>
                  </w:r>
                </w:p>
              </w:tc>
              <w:tc>
                <w:tcPr>
                  <w:tcW w:w="1187" w:type="pct"/>
                </w:tcPr>
                <w:p w14:paraId="7E338708">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19D04754">
                  <w:pPr>
                    <w:adjustRightInd w:val="0"/>
                    <w:snapToGrid w:val="0"/>
                    <w:jc w:val="center"/>
                    <w:rPr>
                      <w:rFonts w:eastAsiaTheme="minorEastAsia"/>
                      <w:snapToGrid w:val="0"/>
                      <w:kern w:val="0"/>
                      <w:szCs w:val="21"/>
                    </w:rPr>
                  </w:pPr>
                  <w:r>
                    <w:rPr>
                      <w:rFonts w:eastAsiaTheme="minorEastAsia"/>
                      <w:szCs w:val="21"/>
                    </w:rPr>
                    <w:t>260</w:t>
                  </w:r>
                </w:p>
              </w:tc>
              <w:tc>
                <w:tcPr>
                  <w:tcW w:w="819" w:type="pct"/>
                  <w:tcBorders>
                    <w:top w:val="single" w:color="auto" w:sz="4" w:space="0"/>
                    <w:left w:val="single" w:color="auto" w:sz="4" w:space="0"/>
                    <w:bottom w:val="single" w:color="auto" w:sz="4" w:space="0"/>
                  </w:tcBorders>
                </w:tcPr>
                <w:p w14:paraId="664D1A16">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4BE1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7B0FAEDE">
                  <w:pPr>
                    <w:tabs>
                      <w:tab w:val="center" w:pos="1440"/>
                    </w:tabs>
                    <w:adjustRightInd w:val="0"/>
                    <w:snapToGrid w:val="0"/>
                    <w:jc w:val="center"/>
                    <w:rPr>
                      <w:rFonts w:eastAsiaTheme="minorEastAsia"/>
                      <w:snapToGrid w:val="0"/>
                      <w:kern w:val="0"/>
                      <w:szCs w:val="21"/>
                    </w:rPr>
                  </w:pPr>
                  <w:r>
                    <w:rPr>
                      <w:rFonts w:eastAsiaTheme="minorEastAsia"/>
                      <w:kern w:val="0"/>
                      <w:szCs w:val="21"/>
                    </w:rPr>
                    <w:t>2-氯苯酚(mg/kg)</w:t>
                  </w:r>
                </w:p>
              </w:tc>
              <w:tc>
                <w:tcPr>
                  <w:tcW w:w="1187" w:type="pct"/>
                </w:tcPr>
                <w:p w14:paraId="23B4625A">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5A2DD928">
                  <w:pPr>
                    <w:adjustRightInd w:val="0"/>
                    <w:snapToGrid w:val="0"/>
                    <w:jc w:val="center"/>
                    <w:rPr>
                      <w:rFonts w:eastAsiaTheme="minorEastAsia"/>
                      <w:szCs w:val="21"/>
                    </w:rPr>
                  </w:pPr>
                  <w:r>
                    <w:rPr>
                      <w:rFonts w:eastAsiaTheme="minorEastAsia"/>
                      <w:szCs w:val="21"/>
                    </w:rPr>
                    <w:t>2256</w:t>
                  </w:r>
                </w:p>
              </w:tc>
              <w:tc>
                <w:tcPr>
                  <w:tcW w:w="819" w:type="pct"/>
                  <w:tcBorders>
                    <w:top w:val="single" w:color="auto" w:sz="4" w:space="0"/>
                    <w:left w:val="single" w:color="auto" w:sz="4" w:space="0"/>
                    <w:bottom w:val="single" w:color="auto" w:sz="4" w:space="0"/>
                  </w:tcBorders>
                </w:tcPr>
                <w:p w14:paraId="2BF0B1CB">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2754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24E73704">
                  <w:pPr>
                    <w:tabs>
                      <w:tab w:val="center" w:pos="1440"/>
                    </w:tabs>
                    <w:adjustRightInd w:val="0"/>
                    <w:snapToGrid w:val="0"/>
                    <w:jc w:val="center"/>
                    <w:rPr>
                      <w:rFonts w:eastAsiaTheme="minorEastAsia"/>
                      <w:snapToGrid w:val="0"/>
                      <w:kern w:val="0"/>
                      <w:szCs w:val="21"/>
                    </w:rPr>
                  </w:pPr>
                  <w:r>
                    <w:rPr>
                      <w:rFonts w:eastAsiaTheme="minorEastAsia"/>
                      <w:kern w:val="0"/>
                      <w:szCs w:val="21"/>
                    </w:rPr>
                    <w:t>苯并[a]蒽(mg/kg)</w:t>
                  </w:r>
                </w:p>
              </w:tc>
              <w:tc>
                <w:tcPr>
                  <w:tcW w:w="1187" w:type="pct"/>
                </w:tcPr>
                <w:p w14:paraId="5536526B">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2004B508">
                  <w:pPr>
                    <w:adjustRightInd w:val="0"/>
                    <w:snapToGrid w:val="0"/>
                    <w:jc w:val="center"/>
                    <w:rPr>
                      <w:rFonts w:eastAsiaTheme="minorEastAsia"/>
                      <w:szCs w:val="21"/>
                    </w:rPr>
                  </w:pPr>
                  <w:r>
                    <w:rPr>
                      <w:rFonts w:eastAsiaTheme="minorEastAsia"/>
                      <w:szCs w:val="21"/>
                    </w:rPr>
                    <w:t>15</w:t>
                  </w:r>
                </w:p>
              </w:tc>
              <w:tc>
                <w:tcPr>
                  <w:tcW w:w="819" w:type="pct"/>
                  <w:tcBorders>
                    <w:top w:val="single" w:color="auto" w:sz="4" w:space="0"/>
                    <w:left w:val="single" w:color="auto" w:sz="4" w:space="0"/>
                    <w:bottom w:val="single" w:color="auto" w:sz="4" w:space="0"/>
                  </w:tcBorders>
                </w:tcPr>
                <w:p w14:paraId="6FA1A56E">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54F7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D4B91A9">
                  <w:pPr>
                    <w:tabs>
                      <w:tab w:val="center" w:pos="1440"/>
                    </w:tabs>
                    <w:adjustRightInd w:val="0"/>
                    <w:snapToGrid w:val="0"/>
                    <w:jc w:val="center"/>
                    <w:rPr>
                      <w:rFonts w:eastAsiaTheme="minorEastAsia"/>
                      <w:snapToGrid w:val="0"/>
                      <w:kern w:val="0"/>
                      <w:szCs w:val="21"/>
                    </w:rPr>
                  </w:pPr>
                  <w:r>
                    <w:rPr>
                      <w:rFonts w:eastAsiaTheme="minorEastAsia"/>
                      <w:kern w:val="0"/>
                      <w:szCs w:val="21"/>
                    </w:rPr>
                    <w:t>苯并[a]芘(mg/kg)</w:t>
                  </w:r>
                </w:p>
              </w:tc>
              <w:tc>
                <w:tcPr>
                  <w:tcW w:w="1187" w:type="pct"/>
                </w:tcPr>
                <w:p w14:paraId="071FEB3F">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6E908442">
                  <w:pPr>
                    <w:adjustRightInd w:val="0"/>
                    <w:snapToGrid w:val="0"/>
                    <w:jc w:val="center"/>
                    <w:rPr>
                      <w:rFonts w:eastAsiaTheme="minorEastAsia"/>
                      <w:szCs w:val="21"/>
                    </w:rPr>
                  </w:pPr>
                  <w:r>
                    <w:rPr>
                      <w:rFonts w:eastAsiaTheme="minorEastAsia"/>
                      <w:szCs w:val="21"/>
                    </w:rPr>
                    <w:t>1.5</w:t>
                  </w:r>
                </w:p>
              </w:tc>
              <w:tc>
                <w:tcPr>
                  <w:tcW w:w="819" w:type="pct"/>
                  <w:tcBorders>
                    <w:top w:val="single" w:color="auto" w:sz="4" w:space="0"/>
                    <w:left w:val="single" w:color="auto" w:sz="4" w:space="0"/>
                    <w:bottom w:val="single" w:color="auto" w:sz="4" w:space="0"/>
                  </w:tcBorders>
                </w:tcPr>
                <w:p w14:paraId="392ED6E8">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2D5D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2EE0F698">
                  <w:pPr>
                    <w:tabs>
                      <w:tab w:val="center" w:pos="1440"/>
                    </w:tabs>
                    <w:adjustRightInd w:val="0"/>
                    <w:snapToGrid w:val="0"/>
                    <w:jc w:val="center"/>
                    <w:rPr>
                      <w:rFonts w:eastAsiaTheme="minorEastAsia"/>
                      <w:snapToGrid w:val="0"/>
                      <w:kern w:val="0"/>
                      <w:szCs w:val="21"/>
                    </w:rPr>
                  </w:pPr>
                  <w:r>
                    <w:rPr>
                      <w:rFonts w:eastAsiaTheme="minorEastAsia"/>
                      <w:kern w:val="0"/>
                      <w:szCs w:val="21"/>
                    </w:rPr>
                    <w:t>苯并[b]荧蒽(mg/kg)</w:t>
                  </w:r>
                </w:p>
              </w:tc>
              <w:tc>
                <w:tcPr>
                  <w:tcW w:w="1187" w:type="pct"/>
                </w:tcPr>
                <w:p w14:paraId="0760E4D6">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2B37A163">
                  <w:pPr>
                    <w:adjustRightInd w:val="0"/>
                    <w:snapToGrid w:val="0"/>
                    <w:jc w:val="center"/>
                    <w:rPr>
                      <w:rFonts w:eastAsiaTheme="minorEastAsia"/>
                      <w:szCs w:val="21"/>
                    </w:rPr>
                  </w:pPr>
                  <w:r>
                    <w:rPr>
                      <w:rFonts w:eastAsiaTheme="minorEastAsia"/>
                      <w:szCs w:val="21"/>
                    </w:rPr>
                    <w:t>15</w:t>
                  </w:r>
                </w:p>
              </w:tc>
              <w:tc>
                <w:tcPr>
                  <w:tcW w:w="819" w:type="pct"/>
                  <w:tcBorders>
                    <w:top w:val="single" w:color="auto" w:sz="4" w:space="0"/>
                    <w:left w:val="single" w:color="auto" w:sz="4" w:space="0"/>
                    <w:bottom w:val="single" w:color="auto" w:sz="4" w:space="0"/>
                  </w:tcBorders>
                </w:tcPr>
                <w:p w14:paraId="10371CEC">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1774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6E9D1FCB">
                  <w:pPr>
                    <w:tabs>
                      <w:tab w:val="center" w:pos="1440"/>
                    </w:tabs>
                    <w:adjustRightInd w:val="0"/>
                    <w:snapToGrid w:val="0"/>
                    <w:jc w:val="center"/>
                    <w:rPr>
                      <w:rFonts w:eastAsiaTheme="minorEastAsia"/>
                      <w:snapToGrid w:val="0"/>
                      <w:kern w:val="0"/>
                      <w:szCs w:val="21"/>
                    </w:rPr>
                  </w:pPr>
                  <w:r>
                    <w:rPr>
                      <w:rFonts w:eastAsiaTheme="minorEastAsia"/>
                      <w:kern w:val="0"/>
                      <w:szCs w:val="21"/>
                    </w:rPr>
                    <w:t>苯并[k]荧蒽(mg/kg)</w:t>
                  </w:r>
                </w:p>
              </w:tc>
              <w:tc>
                <w:tcPr>
                  <w:tcW w:w="1187" w:type="pct"/>
                </w:tcPr>
                <w:p w14:paraId="1CD9A0A4">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63F46AA6">
                  <w:pPr>
                    <w:adjustRightInd w:val="0"/>
                    <w:snapToGrid w:val="0"/>
                    <w:jc w:val="center"/>
                    <w:rPr>
                      <w:rFonts w:eastAsiaTheme="minorEastAsia"/>
                      <w:szCs w:val="21"/>
                    </w:rPr>
                  </w:pPr>
                  <w:r>
                    <w:rPr>
                      <w:rFonts w:eastAsiaTheme="minorEastAsia"/>
                      <w:szCs w:val="21"/>
                    </w:rPr>
                    <w:t>151</w:t>
                  </w:r>
                </w:p>
              </w:tc>
              <w:tc>
                <w:tcPr>
                  <w:tcW w:w="819" w:type="pct"/>
                  <w:tcBorders>
                    <w:top w:val="single" w:color="auto" w:sz="4" w:space="0"/>
                    <w:left w:val="single" w:color="auto" w:sz="4" w:space="0"/>
                    <w:bottom w:val="single" w:color="auto" w:sz="4" w:space="0"/>
                  </w:tcBorders>
                </w:tcPr>
                <w:p w14:paraId="32AC4F8D">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3F00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714F389B">
                  <w:pPr>
                    <w:tabs>
                      <w:tab w:val="center" w:pos="1440"/>
                    </w:tabs>
                    <w:adjustRightInd w:val="0"/>
                    <w:snapToGrid w:val="0"/>
                    <w:jc w:val="center"/>
                    <w:rPr>
                      <w:rFonts w:eastAsiaTheme="minorEastAsia"/>
                      <w:snapToGrid w:val="0"/>
                      <w:kern w:val="0"/>
                      <w:szCs w:val="21"/>
                    </w:rPr>
                  </w:pPr>
                  <w:r>
                    <w:rPr>
                      <w:rFonts w:eastAsiaTheme="minorEastAsia"/>
                      <w:kern w:val="0"/>
                      <w:szCs w:val="21"/>
                    </w:rPr>
                    <w:t>䓛(mg/kg)</w:t>
                  </w:r>
                </w:p>
              </w:tc>
              <w:tc>
                <w:tcPr>
                  <w:tcW w:w="1187" w:type="pct"/>
                </w:tcPr>
                <w:p w14:paraId="073B74D8">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0EFE308E">
                  <w:pPr>
                    <w:adjustRightInd w:val="0"/>
                    <w:snapToGrid w:val="0"/>
                    <w:jc w:val="center"/>
                    <w:rPr>
                      <w:rFonts w:eastAsiaTheme="minorEastAsia"/>
                      <w:szCs w:val="21"/>
                    </w:rPr>
                  </w:pPr>
                  <w:r>
                    <w:rPr>
                      <w:rFonts w:eastAsiaTheme="minorEastAsia"/>
                      <w:szCs w:val="21"/>
                    </w:rPr>
                    <w:t>1293</w:t>
                  </w:r>
                </w:p>
              </w:tc>
              <w:tc>
                <w:tcPr>
                  <w:tcW w:w="819" w:type="pct"/>
                  <w:tcBorders>
                    <w:top w:val="single" w:color="auto" w:sz="4" w:space="0"/>
                    <w:left w:val="single" w:color="auto" w:sz="4" w:space="0"/>
                    <w:bottom w:val="single" w:color="auto" w:sz="4" w:space="0"/>
                  </w:tcBorders>
                </w:tcPr>
                <w:p w14:paraId="48995FE6">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2607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1C48CABB">
                  <w:pPr>
                    <w:tabs>
                      <w:tab w:val="center" w:pos="1440"/>
                    </w:tabs>
                    <w:adjustRightInd w:val="0"/>
                    <w:snapToGrid w:val="0"/>
                    <w:jc w:val="center"/>
                    <w:rPr>
                      <w:rFonts w:eastAsiaTheme="minorEastAsia"/>
                      <w:snapToGrid w:val="0"/>
                      <w:kern w:val="0"/>
                      <w:szCs w:val="21"/>
                    </w:rPr>
                  </w:pPr>
                  <w:r>
                    <w:rPr>
                      <w:rFonts w:eastAsiaTheme="minorEastAsia"/>
                      <w:kern w:val="0"/>
                      <w:szCs w:val="21"/>
                    </w:rPr>
                    <w:t>二苯并[a,h]蒽(mg/kg)</w:t>
                  </w:r>
                </w:p>
              </w:tc>
              <w:tc>
                <w:tcPr>
                  <w:tcW w:w="1187" w:type="pct"/>
                </w:tcPr>
                <w:p w14:paraId="2F9624B4">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2E0ACCC8">
                  <w:pPr>
                    <w:adjustRightInd w:val="0"/>
                    <w:snapToGrid w:val="0"/>
                    <w:jc w:val="center"/>
                    <w:rPr>
                      <w:rFonts w:eastAsiaTheme="minorEastAsia"/>
                      <w:szCs w:val="21"/>
                    </w:rPr>
                  </w:pPr>
                  <w:r>
                    <w:rPr>
                      <w:rFonts w:eastAsiaTheme="minorEastAsia"/>
                      <w:szCs w:val="21"/>
                    </w:rPr>
                    <w:t>1.5</w:t>
                  </w:r>
                </w:p>
              </w:tc>
              <w:tc>
                <w:tcPr>
                  <w:tcW w:w="819" w:type="pct"/>
                  <w:tcBorders>
                    <w:top w:val="single" w:color="auto" w:sz="4" w:space="0"/>
                    <w:left w:val="single" w:color="auto" w:sz="4" w:space="0"/>
                    <w:bottom w:val="single" w:color="auto" w:sz="4" w:space="0"/>
                  </w:tcBorders>
                </w:tcPr>
                <w:p w14:paraId="6F5EE1C1">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0E12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0E70402E">
                  <w:pPr>
                    <w:tabs>
                      <w:tab w:val="center" w:pos="1440"/>
                    </w:tabs>
                    <w:adjustRightInd w:val="0"/>
                    <w:snapToGrid w:val="0"/>
                    <w:jc w:val="center"/>
                    <w:rPr>
                      <w:rFonts w:eastAsiaTheme="minorEastAsia"/>
                      <w:snapToGrid w:val="0"/>
                      <w:kern w:val="0"/>
                      <w:szCs w:val="21"/>
                    </w:rPr>
                  </w:pPr>
                  <w:r>
                    <w:rPr>
                      <w:rFonts w:eastAsiaTheme="minorEastAsia"/>
                      <w:kern w:val="0"/>
                      <w:szCs w:val="21"/>
                    </w:rPr>
                    <w:t>茚并[1,2,3-cd]芘(mg/kg)</w:t>
                  </w:r>
                </w:p>
              </w:tc>
              <w:tc>
                <w:tcPr>
                  <w:tcW w:w="1187" w:type="pct"/>
                </w:tcPr>
                <w:p w14:paraId="035AD99D">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4F5B18A7">
                  <w:pPr>
                    <w:adjustRightInd w:val="0"/>
                    <w:snapToGrid w:val="0"/>
                    <w:jc w:val="center"/>
                    <w:rPr>
                      <w:rFonts w:eastAsiaTheme="minorEastAsia"/>
                      <w:szCs w:val="21"/>
                    </w:rPr>
                  </w:pPr>
                  <w:r>
                    <w:rPr>
                      <w:rFonts w:eastAsiaTheme="minorEastAsia"/>
                      <w:szCs w:val="21"/>
                    </w:rPr>
                    <w:t>15</w:t>
                  </w:r>
                </w:p>
              </w:tc>
              <w:tc>
                <w:tcPr>
                  <w:tcW w:w="819" w:type="pct"/>
                  <w:tcBorders>
                    <w:top w:val="single" w:color="auto" w:sz="4" w:space="0"/>
                    <w:left w:val="single" w:color="auto" w:sz="4" w:space="0"/>
                    <w:bottom w:val="single" w:color="auto" w:sz="4" w:space="0"/>
                  </w:tcBorders>
                </w:tcPr>
                <w:p w14:paraId="74CD967B">
                  <w:pPr>
                    <w:adjustRightInd w:val="0"/>
                    <w:snapToGrid w:val="0"/>
                    <w:jc w:val="center"/>
                    <w:rPr>
                      <w:rFonts w:eastAsiaTheme="minorEastAsia"/>
                      <w:snapToGrid w:val="0"/>
                      <w:kern w:val="0"/>
                      <w:szCs w:val="21"/>
                    </w:rPr>
                  </w:pPr>
                  <w:r>
                    <w:rPr>
                      <w:rFonts w:eastAsiaTheme="minorEastAsia"/>
                      <w:snapToGrid w:val="0"/>
                      <w:kern w:val="0"/>
                      <w:szCs w:val="21"/>
                    </w:rPr>
                    <w:t>达标</w:t>
                  </w:r>
                </w:p>
              </w:tc>
            </w:tr>
            <w:tr w14:paraId="7ECB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891" w:type="pct"/>
                  <w:vAlign w:val="center"/>
                </w:tcPr>
                <w:p w14:paraId="066A19FA">
                  <w:pPr>
                    <w:tabs>
                      <w:tab w:val="center" w:pos="1440"/>
                    </w:tabs>
                    <w:adjustRightInd w:val="0"/>
                    <w:snapToGrid w:val="0"/>
                    <w:jc w:val="center"/>
                    <w:rPr>
                      <w:rFonts w:eastAsiaTheme="minorEastAsia"/>
                      <w:snapToGrid w:val="0"/>
                      <w:kern w:val="0"/>
                      <w:szCs w:val="21"/>
                    </w:rPr>
                  </w:pPr>
                  <w:r>
                    <w:rPr>
                      <w:rFonts w:eastAsiaTheme="minorEastAsia"/>
                      <w:kern w:val="0"/>
                      <w:szCs w:val="21"/>
                    </w:rPr>
                    <w:t>萘(mg/kg)</w:t>
                  </w:r>
                </w:p>
              </w:tc>
              <w:tc>
                <w:tcPr>
                  <w:tcW w:w="1187" w:type="pct"/>
                </w:tcPr>
                <w:p w14:paraId="2F733089">
                  <w:pPr>
                    <w:adjustRightInd w:val="0"/>
                    <w:snapToGrid w:val="0"/>
                    <w:jc w:val="center"/>
                    <w:rPr>
                      <w:rFonts w:eastAsiaTheme="minorEastAsia"/>
                      <w:snapToGrid w:val="0"/>
                      <w:kern w:val="0"/>
                      <w:szCs w:val="21"/>
                    </w:rPr>
                  </w:pPr>
                  <w:r>
                    <w:rPr>
                      <w:rFonts w:eastAsiaTheme="minorEastAsia"/>
                      <w:snapToGrid w:val="0"/>
                      <w:kern w:val="0"/>
                      <w:szCs w:val="21"/>
                    </w:rPr>
                    <w:t>未检出</w:t>
                  </w:r>
                </w:p>
              </w:tc>
              <w:tc>
                <w:tcPr>
                  <w:tcW w:w="1103" w:type="pct"/>
                  <w:tcBorders>
                    <w:top w:val="single" w:color="auto" w:sz="4" w:space="0"/>
                    <w:left w:val="single" w:color="auto" w:sz="4" w:space="0"/>
                    <w:bottom w:val="single" w:color="auto" w:sz="4" w:space="0"/>
                    <w:right w:val="single" w:color="auto" w:sz="4" w:space="0"/>
                  </w:tcBorders>
                  <w:vAlign w:val="center"/>
                </w:tcPr>
                <w:p w14:paraId="7119D1C1">
                  <w:pPr>
                    <w:adjustRightInd w:val="0"/>
                    <w:snapToGrid w:val="0"/>
                    <w:jc w:val="center"/>
                    <w:rPr>
                      <w:rFonts w:eastAsiaTheme="minorEastAsia"/>
                      <w:szCs w:val="21"/>
                    </w:rPr>
                  </w:pPr>
                  <w:r>
                    <w:rPr>
                      <w:rFonts w:eastAsiaTheme="minorEastAsia"/>
                      <w:szCs w:val="21"/>
                    </w:rPr>
                    <w:t>70</w:t>
                  </w:r>
                </w:p>
              </w:tc>
              <w:tc>
                <w:tcPr>
                  <w:tcW w:w="819" w:type="pct"/>
                  <w:tcBorders>
                    <w:top w:val="single" w:color="auto" w:sz="4" w:space="0"/>
                    <w:left w:val="single" w:color="auto" w:sz="4" w:space="0"/>
                    <w:bottom w:val="single" w:color="auto" w:sz="4" w:space="0"/>
                  </w:tcBorders>
                </w:tcPr>
                <w:p w14:paraId="0690DF17">
                  <w:pPr>
                    <w:adjustRightInd w:val="0"/>
                    <w:snapToGrid w:val="0"/>
                    <w:jc w:val="center"/>
                    <w:rPr>
                      <w:rFonts w:eastAsiaTheme="minorEastAsia"/>
                      <w:snapToGrid w:val="0"/>
                      <w:kern w:val="0"/>
                      <w:szCs w:val="21"/>
                    </w:rPr>
                  </w:pPr>
                  <w:r>
                    <w:rPr>
                      <w:rFonts w:eastAsiaTheme="minorEastAsia"/>
                      <w:snapToGrid w:val="0"/>
                      <w:kern w:val="0"/>
                      <w:szCs w:val="21"/>
                    </w:rPr>
                    <w:t>达标</w:t>
                  </w:r>
                </w:p>
              </w:tc>
            </w:tr>
          </w:tbl>
          <w:p w14:paraId="519CD40D">
            <w:pPr>
              <w:adjustRightInd w:val="0"/>
              <w:snapToGrid w:val="0"/>
              <w:spacing w:line="360" w:lineRule="auto"/>
              <w:ind w:firstLine="480" w:firstLineChars="200"/>
              <w:rPr>
                <w:kern w:val="0"/>
                <w:sz w:val="24"/>
              </w:rPr>
            </w:pPr>
            <w:r>
              <w:rPr>
                <w:kern w:val="0"/>
                <w:sz w:val="24"/>
              </w:rPr>
              <w:t>由上表可知，本项目占地范围内土壤中各监测因子均符合《土壤环境质量建设用地土壤污染风险管控标准（试行）》（GB36600-2018）表1</w:t>
            </w:r>
            <w:r>
              <w:rPr>
                <w:rFonts w:hint="eastAsia"/>
                <w:kern w:val="0"/>
                <w:sz w:val="24"/>
              </w:rPr>
              <w:t>、表2</w:t>
            </w:r>
            <w:r>
              <w:rPr>
                <w:kern w:val="0"/>
                <w:sz w:val="24"/>
              </w:rPr>
              <w:t>筛选值第二类用地标准，表明评价区域土壤环境质量良好。</w:t>
            </w:r>
          </w:p>
          <w:p w14:paraId="087FE1F3">
            <w:pPr>
              <w:numPr>
                <w:ilvl w:val="0"/>
                <w:numId w:val="14"/>
              </w:numPr>
              <w:adjustRightInd w:val="0"/>
              <w:snapToGrid w:val="0"/>
              <w:spacing w:line="360" w:lineRule="auto"/>
              <w:ind w:firstLine="482" w:firstLineChars="200"/>
              <w:jc w:val="left"/>
              <w:rPr>
                <w:b/>
                <w:bCs/>
                <w:kern w:val="0"/>
                <w:sz w:val="24"/>
              </w:rPr>
            </w:pPr>
            <w:r>
              <w:rPr>
                <w:b/>
                <w:bCs/>
                <w:kern w:val="0"/>
                <w:sz w:val="24"/>
              </w:rPr>
              <w:t>电磁辐射</w:t>
            </w:r>
          </w:p>
          <w:p w14:paraId="2D0BD7FB">
            <w:pPr>
              <w:adjustRightInd w:val="0"/>
              <w:snapToGrid w:val="0"/>
              <w:spacing w:line="360" w:lineRule="auto"/>
              <w:ind w:firstLine="480" w:firstLineChars="200"/>
              <w:jc w:val="left"/>
              <w:rPr>
                <w:kern w:val="0"/>
                <w:sz w:val="24"/>
              </w:rPr>
            </w:pPr>
            <w:r>
              <w:rPr>
                <w:kern w:val="0"/>
                <w:sz w:val="24"/>
              </w:rPr>
              <w:t>本项目生产过程不涉及电磁辐射。</w:t>
            </w:r>
          </w:p>
          <w:p w14:paraId="3A699492">
            <w:pPr>
              <w:numPr>
                <w:ilvl w:val="0"/>
                <w:numId w:val="14"/>
              </w:numPr>
              <w:adjustRightInd w:val="0"/>
              <w:snapToGrid w:val="0"/>
              <w:spacing w:line="360" w:lineRule="auto"/>
              <w:ind w:firstLine="482" w:firstLineChars="200"/>
              <w:jc w:val="left"/>
              <w:rPr>
                <w:b/>
                <w:bCs/>
                <w:kern w:val="0"/>
                <w:sz w:val="24"/>
              </w:rPr>
            </w:pPr>
            <w:r>
              <w:rPr>
                <w:b/>
                <w:bCs/>
                <w:kern w:val="0"/>
                <w:sz w:val="24"/>
              </w:rPr>
              <w:t>生态环境质量现状</w:t>
            </w:r>
          </w:p>
          <w:p w14:paraId="7F757D73">
            <w:pPr>
              <w:adjustRightInd w:val="0"/>
              <w:snapToGrid w:val="0"/>
              <w:spacing w:line="360" w:lineRule="auto"/>
              <w:ind w:firstLine="480" w:firstLineChars="200"/>
              <w:jc w:val="left"/>
              <w:rPr>
                <w:kern w:val="0"/>
                <w:sz w:val="24"/>
              </w:rPr>
            </w:pPr>
            <w:r>
              <w:rPr>
                <w:kern w:val="0"/>
                <w:sz w:val="24"/>
              </w:rPr>
              <w:t>本项目所在地区的生态系统主要以人工生态系统为主，生态系统结构和功能比较单一，周围500m范围内无珍稀保护动植物，不涉及生态环境保护目标，生态环境质量现状良好。</w:t>
            </w:r>
          </w:p>
        </w:tc>
      </w:tr>
      <w:tr w14:paraId="05858A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403" w:type="dxa"/>
            <w:vAlign w:val="center"/>
          </w:tcPr>
          <w:p w14:paraId="07666CB1">
            <w:pPr>
              <w:adjustRightInd w:val="0"/>
              <w:snapToGrid w:val="0"/>
              <w:jc w:val="center"/>
              <w:rPr>
                <w:kern w:val="0"/>
                <w:sz w:val="24"/>
              </w:rPr>
            </w:pPr>
            <w:r>
              <w:rPr>
                <w:kern w:val="0"/>
                <w:sz w:val="24"/>
              </w:rPr>
              <w:t>环境保护目标</w:t>
            </w:r>
          </w:p>
        </w:tc>
        <w:tc>
          <w:tcPr>
            <w:tcW w:w="8587" w:type="dxa"/>
            <w:vAlign w:val="center"/>
          </w:tcPr>
          <w:p w14:paraId="7F646A02">
            <w:pPr>
              <w:adjustRightInd w:val="0"/>
              <w:snapToGrid w:val="0"/>
              <w:spacing w:line="360" w:lineRule="auto"/>
              <w:ind w:firstLine="480" w:firstLineChars="200"/>
              <w:jc w:val="left"/>
              <w:rPr>
                <w:kern w:val="0"/>
                <w:sz w:val="24"/>
              </w:rPr>
            </w:pPr>
            <w:r>
              <w:rPr>
                <w:kern w:val="0"/>
                <w:sz w:val="24"/>
              </w:rPr>
              <w:t>本项目位于</w:t>
            </w:r>
            <w:r>
              <w:rPr>
                <w:sz w:val="24"/>
              </w:rPr>
              <w:t>商丘市民权县人和镇工业园区310国道北侧</w:t>
            </w:r>
            <w:r>
              <w:rPr>
                <w:kern w:val="0"/>
                <w:sz w:val="24"/>
              </w:rPr>
              <w:t>，周边主要为公路、厂房和道路，项目厂界外500m范围内无自然保护区、风景名胜区、文物景观等环境敏感点；项目厂界外500m范围内不涉及地下水集中式饮用水源和热水、矿泉水、温泉等特殊地下水资源；本项目厂界外50m范围内无声环境保护目标；本项目用地范围内无生态环境保护目标。</w:t>
            </w:r>
          </w:p>
          <w:p w14:paraId="4A43D945">
            <w:pPr>
              <w:adjustRightInd w:val="0"/>
              <w:snapToGrid w:val="0"/>
              <w:jc w:val="center"/>
              <w:rPr>
                <w:kern w:val="0"/>
                <w:sz w:val="24"/>
              </w:rPr>
            </w:pPr>
            <w:r>
              <w:rPr>
                <w:b/>
                <w:bCs/>
                <w:kern w:val="0"/>
                <w:sz w:val="24"/>
              </w:rPr>
              <w:t>表2</w:t>
            </w:r>
            <w:r>
              <w:rPr>
                <w:rFonts w:hint="eastAsia"/>
                <w:b/>
                <w:bCs/>
                <w:kern w:val="0"/>
                <w:sz w:val="24"/>
              </w:rPr>
              <w:t>1</w:t>
            </w:r>
            <w:r>
              <w:rPr>
                <w:b/>
                <w:bCs/>
                <w:kern w:val="0"/>
                <w:sz w:val="24"/>
              </w:rPr>
              <w:t xml:space="preserve">   本项目主要环境保护目标</w:t>
            </w:r>
          </w:p>
          <w:tbl>
            <w:tblPr>
              <w:tblStyle w:val="24"/>
              <w:tblW w:w="8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10"/>
              <w:gridCol w:w="1077"/>
              <w:gridCol w:w="995"/>
              <w:gridCol w:w="1009"/>
              <w:gridCol w:w="928"/>
              <w:gridCol w:w="1131"/>
              <w:gridCol w:w="805"/>
              <w:gridCol w:w="762"/>
            </w:tblGrid>
            <w:tr w14:paraId="092A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710" w:type="dxa"/>
                  <w:vAlign w:val="center"/>
                </w:tcPr>
                <w:p w14:paraId="27F3005D">
                  <w:pPr>
                    <w:adjustRightInd w:val="0"/>
                    <w:snapToGrid w:val="0"/>
                    <w:jc w:val="center"/>
                    <w:rPr>
                      <w:kern w:val="0"/>
                      <w:szCs w:val="21"/>
                    </w:rPr>
                  </w:pPr>
                  <w:r>
                    <w:rPr>
                      <w:kern w:val="0"/>
                      <w:szCs w:val="21"/>
                    </w:rPr>
                    <w:t>名称</w:t>
                  </w:r>
                </w:p>
              </w:tc>
              <w:tc>
                <w:tcPr>
                  <w:tcW w:w="2072" w:type="dxa"/>
                  <w:gridSpan w:val="2"/>
                  <w:vAlign w:val="center"/>
                </w:tcPr>
                <w:p w14:paraId="3061B086">
                  <w:pPr>
                    <w:adjustRightInd w:val="0"/>
                    <w:snapToGrid w:val="0"/>
                    <w:jc w:val="center"/>
                    <w:rPr>
                      <w:kern w:val="0"/>
                      <w:szCs w:val="21"/>
                    </w:rPr>
                  </w:pPr>
                  <w:r>
                    <w:rPr>
                      <w:kern w:val="0"/>
                      <w:szCs w:val="21"/>
                    </w:rPr>
                    <w:t>坐标</w:t>
                  </w:r>
                </w:p>
              </w:tc>
              <w:tc>
                <w:tcPr>
                  <w:tcW w:w="1009" w:type="dxa"/>
                  <w:vAlign w:val="center"/>
                </w:tcPr>
                <w:p w14:paraId="2EBDDC1F">
                  <w:pPr>
                    <w:adjustRightInd w:val="0"/>
                    <w:snapToGrid w:val="0"/>
                    <w:jc w:val="center"/>
                    <w:rPr>
                      <w:kern w:val="0"/>
                      <w:szCs w:val="21"/>
                    </w:rPr>
                  </w:pPr>
                  <w:r>
                    <w:rPr>
                      <w:kern w:val="0"/>
                      <w:szCs w:val="21"/>
                    </w:rPr>
                    <w:t>保护对象</w:t>
                  </w:r>
                </w:p>
              </w:tc>
              <w:tc>
                <w:tcPr>
                  <w:tcW w:w="928" w:type="dxa"/>
                  <w:vAlign w:val="center"/>
                </w:tcPr>
                <w:p w14:paraId="44B26A20">
                  <w:pPr>
                    <w:adjustRightInd w:val="0"/>
                    <w:snapToGrid w:val="0"/>
                    <w:jc w:val="center"/>
                    <w:rPr>
                      <w:kern w:val="0"/>
                      <w:szCs w:val="21"/>
                    </w:rPr>
                  </w:pPr>
                  <w:r>
                    <w:rPr>
                      <w:kern w:val="0"/>
                      <w:szCs w:val="21"/>
                    </w:rPr>
                    <w:t>保护内容</w:t>
                  </w:r>
                </w:p>
              </w:tc>
              <w:tc>
                <w:tcPr>
                  <w:tcW w:w="1131" w:type="dxa"/>
                  <w:vAlign w:val="center"/>
                </w:tcPr>
                <w:p w14:paraId="0B9E37CD">
                  <w:pPr>
                    <w:adjustRightInd w:val="0"/>
                    <w:snapToGrid w:val="0"/>
                    <w:jc w:val="center"/>
                    <w:rPr>
                      <w:kern w:val="0"/>
                      <w:szCs w:val="21"/>
                    </w:rPr>
                  </w:pPr>
                  <w:r>
                    <w:rPr>
                      <w:kern w:val="0"/>
                      <w:szCs w:val="21"/>
                    </w:rPr>
                    <w:t>环境功能区</w:t>
                  </w:r>
                </w:p>
              </w:tc>
              <w:tc>
                <w:tcPr>
                  <w:tcW w:w="805" w:type="dxa"/>
                  <w:vAlign w:val="center"/>
                </w:tcPr>
                <w:p w14:paraId="4FCF75B5">
                  <w:pPr>
                    <w:adjustRightInd w:val="0"/>
                    <w:snapToGrid w:val="0"/>
                    <w:jc w:val="center"/>
                    <w:rPr>
                      <w:kern w:val="0"/>
                      <w:szCs w:val="21"/>
                    </w:rPr>
                  </w:pPr>
                  <w:r>
                    <w:rPr>
                      <w:kern w:val="0"/>
                      <w:szCs w:val="21"/>
                    </w:rPr>
                    <w:t>相对厂址方位</w:t>
                  </w:r>
                </w:p>
              </w:tc>
              <w:tc>
                <w:tcPr>
                  <w:tcW w:w="762" w:type="dxa"/>
                  <w:vAlign w:val="center"/>
                </w:tcPr>
                <w:p w14:paraId="64E39078">
                  <w:pPr>
                    <w:adjustRightInd w:val="0"/>
                    <w:snapToGrid w:val="0"/>
                    <w:jc w:val="center"/>
                    <w:rPr>
                      <w:kern w:val="0"/>
                      <w:szCs w:val="21"/>
                    </w:rPr>
                  </w:pPr>
                  <w:r>
                    <w:rPr>
                      <w:kern w:val="0"/>
                      <w:szCs w:val="21"/>
                    </w:rPr>
                    <w:t>相对厂界距离</w:t>
                  </w:r>
                </w:p>
              </w:tc>
            </w:tr>
            <w:tr w14:paraId="2327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710" w:type="dxa"/>
                  <w:vAlign w:val="center"/>
                </w:tcPr>
                <w:p w14:paraId="35AACE4B">
                  <w:pPr>
                    <w:adjustRightInd w:val="0"/>
                    <w:snapToGrid w:val="0"/>
                    <w:jc w:val="center"/>
                    <w:rPr>
                      <w:kern w:val="0"/>
                      <w:szCs w:val="21"/>
                    </w:rPr>
                  </w:pPr>
                  <w:r>
                    <w:rPr>
                      <w:kern w:val="0"/>
                      <w:szCs w:val="21"/>
                    </w:rPr>
                    <w:t>农技推广站</w:t>
                  </w:r>
                </w:p>
              </w:tc>
              <w:tc>
                <w:tcPr>
                  <w:tcW w:w="1077" w:type="dxa"/>
                  <w:shd w:val="clear" w:color="auto" w:fill="auto"/>
                  <w:vAlign w:val="center"/>
                </w:tcPr>
                <w:p w14:paraId="74B8DBC6">
                  <w:pPr>
                    <w:adjustRightInd w:val="0"/>
                    <w:snapToGrid w:val="0"/>
                    <w:jc w:val="center"/>
                    <w:rPr>
                      <w:kern w:val="0"/>
                      <w:szCs w:val="21"/>
                    </w:rPr>
                  </w:pPr>
                  <w:r>
                    <w:rPr>
                      <w:kern w:val="0"/>
                      <w:szCs w:val="21"/>
                    </w:rPr>
                    <w:t>114.978179</w:t>
                  </w:r>
                </w:p>
              </w:tc>
              <w:tc>
                <w:tcPr>
                  <w:tcW w:w="995" w:type="dxa"/>
                  <w:shd w:val="clear" w:color="auto" w:fill="auto"/>
                  <w:vAlign w:val="center"/>
                </w:tcPr>
                <w:p w14:paraId="72D43489">
                  <w:pPr>
                    <w:adjustRightInd w:val="0"/>
                    <w:snapToGrid w:val="0"/>
                    <w:jc w:val="center"/>
                    <w:rPr>
                      <w:kern w:val="0"/>
                      <w:szCs w:val="21"/>
                    </w:rPr>
                  </w:pPr>
                  <w:r>
                    <w:rPr>
                      <w:kern w:val="0"/>
                      <w:szCs w:val="21"/>
                    </w:rPr>
                    <w:t>34.712524</w:t>
                  </w:r>
                </w:p>
              </w:tc>
              <w:tc>
                <w:tcPr>
                  <w:tcW w:w="1009" w:type="dxa"/>
                  <w:shd w:val="clear" w:color="auto" w:fill="auto"/>
                  <w:vAlign w:val="center"/>
                </w:tcPr>
                <w:p w14:paraId="51F0647A">
                  <w:pPr>
                    <w:adjustRightInd w:val="0"/>
                    <w:snapToGrid w:val="0"/>
                    <w:jc w:val="center"/>
                    <w:rPr>
                      <w:kern w:val="0"/>
                      <w:szCs w:val="21"/>
                    </w:rPr>
                  </w:pPr>
                  <w:r>
                    <w:rPr>
                      <w:kern w:val="0"/>
                      <w:szCs w:val="21"/>
                    </w:rPr>
                    <w:t>行政办公</w:t>
                  </w:r>
                </w:p>
              </w:tc>
              <w:tc>
                <w:tcPr>
                  <w:tcW w:w="928" w:type="dxa"/>
                  <w:shd w:val="clear" w:color="auto" w:fill="auto"/>
                  <w:vAlign w:val="center"/>
                </w:tcPr>
                <w:p w14:paraId="0E4B8E24">
                  <w:pPr>
                    <w:adjustRightInd w:val="0"/>
                    <w:snapToGrid w:val="0"/>
                    <w:jc w:val="center"/>
                    <w:rPr>
                      <w:kern w:val="0"/>
                      <w:szCs w:val="21"/>
                    </w:rPr>
                  </w:pPr>
                  <w:r>
                    <w:rPr>
                      <w:kern w:val="0"/>
                      <w:szCs w:val="21"/>
                    </w:rPr>
                    <w:t>环境空气</w:t>
                  </w:r>
                </w:p>
              </w:tc>
              <w:tc>
                <w:tcPr>
                  <w:tcW w:w="1131" w:type="dxa"/>
                  <w:shd w:val="clear" w:color="auto" w:fill="auto"/>
                  <w:vAlign w:val="center"/>
                </w:tcPr>
                <w:p w14:paraId="0398AB30">
                  <w:pPr>
                    <w:adjustRightInd w:val="0"/>
                    <w:snapToGrid w:val="0"/>
                    <w:jc w:val="center"/>
                    <w:rPr>
                      <w:kern w:val="0"/>
                      <w:szCs w:val="21"/>
                    </w:rPr>
                  </w:pPr>
                  <w:r>
                    <w:rPr>
                      <w:kern w:val="0"/>
                      <w:szCs w:val="21"/>
                    </w:rPr>
                    <w:t>二类区</w:t>
                  </w:r>
                </w:p>
              </w:tc>
              <w:tc>
                <w:tcPr>
                  <w:tcW w:w="805" w:type="dxa"/>
                  <w:shd w:val="clear" w:color="auto" w:fill="auto"/>
                  <w:vAlign w:val="center"/>
                </w:tcPr>
                <w:p w14:paraId="12EBF515">
                  <w:pPr>
                    <w:adjustRightInd w:val="0"/>
                    <w:snapToGrid w:val="0"/>
                    <w:jc w:val="center"/>
                    <w:rPr>
                      <w:kern w:val="0"/>
                      <w:szCs w:val="21"/>
                    </w:rPr>
                  </w:pPr>
                  <w:r>
                    <w:rPr>
                      <w:kern w:val="0"/>
                      <w:szCs w:val="21"/>
                    </w:rPr>
                    <w:t>S</w:t>
                  </w:r>
                </w:p>
              </w:tc>
              <w:tc>
                <w:tcPr>
                  <w:tcW w:w="762" w:type="dxa"/>
                  <w:shd w:val="clear" w:color="auto" w:fill="auto"/>
                  <w:vAlign w:val="center"/>
                </w:tcPr>
                <w:p w14:paraId="0125D34A">
                  <w:pPr>
                    <w:adjustRightInd w:val="0"/>
                    <w:snapToGrid w:val="0"/>
                    <w:jc w:val="center"/>
                    <w:rPr>
                      <w:kern w:val="0"/>
                      <w:szCs w:val="21"/>
                    </w:rPr>
                  </w:pPr>
                  <w:r>
                    <w:rPr>
                      <w:kern w:val="0"/>
                      <w:szCs w:val="21"/>
                    </w:rPr>
                    <w:t>130m</w:t>
                  </w:r>
                </w:p>
              </w:tc>
            </w:tr>
            <w:tr w14:paraId="2069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710" w:type="dxa"/>
                  <w:vAlign w:val="center"/>
                </w:tcPr>
                <w:p w14:paraId="3CB01706">
                  <w:pPr>
                    <w:adjustRightInd w:val="0"/>
                    <w:snapToGrid w:val="0"/>
                    <w:jc w:val="center"/>
                    <w:rPr>
                      <w:kern w:val="0"/>
                      <w:szCs w:val="21"/>
                    </w:rPr>
                  </w:pPr>
                  <w:r>
                    <w:rPr>
                      <w:kern w:val="0"/>
                      <w:szCs w:val="21"/>
                    </w:rPr>
                    <w:t>税务局</w:t>
                  </w:r>
                </w:p>
              </w:tc>
              <w:tc>
                <w:tcPr>
                  <w:tcW w:w="1077" w:type="dxa"/>
                  <w:shd w:val="clear" w:color="auto" w:fill="auto"/>
                  <w:vAlign w:val="center"/>
                </w:tcPr>
                <w:p w14:paraId="4A701F2D">
                  <w:pPr>
                    <w:adjustRightInd w:val="0"/>
                    <w:snapToGrid w:val="0"/>
                    <w:jc w:val="center"/>
                    <w:rPr>
                      <w:kern w:val="0"/>
                      <w:szCs w:val="21"/>
                    </w:rPr>
                  </w:pPr>
                  <w:r>
                    <w:rPr>
                      <w:kern w:val="0"/>
                      <w:szCs w:val="21"/>
                    </w:rPr>
                    <w:t>114.976037</w:t>
                  </w:r>
                </w:p>
              </w:tc>
              <w:tc>
                <w:tcPr>
                  <w:tcW w:w="995" w:type="dxa"/>
                  <w:shd w:val="clear" w:color="auto" w:fill="auto"/>
                  <w:vAlign w:val="center"/>
                </w:tcPr>
                <w:p w14:paraId="4A68E959">
                  <w:pPr>
                    <w:adjustRightInd w:val="0"/>
                    <w:snapToGrid w:val="0"/>
                    <w:jc w:val="center"/>
                    <w:rPr>
                      <w:kern w:val="0"/>
                      <w:szCs w:val="21"/>
                    </w:rPr>
                  </w:pPr>
                  <w:r>
                    <w:rPr>
                      <w:kern w:val="0"/>
                      <w:szCs w:val="21"/>
                    </w:rPr>
                    <w:t>34.713825</w:t>
                  </w:r>
                </w:p>
              </w:tc>
              <w:tc>
                <w:tcPr>
                  <w:tcW w:w="1009" w:type="dxa"/>
                  <w:shd w:val="clear" w:color="auto" w:fill="auto"/>
                  <w:vAlign w:val="center"/>
                </w:tcPr>
                <w:p w14:paraId="35CCD9AB">
                  <w:pPr>
                    <w:adjustRightInd w:val="0"/>
                    <w:snapToGrid w:val="0"/>
                    <w:jc w:val="center"/>
                    <w:rPr>
                      <w:kern w:val="0"/>
                      <w:szCs w:val="21"/>
                    </w:rPr>
                  </w:pPr>
                  <w:r>
                    <w:rPr>
                      <w:kern w:val="0"/>
                      <w:szCs w:val="21"/>
                    </w:rPr>
                    <w:t>行政办公</w:t>
                  </w:r>
                </w:p>
              </w:tc>
              <w:tc>
                <w:tcPr>
                  <w:tcW w:w="928" w:type="dxa"/>
                  <w:shd w:val="clear" w:color="auto" w:fill="auto"/>
                  <w:vAlign w:val="center"/>
                </w:tcPr>
                <w:p w14:paraId="0EC742E6">
                  <w:pPr>
                    <w:adjustRightInd w:val="0"/>
                    <w:snapToGrid w:val="0"/>
                    <w:jc w:val="center"/>
                    <w:rPr>
                      <w:kern w:val="0"/>
                      <w:szCs w:val="21"/>
                    </w:rPr>
                  </w:pPr>
                  <w:r>
                    <w:rPr>
                      <w:kern w:val="0"/>
                      <w:szCs w:val="21"/>
                    </w:rPr>
                    <w:t>环境空气</w:t>
                  </w:r>
                </w:p>
              </w:tc>
              <w:tc>
                <w:tcPr>
                  <w:tcW w:w="1131" w:type="dxa"/>
                  <w:shd w:val="clear" w:color="auto" w:fill="auto"/>
                  <w:vAlign w:val="center"/>
                </w:tcPr>
                <w:p w14:paraId="0D5E39DD">
                  <w:pPr>
                    <w:adjustRightInd w:val="0"/>
                    <w:snapToGrid w:val="0"/>
                    <w:jc w:val="center"/>
                    <w:rPr>
                      <w:kern w:val="0"/>
                      <w:szCs w:val="21"/>
                    </w:rPr>
                  </w:pPr>
                  <w:r>
                    <w:rPr>
                      <w:kern w:val="0"/>
                      <w:szCs w:val="21"/>
                    </w:rPr>
                    <w:t>二类区</w:t>
                  </w:r>
                </w:p>
              </w:tc>
              <w:tc>
                <w:tcPr>
                  <w:tcW w:w="805" w:type="dxa"/>
                  <w:shd w:val="clear" w:color="auto" w:fill="auto"/>
                  <w:vAlign w:val="center"/>
                </w:tcPr>
                <w:p w14:paraId="72DE919F">
                  <w:pPr>
                    <w:adjustRightInd w:val="0"/>
                    <w:snapToGrid w:val="0"/>
                    <w:jc w:val="center"/>
                    <w:rPr>
                      <w:kern w:val="0"/>
                      <w:szCs w:val="21"/>
                    </w:rPr>
                  </w:pPr>
                  <w:r>
                    <w:rPr>
                      <w:kern w:val="0"/>
                      <w:szCs w:val="21"/>
                    </w:rPr>
                    <w:t>W</w:t>
                  </w:r>
                </w:p>
              </w:tc>
              <w:tc>
                <w:tcPr>
                  <w:tcW w:w="762" w:type="dxa"/>
                  <w:shd w:val="clear" w:color="auto" w:fill="auto"/>
                  <w:vAlign w:val="center"/>
                </w:tcPr>
                <w:p w14:paraId="5F8585C2">
                  <w:pPr>
                    <w:adjustRightInd w:val="0"/>
                    <w:snapToGrid w:val="0"/>
                    <w:jc w:val="center"/>
                    <w:rPr>
                      <w:kern w:val="0"/>
                      <w:szCs w:val="21"/>
                    </w:rPr>
                  </w:pPr>
                  <w:r>
                    <w:rPr>
                      <w:kern w:val="0"/>
                      <w:szCs w:val="21"/>
                    </w:rPr>
                    <w:t>180m</w:t>
                  </w:r>
                </w:p>
              </w:tc>
            </w:tr>
            <w:tr w14:paraId="2ACB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710" w:type="dxa"/>
                  <w:vAlign w:val="center"/>
                </w:tcPr>
                <w:p w14:paraId="02C382AF">
                  <w:pPr>
                    <w:adjustRightInd w:val="0"/>
                    <w:snapToGrid w:val="0"/>
                    <w:jc w:val="center"/>
                    <w:rPr>
                      <w:kern w:val="0"/>
                      <w:szCs w:val="21"/>
                    </w:rPr>
                  </w:pPr>
                  <w:r>
                    <w:rPr>
                      <w:kern w:val="0"/>
                      <w:szCs w:val="21"/>
                    </w:rPr>
                    <w:t>民权县公安交通警察大队人和中队</w:t>
                  </w:r>
                </w:p>
              </w:tc>
              <w:tc>
                <w:tcPr>
                  <w:tcW w:w="1077" w:type="dxa"/>
                  <w:vAlign w:val="center"/>
                </w:tcPr>
                <w:p w14:paraId="21792F4B">
                  <w:pPr>
                    <w:adjustRightInd w:val="0"/>
                    <w:snapToGrid w:val="0"/>
                    <w:jc w:val="center"/>
                    <w:rPr>
                      <w:kern w:val="0"/>
                      <w:szCs w:val="21"/>
                    </w:rPr>
                  </w:pPr>
                  <w:r>
                    <w:rPr>
                      <w:kern w:val="0"/>
                      <w:szCs w:val="21"/>
                    </w:rPr>
                    <w:t>114.973798</w:t>
                  </w:r>
                </w:p>
              </w:tc>
              <w:tc>
                <w:tcPr>
                  <w:tcW w:w="995" w:type="dxa"/>
                  <w:vAlign w:val="center"/>
                </w:tcPr>
                <w:p w14:paraId="4118212C">
                  <w:pPr>
                    <w:adjustRightInd w:val="0"/>
                    <w:snapToGrid w:val="0"/>
                    <w:jc w:val="center"/>
                    <w:rPr>
                      <w:kern w:val="0"/>
                      <w:szCs w:val="21"/>
                    </w:rPr>
                  </w:pPr>
                  <w:r>
                    <w:rPr>
                      <w:kern w:val="0"/>
                      <w:szCs w:val="21"/>
                    </w:rPr>
                    <w:t>34.714331</w:t>
                  </w:r>
                </w:p>
              </w:tc>
              <w:tc>
                <w:tcPr>
                  <w:tcW w:w="1009" w:type="dxa"/>
                  <w:vAlign w:val="center"/>
                </w:tcPr>
                <w:p w14:paraId="55BD660E">
                  <w:pPr>
                    <w:adjustRightInd w:val="0"/>
                    <w:snapToGrid w:val="0"/>
                    <w:jc w:val="center"/>
                    <w:rPr>
                      <w:kern w:val="0"/>
                      <w:szCs w:val="21"/>
                    </w:rPr>
                  </w:pPr>
                  <w:r>
                    <w:rPr>
                      <w:kern w:val="0"/>
                      <w:szCs w:val="21"/>
                    </w:rPr>
                    <w:t>行政办公</w:t>
                  </w:r>
                </w:p>
              </w:tc>
              <w:tc>
                <w:tcPr>
                  <w:tcW w:w="928" w:type="dxa"/>
                  <w:vAlign w:val="center"/>
                </w:tcPr>
                <w:p w14:paraId="5E011574">
                  <w:pPr>
                    <w:adjustRightInd w:val="0"/>
                    <w:snapToGrid w:val="0"/>
                    <w:jc w:val="center"/>
                    <w:rPr>
                      <w:kern w:val="0"/>
                      <w:szCs w:val="21"/>
                    </w:rPr>
                  </w:pPr>
                  <w:r>
                    <w:rPr>
                      <w:kern w:val="0"/>
                      <w:szCs w:val="21"/>
                    </w:rPr>
                    <w:t>环境空气</w:t>
                  </w:r>
                </w:p>
              </w:tc>
              <w:tc>
                <w:tcPr>
                  <w:tcW w:w="1131" w:type="dxa"/>
                  <w:vAlign w:val="center"/>
                </w:tcPr>
                <w:p w14:paraId="6AA0F255">
                  <w:pPr>
                    <w:adjustRightInd w:val="0"/>
                    <w:snapToGrid w:val="0"/>
                    <w:jc w:val="center"/>
                    <w:rPr>
                      <w:kern w:val="0"/>
                      <w:szCs w:val="21"/>
                    </w:rPr>
                  </w:pPr>
                  <w:r>
                    <w:rPr>
                      <w:kern w:val="0"/>
                      <w:szCs w:val="21"/>
                    </w:rPr>
                    <w:t>二类区</w:t>
                  </w:r>
                </w:p>
              </w:tc>
              <w:tc>
                <w:tcPr>
                  <w:tcW w:w="805" w:type="dxa"/>
                  <w:vAlign w:val="center"/>
                </w:tcPr>
                <w:p w14:paraId="3B7D9600">
                  <w:pPr>
                    <w:adjustRightInd w:val="0"/>
                    <w:snapToGrid w:val="0"/>
                    <w:jc w:val="center"/>
                    <w:rPr>
                      <w:kern w:val="0"/>
                      <w:szCs w:val="21"/>
                    </w:rPr>
                  </w:pPr>
                  <w:r>
                    <w:rPr>
                      <w:kern w:val="0"/>
                      <w:szCs w:val="21"/>
                    </w:rPr>
                    <w:t>W</w:t>
                  </w:r>
                </w:p>
              </w:tc>
              <w:tc>
                <w:tcPr>
                  <w:tcW w:w="762" w:type="dxa"/>
                  <w:vAlign w:val="center"/>
                </w:tcPr>
                <w:p w14:paraId="5BF03FC9">
                  <w:pPr>
                    <w:adjustRightInd w:val="0"/>
                    <w:snapToGrid w:val="0"/>
                    <w:jc w:val="center"/>
                    <w:rPr>
                      <w:kern w:val="0"/>
                      <w:szCs w:val="21"/>
                    </w:rPr>
                  </w:pPr>
                  <w:r>
                    <w:rPr>
                      <w:kern w:val="0"/>
                      <w:szCs w:val="21"/>
                    </w:rPr>
                    <w:t>380m</w:t>
                  </w:r>
                </w:p>
              </w:tc>
            </w:tr>
            <w:tr w14:paraId="5385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710" w:type="dxa"/>
                  <w:vAlign w:val="center"/>
                </w:tcPr>
                <w:p w14:paraId="6C8178C7">
                  <w:pPr>
                    <w:adjustRightInd w:val="0"/>
                    <w:snapToGrid w:val="0"/>
                    <w:jc w:val="center"/>
                    <w:rPr>
                      <w:kern w:val="0"/>
                      <w:szCs w:val="21"/>
                    </w:rPr>
                  </w:pPr>
                  <w:r>
                    <w:rPr>
                      <w:kern w:val="0"/>
                      <w:szCs w:val="21"/>
                    </w:rPr>
                    <w:t>翟寨村</w:t>
                  </w:r>
                </w:p>
              </w:tc>
              <w:tc>
                <w:tcPr>
                  <w:tcW w:w="1077" w:type="dxa"/>
                  <w:vAlign w:val="center"/>
                </w:tcPr>
                <w:p w14:paraId="3E0359B6">
                  <w:pPr>
                    <w:adjustRightInd w:val="0"/>
                    <w:snapToGrid w:val="0"/>
                    <w:jc w:val="center"/>
                    <w:rPr>
                      <w:kern w:val="0"/>
                      <w:szCs w:val="21"/>
                    </w:rPr>
                  </w:pPr>
                  <w:r>
                    <w:rPr>
                      <w:kern w:val="0"/>
                      <w:szCs w:val="21"/>
                    </w:rPr>
                    <w:t>114.982475</w:t>
                  </w:r>
                </w:p>
              </w:tc>
              <w:tc>
                <w:tcPr>
                  <w:tcW w:w="995" w:type="dxa"/>
                  <w:vAlign w:val="center"/>
                </w:tcPr>
                <w:p w14:paraId="219578DB">
                  <w:pPr>
                    <w:adjustRightInd w:val="0"/>
                    <w:snapToGrid w:val="0"/>
                    <w:jc w:val="center"/>
                    <w:rPr>
                      <w:kern w:val="0"/>
                      <w:szCs w:val="21"/>
                    </w:rPr>
                  </w:pPr>
                  <w:r>
                    <w:rPr>
                      <w:kern w:val="0"/>
                      <w:szCs w:val="21"/>
                    </w:rPr>
                    <w:t>34.708855</w:t>
                  </w:r>
                </w:p>
              </w:tc>
              <w:tc>
                <w:tcPr>
                  <w:tcW w:w="1009" w:type="dxa"/>
                  <w:vAlign w:val="center"/>
                </w:tcPr>
                <w:p w14:paraId="7E4A25F3">
                  <w:pPr>
                    <w:adjustRightInd w:val="0"/>
                    <w:snapToGrid w:val="0"/>
                    <w:jc w:val="center"/>
                    <w:rPr>
                      <w:kern w:val="0"/>
                      <w:szCs w:val="21"/>
                    </w:rPr>
                  </w:pPr>
                  <w:r>
                    <w:rPr>
                      <w:kern w:val="0"/>
                      <w:szCs w:val="21"/>
                    </w:rPr>
                    <w:t>居民区</w:t>
                  </w:r>
                </w:p>
              </w:tc>
              <w:tc>
                <w:tcPr>
                  <w:tcW w:w="928" w:type="dxa"/>
                  <w:shd w:val="clear" w:color="auto" w:fill="auto"/>
                  <w:vAlign w:val="center"/>
                </w:tcPr>
                <w:p w14:paraId="7D9EC48C">
                  <w:pPr>
                    <w:adjustRightInd w:val="0"/>
                    <w:snapToGrid w:val="0"/>
                    <w:jc w:val="center"/>
                    <w:rPr>
                      <w:kern w:val="0"/>
                      <w:szCs w:val="21"/>
                    </w:rPr>
                  </w:pPr>
                  <w:r>
                    <w:rPr>
                      <w:kern w:val="0"/>
                      <w:szCs w:val="21"/>
                    </w:rPr>
                    <w:t>环境空气</w:t>
                  </w:r>
                </w:p>
              </w:tc>
              <w:tc>
                <w:tcPr>
                  <w:tcW w:w="1131" w:type="dxa"/>
                  <w:shd w:val="clear" w:color="auto" w:fill="auto"/>
                  <w:vAlign w:val="center"/>
                </w:tcPr>
                <w:p w14:paraId="4EE73701">
                  <w:pPr>
                    <w:adjustRightInd w:val="0"/>
                    <w:snapToGrid w:val="0"/>
                    <w:jc w:val="center"/>
                    <w:rPr>
                      <w:kern w:val="0"/>
                      <w:szCs w:val="21"/>
                    </w:rPr>
                  </w:pPr>
                  <w:r>
                    <w:rPr>
                      <w:kern w:val="0"/>
                      <w:szCs w:val="21"/>
                    </w:rPr>
                    <w:t>二类区</w:t>
                  </w:r>
                </w:p>
              </w:tc>
              <w:tc>
                <w:tcPr>
                  <w:tcW w:w="805" w:type="dxa"/>
                  <w:vAlign w:val="center"/>
                </w:tcPr>
                <w:p w14:paraId="1735FCDB">
                  <w:pPr>
                    <w:adjustRightInd w:val="0"/>
                    <w:snapToGrid w:val="0"/>
                    <w:jc w:val="center"/>
                    <w:rPr>
                      <w:kern w:val="0"/>
                      <w:szCs w:val="21"/>
                    </w:rPr>
                  </w:pPr>
                  <w:r>
                    <w:rPr>
                      <w:kern w:val="0"/>
                      <w:szCs w:val="21"/>
                    </w:rPr>
                    <w:t>SE</w:t>
                  </w:r>
                </w:p>
              </w:tc>
              <w:tc>
                <w:tcPr>
                  <w:tcW w:w="762" w:type="dxa"/>
                  <w:vAlign w:val="center"/>
                </w:tcPr>
                <w:p w14:paraId="0D3208B9">
                  <w:pPr>
                    <w:adjustRightInd w:val="0"/>
                    <w:snapToGrid w:val="0"/>
                    <w:jc w:val="center"/>
                    <w:rPr>
                      <w:kern w:val="0"/>
                      <w:szCs w:val="21"/>
                    </w:rPr>
                  </w:pPr>
                  <w:r>
                    <w:rPr>
                      <w:kern w:val="0"/>
                      <w:szCs w:val="21"/>
                    </w:rPr>
                    <w:t>535m</w:t>
                  </w:r>
                </w:p>
              </w:tc>
            </w:tr>
            <w:tr w14:paraId="596C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1710" w:type="dxa"/>
                  <w:vAlign w:val="center"/>
                </w:tcPr>
                <w:p w14:paraId="3AE6A814">
                  <w:pPr>
                    <w:adjustRightInd w:val="0"/>
                    <w:snapToGrid w:val="0"/>
                    <w:jc w:val="center"/>
                    <w:rPr>
                      <w:kern w:val="0"/>
                      <w:szCs w:val="21"/>
                    </w:rPr>
                  </w:pPr>
                  <w:r>
                    <w:rPr>
                      <w:kern w:val="0"/>
                      <w:szCs w:val="21"/>
                    </w:rPr>
                    <w:t>内黄沟</w:t>
                  </w:r>
                </w:p>
              </w:tc>
              <w:tc>
                <w:tcPr>
                  <w:tcW w:w="1077" w:type="dxa"/>
                  <w:vAlign w:val="center"/>
                </w:tcPr>
                <w:p w14:paraId="3DCAD245">
                  <w:pPr>
                    <w:adjustRightInd w:val="0"/>
                    <w:snapToGrid w:val="0"/>
                    <w:jc w:val="center"/>
                    <w:rPr>
                      <w:kern w:val="0"/>
                      <w:szCs w:val="21"/>
                    </w:rPr>
                  </w:pPr>
                  <w:r>
                    <w:rPr>
                      <w:kern w:val="0"/>
                      <w:szCs w:val="21"/>
                    </w:rPr>
                    <w:t>114.976907</w:t>
                  </w:r>
                </w:p>
              </w:tc>
              <w:tc>
                <w:tcPr>
                  <w:tcW w:w="995" w:type="dxa"/>
                  <w:vAlign w:val="center"/>
                </w:tcPr>
                <w:p w14:paraId="28F17417">
                  <w:pPr>
                    <w:adjustRightInd w:val="0"/>
                    <w:snapToGrid w:val="0"/>
                    <w:jc w:val="center"/>
                    <w:rPr>
                      <w:kern w:val="0"/>
                      <w:szCs w:val="21"/>
                    </w:rPr>
                  </w:pPr>
                  <w:r>
                    <w:rPr>
                      <w:kern w:val="0"/>
                      <w:szCs w:val="21"/>
                    </w:rPr>
                    <w:t>34.714295</w:t>
                  </w:r>
                </w:p>
              </w:tc>
              <w:tc>
                <w:tcPr>
                  <w:tcW w:w="1009" w:type="dxa"/>
                  <w:vAlign w:val="center"/>
                </w:tcPr>
                <w:p w14:paraId="51FF53B9">
                  <w:pPr>
                    <w:adjustRightInd w:val="0"/>
                    <w:snapToGrid w:val="0"/>
                    <w:jc w:val="center"/>
                    <w:rPr>
                      <w:kern w:val="0"/>
                      <w:szCs w:val="21"/>
                    </w:rPr>
                  </w:pPr>
                  <w:r>
                    <w:rPr>
                      <w:kern w:val="0"/>
                      <w:szCs w:val="21"/>
                    </w:rPr>
                    <w:t>河流</w:t>
                  </w:r>
                </w:p>
              </w:tc>
              <w:tc>
                <w:tcPr>
                  <w:tcW w:w="928" w:type="dxa"/>
                  <w:vAlign w:val="center"/>
                </w:tcPr>
                <w:p w14:paraId="4B3BB0FB">
                  <w:pPr>
                    <w:adjustRightInd w:val="0"/>
                    <w:snapToGrid w:val="0"/>
                    <w:jc w:val="center"/>
                    <w:rPr>
                      <w:kern w:val="0"/>
                      <w:szCs w:val="21"/>
                    </w:rPr>
                  </w:pPr>
                  <w:r>
                    <w:rPr>
                      <w:kern w:val="0"/>
                      <w:szCs w:val="21"/>
                    </w:rPr>
                    <w:t>地表水</w:t>
                  </w:r>
                </w:p>
              </w:tc>
              <w:tc>
                <w:tcPr>
                  <w:tcW w:w="1131" w:type="dxa"/>
                  <w:vAlign w:val="center"/>
                </w:tcPr>
                <w:p w14:paraId="4C015FAE">
                  <w:pPr>
                    <w:adjustRightInd w:val="0"/>
                    <w:snapToGrid w:val="0"/>
                    <w:jc w:val="center"/>
                    <w:rPr>
                      <w:kern w:val="0"/>
                      <w:szCs w:val="21"/>
                    </w:rPr>
                  </w:pPr>
                  <w:r>
                    <w:rPr>
                      <w:szCs w:val="21"/>
                    </w:rPr>
                    <w:t>Ⅳ类</w:t>
                  </w:r>
                </w:p>
              </w:tc>
              <w:tc>
                <w:tcPr>
                  <w:tcW w:w="805" w:type="dxa"/>
                  <w:vAlign w:val="center"/>
                </w:tcPr>
                <w:p w14:paraId="6BC06F86">
                  <w:pPr>
                    <w:adjustRightInd w:val="0"/>
                    <w:snapToGrid w:val="0"/>
                    <w:jc w:val="center"/>
                    <w:rPr>
                      <w:kern w:val="0"/>
                      <w:szCs w:val="21"/>
                    </w:rPr>
                  </w:pPr>
                  <w:r>
                    <w:rPr>
                      <w:kern w:val="0"/>
                      <w:szCs w:val="21"/>
                    </w:rPr>
                    <w:t>E</w:t>
                  </w:r>
                </w:p>
              </w:tc>
              <w:tc>
                <w:tcPr>
                  <w:tcW w:w="762" w:type="dxa"/>
                  <w:vAlign w:val="center"/>
                </w:tcPr>
                <w:p w14:paraId="5083554D">
                  <w:pPr>
                    <w:adjustRightInd w:val="0"/>
                    <w:snapToGrid w:val="0"/>
                    <w:jc w:val="center"/>
                    <w:rPr>
                      <w:kern w:val="0"/>
                      <w:szCs w:val="21"/>
                    </w:rPr>
                  </w:pPr>
                  <w:r>
                    <w:rPr>
                      <w:kern w:val="0"/>
                      <w:szCs w:val="21"/>
                    </w:rPr>
                    <w:t>300m</w:t>
                  </w:r>
                </w:p>
              </w:tc>
            </w:tr>
          </w:tbl>
          <w:p w14:paraId="281D424F">
            <w:pPr>
              <w:adjustRightInd w:val="0"/>
              <w:snapToGrid w:val="0"/>
              <w:rPr>
                <w:kern w:val="0"/>
                <w:sz w:val="24"/>
                <w:szCs w:val="21"/>
              </w:rPr>
            </w:pPr>
          </w:p>
        </w:tc>
      </w:tr>
      <w:tr w14:paraId="5D3A7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403" w:type="dxa"/>
            <w:tcMar>
              <w:left w:w="28" w:type="dxa"/>
              <w:right w:w="28" w:type="dxa"/>
            </w:tcMar>
            <w:vAlign w:val="center"/>
          </w:tcPr>
          <w:p w14:paraId="6F23B8E5">
            <w:pPr>
              <w:adjustRightInd w:val="0"/>
              <w:snapToGrid w:val="0"/>
              <w:jc w:val="center"/>
              <w:rPr>
                <w:kern w:val="0"/>
                <w:sz w:val="24"/>
              </w:rPr>
            </w:pPr>
            <w:r>
              <w:rPr>
                <w:kern w:val="0"/>
                <w:sz w:val="24"/>
              </w:rPr>
              <w:t>污染物排放控制标准</w:t>
            </w:r>
          </w:p>
        </w:tc>
        <w:tc>
          <w:tcPr>
            <w:tcW w:w="8587" w:type="dxa"/>
            <w:vAlign w:val="center"/>
          </w:tcPr>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7"/>
              <w:gridCol w:w="2526"/>
              <w:gridCol w:w="1140"/>
              <w:gridCol w:w="644"/>
              <w:gridCol w:w="766"/>
              <w:gridCol w:w="2809"/>
            </w:tblGrid>
            <w:tr w14:paraId="6CC9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Align w:val="center"/>
                </w:tcPr>
                <w:p w14:paraId="48791FCD">
                  <w:pPr>
                    <w:adjustRightInd w:val="0"/>
                    <w:snapToGrid w:val="0"/>
                    <w:jc w:val="center"/>
                    <w:rPr>
                      <w:kern w:val="0"/>
                      <w:szCs w:val="21"/>
                    </w:rPr>
                  </w:pPr>
                  <w:r>
                    <w:rPr>
                      <w:kern w:val="0"/>
                      <w:szCs w:val="21"/>
                    </w:rPr>
                    <w:t>环境</w:t>
                  </w:r>
                </w:p>
                <w:p w14:paraId="69C5E9FD">
                  <w:pPr>
                    <w:adjustRightInd w:val="0"/>
                    <w:snapToGrid w:val="0"/>
                    <w:jc w:val="center"/>
                    <w:rPr>
                      <w:kern w:val="0"/>
                      <w:szCs w:val="21"/>
                    </w:rPr>
                  </w:pPr>
                  <w:r>
                    <w:rPr>
                      <w:kern w:val="0"/>
                      <w:szCs w:val="21"/>
                    </w:rPr>
                    <w:t>要素</w:t>
                  </w:r>
                </w:p>
              </w:tc>
              <w:tc>
                <w:tcPr>
                  <w:tcW w:w="2526" w:type="dxa"/>
                  <w:vAlign w:val="center"/>
                </w:tcPr>
                <w:p w14:paraId="68AE8C0A">
                  <w:pPr>
                    <w:adjustRightInd w:val="0"/>
                    <w:snapToGrid w:val="0"/>
                    <w:jc w:val="center"/>
                    <w:rPr>
                      <w:kern w:val="0"/>
                      <w:szCs w:val="21"/>
                    </w:rPr>
                  </w:pPr>
                  <w:r>
                    <w:rPr>
                      <w:kern w:val="0"/>
                      <w:szCs w:val="21"/>
                    </w:rPr>
                    <w:t>执行标准</w:t>
                  </w:r>
                </w:p>
              </w:tc>
              <w:tc>
                <w:tcPr>
                  <w:tcW w:w="1140" w:type="dxa"/>
                  <w:vAlign w:val="center"/>
                </w:tcPr>
                <w:p w14:paraId="0B3F4283">
                  <w:pPr>
                    <w:adjustRightInd w:val="0"/>
                    <w:snapToGrid w:val="0"/>
                    <w:jc w:val="center"/>
                    <w:rPr>
                      <w:kern w:val="0"/>
                      <w:szCs w:val="21"/>
                    </w:rPr>
                  </w:pPr>
                  <w:r>
                    <w:rPr>
                      <w:kern w:val="0"/>
                      <w:szCs w:val="21"/>
                    </w:rPr>
                    <w:t>执行级别</w:t>
                  </w:r>
                </w:p>
              </w:tc>
              <w:tc>
                <w:tcPr>
                  <w:tcW w:w="1410" w:type="dxa"/>
                  <w:gridSpan w:val="2"/>
                  <w:vAlign w:val="center"/>
                </w:tcPr>
                <w:p w14:paraId="14E75E21">
                  <w:pPr>
                    <w:adjustRightInd w:val="0"/>
                    <w:snapToGrid w:val="0"/>
                    <w:jc w:val="center"/>
                    <w:rPr>
                      <w:kern w:val="0"/>
                      <w:szCs w:val="21"/>
                    </w:rPr>
                  </w:pPr>
                  <w:r>
                    <w:rPr>
                      <w:kern w:val="0"/>
                      <w:szCs w:val="21"/>
                    </w:rPr>
                    <w:t>污染因子</w:t>
                  </w:r>
                </w:p>
              </w:tc>
              <w:tc>
                <w:tcPr>
                  <w:tcW w:w="2809" w:type="dxa"/>
                  <w:vAlign w:val="center"/>
                </w:tcPr>
                <w:p w14:paraId="0B12D6DB">
                  <w:pPr>
                    <w:adjustRightInd w:val="0"/>
                    <w:snapToGrid w:val="0"/>
                    <w:jc w:val="center"/>
                    <w:rPr>
                      <w:kern w:val="0"/>
                      <w:szCs w:val="21"/>
                    </w:rPr>
                  </w:pPr>
                  <w:r>
                    <w:rPr>
                      <w:kern w:val="0"/>
                      <w:szCs w:val="21"/>
                    </w:rPr>
                    <w:t>限值</w:t>
                  </w:r>
                </w:p>
              </w:tc>
            </w:tr>
            <w:tr w14:paraId="0B8D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restart"/>
                  <w:vAlign w:val="center"/>
                </w:tcPr>
                <w:p w14:paraId="026507B1">
                  <w:pPr>
                    <w:adjustRightInd w:val="0"/>
                    <w:snapToGrid w:val="0"/>
                    <w:jc w:val="center"/>
                    <w:rPr>
                      <w:kern w:val="0"/>
                      <w:szCs w:val="21"/>
                    </w:rPr>
                  </w:pPr>
                  <w:r>
                    <w:rPr>
                      <w:kern w:val="0"/>
                      <w:szCs w:val="21"/>
                    </w:rPr>
                    <w:t>废气</w:t>
                  </w:r>
                </w:p>
              </w:tc>
              <w:tc>
                <w:tcPr>
                  <w:tcW w:w="2526" w:type="dxa"/>
                  <w:vMerge w:val="restart"/>
                  <w:vAlign w:val="center"/>
                </w:tcPr>
                <w:p w14:paraId="78E4CBD1">
                  <w:pPr>
                    <w:adjustRightInd w:val="0"/>
                    <w:snapToGrid w:val="0"/>
                    <w:jc w:val="center"/>
                    <w:rPr>
                      <w:kern w:val="0"/>
                      <w:szCs w:val="21"/>
                    </w:rPr>
                  </w:pPr>
                  <w:r>
                    <w:rPr>
                      <w:kern w:val="0"/>
                      <w:szCs w:val="21"/>
                    </w:rPr>
                    <w:t>《大气污染物综合排放标准》（GB16297-1996）</w:t>
                  </w:r>
                </w:p>
              </w:tc>
              <w:tc>
                <w:tcPr>
                  <w:tcW w:w="1140" w:type="dxa"/>
                  <w:vMerge w:val="restart"/>
                  <w:vAlign w:val="center"/>
                </w:tcPr>
                <w:p w14:paraId="7C6C0BCF">
                  <w:pPr>
                    <w:adjustRightInd w:val="0"/>
                    <w:snapToGrid w:val="0"/>
                    <w:jc w:val="center"/>
                    <w:rPr>
                      <w:kern w:val="0"/>
                      <w:szCs w:val="21"/>
                    </w:rPr>
                  </w:pPr>
                  <w:r>
                    <w:rPr>
                      <w:kern w:val="0"/>
                      <w:szCs w:val="21"/>
                    </w:rPr>
                    <w:t>表2</w:t>
                  </w:r>
                </w:p>
              </w:tc>
              <w:tc>
                <w:tcPr>
                  <w:tcW w:w="644" w:type="dxa"/>
                  <w:vMerge w:val="restart"/>
                  <w:vAlign w:val="center"/>
                </w:tcPr>
                <w:p w14:paraId="580DF0EB">
                  <w:pPr>
                    <w:adjustRightInd w:val="0"/>
                    <w:snapToGrid w:val="0"/>
                    <w:jc w:val="center"/>
                    <w:rPr>
                      <w:kern w:val="0"/>
                      <w:szCs w:val="21"/>
                    </w:rPr>
                  </w:pPr>
                  <w:r>
                    <w:rPr>
                      <w:kern w:val="0"/>
                      <w:szCs w:val="21"/>
                    </w:rPr>
                    <w:t>非甲烷总烃</w:t>
                  </w:r>
                </w:p>
              </w:tc>
              <w:tc>
                <w:tcPr>
                  <w:tcW w:w="766" w:type="dxa"/>
                  <w:vAlign w:val="center"/>
                </w:tcPr>
                <w:p w14:paraId="29E056CB">
                  <w:pPr>
                    <w:adjustRightInd w:val="0"/>
                    <w:snapToGrid w:val="0"/>
                    <w:jc w:val="center"/>
                    <w:rPr>
                      <w:kern w:val="0"/>
                      <w:szCs w:val="21"/>
                    </w:rPr>
                  </w:pPr>
                  <w:r>
                    <w:rPr>
                      <w:kern w:val="0"/>
                      <w:szCs w:val="21"/>
                    </w:rPr>
                    <w:t>有组织</w:t>
                  </w:r>
                </w:p>
              </w:tc>
              <w:tc>
                <w:tcPr>
                  <w:tcW w:w="2809" w:type="dxa"/>
                  <w:vAlign w:val="center"/>
                </w:tcPr>
                <w:p w14:paraId="1E6E610C">
                  <w:pPr>
                    <w:adjustRightInd w:val="0"/>
                    <w:snapToGrid w:val="0"/>
                    <w:jc w:val="center"/>
                    <w:rPr>
                      <w:kern w:val="0"/>
                      <w:szCs w:val="21"/>
                    </w:rPr>
                  </w:pPr>
                  <w:r>
                    <w:rPr>
                      <w:kern w:val="0"/>
                      <w:szCs w:val="21"/>
                    </w:rPr>
                    <w:t>最高允许排放浓度120mg/m</w:t>
                  </w:r>
                  <w:r>
                    <w:rPr>
                      <w:kern w:val="0"/>
                      <w:szCs w:val="21"/>
                      <w:vertAlign w:val="superscript"/>
                    </w:rPr>
                    <w:t>3</w:t>
                  </w:r>
                  <w:r>
                    <w:rPr>
                      <w:kern w:val="0"/>
                      <w:szCs w:val="21"/>
                    </w:rPr>
                    <w:t>，最高允许排放速率10kg/h（15m高排气筒）</w:t>
                  </w:r>
                </w:p>
              </w:tc>
            </w:tr>
            <w:tr w14:paraId="5A6E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continue"/>
                  <w:vAlign w:val="center"/>
                </w:tcPr>
                <w:p w14:paraId="57DCEC0D">
                  <w:pPr>
                    <w:adjustRightInd w:val="0"/>
                    <w:snapToGrid w:val="0"/>
                    <w:jc w:val="center"/>
                  </w:pPr>
                </w:p>
              </w:tc>
              <w:tc>
                <w:tcPr>
                  <w:tcW w:w="2526" w:type="dxa"/>
                  <w:vMerge w:val="continue"/>
                  <w:vAlign w:val="center"/>
                </w:tcPr>
                <w:p w14:paraId="5158900E">
                  <w:pPr>
                    <w:adjustRightInd w:val="0"/>
                    <w:snapToGrid w:val="0"/>
                    <w:jc w:val="center"/>
                  </w:pPr>
                </w:p>
              </w:tc>
              <w:tc>
                <w:tcPr>
                  <w:tcW w:w="1140" w:type="dxa"/>
                  <w:vMerge w:val="continue"/>
                  <w:vAlign w:val="center"/>
                </w:tcPr>
                <w:p w14:paraId="4D9B410D">
                  <w:pPr>
                    <w:adjustRightInd w:val="0"/>
                    <w:snapToGrid w:val="0"/>
                    <w:jc w:val="center"/>
                  </w:pPr>
                </w:p>
              </w:tc>
              <w:tc>
                <w:tcPr>
                  <w:tcW w:w="644" w:type="dxa"/>
                  <w:vMerge w:val="continue"/>
                  <w:vAlign w:val="center"/>
                </w:tcPr>
                <w:p w14:paraId="581B7300">
                  <w:pPr>
                    <w:adjustRightInd w:val="0"/>
                    <w:snapToGrid w:val="0"/>
                    <w:jc w:val="center"/>
                  </w:pPr>
                </w:p>
              </w:tc>
              <w:tc>
                <w:tcPr>
                  <w:tcW w:w="766" w:type="dxa"/>
                  <w:vAlign w:val="center"/>
                </w:tcPr>
                <w:p w14:paraId="3017BAB1">
                  <w:pPr>
                    <w:adjustRightInd w:val="0"/>
                    <w:snapToGrid w:val="0"/>
                    <w:jc w:val="center"/>
                  </w:pPr>
                  <w:r>
                    <w:t>无组织</w:t>
                  </w:r>
                </w:p>
              </w:tc>
              <w:tc>
                <w:tcPr>
                  <w:tcW w:w="2809" w:type="dxa"/>
                  <w:vAlign w:val="center"/>
                </w:tcPr>
                <w:p w14:paraId="1961DD2A">
                  <w:pPr>
                    <w:adjustRightInd w:val="0"/>
                    <w:snapToGrid w:val="0"/>
                    <w:jc w:val="center"/>
                  </w:pPr>
                  <w:r>
                    <w:t>周界外浓度排放限值4.0mg/m</w:t>
                  </w:r>
                  <w:r>
                    <w:rPr>
                      <w:vertAlign w:val="superscript"/>
                    </w:rPr>
                    <w:t>3</w:t>
                  </w:r>
                </w:p>
              </w:tc>
            </w:tr>
            <w:tr w14:paraId="2C4C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continue"/>
                  <w:vAlign w:val="center"/>
                </w:tcPr>
                <w:p w14:paraId="53586DC1">
                  <w:pPr>
                    <w:adjustRightInd w:val="0"/>
                    <w:snapToGrid w:val="0"/>
                    <w:jc w:val="center"/>
                    <w:rPr>
                      <w:kern w:val="0"/>
                      <w:szCs w:val="21"/>
                    </w:rPr>
                  </w:pPr>
                </w:p>
              </w:tc>
              <w:tc>
                <w:tcPr>
                  <w:tcW w:w="2526" w:type="dxa"/>
                  <w:vMerge w:val="continue"/>
                  <w:vAlign w:val="center"/>
                </w:tcPr>
                <w:p w14:paraId="02775D88">
                  <w:pPr>
                    <w:adjustRightInd w:val="0"/>
                    <w:snapToGrid w:val="0"/>
                    <w:jc w:val="center"/>
                    <w:rPr>
                      <w:kern w:val="0"/>
                      <w:szCs w:val="21"/>
                    </w:rPr>
                  </w:pPr>
                </w:p>
              </w:tc>
              <w:tc>
                <w:tcPr>
                  <w:tcW w:w="1140" w:type="dxa"/>
                  <w:vMerge w:val="continue"/>
                  <w:vAlign w:val="center"/>
                </w:tcPr>
                <w:p w14:paraId="384BEAC5">
                  <w:pPr>
                    <w:adjustRightInd w:val="0"/>
                    <w:snapToGrid w:val="0"/>
                    <w:jc w:val="center"/>
                    <w:rPr>
                      <w:kern w:val="0"/>
                      <w:szCs w:val="21"/>
                    </w:rPr>
                  </w:pPr>
                </w:p>
              </w:tc>
              <w:tc>
                <w:tcPr>
                  <w:tcW w:w="644" w:type="dxa"/>
                  <w:vMerge w:val="restart"/>
                  <w:vAlign w:val="center"/>
                </w:tcPr>
                <w:p w14:paraId="537A6288">
                  <w:pPr>
                    <w:adjustRightInd w:val="0"/>
                    <w:snapToGrid w:val="0"/>
                    <w:jc w:val="center"/>
                    <w:rPr>
                      <w:kern w:val="0"/>
                      <w:szCs w:val="21"/>
                    </w:rPr>
                  </w:pPr>
                  <w:r>
                    <w:rPr>
                      <w:kern w:val="0"/>
                      <w:szCs w:val="21"/>
                    </w:rPr>
                    <w:t>颗粒物</w:t>
                  </w:r>
                </w:p>
              </w:tc>
              <w:tc>
                <w:tcPr>
                  <w:tcW w:w="766" w:type="dxa"/>
                  <w:vAlign w:val="center"/>
                </w:tcPr>
                <w:p w14:paraId="1922D985">
                  <w:pPr>
                    <w:adjustRightInd w:val="0"/>
                    <w:snapToGrid w:val="0"/>
                    <w:jc w:val="center"/>
                    <w:rPr>
                      <w:kern w:val="0"/>
                      <w:szCs w:val="21"/>
                    </w:rPr>
                  </w:pPr>
                  <w:r>
                    <w:rPr>
                      <w:kern w:val="0"/>
                      <w:szCs w:val="21"/>
                    </w:rPr>
                    <w:t>有组织</w:t>
                  </w:r>
                </w:p>
              </w:tc>
              <w:tc>
                <w:tcPr>
                  <w:tcW w:w="2809" w:type="dxa"/>
                  <w:vAlign w:val="center"/>
                </w:tcPr>
                <w:p w14:paraId="68FF7C2F">
                  <w:pPr>
                    <w:adjustRightInd w:val="0"/>
                    <w:snapToGrid w:val="0"/>
                    <w:jc w:val="center"/>
                    <w:rPr>
                      <w:kern w:val="0"/>
                      <w:szCs w:val="21"/>
                    </w:rPr>
                  </w:pPr>
                  <w:r>
                    <w:rPr>
                      <w:kern w:val="0"/>
                      <w:szCs w:val="21"/>
                    </w:rPr>
                    <w:t>最高允许排放浓度120mg/m</w:t>
                  </w:r>
                  <w:r>
                    <w:rPr>
                      <w:kern w:val="0"/>
                      <w:szCs w:val="21"/>
                      <w:vertAlign w:val="superscript"/>
                    </w:rPr>
                    <w:t>3</w:t>
                  </w:r>
                  <w:r>
                    <w:rPr>
                      <w:kern w:val="0"/>
                      <w:szCs w:val="21"/>
                    </w:rPr>
                    <w:t>，最高允许排放速率3.5kg/h（15m高排气筒）</w:t>
                  </w:r>
                </w:p>
              </w:tc>
            </w:tr>
            <w:tr w14:paraId="3EA3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continue"/>
                  <w:vAlign w:val="center"/>
                </w:tcPr>
                <w:p w14:paraId="7D5F7963">
                  <w:pPr>
                    <w:adjustRightInd w:val="0"/>
                    <w:snapToGrid w:val="0"/>
                    <w:jc w:val="center"/>
                  </w:pPr>
                </w:p>
              </w:tc>
              <w:tc>
                <w:tcPr>
                  <w:tcW w:w="2526" w:type="dxa"/>
                  <w:vMerge w:val="continue"/>
                  <w:vAlign w:val="center"/>
                </w:tcPr>
                <w:p w14:paraId="52C0B42A">
                  <w:pPr>
                    <w:adjustRightInd w:val="0"/>
                    <w:snapToGrid w:val="0"/>
                    <w:jc w:val="center"/>
                  </w:pPr>
                </w:p>
              </w:tc>
              <w:tc>
                <w:tcPr>
                  <w:tcW w:w="1140" w:type="dxa"/>
                  <w:vMerge w:val="continue"/>
                  <w:vAlign w:val="center"/>
                </w:tcPr>
                <w:p w14:paraId="45CC89FF">
                  <w:pPr>
                    <w:adjustRightInd w:val="0"/>
                    <w:snapToGrid w:val="0"/>
                    <w:jc w:val="center"/>
                  </w:pPr>
                </w:p>
              </w:tc>
              <w:tc>
                <w:tcPr>
                  <w:tcW w:w="644" w:type="dxa"/>
                  <w:vMerge w:val="continue"/>
                  <w:vAlign w:val="center"/>
                </w:tcPr>
                <w:p w14:paraId="52D6D433">
                  <w:pPr>
                    <w:adjustRightInd w:val="0"/>
                    <w:snapToGrid w:val="0"/>
                    <w:jc w:val="center"/>
                  </w:pPr>
                </w:p>
              </w:tc>
              <w:tc>
                <w:tcPr>
                  <w:tcW w:w="766" w:type="dxa"/>
                  <w:vAlign w:val="center"/>
                </w:tcPr>
                <w:p w14:paraId="16979D32">
                  <w:pPr>
                    <w:adjustRightInd w:val="0"/>
                    <w:snapToGrid w:val="0"/>
                    <w:jc w:val="center"/>
                  </w:pPr>
                  <w:r>
                    <w:t>无组织</w:t>
                  </w:r>
                </w:p>
              </w:tc>
              <w:tc>
                <w:tcPr>
                  <w:tcW w:w="2809" w:type="dxa"/>
                  <w:vAlign w:val="center"/>
                </w:tcPr>
                <w:p w14:paraId="51763385">
                  <w:pPr>
                    <w:adjustRightInd w:val="0"/>
                    <w:snapToGrid w:val="0"/>
                    <w:jc w:val="center"/>
                  </w:pPr>
                  <w:r>
                    <w:t>周界外浓度排放限值1.0mg/m</w:t>
                  </w:r>
                  <w:r>
                    <w:rPr>
                      <w:vertAlign w:val="superscript"/>
                    </w:rPr>
                    <w:t>3</w:t>
                  </w:r>
                </w:p>
              </w:tc>
            </w:tr>
            <w:tr w14:paraId="3FEA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continue"/>
                  <w:vAlign w:val="center"/>
                </w:tcPr>
                <w:p w14:paraId="1D2E6007">
                  <w:pPr>
                    <w:adjustRightInd w:val="0"/>
                    <w:snapToGrid w:val="0"/>
                    <w:jc w:val="center"/>
                    <w:rPr>
                      <w:kern w:val="0"/>
                      <w:szCs w:val="21"/>
                    </w:rPr>
                  </w:pPr>
                </w:p>
              </w:tc>
              <w:tc>
                <w:tcPr>
                  <w:tcW w:w="2526" w:type="dxa"/>
                  <w:vMerge w:val="restart"/>
                  <w:vAlign w:val="center"/>
                </w:tcPr>
                <w:p w14:paraId="1726BD8B">
                  <w:pPr>
                    <w:adjustRightInd w:val="0"/>
                    <w:snapToGrid w:val="0"/>
                    <w:jc w:val="center"/>
                    <w:rPr>
                      <w:kern w:val="0"/>
                      <w:szCs w:val="21"/>
                    </w:rPr>
                  </w:pPr>
                  <w:r>
                    <w:rPr>
                      <w:kern w:val="0"/>
                      <w:szCs w:val="21"/>
                    </w:rPr>
                    <w:t>《关于全省开展工业企业挥发性有机物专项治理工作中排放建议值的通知》（豫环攻坚办〔2017〕162号）</w:t>
                  </w:r>
                </w:p>
              </w:tc>
              <w:tc>
                <w:tcPr>
                  <w:tcW w:w="1140" w:type="dxa"/>
                  <w:vAlign w:val="center"/>
                </w:tcPr>
                <w:p w14:paraId="44423E89">
                  <w:pPr>
                    <w:adjustRightInd w:val="0"/>
                    <w:snapToGrid w:val="0"/>
                    <w:jc w:val="center"/>
                    <w:rPr>
                      <w:kern w:val="0"/>
                      <w:szCs w:val="21"/>
                    </w:rPr>
                  </w:pPr>
                  <w:r>
                    <w:rPr>
                      <w:kern w:val="0"/>
                      <w:szCs w:val="21"/>
                    </w:rPr>
                    <w:t>附件1</w:t>
                  </w:r>
                </w:p>
              </w:tc>
              <w:tc>
                <w:tcPr>
                  <w:tcW w:w="1410" w:type="dxa"/>
                  <w:gridSpan w:val="2"/>
                  <w:vMerge w:val="restart"/>
                  <w:vAlign w:val="center"/>
                </w:tcPr>
                <w:p w14:paraId="3C65DAB9">
                  <w:pPr>
                    <w:adjustRightInd w:val="0"/>
                    <w:snapToGrid w:val="0"/>
                    <w:jc w:val="center"/>
                    <w:rPr>
                      <w:kern w:val="0"/>
                      <w:szCs w:val="21"/>
                    </w:rPr>
                  </w:pPr>
                  <w:r>
                    <w:rPr>
                      <w:kern w:val="0"/>
                      <w:szCs w:val="21"/>
                    </w:rPr>
                    <w:t>非甲烷总烃</w:t>
                  </w:r>
                </w:p>
              </w:tc>
              <w:tc>
                <w:tcPr>
                  <w:tcW w:w="2809" w:type="dxa"/>
                  <w:vAlign w:val="center"/>
                </w:tcPr>
                <w:p w14:paraId="2A84B397">
                  <w:pPr>
                    <w:adjustRightInd w:val="0"/>
                    <w:snapToGrid w:val="0"/>
                    <w:jc w:val="center"/>
                    <w:rPr>
                      <w:kern w:val="0"/>
                      <w:szCs w:val="21"/>
                    </w:rPr>
                  </w:pPr>
                  <w:r>
                    <w:rPr>
                      <w:kern w:val="0"/>
                      <w:szCs w:val="21"/>
                    </w:rPr>
                    <w:t>排放浓度80mg/m</w:t>
                  </w:r>
                  <w:r>
                    <w:rPr>
                      <w:kern w:val="0"/>
                      <w:szCs w:val="21"/>
                      <w:vertAlign w:val="superscript"/>
                    </w:rPr>
                    <w:t>3</w:t>
                  </w:r>
                </w:p>
              </w:tc>
            </w:tr>
            <w:tr w14:paraId="705E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continue"/>
                  <w:vAlign w:val="center"/>
                </w:tcPr>
                <w:p w14:paraId="1F6ABEC6">
                  <w:pPr>
                    <w:adjustRightInd w:val="0"/>
                    <w:snapToGrid w:val="0"/>
                    <w:jc w:val="center"/>
                    <w:rPr>
                      <w:kern w:val="0"/>
                      <w:szCs w:val="21"/>
                    </w:rPr>
                  </w:pPr>
                </w:p>
              </w:tc>
              <w:tc>
                <w:tcPr>
                  <w:tcW w:w="2526" w:type="dxa"/>
                  <w:vMerge w:val="continue"/>
                  <w:vAlign w:val="center"/>
                </w:tcPr>
                <w:p w14:paraId="5D257597">
                  <w:pPr>
                    <w:adjustRightInd w:val="0"/>
                    <w:snapToGrid w:val="0"/>
                    <w:jc w:val="center"/>
                    <w:rPr>
                      <w:kern w:val="0"/>
                      <w:szCs w:val="21"/>
                    </w:rPr>
                  </w:pPr>
                </w:p>
              </w:tc>
              <w:tc>
                <w:tcPr>
                  <w:tcW w:w="1140" w:type="dxa"/>
                  <w:vAlign w:val="center"/>
                </w:tcPr>
                <w:p w14:paraId="011CFC86">
                  <w:pPr>
                    <w:adjustRightInd w:val="0"/>
                    <w:snapToGrid w:val="0"/>
                    <w:jc w:val="center"/>
                    <w:rPr>
                      <w:kern w:val="0"/>
                      <w:szCs w:val="21"/>
                    </w:rPr>
                  </w:pPr>
                  <w:r>
                    <w:rPr>
                      <w:kern w:val="0"/>
                      <w:szCs w:val="21"/>
                    </w:rPr>
                    <w:t>附件2</w:t>
                  </w:r>
                </w:p>
              </w:tc>
              <w:tc>
                <w:tcPr>
                  <w:tcW w:w="1410" w:type="dxa"/>
                  <w:gridSpan w:val="2"/>
                  <w:vMerge w:val="continue"/>
                  <w:vAlign w:val="center"/>
                </w:tcPr>
                <w:p w14:paraId="50104BEA">
                  <w:pPr>
                    <w:adjustRightInd w:val="0"/>
                    <w:snapToGrid w:val="0"/>
                    <w:jc w:val="center"/>
                    <w:rPr>
                      <w:kern w:val="0"/>
                      <w:szCs w:val="21"/>
                    </w:rPr>
                  </w:pPr>
                </w:p>
              </w:tc>
              <w:tc>
                <w:tcPr>
                  <w:tcW w:w="2809" w:type="dxa"/>
                  <w:vAlign w:val="center"/>
                </w:tcPr>
                <w:p w14:paraId="1C3D226F">
                  <w:pPr>
                    <w:adjustRightInd w:val="0"/>
                    <w:snapToGrid w:val="0"/>
                    <w:jc w:val="center"/>
                    <w:rPr>
                      <w:kern w:val="0"/>
                      <w:szCs w:val="21"/>
                    </w:rPr>
                  </w:pPr>
                  <w:r>
                    <w:rPr>
                      <w:kern w:val="0"/>
                      <w:szCs w:val="21"/>
                    </w:rPr>
                    <w:t>周界外浓度2.0mg/m</w:t>
                  </w:r>
                  <w:r>
                    <w:rPr>
                      <w:kern w:val="0"/>
                      <w:szCs w:val="21"/>
                      <w:vertAlign w:val="superscript"/>
                    </w:rPr>
                    <w:t>3</w:t>
                  </w:r>
                </w:p>
              </w:tc>
            </w:tr>
            <w:tr w14:paraId="38E9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continue"/>
                  <w:vAlign w:val="center"/>
                </w:tcPr>
                <w:p w14:paraId="7C237649">
                  <w:pPr>
                    <w:adjustRightInd w:val="0"/>
                    <w:snapToGrid w:val="0"/>
                    <w:jc w:val="center"/>
                    <w:rPr>
                      <w:kern w:val="0"/>
                      <w:szCs w:val="21"/>
                    </w:rPr>
                  </w:pPr>
                </w:p>
              </w:tc>
              <w:tc>
                <w:tcPr>
                  <w:tcW w:w="2526" w:type="dxa"/>
                  <w:vMerge w:val="restart"/>
                  <w:vAlign w:val="center"/>
                </w:tcPr>
                <w:p w14:paraId="777DDA1C">
                  <w:pPr>
                    <w:adjustRightInd w:val="0"/>
                    <w:snapToGrid w:val="0"/>
                    <w:jc w:val="center"/>
                    <w:rPr>
                      <w:kern w:val="0"/>
                      <w:szCs w:val="21"/>
                    </w:rPr>
                  </w:pPr>
                  <w:r>
                    <w:rPr>
                      <w:kern w:val="0"/>
                      <w:szCs w:val="21"/>
                    </w:rPr>
                    <w:t>《挥发性有机物无组织排放控制标准》（GB37822-2019）</w:t>
                  </w:r>
                </w:p>
              </w:tc>
              <w:tc>
                <w:tcPr>
                  <w:tcW w:w="1140" w:type="dxa"/>
                  <w:vMerge w:val="restart"/>
                  <w:vAlign w:val="center"/>
                </w:tcPr>
                <w:p w14:paraId="32254D4C">
                  <w:pPr>
                    <w:adjustRightInd w:val="0"/>
                    <w:snapToGrid w:val="0"/>
                    <w:jc w:val="center"/>
                    <w:rPr>
                      <w:kern w:val="0"/>
                      <w:szCs w:val="21"/>
                    </w:rPr>
                  </w:pPr>
                  <w:r>
                    <w:rPr>
                      <w:kern w:val="0"/>
                      <w:szCs w:val="21"/>
                    </w:rPr>
                    <w:t>厂区内无组织排放限值</w:t>
                  </w:r>
                </w:p>
              </w:tc>
              <w:tc>
                <w:tcPr>
                  <w:tcW w:w="1410" w:type="dxa"/>
                  <w:gridSpan w:val="2"/>
                  <w:vMerge w:val="restart"/>
                  <w:vAlign w:val="center"/>
                </w:tcPr>
                <w:p w14:paraId="5C133074">
                  <w:pPr>
                    <w:adjustRightInd w:val="0"/>
                    <w:snapToGrid w:val="0"/>
                    <w:jc w:val="center"/>
                    <w:rPr>
                      <w:kern w:val="0"/>
                      <w:szCs w:val="21"/>
                    </w:rPr>
                  </w:pPr>
                  <w:r>
                    <w:rPr>
                      <w:kern w:val="0"/>
                      <w:szCs w:val="21"/>
                    </w:rPr>
                    <w:t>非甲烷总烃</w:t>
                  </w:r>
                </w:p>
              </w:tc>
              <w:tc>
                <w:tcPr>
                  <w:tcW w:w="2809" w:type="dxa"/>
                  <w:vAlign w:val="center"/>
                </w:tcPr>
                <w:p w14:paraId="6736B5CB">
                  <w:pPr>
                    <w:adjustRightInd w:val="0"/>
                    <w:snapToGrid w:val="0"/>
                    <w:jc w:val="center"/>
                    <w:rPr>
                      <w:kern w:val="0"/>
                      <w:szCs w:val="21"/>
                    </w:rPr>
                  </w:pPr>
                  <w:r>
                    <w:rPr>
                      <w:kern w:val="0"/>
                      <w:szCs w:val="21"/>
                    </w:rPr>
                    <w:t>监控点处1h平均浓度值≤6.0</w:t>
                  </w:r>
                  <w:r>
                    <w:t>mg/m</w:t>
                  </w:r>
                  <w:r>
                    <w:rPr>
                      <w:vertAlign w:val="superscript"/>
                    </w:rPr>
                    <w:t>3</w:t>
                  </w:r>
                </w:p>
              </w:tc>
            </w:tr>
            <w:tr w14:paraId="4A04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continue"/>
                  <w:vAlign w:val="center"/>
                </w:tcPr>
                <w:p w14:paraId="620713A0">
                  <w:pPr>
                    <w:adjustRightInd w:val="0"/>
                    <w:snapToGrid w:val="0"/>
                    <w:jc w:val="center"/>
                  </w:pPr>
                </w:p>
              </w:tc>
              <w:tc>
                <w:tcPr>
                  <w:tcW w:w="2526" w:type="dxa"/>
                  <w:vMerge w:val="continue"/>
                  <w:vAlign w:val="center"/>
                </w:tcPr>
                <w:p w14:paraId="4488BA11">
                  <w:pPr>
                    <w:adjustRightInd w:val="0"/>
                    <w:snapToGrid w:val="0"/>
                    <w:jc w:val="center"/>
                  </w:pPr>
                </w:p>
              </w:tc>
              <w:tc>
                <w:tcPr>
                  <w:tcW w:w="1140" w:type="dxa"/>
                  <w:vMerge w:val="continue"/>
                  <w:vAlign w:val="center"/>
                </w:tcPr>
                <w:p w14:paraId="4C56E8F4">
                  <w:pPr>
                    <w:adjustRightInd w:val="0"/>
                    <w:snapToGrid w:val="0"/>
                    <w:jc w:val="center"/>
                  </w:pPr>
                </w:p>
              </w:tc>
              <w:tc>
                <w:tcPr>
                  <w:tcW w:w="1410" w:type="dxa"/>
                  <w:gridSpan w:val="2"/>
                  <w:vMerge w:val="continue"/>
                  <w:vAlign w:val="center"/>
                </w:tcPr>
                <w:p w14:paraId="3D33BD1F">
                  <w:pPr>
                    <w:adjustRightInd w:val="0"/>
                    <w:snapToGrid w:val="0"/>
                    <w:jc w:val="center"/>
                  </w:pPr>
                </w:p>
              </w:tc>
              <w:tc>
                <w:tcPr>
                  <w:tcW w:w="2809" w:type="dxa"/>
                  <w:vAlign w:val="center"/>
                </w:tcPr>
                <w:p w14:paraId="04EB17FF">
                  <w:pPr>
                    <w:adjustRightInd w:val="0"/>
                    <w:snapToGrid w:val="0"/>
                    <w:jc w:val="center"/>
                    <w:rPr>
                      <w:kern w:val="0"/>
                      <w:szCs w:val="21"/>
                    </w:rPr>
                  </w:pPr>
                  <w:r>
                    <w:rPr>
                      <w:kern w:val="0"/>
                      <w:szCs w:val="21"/>
                    </w:rPr>
                    <w:t>监控点任意一次浓度值≤20</w:t>
                  </w:r>
                  <w:r>
                    <w:t>mg/m</w:t>
                  </w:r>
                  <w:r>
                    <w:rPr>
                      <w:vertAlign w:val="superscript"/>
                    </w:rPr>
                    <w:t>3</w:t>
                  </w:r>
                </w:p>
              </w:tc>
            </w:tr>
            <w:tr w14:paraId="7F70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Align w:val="center"/>
                </w:tcPr>
                <w:p w14:paraId="1F554CCC">
                  <w:pPr>
                    <w:adjustRightInd w:val="0"/>
                    <w:snapToGrid w:val="0"/>
                    <w:jc w:val="center"/>
                    <w:rPr>
                      <w:kern w:val="0"/>
                      <w:szCs w:val="21"/>
                    </w:rPr>
                  </w:pPr>
                  <w:r>
                    <w:rPr>
                      <w:kern w:val="0"/>
                      <w:szCs w:val="21"/>
                    </w:rPr>
                    <w:t>噪声</w:t>
                  </w:r>
                </w:p>
              </w:tc>
              <w:tc>
                <w:tcPr>
                  <w:tcW w:w="2526" w:type="dxa"/>
                  <w:vAlign w:val="center"/>
                </w:tcPr>
                <w:p w14:paraId="266FF884">
                  <w:pPr>
                    <w:adjustRightInd w:val="0"/>
                    <w:snapToGrid w:val="0"/>
                    <w:jc w:val="center"/>
                    <w:rPr>
                      <w:kern w:val="0"/>
                      <w:szCs w:val="21"/>
                    </w:rPr>
                  </w:pPr>
                  <w:r>
                    <w:rPr>
                      <w:kern w:val="0"/>
                      <w:szCs w:val="21"/>
                    </w:rPr>
                    <w:t>《工业企业厂界环境噪声排放标准》</w:t>
                  </w:r>
                </w:p>
              </w:tc>
              <w:tc>
                <w:tcPr>
                  <w:tcW w:w="1140" w:type="dxa"/>
                  <w:vAlign w:val="center"/>
                </w:tcPr>
                <w:p w14:paraId="309DA197">
                  <w:pPr>
                    <w:adjustRightInd w:val="0"/>
                    <w:snapToGrid w:val="0"/>
                    <w:jc w:val="center"/>
                    <w:rPr>
                      <w:kern w:val="0"/>
                      <w:szCs w:val="21"/>
                    </w:rPr>
                  </w:pPr>
                  <w:r>
                    <w:rPr>
                      <w:kern w:val="0"/>
                      <w:szCs w:val="21"/>
                    </w:rPr>
                    <w:t>2类</w:t>
                  </w:r>
                </w:p>
              </w:tc>
              <w:tc>
                <w:tcPr>
                  <w:tcW w:w="1410" w:type="dxa"/>
                  <w:gridSpan w:val="2"/>
                  <w:vAlign w:val="center"/>
                </w:tcPr>
                <w:p w14:paraId="2A4CFC31">
                  <w:pPr>
                    <w:adjustRightInd w:val="0"/>
                    <w:snapToGrid w:val="0"/>
                    <w:jc w:val="center"/>
                    <w:rPr>
                      <w:kern w:val="0"/>
                      <w:szCs w:val="21"/>
                    </w:rPr>
                  </w:pPr>
                  <w:r>
                    <w:rPr>
                      <w:kern w:val="0"/>
                      <w:szCs w:val="21"/>
                    </w:rPr>
                    <w:t>昼间</w:t>
                  </w:r>
                </w:p>
              </w:tc>
              <w:tc>
                <w:tcPr>
                  <w:tcW w:w="2809" w:type="dxa"/>
                  <w:vAlign w:val="center"/>
                </w:tcPr>
                <w:p w14:paraId="6673B193">
                  <w:pPr>
                    <w:adjustRightInd w:val="0"/>
                    <w:snapToGrid w:val="0"/>
                    <w:jc w:val="center"/>
                    <w:rPr>
                      <w:kern w:val="0"/>
                      <w:szCs w:val="21"/>
                    </w:rPr>
                  </w:pPr>
                  <w:r>
                    <w:rPr>
                      <w:kern w:val="0"/>
                      <w:szCs w:val="21"/>
                    </w:rPr>
                    <w:t>60dB（A）</w:t>
                  </w:r>
                </w:p>
              </w:tc>
            </w:tr>
            <w:tr w14:paraId="36EE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restart"/>
                  <w:vAlign w:val="center"/>
                </w:tcPr>
                <w:p w14:paraId="10C9EE3F">
                  <w:pPr>
                    <w:adjustRightInd w:val="0"/>
                    <w:snapToGrid w:val="0"/>
                    <w:jc w:val="center"/>
                    <w:rPr>
                      <w:kern w:val="0"/>
                      <w:szCs w:val="21"/>
                    </w:rPr>
                  </w:pPr>
                  <w:r>
                    <w:rPr>
                      <w:kern w:val="0"/>
                      <w:szCs w:val="21"/>
                    </w:rPr>
                    <w:t>固体</w:t>
                  </w:r>
                </w:p>
                <w:p w14:paraId="2DC59F29">
                  <w:pPr>
                    <w:adjustRightInd w:val="0"/>
                    <w:snapToGrid w:val="0"/>
                    <w:jc w:val="center"/>
                    <w:rPr>
                      <w:kern w:val="0"/>
                      <w:szCs w:val="21"/>
                    </w:rPr>
                  </w:pPr>
                  <w:r>
                    <w:rPr>
                      <w:kern w:val="0"/>
                      <w:szCs w:val="21"/>
                    </w:rPr>
                    <w:t>废物</w:t>
                  </w:r>
                </w:p>
              </w:tc>
              <w:tc>
                <w:tcPr>
                  <w:tcW w:w="7885" w:type="dxa"/>
                  <w:gridSpan w:val="5"/>
                  <w:vAlign w:val="center"/>
                </w:tcPr>
                <w:p w14:paraId="1177AB2F">
                  <w:pPr>
                    <w:adjustRightInd w:val="0"/>
                    <w:snapToGrid w:val="0"/>
                    <w:jc w:val="center"/>
                    <w:rPr>
                      <w:kern w:val="0"/>
                      <w:szCs w:val="21"/>
                    </w:rPr>
                  </w:pPr>
                  <w:r>
                    <w:rPr>
                      <w:bCs/>
                    </w:rPr>
                    <w:t>《一般工业固体废物贮存和填埋污染控制标准》（GB18599-2020）中的</w:t>
                  </w:r>
                  <w:r>
                    <w:rPr>
                      <w:spacing w:val="-4"/>
                    </w:rPr>
                    <w:t>一般固废间应满足防渗漏、防雨淋、防扬尘等环境保护要求</w:t>
                  </w:r>
                </w:p>
              </w:tc>
            </w:tr>
            <w:tr w14:paraId="7C6E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47" w:type="dxa"/>
                  <w:vMerge w:val="continue"/>
                  <w:vAlign w:val="center"/>
                </w:tcPr>
                <w:p w14:paraId="055CF466">
                  <w:pPr>
                    <w:adjustRightInd w:val="0"/>
                    <w:snapToGrid w:val="0"/>
                    <w:jc w:val="center"/>
                    <w:rPr>
                      <w:kern w:val="0"/>
                      <w:szCs w:val="21"/>
                    </w:rPr>
                  </w:pPr>
                </w:p>
              </w:tc>
              <w:tc>
                <w:tcPr>
                  <w:tcW w:w="7885" w:type="dxa"/>
                  <w:gridSpan w:val="5"/>
                  <w:vAlign w:val="center"/>
                </w:tcPr>
                <w:p w14:paraId="5A18973D">
                  <w:pPr>
                    <w:adjustRightInd w:val="0"/>
                    <w:snapToGrid w:val="0"/>
                    <w:jc w:val="center"/>
                    <w:rPr>
                      <w:kern w:val="0"/>
                      <w:szCs w:val="21"/>
                    </w:rPr>
                  </w:pPr>
                  <w:r>
                    <w:rPr>
                      <w:kern w:val="0"/>
                      <w:szCs w:val="21"/>
                    </w:rPr>
                    <w:t>《危险废物贮存污染控制标准》（GB18597-2023）</w:t>
                  </w:r>
                </w:p>
              </w:tc>
            </w:tr>
            <w:tr w14:paraId="6D33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8432" w:type="dxa"/>
                  <w:gridSpan w:val="6"/>
                  <w:vAlign w:val="center"/>
                </w:tcPr>
                <w:p w14:paraId="450BB536">
                  <w:pPr>
                    <w:adjustRightInd w:val="0"/>
                    <w:snapToGrid w:val="0"/>
                    <w:jc w:val="left"/>
                    <w:rPr>
                      <w:kern w:val="0"/>
                      <w:szCs w:val="21"/>
                    </w:rPr>
                  </w:pPr>
                  <w:r>
                    <w:rPr>
                      <w:kern w:val="0"/>
                      <w:szCs w:val="21"/>
                    </w:rPr>
                    <w:t xml:space="preserve"> 备注：项目废气排放同时满足《河南省重污染天气通用行业应急减排措施制定技术指南》（2024年修订版）中通用行业PM排放浓度≤10mg/m</w:t>
                  </w:r>
                  <w:r>
                    <w:rPr>
                      <w:kern w:val="0"/>
                      <w:szCs w:val="21"/>
                      <w:vertAlign w:val="superscript"/>
                    </w:rPr>
                    <w:t>3</w:t>
                  </w:r>
                  <w:r>
                    <w:rPr>
                      <w:kern w:val="0"/>
                      <w:szCs w:val="21"/>
                    </w:rPr>
                    <w:t>，非甲烷总烃≤30mg/m</w:t>
                  </w:r>
                  <w:r>
                    <w:rPr>
                      <w:kern w:val="0"/>
                      <w:szCs w:val="21"/>
                      <w:vertAlign w:val="superscript"/>
                    </w:rPr>
                    <w:t>3</w:t>
                  </w:r>
                </w:p>
              </w:tc>
            </w:tr>
          </w:tbl>
          <w:p w14:paraId="7620A3D7">
            <w:pPr>
              <w:adjustRightInd w:val="0"/>
              <w:snapToGrid w:val="0"/>
              <w:jc w:val="center"/>
              <w:rPr>
                <w:kern w:val="0"/>
                <w:szCs w:val="21"/>
              </w:rPr>
            </w:pPr>
          </w:p>
        </w:tc>
      </w:tr>
      <w:tr w14:paraId="0C19E6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403" w:type="dxa"/>
            <w:vAlign w:val="center"/>
          </w:tcPr>
          <w:p w14:paraId="269072A7">
            <w:pPr>
              <w:adjustRightInd w:val="0"/>
              <w:snapToGrid w:val="0"/>
              <w:jc w:val="center"/>
              <w:rPr>
                <w:kern w:val="0"/>
                <w:sz w:val="24"/>
              </w:rPr>
            </w:pPr>
            <w:r>
              <w:rPr>
                <w:kern w:val="0"/>
                <w:sz w:val="24"/>
              </w:rPr>
              <w:t>总量控制指标</w:t>
            </w:r>
          </w:p>
        </w:tc>
        <w:tc>
          <w:tcPr>
            <w:tcW w:w="8587" w:type="dxa"/>
            <w:vAlign w:val="center"/>
          </w:tcPr>
          <w:p w14:paraId="0E8B4557">
            <w:pPr>
              <w:adjustRightInd w:val="0"/>
              <w:snapToGrid w:val="0"/>
              <w:spacing w:line="440" w:lineRule="exact"/>
              <w:ind w:firstLine="480" w:firstLineChars="200"/>
              <w:jc w:val="left"/>
              <w:rPr>
                <w:kern w:val="0"/>
                <w:sz w:val="24"/>
              </w:rPr>
            </w:pPr>
            <w:bookmarkStart w:id="13" w:name="OLE_LINK1"/>
            <w:r>
              <w:rPr>
                <w:kern w:val="0"/>
                <w:sz w:val="24"/>
              </w:rPr>
              <w:t>根据《河南省“十四五”生态环境保护和生态经济发展规划》和《关于加强建设项目主要污染物排放总量指标管理工作的通知》文件，“十四五”和新增污染物排放总量指标为氮氧化物、挥发性有机物、颗粒物、二氧化硫、化学需氧量及氨氮。</w:t>
            </w:r>
          </w:p>
          <w:p w14:paraId="0FEFD7D3">
            <w:pPr>
              <w:adjustRightInd w:val="0"/>
              <w:snapToGrid w:val="0"/>
              <w:spacing w:line="440" w:lineRule="exact"/>
              <w:ind w:firstLine="482" w:firstLineChars="200"/>
              <w:jc w:val="left"/>
              <w:rPr>
                <w:b/>
                <w:bCs/>
                <w:kern w:val="0"/>
                <w:sz w:val="24"/>
              </w:rPr>
            </w:pPr>
            <w:r>
              <w:rPr>
                <w:b/>
                <w:bCs/>
                <w:kern w:val="0"/>
                <w:sz w:val="24"/>
              </w:rPr>
              <w:t>1、废水污染物排放情况</w:t>
            </w:r>
          </w:p>
          <w:p w14:paraId="7F377C7C">
            <w:pPr>
              <w:adjustRightInd w:val="0"/>
              <w:snapToGrid w:val="0"/>
              <w:spacing w:line="440" w:lineRule="exact"/>
              <w:ind w:firstLine="480" w:firstLineChars="200"/>
              <w:jc w:val="left"/>
              <w:rPr>
                <w:kern w:val="0"/>
                <w:sz w:val="24"/>
              </w:rPr>
            </w:pPr>
            <w:r>
              <w:rPr>
                <w:kern w:val="0"/>
                <w:sz w:val="24"/>
              </w:rPr>
              <w:t>项目厂区营运期无生产废水，职工生活污水化粪池暂存后，定期清掏，外运肥田。因此项目不涉及废水总量控制。</w:t>
            </w:r>
          </w:p>
          <w:p w14:paraId="0EAFA227">
            <w:pPr>
              <w:adjustRightInd w:val="0"/>
              <w:snapToGrid w:val="0"/>
              <w:spacing w:line="440" w:lineRule="exact"/>
              <w:ind w:firstLine="482" w:firstLineChars="200"/>
              <w:jc w:val="left"/>
              <w:rPr>
                <w:b/>
                <w:bCs/>
                <w:kern w:val="0"/>
                <w:sz w:val="24"/>
              </w:rPr>
            </w:pPr>
            <w:r>
              <w:rPr>
                <w:b/>
                <w:bCs/>
                <w:kern w:val="0"/>
                <w:sz w:val="24"/>
              </w:rPr>
              <w:t>2、废气污染物排放情况</w:t>
            </w:r>
          </w:p>
          <w:p w14:paraId="02EC6473">
            <w:pPr>
              <w:adjustRightInd w:val="0"/>
              <w:snapToGrid w:val="0"/>
              <w:spacing w:line="440" w:lineRule="exact"/>
              <w:ind w:firstLine="480" w:firstLineChars="200"/>
              <w:jc w:val="left"/>
              <w:rPr>
                <w:kern w:val="0"/>
                <w:sz w:val="24"/>
              </w:rPr>
            </w:pPr>
            <w:r>
              <w:rPr>
                <w:kern w:val="0"/>
                <w:sz w:val="24"/>
              </w:rPr>
              <w:t>项目生产过程中不涉及SO</w:t>
            </w:r>
            <w:r>
              <w:rPr>
                <w:kern w:val="0"/>
                <w:sz w:val="24"/>
                <w:vertAlign w:val="subscript"/>
              </w:rPr>
              <w:t>2</w:t>
            </w:r>
            <w:r>
              <w:rPr>
                <w:kern w:val="0"/>
                <w:sz w:val="24"/>
              </w:rPr>
              <w:t>、NOx等废气污染物的产排，废气主要是颗粒物和挥发性有机物。废油液抽取和危险废物贮存过程均产生VOCs，以非甲烷总烃计，项目VOCs有组织排放量为0.0015t/a、无组织排放量为0.0009t/a。切割过程中产生的颗粒物有组织排放量为0.003t/a、无组织排放量为0.0099t/a。</w:t>
            </w:r>
          </w:p>
          <w:p w14:paraId="41D63EAF">
            <w:pPr>
              <w:adjustRightInd w:val="0"/>
              <w:snapToGrid w:val="0"/>
              <w:spacing w:line="440" w:lineRule="exact"/>
              <w:ind w:firstLine="480" w:firstLineChars="200"/>
              <w:jc w:val="left"/>
              <w:rPr>
                <w:kern w:val="0"/>
                <w:sz w:val="24"/>
              </w:rPr>
            </w:pPr>
            <w:r>
              <w:rPr>
                <w:kern w:val="0"/>
                <w:sz w:val="24"/>
              </w:rPr>
              <w:t>综上，项目总量控制指标为VOCs0.0015t/a，颗粒物0.003t/a。</w:t>
            </w:r>
            <w:bookmarkEnd w:id="13"/>
          </w:p>
          <w:p w14:paraId="532F8E2D">
            <w:pPr>
              <w:pStyle w:val="60"/>
              <w:spacing w:line="440" w:lineRule="exact"/>
              <w:ind w:firstLine="480"/>
              <w:rPr>
                <w:rFonts w:ascii="宋体" w:hAnsi="宋体"/>
              </w:rPr>
            </w:pPr>
            <w:r>
              <w:rPr>
                <w:rFonts w:hint="eastAsia" w:ascii="宋体" w:hAnsi="宋体"/>
              </w:rPr>
              <w:t>本项目总量替代来源：</w:t>
            </w:r>
          </w:p>
          <w:p w14:paraId="626E3394">
            <w:pPr>
              <w:pStyle w:val="60"/>
              <w:spacing w:line="440" w:lineRule="exact"/>
              <w:ind w:firstLine="480"/>
            </w:pPr>
            <w:r>
              <w:rPr>
                <w:rFonts w:hint="eastAsia" w:ascii="宋体" w:hAnsi="宋体"/>
              </w:rPr>
              <w:t>本项目废气总量指标为</w:t>
            </w:r>
            <w:r>
              <w:t>VOCs</w:t>
            </w:r>
            <w:r>
              <w:rPr>
                <w:rFonts w:ascii="宋体" w:hAnsi="宋体"/>
              </w:rPr>
              <w:t>和颗粒物，因民权县</w:t>
            </w:r>
            <w:r>
              <w:rPr>
                <w:rFonts w:hint="eastAsia"/>
              </w:rPr>
              <w:t>2024</w:t>
            </w:r>
            <w:r>
              <w:rPr>
                <w:rFonts w:hint="eastAsia" w:ascii="宋体" w:hAnsi="宋体"/>
              </w:rPr>
              <w:t>年度环境空气质量不达标，因此废气实行区域内倍量替代，替代量为</w:t>
            </w:r>
            <w:r>
              <w:t>VOCs0.00</w:t>
            </w:r>
            <w:r>
              <w:rPr>
                <w:rFonts w:hint="eastAsia"/>
              </w:rPr>
              <w:t>3</w:t>
            </w:r>
            <w:r>
              <w:t>t/a</w:t>
            </w:r>
            <w:r>
              <w:rPr>
                <w:rFonts w:ascii="宋体" w:hAnsi="宋体"/>
              </w:rPr>
              <w:t>，颗粒物</w:t>
            </w:r>
            <w:r>
              <w:t>0.00</w:t>
            </w:r>
            <w:r>
              <w:rPr>
                <w:rFonts w:hint="eastAsia"/>
              </w:rPr>
              <w:t>6</w:t>
            </w:r>
            <w:r>
              <w:t>t/a</w:t>
            </w:r>
            <w:r>
              <w:rPr>
                <w:rFonts w:ascii="宋体" w:hAnsi="宋体"/>
              </w:rPr>
              <w:t>。</w:t>
            </w:r>
          </w:p>
          <w:p w14:paraId="38BDAFCC">
            <w:pPr>
              <w:pStyle w:val="60"/>
              <w:spacing w:line="440" w:lineRule="exact"/>
              <w:ind w:firstLine="480"/>
            </w:pPr>
            <w:r>
              <w:rPr>
                <w:rFonts w:hint="eastAsia" w:ascii="宋体" w:hAnsi="宋体"/>
              </w:rPr>
              <w:t>废气中的</w:t>
            </w:r>
            <w:r>
              <w:t>VOCs</w:t>
            </w:r>
            <w:r>
              <w:rPr>
                <w:rFonts w:hint="eastAsia" w:ascii="宋体" w:hAnsi="宋体"/>
              </w:rPr>
              <w:t>总量从民权县北关镇雨航蔬菜加工厂减排废气污染物排放总量中进行倍量替代（</w:t>
            </w:r>
            <w:r>
              <w:rPr>
                <w:rFonts w:ascii="宋体" w:hAnsi="宋体"/>
              </w:rPr>
              <w:t>非甲烷总烃</w:t>
            </w:r>
            <w:r>
              <w:t>0.2442</w:t>
            </w:r>
            <w:r>
              <w:rPr>
                <w:rFonts w:hint="eastAsia"/>
              </w:rPr>
              <w:t>t/a</w:t>
            </w:r>
            <w:r>
              <w:rPr>
                <w:rFonts w:hint="eastAsia" w:ascii="宋体" w:hAnsi="宋体"/>
              </w:rPr>
              <w:t>）</w:t>
            </w:r>
            <w:r>
              <w:rPr>
                <w:rFonts w:ascii="宋体" w:hAnsi="宋体"/>
              </w:rPr>
              <w:t>，替代完成后，民权县北关镇雨航蔬菜加工厂可用废气减排剩余量为：非甲烷总烃</w:t>
            </w:r>
            <w:r>
              <w:rPr>
                <w:rFonts w:hint="eastAsia"/>
              </w:rPr>
              <w:t>0.2412t/a</w:t>
            </w:r>
            <w:r>
              <w:rPr>
                <w:rFonts w:hint="eastAsia" w:ascii="宋体" w:hAnsi="宋体"/>
              </w:rPr>
              <w:t>。</w:t>
            </w:r>
          </w:p>
          <w:p w14:paraId="600E08B0">
            <w:pPr>
              <w:pStyle w:val="60"/>
              <w:spacing w:line="440" w:lineRule="exact"/>
              <w:ind w:firstLine="480"/>
            </w:pPr>
            <w:r>
              <w:rPr>
                <w:rFonts w:hint="eastAsia" w:ascii="宋体" w:hAnsi="宋体"/>
              </w:rPr>
              <w:t>废气中</w:t>
            </w:r>
            <w:r>
              <w:rPr>
                <w:rFonts w:ascii="宋体" w:hAnsi="宋体"/>
              </w:rPr>
              <w:t>的颗粒物</w:t>
            </w:r>
            <w:r>
              <w:rPr>
                <w:rFonts w:hint="eastAsia" w:ascii="宋体" w:hAnsi="宋体"/>
              </w:rPr>
              <w:t>总量从民权县铭旭再生资源回收有限公司减排废气污染物排放总量中进行倍量替代（</w:t>
            </w:r>
            <w:r>
              <w:rPr>
                <w:rFonts w:ascii="宋体" w:hAnsi="宋体"/>
              </w:rPr>
              <w:t>颗粒物</w:t>
            </w:r>
            <w:r>
              <w:t>0.1608</w:t>
            </w:r>
            <w:r>
              <w:rPr>
                <w:rFonts w:hint="eastAsia"/>
              </w:rPr>
              <w:t>t/a</w:t>
            </w:r>
            <w:r>
              <w:rPr>
                <w:rFonts w:hint="eastAsia" w:ascii="宋体" w:hAnsi="宋体"/>
              </w:rPr>
              <w:t>）</w:t>
            </w:r>
            <w:r>
              <w:rPr>
                <w:rFonts w:ascii="宋体" w:hAnsi="宋体"/>
              </w:rPr>
              <w:t>，替代完成后，</w:t>
            </w:r>
            <w:r>
              <w:rPr>
                <w:rFonts w:hint="eastAsia" w:ascii="宋体" w:hAnsi="宋体"/>
              </w:rPr>
              <w:t>民权县铭旭再生资源回收有限公司</w:t>
            </w:r>
            <w:r>
              <w:rPr>
                <w:rFonts w:ascii="宋体" w:hAnsi="宋体"/>
              </w:rPr>
              <w:t>可用废气减排剩余量为：颗粒物</w:t>
            </w:r>
            <w:r>
              <w:rPr>
                <w:rFonts w:hint="eastAsia"/>
              </w:rPr>
              <w:t>0.1548t/a</w:t>
            </w:r>
            <w:r>
              <w:rPr>
                <w:rFonts w:hint="eastAsia" w:ascii="宋体" w:hAnsi="宋体"/>
              </w:rPr>
              <w:t>。</w:t>
            </w:r>
          </w:p>
          <w:p w14:paraId="15703124">
            <w:pPr>
              <w:adjustRightInd w:val="0"/>
              <w:snapToGrid w:val="0"/>
              <w:spacing w:line="360" w:lineRule="auto"/>
              <w:ind w:firstLine="480" w:firstLineChars="200"/>
              <w:jc w:val="left"/>
              <w:rPr>
                <w:kern w:val="0"/>
                <w:sz w:val="24"/>
              </w:rPr>
            </w:pPr>
          </w:p>
        </w:tc>
      </w:tr>
    </w:tbl>
    <w:p w14:paraId="58AAC8B4">
      <w:pPr>
        <w:tabs>
          <w:tab w:val="left" w:pos="2595"/>
        </w:tabs>
      </w:pPr>
    </w:p>
    <w:p w14:paraId="2AE2960E">
      <w:pPr>
        <w:pStyle w:val="20"/>
        <w:jc w:val="center"/>
        <w:outlineLvl w:val="0"/>
        <w:rPr>
          <w:rFonts w:ascii="Times New Roman" w:hAnsi="Times New Roman" w:eastAsia="黑体"/>
          <w:snapToGrid w:val="0"/>
          <w:sz w:val="30"/>
          <w:szCs w:val="30"/>
        </w:rPr>
      </w:pPr>
      <w:r>
        <w:rPr>
          <w:rFonts w:ascii="Times New Roman" w:hAnsi="Times New Roman"/>
        </w:rPr>
        <w:br w:type="page"/>
      </w:r>
      <w:bookmarkStart w:id="14" w:name="_Toc11629"/>
      <w:r>
        <w:rPr>
          <w:rFonts w:ascii="Times New Roman" w:hAnsi="Times New Roman" w:eastAsia="黑体"/>
          <w:snapToGrid w:val="0"/>
          <w:sz w:val="30"/>
          <w:szCs w:val="30"/>
        </w:rPr>
        <w:t>四、主要环境影响和保护措施</w:t>
      </w:r>
      <w:bookmarkEnd w:id="14"/>
    </w:p>
    <w:tbl>
      <w:tblPr>
        <w:tblStyle w:val="24"/>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475"/>
      </w:tblGrid>
      <w:tr w14:paraId="0F38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3" w:hRule="atLeast"/>
        </w:trPr>
        <w:tc>
          <w:tcPr>
            <w:tcW w:w="456" w:type="dxa"/>
            <w:vAlign w:val="center"/>
          </w:tcPr>
          <w:p w14:paraId="51A369CE">
            <w:pPr>
              <w:pStyle w:val="20"/>
              <w:tabs>
                <w:tab w:val="left" w:pos="3176"/>
                <w:tab w:val="center" w:pos="4422"/>
              </w:tabs>
              <w:adjustRightInd w:val="0"/>
              <w:snapToGrid w:val="0"/>
              <w:spacing w:before="0" w:beforeAutospacing="0" w:after="0" w:afterAutospacing="0"/>
              <w:jc w:val="center"/>
              <w:rPr>
                <w:rFonts w:ascii="Times New Roman" w:hAnsi="Times New Roman"/>
                <w:snapToGrid w:val="0"/>
                <w:szCs w:val="30"/>
              </w:rPr>
            </w:pPr>
            <w:r>
              <w:rPr>
                <w:rFonts w:ascii="Times New Roman" w:hAnsi="Times New Roman"/>
                <w:snapToGrid w:val="0"/>
                <w:szCs w:val="30"/>
              </w:rPr>
              <w:t>施工期环境保护措施</w:t>
            </w:r>
          </w:p>
        </w:tc>
        <w:tc>
          <w:tcPr>
            <w:tcW w:w="8475" w:type="dxa"/>
            <w:vAlign w:val="center"/>
          </w:tcPr>
          <w:p w14:paraId="051EF20F">
            <w:pPr>
              <w:pStyle w:val="20"/>
              <w:tabs>
                <w:tab w:val="left" w:pos="3176"/>
                <w:tab w:val="center" w:pos="4422"/>
              </w:tabs>
              <w:adjustRightInd w:val="0"/>
              <w:snapToGrid w:val="0"/>
              <w:spacing w:before="0" w:beforeAutospacing="0" w:after="0" w:afterAutospacing="0" w:line="360" w:lineRule="auto"/>
              <w:ind w:firstLine="480" w:firstLineChars="200"/>
              <w:jc w:val="both"/>
              <w:rPr>
                <w:rFonts w:ascii="Times New Roman" w:hAnsi="Times New Roman"/>
                <w:snapToGrid w:val="0"/>
                <w:szCs w:val="30"/>
              </w:rPr>
            </w:pPr>
            <w:r>
              <w:rPr>
                <w:rFonts w:ascii="Times New Roman" w:hAnsi="Times New Roman"/>
                <w:snapToGrid w:val="0"/>
                <w:szCs w:val="30"/>
              </w:rPr>
              <w:t>本项目租用现有闲置</w:t>
            </w:r>
            <w:r>
              <w:rPr>
                <w:rFonts w:hint="eastAsia" w:ascii="Times New Roman" w:hAnsi="Times New Roman"/>
                <w:snapToGrid w:val="0"/>
                <w:szCs w:val="30"/>
              </w:rPr>
              <w:t>厂区</w:t>
            </w:r>
            <w:r>
              <w:rPr>
                <w:rFonts w:ascii="Times New Roman" w:hAnsi="Times New Roman"/>
                <w:snapToGrid w:val="0"/>
                <w:szCs w:val="30"/>
              </w:rPr>
              <w:t>进行建设，施工期主要进行危废暂存间、一般固废间和应急事故池、</w:t>
            </w:r>
            <w:r>
              <w:rPr>
                <w:rFonts w:hint="eastAsia" w:ascii="Times New Roman" w:hAnsi="Times New Roman"/>
                <w:snapToGrid w:val="0"/>
                <w:szCs w:val="30"/>
              </w:rPr>
              <w:t>初期雨水池建设及</w:t>
            </w:r>
            <w:r>
              <w:rPr>
                <w:rFonts w:ascii="Times New Roman" w:hAnsi="Times New Roman"/>
                <w:snapToGrid w:val="0"/>
                <w:szCs w:val="30"/>
              </w:rPr>
              <w:t>车间</w:t>
            </w:r>
            <w:r>
              <w:rPr>
                <w:rFonts w:hint="eastAsia" w:ascii="Times New Roman" w:hAnsi="Times New Roman"/>
                <w:snapToGrid w:val="0"/>
                <w:szCs w:val="30"/>
              </w:rPr>
              <w:t>内</w:t>
            </w:r>
            <w:r>
              <w:rPr>
                <w:rFonts w:ascii="Times New Roman" w:hAnsi="Times New Roman"/>
                <w:snapToGrid w:val="0"/>
                <w:szCs w:val="30"/>
              </w:rPr>
              <w:t>地面分区防渗等，</w:t>
            </w:r>
            <w:r>
              <w:rPr>
                <w:rFonts w:hint="eastAsia" w:ascii="Times New Roman" w:hAnsi="Times New Roman"/>
                <w:snapToGrid w:val="0"/>
                <w:szCs w:val="30"/>
              </w:rPr>
              <w:t>同时</w:t>
            </w:r>
            <w:r>
              <w:rPr>
                <w:rFonts w:ascii="Times New Roman" w:hAnsi="Times New Roman"/>
                <w:snapToGrid w:val="0"/>
                <w:szCs w:val="30"/>
              </w:rPr>
              <w:t>进行拆解设备和环保设施的安装、调试工作，施工过程产生少量废气、噪声及固废，对周围环境影响较小。因此评价不再对施工期环境保护措施进行赘述。</w:t>
            </w:r>
          </w:p>
        </w:tc>
      </w:tr>
      <w:tr w14:paraId="2709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456" w:type="dxa"/>
            <w:vAlign w:val="center"/>
          </w:tcPr>
          <w:p w14:paraId="149CD4F8">
            <w:pPr>
              <w:pStyle w:val="20"/>
              <w:tabs>
                <w:tab w:val="left" w:pos="3176"/>
                <w:tab w:val="center" w:pos="4422"/>
              </w:tabs>
              <w:adjustRightInd w:val="0"/>
              <w:snapToGrid w:val="0"/>
              <w:jc w:val="center"/>
              <w:rPr>
                <w:rFonts w:ascii="Times New Roman" w:hAnsi="Times New Roman"/>
                <w:snapToGrid w:val="0"/>
                <w:szCs w:val="30"/>
              </w:rPr>
            </w:pPr>
            <w:r>
              <w:rPr>
                <w:rFonts w:ascii="Times New Roman" w:hAnsi="Times New Roman"/>
                <w:snapToGrid w:val="0"/>
                <w:szCs w:val="30"/>
              </w:rPr>
              <w:t>运营期环境影响和保护措施</w:t>
            </w:r>
          </w:p>
        </w:tc>
        <w:tc>
          <w:tcPr>
            <w:tcW w:w="8475" w:type="dxa"/>
            <w:vAlign w:val="center"/>
          </w:tcPr>
          <w:p w14:paraId="5FA2EF21">
            <w:pPr>
              <w:adjustRightInd w:val="0"/>
              <w:snapToGrid w:val="0"/>
              <w:spacing w:line="360" w:lineRule="auto"/>
              <w:ind w:firstLine="482" w:firstLineChars="200"/>
              <w:jc w:val="left"/>
              <w:rPr>
                <w:b/>
                <w:sz w:val="24"/>
              </w:rPr>
            </w:pPr>
            <w:r>
              <w:rPr>
                <w:b/>
                <w:sz w:val="24"/>
              </w:rPr>
              <w:t>一、废气</w:t>
            </w:r>
          </w:p>
          <w:p w14:paraId="08BCB84E">
            <w:pPr>
              <w:numPr>
                <w:ilvl w:val="0"/>
                <w:numId w:val="15"/>
              </w:numPr>
              <w:adjustRightInd w:val="0"/>
              <w:snapToGrid w:val="0"/>
              <w:spacing w:line="360" w:lineRule="auto"/>
              <w:ind w:firstLine="482" w:firstLineChars="200"/>
              <w:jc w:val="left"/>
              <w:rPr>
                <w:b/>
                <w:sz w:val="24"/>
              </w:rPr>
            </w:pPr>
            <w:r>
              <w:rPr>
                <w:b/>
                <w:sz w:val="24"/>
              </w:rPr>
              <w:t>废气产排污分析</w:t>
            </w:r>
          </w:p>
          <w:p w14:paraId="4AF750B7">
            <w:pPr>
              <w:adjustRightInd w:val="0"/>
              <w:snapToGrid w:val="0"/>
              <w:spacing w:line="360" w:lineRule="auto"/>
              <w:ind w:firstLine="480" w:firstLineChars="200"/>
              <w:jc w:val="left"/>
              <w:rPr>
                <w:bCs/>
                <w:sz w:val="24"/>
              </w:rPr>
            </w:pPr>
            <w:r>
              <w:rPr>
                <w:bCs/>
                <w:sz w:val="24"/>
              </w:rPr>
              <w:t>本项目营运过程中产生的废气主要为废油液抽取过程有机废气（以非甲烷总烃计）、切割废气、危废贮存有机废气等。本项目废气产生情况及治理措施见下表。</w:t>
            </w:r>
          </w:p>
          <w:p w14:paraId="0CE06828">
            <w:pPr>
              <w:pStyle w:val="14"/>
              <w:spacing w:before="0" w:after="0" w:line="240" w:lineRule="auto"/>
              <w:ind w:right="0"/>
              <w:jc w:val="center"/>
              <w:rPr>
                <w:sz w:val="32"/>
                <w:szCs w:val="22"/>
              </w:rPr>
            </w:pPr>
            <w:r>
              <w:rPr>
                <w:b/>
                <w:bCs/>
                <w:szCs w:val="24"/>
              </w:rPr>
              <w:t>表2</w:t>
            </w:r>
            <w:r>
              <w:rPr>
                <w:rFonts w:hint="eastAsia"/>
                <w:b/>
                <w:bCs/>
                <w:szCs w:val="24"/>
              </w:rPr>
              <w:t>2</w:t>
            </w:r>
            <w:r>
              <w:rPr>
                <w:b/>
                <w:bCs/>
                <w:szCs w:val="24"/>
              </w:rPr>
              <w:t xml:space="preserve">   本项目废气产生及治理措施一览表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6"/>
              <w:gridCol w:w="1305"/>
              <w:gridCol w:w="1126"/>
              <w:gridCol w:w="1945"/>
              <w:gridCol w:w="2937"/>
            </w:tblGrid>
            <w:tr w14:paraId="51C2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atLeast"/>
                <w:jc w:val="center"/>
              </w:trPr>
              <w:tc>
                <w:tcPr>
                  <w:tcW w:w="936" w:type="dxa"/>
                  <w:vAlign w:val="center"/>
                </w:tcPr>
                <w:p w14:paraId="18087AAF">
                  <w:pPr>
                    <w:pStyle w:val="14"/>
                    <w:spacing w:before="0" w:after="0" w:line="240" w:lineRule="auto"/>
                    <w:ind w:right="0"/>
                    <w:jc w:val="center"/>
                    <w:rPr>
                      <w:sz w:val="21"/>
                    </w:rPr>
                  </w:pPr>
                  <w:r>
                    <w:rPr>
                      <w:sz w:val="21"/>
                    </w:rPr>
                    <w:t>排放方式</w:t>
                  </w:r>
                </w:p>
              </w:tc>
              <w:tc>
                <w:tcPr>
                  <w:tcW w:w="1305" w:type="dxa"/>
                  <w:vAlign w:val="center"/>
                </w:tcPr>
                <w:p w14:paraId="18574F3D">
                  <w:pPr>
                    <w:pStyle w:val="14"/>
                    <w:spacing w:before="0" w:after="0" w:line="240" w:lineRule="auto"/>
                    <w:ind w:right="0"/>
                    <w:jc w:val="center"/>
                    <w:rPr>
                      <w:sz w:val="21"/>
                    </w:rPr>
                  </w:pPr>
                  <w:r>
                    <w:rPr>
                      <w:sz w:val="21"/>
                    </w:rPr>
                    <w:t>产污环节</w:t>
                  </w:r>
                </w:p>
              </w:tc>
              <w:tc>
                <w:tcPr>
                  <w:tcW w:w="1126" w:type="dxa"/>
                  <w:vAlign w:val="center"/>
                </w:tcPr>
                <w:p w14:paraId="68878B75">
                  <w:pPr>
                    <w:pStyle w:val="14"/>
                    <w:spacing w:before="0" w:after="0" w:line="240" w:lineRule="auto"/>
                    <w:ind w:right="0"/>
                    <w:jc w:val="center"/>
                    <w:rPr>
                      <w:sz w:val="21"/>
                    </w:rPr>
                  </w:pPr>
                  <w:r>
                    <w:rPr>
                      <w:sz w:val="21"/>
                    </w:rPr>
                    <w:t>污染因子</w:t>
                  </w:r>
                </w:p>
              </w:tc>
              <w:tc>
                <w:tcPr>
                  <w:tcW w:w="1945" w:type="dxa"/>
                  <w:vAlign w:val="center"/>
                </w:tcPr>
                <w:p w14:paraId="32FDFF77">
                  <w:pPr>
                    <w:pStyle w:val="14"/>
                    <w:spacing w:before="0" w:after="0" w:line="240" w:lineRule="auto"/>
                    <w:ind w:right="0"/>
                    <w:jc w:val="center"/>
                    <w:rPr>
                      <w:sz w:val="21"/>
                    </w:rPr>
                  </w:pPr>
                  <w:r>
                    <w:rPr>
                      <w:sz w:val="21"/>
                    </w:rPr>
                    <w:t>产污点及收集方式</w:t>
                  </w:r>
                </w:p>
              </w:tc>
              <w:tc>
                <w:tcPr>
                  <w:tcW w:w="2937" w:type="dxa"/>
                  <w:vAlign w:val="center"/>
                </w:tcPr>
                <w:p w14:paraId="553E4AA7">
                  <w:pPr>
                    <w:pStyle w:val="14"/>
                    <w:spacing w:before="0" w:after="0" w:line="240" w:lineRule="auto"/>
                    <w:ind w:right="0"/>
                    <w:jc w:val="center"/>
                    <w:rPr>
                      <w:sz w:val="21"/>
                    </w:rPr>
                  </w:pPr>
                  <w:r>
                    <w:rPr>
                      <w:sz w:val="21"/>
                    </w:rPr>
                    <w:t>拟采取污染治理措施</w:t>
                  </w:r>
                </w:p>
              </w:tc>
            </w:tr>
            <w:tr w14:paraId="7750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936" w:type="dxa"/>
                  <w:vMerge w:val="restart"/>
                  <w:vAlign w:val="center"/>
                </w:tcPr>
                <w:p w14:paraId="368D53D5">
                  <w:pPr>
                    <w:pStyle w:val="14"/>
                    <w:spacing w:before="0" w:after="0" w:line="240" w:lineRule="auto"/>
                    <w:ind w:right="0"/>
                    <w:jc w:val="center"/>
                    <w:rPr>
                      <w:sz w:val="21"/>
                    </w:rPr>
                  </w:pPr>
                  <w:r>
                    <w:rPr>
                      <w:sz w:val="21"/>
                    </w:rPr>
                    <w:t>有组织</w:t>
                  </w:r>
                </w:p>
              </w:tc>
              <w:tc>
                <w:tcPr>
                  <w:tcW w:w="1305" w:type="dxa"/>
                  <w:vAlign w:val="center"/>
                </w:tcPr>
                <w:p w14:paraId="66D5E1E0">
                  <w:pPr>
                    <w:pStyle w:val="14"/>
                    <w:spacing w:before="0" w:after="0" w:line="240" w:lineRule="auto"/>
                    <w:ind w:right="0"/>
                    <w:jc w:val="center"/>
                    <w:rPr>
                      <w:sz w:val="21"/>
                    </w:rPr>
                  </w:pPr>
                  <w:r>
                    <w:rPr>
                      <w:sz w:val="21"/>
                    </w:rPr>
                    <w:t>废油液抽取和危废贮存时</w:t>
                  </w:r>
                </w:p>
              </w:tc>
              <w:tc>
                <w:tcPr>
                  <w:tcW w:w="1126" w:type="dxa"/>
                  <w:vAlign w:val="center"/>
                </w:tcPr>
                <w:p w14:paraId="364743DD">
                  <w:pPr>
                    <w:pStyle w:val="14"/>
                    <w:spacing w:before="0" w:after="0" w:line="240" w:lineRule="auto"/>
                    <w:ind w:right="0"/>
                    <w:jc w:val="center"/>
                    <w:rPr>
                      <w:sz w:val="21"/>
                    </w:rPr>
                  </w:pPr>
                  <w:r>
                    <w:rPr>
                      <w:sz w:val="21"/>
                    </w:rPr>
                    <w:t>非甲烷总烃</w:t>
                  </w:r>
                </w:p>
              </w:tc>
              <w:tc>
                <w:tcPr>
                  <w:tcW w:w="1945" w:type="dxa"/>
                  <w:vAlign w:val="center"/>
                </w:tcPr>
                <w:p w14:paraId="670347EE">
                  <w:pPr>
                    <w:pStyle w:val="14"/>
                    <w:spacing w:before="0" w:after="0" w:line="240" w:lineRule="auto"/>
                    <w:ind w:right="0"/>
                    <w:jc w:val="center"/>
                    <w:rPr>
                      <w:sz w:val="21"/>
                    </w:rPr>
                  </w:pPr>
                  <w:r>
                    <w:rPr>
                      <w:sz w:val="21"/>
                    </w:rPr>
                    <w:t>废油液抽取有机废气采用集气罩收集，与负压收集的危废贮存废气由同一管道收集</w:t>
                  </w:r>
                </w:p>
              </w:tc>
              <w:tc>
                <w:tcPr>
                  <w:tcW w:w="2937" w:type="dxa"/>
                  <w:vAlign w:val="center"/>
                </w:tcPr>
                <w:p w14:paraId="03EB5CB7">
                  <w:pPr>
                    <w:pStyle w:val="14"/>
                    <w:spacing w:before="0" w:after="0" w:line="240" w:lineRule="auto"/>
                    <w:ind w:right="0"/>
                    <w:jc w:val="center"/>
                    <w:rPr>
                      <w:sz w:val="21"/>
                    </w:rPr>
                  </w:pPr>
                  <w:r>
                    <w:rPr>
                      <w:rFonts w:hint="eastAsia"/>
                      <w:sz w:val="21"/>
                    </w:rPr>
                    <w:t>两级</w:t>
                  </w:r>
                  <w:r>
                    <w:rPr>
                      <w:sz w:val="21"/>
                    </w:rPr>
                    <w:t>活性炭吸附装置（TA001，风量2000m</w:t>
                  </w:r>
                  <w:r>
                    <w:rPr>
                      <w:sz w:val="21"/>
                      <w:vertAlign w:val="superscript"/>
                    </w:rPr>
                    <w:t>3</w:t>
                  </w:r>
                  <w:r>
                    <w:rPr>
                      <w:sz w:val="21"/>
                    </w:rPr>
                    <w:t>/h）+15m高排气筒DA001</w:t>
                  </w:r>
                </w:p>
              </w:tc>
            </w:tr>
            <w:tr w14:paraId="412F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936" w:type="dxa"/>
                  <w:vMerge w:val="continue"/>
                  <w:vAlign w:val="center"/>
                </w:tcPr>
                <w:p w14:paraId="69D0B3C2">
                  <w:pPr>
                    <w:pStyle w:val="14"/>
                    <w:spacing w:before="0" w:after="0" w:line="240" w:lineRule="auto"/>
                    <w:ind w:right="0"/>
                    <w:jc w:val="center"/>
                    <w:rPr>
                      <w:sz w:val="21"/>
                    </w:rPr>
                  </w:pPr>
                </w:p>
              </w:tc>
              <w:tc>
                <w:tcPr>
                  <w:tcW w:w="1305" w:type="dxa"/>
                  <w:vAlign w:val="center"/>
                </w:tcPr>
                <w:p w14:paraId="068D0467">
                  <w:pPr>
                    <w:pStyle w:val="14"/>
                    <w:spacing w:before="0" w:after="0" w:line="240" w:lineRule="auto"/>
                    <w:ind w:right="0"/>
                    <w:jc w:val="center"/>
                    <w:rPr>
                      <w:sz w:val="21"/>
                    </w:rPr>
                  </w:pPr>
                  <w:r>
                    <w:rPr>
                      <w:sz w:val="21"/>
                    </w:rPr>
                    <w:t>切割工序</w:t>
                  </w:r>
                </w:p>
              </w:tc>
              <w:tc>
                <w:tcPr>
                  <w:tcW w:w="1126" w:type="dxa"/>
                  <w:vAlign w:val="center"/>
                </w:tcPr>
                <w:p w14:paraId="6AEE9E9C">
                  <w:pPr>
                    <w:pStyle w:val="14"/>
                    <w:spacing w:before="0" w:after="0" w:line="240" w:lineRule="auto"/>
                    <w:ind w:right="0"/>
                    <w:jc w:val="center"/>
                    <w:rPr>
                      <w:sz w:val="21"/>
                    </w:rPr>
                  </w:pPr>
                  <w:r>
                    <w:rPr>
                      <w:sz w:val="21"/>
                    </w:rPr>
                    <w:t>颗粒物</w:t>
                  </w:r>
                </w:p>
              </w:tc>
              <w:tc>
                <w:tcPr>
                  <w:tcW w:w="1945" w:type="dxa"/>
                  <w:vAlign w:val="center"/>
                </w:tcPr>
                <w:p w14:paraId="5F47B38B">
                  <w:pPr>
                    <w:pStyle w:val="14"/>
                    <w:spacing w:before="0" w:after="0" w:line="240" w:lineRule="auto"/>
                    <w:ind w:right="0"/>
                    <w:jc w:val="center"/>
                    <w:rPr>
                      <w:sz w:val="21"/>
                    </w:rPr>
                  </w:pPr>
                  <w:r>
                    <w:rPr>
                      <w:sz w:val="21"/>
                    </w:rPr>
                    <w:t>在切割工位上方设置集气罩</w:t>
                  </w:r>
                </w:p>
              </w:tc>
              <w:tc>
                <w:tcPr>
                  <w:tcW w:w="2937" w:type="dxa"/>
                  <w:vAlign w:val="center"/>
                </w:tcPr>
                <w:p w14:paraId="5CBFB27D">
                  <w:pPr>
                    <w:pStyle w:val="14"/>
                    <w:spacing w:before="0" w:after="0" w:line="240" w:lineRule="auto"/>
                    <w:ind w:right="0"/>
                    <w:jc w:val="center"/>
                    <w:rPr>
                      <w:sz w:val="21"/>
                    </w:rPr>
                  </w:pPr>
                  <w:r>
                    <w:rPr>
                      <w:sz w:val="21"/>
                    </w:rPr>
                    <w:t>覆膜袋式除尘器（TA002，风量2000m</w:t>
                  </w:r>
                  <w:r>
                    <w:rPr>
                      <w:sz w:val="21"/>
                      <w:vertAlign w:val="superscript"/>
                    </w:rPr>
                    <w:t>3</w:t>
                  </w:r>
                  <w:r>
                    <w:rPr>
                      <w:sz w:val="21"/>
                    </w:rPr>
                    <w:t>/h）+15m高排气筒DA002</w:t>
                  </w:r>
                </w:p>
              </w:tc>
            </w:tr>
            <w:tr w14:paraId="5992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936" w:type="dxa"/>
                  <w:vMerge w:val="restart"/>
                  <w:vAlign w:val="center"/>
                </w:tcPr>
                <w:p w14:paraId="4BF0B38D">
                  <w:pPr>
                    <w:pStyle w:val="14"/>
                    <w:spacing w:before="0" w:after="0" w:line="240" w:lineRule="auto"/>
                    <w:ind w:right="0"/>
                    <w:jc w:val="center"/>
                    <w:rPr>
                      <w:sz w:val="21"/>
                    </w:rPr>
                  </w:pPr>
                  <w:r>
                    <w:rPr>
                      <w:sz w:val="21"/>
                    </w:rPr>
                    <w:t>无组织</w:t>
                  </w:r>
                </w:p>
              </w:tc>
              <w:tc>
                <w:tcPr>
                  <w:tcW w:w="1305" w:type="dxa"/>
                  <w:vAlign w:val="center"/>
                </w:tcPr>
                <w:p w14:paraId="6C250E93">
                  <w:pPr>
                    <w:pStyle w:val="14"/>
                    <w:spacing w:before="0" w:after="0" w:line="240" w:lineRule="auto"/>
                    <w:ind w:right="0"/>
                    <w:jc w:val="center"/>
                    <w:rPr>
                      <w:sz w:val="21"/>
                    </w:rPr>
                  </w:pPr>
                  <w:r>
                    <w:rPr>
                      <w:sz w:val="21"/>
                    </w:rPr>
                    <w:t>废油液抽取和危废贮存</w:t>
                  </w:r>
                </w:p>
              </w:tc>
              <w:tc>
                <w:tcPr>
                  <w:tcW w:w="1126" w:type="dxa"/>
                  <w:vAlign w:val="center"/>
                </w:tcPr>
                <w:p w14:paraId="64ACFBE3">
                  <w:pPr>
                    <w:pStyle w:val="14"/>
                    <w:spacing w:before="0" w:after="0" w:line="240" w:lineRule="auto"/>
                    <w:ind w:right="0"/>
                    <w:jc w:val="center"/>
                    <w:rPr>
                      <w:sz w:val="21"/>
                    </w:rPr>
                  </w:pPr>
                  <w:r>
                    <w:rPr>
                      <w:sz w:val="21"/>
                    </w:rPr>
                    <w:t>非甲烷总烃</w:t>
                  </w:r>
                </w:p>
              </w:tc>
              <w:tc>
                <w:tcPr>
                  <w:tcW w:w="1945" w:type="dxa"/>
                  <w:vMerge w:val="restart"/>
                  <w:vAlign w:val="center"/>
                </w:tcPr>
                <w:p w14:paraId="5B480F40">
                  <w:pPr>
                    <w:pStyle w:val="14"/>
                    <w:spacing w:before="0" w:after="0" w:line="240" w:lineRule="auto"/>
                    <w:ind w:right="0"/>
                    <w:jc w:val="center"/>
                    <w:rPr>
                      <w:sz w:val="21"/>
                    </w:rPr>
                  </w:pPr>
                  <w:r>
                    <w:rPr>
                      <w:sz w:val="21"/>
                    </w:rPr>
                    <w:t>/</w:t>
                  </w:r>
                </w:p>
              </w:tc>
              <w:tc>
                <w:tcPr>
                  <w:tcW w:w="2937" w:type="dxa"/>
                  <w:vMerge w:val="restart"/>
                  <w:vAlign w:val="center"/>
                </w:tcPr>
                <w:p w14:paraId="767DF7A4">
                  <w:pPr>
                    <w:pStyle w:val="14"/>
                    <w:spacing w:before="0" w:after="0" w:line="240" w:lineRule="auto"/>
                    <w:ind w:right="0"/>
                    <w:jc w:val="center"/>
                    <w:rPr>
                      <w:sz w:val="21"/>
                    </w:rPr>
                  </w:pPr>
                  <w:r>
                    <w:rPr>
                      <w:sz w:val="21"/>
                    </w:rPr>
                    <w:t>设置全封闭车间，生产时门窗全部关闭，减少无组织排放，提高有组织收集效率</w:t>
                  </w:r>
                </w:p>
              </w:tc>
            </w:tr>
            <w:tr w14:paraId="63CE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atLeast"/>
                <w:jc w:val="center"/>
              </w:trPr>
              <w:tc>
                <w:tcPr>
                  <w:tcW w:w="936" w:type="dxa"/>
                  <w:vMerge w:val="continue"/>
                  <w:vAlign w:val="center"/>
                </w:tcPr>
                <w:p w14:paraId="5E049378">
                  <w:pPr>
                    <w:pStyle w:val="14"/>
                    <w:spacing w:before="0" w:after="0" w:line="240" w:lineRule="auto"/>
                    <w:ind w:right="0"/>
                    <w:jc w:val="center"/>
                    <w:rPr>
                      <w:sz w:val="21"/>
                    </w:rPr>
                  </w:pPr>
                </w:p>
              </w:tc>
              <w:tc>
                <w:tcPr>
                  <w:tcW w:w="1305" w:type="dxa"/>
                  <w:vAlign w:val="center"/>
                </w:tcPr>
                <w:p w14:paraId="709A4CD7">
                  <w:pPr>
                    <w:pStyle w:val="14"/>
                    <w:spacing w:before="0" w:after="0" w:line="240" w:lineRule="auto"/>
                    <w:ind w:right="0"/>
                    <w:jc w:val="center"/>
                    <w:rPr>
                      <w:sz w:val="21"/>
                    </w:rPr>
                  </w:pPr>
                  <w:r>
                    <w:rPr>
                      <w:sz w:val="21"/>
                    </w:rPr>
                    <w:t>切割工序</w:t>
                  </w:r>
                </w:p>
              </w:tc>
              <w:tc>
                <w:tcPr>
                  <w:tcW w:w="1126" w:type="dxa"/>
                  <w:vAlign w:val="center"/>
                </w:tcPr>
                <w:p w14:paraId="6A82C3AC">
                  <w:pPr>
                    <w:pStyle w:val="14"/>
                    <w:spacing w:before="0" w:after="0" w:line="240" w:lineRule="auto"/>
                    <w:ind w:right="0"/>
                    <w:jc w:val="center"/>
                    <w:rPr>
                      <w:sz w:val="21"/>
                    </w:rPr>
                  </w:pPr>
                  <w:r>
                    <w:rPr>
                      <w:sz w:val="21"/>
                    </w:rPr>
                    <w:t>颗粒物</w:t>
                  </w:r>
                </w:p>
              </w:tc>
              <w:tc>
                <w:tcPr>
                  <w:tcW w:w="1945" w:type="dxa"/>
                  <w:vMerge w:val="continue"/>
                  <w:vAlign w:val="center"/>
                </w:tcPr>
                <w:p w14:paraId="35998928">
                  <w:pPr>
                    <w:pStyle w:val="14"/>
                    <w:spacing w:before="0" w:after="0" w:line="240" w:lineRule="auto"/>
                    <w:ind w:right="0"/>
                    <w:jc w:val="center"/>
                    <w:rPr>
                      <w:sz w:val="21"/>
                    </w:rPr>
                  </w:pPr>
                </w:p>
              </w:tc>
              <w:tc>
                <w:tcPr>
                  <w:tcW w:w="2937" w:type="dxa"/>
                  <w:vMerge w:val="continue"/>
                  <w:vAlign w:val="center"/>
                </w:tcPr>
                <w:p w14:paraId="5E2F9E0B">
                  <w:pPr>
                    <w:pStyle w:val="14"/>
                    <w:spacing w:before="0" w:after="0" w:line="240" w:lineRule="auto"/>
                    <w:ind w:right="0"/>
                    <w:jc w:val="center"/>
                    <w:rPr>
                      <w:sz w:val="21"/>
                    </w:rPr>
                  </w:pPr>
                </w:p>
              </w:tc>
            </w:tr>
          </w:tbl>
          <w:p w14:paraId="15C0F87C">
            <w:pPr>
              <w:pStyle w:val="20"/>
              <w:tabs>
                <w:tab w:val="left" w:pos="3176"/>
                <w:tab w:val="center" w:pos="4422"/>
              </w:tabs>
              <w:adjustRightInd w:val="0"/>
              <w:snapToGrid w:val="0"/>
              <w:spacing w:before="0" w:beforeAutospacing="0" w:after="0" w:afterAutospacing="0" w:line="360" w:lineRule="auto"/>
              <w:rPr>
                <w:rFonts w:ascii="Times New Roman" w:hAnsi="Times New Roman"/>
                <w:snapToGrid w:val="0"/>
                <w:szCs w:val="30"/>
              </w:rPr>
            </w:pPr>
          </w:p>
        </w:tc>
      </w:tr>
    </w:tbl>
    <w:p w14:paraId="2C8C9494">
      <w:pPr>
        <w:pStyle w:val="20"/>
        <w:tabs>
          <w:tab w:val="left" w:pos="3176"/>
          <w:tab w:val="center" w:pos="4422"/>
        </w:tabs>
        <w:adjustRightInd w:val="0"/>
        <w:snapToGrid w:val="0"/>
        <w:spacing w:before="0" w:beforeAutospacing="0" w:after="0" w:afterAutospacing="0"/>
        <w:rPr>
          <w:rFonts w:ascii="Times New Roman" w:hAnsi="Times New Roman" w:eastAsia="黑体"/>
          <w:snapToGrid w:val="0"/>
          <w:sz w:val="30"/>
          <w:szCs w:val="30"/>
        </w:rPr>
      </w:pPr>
    </w:p>
    <w:p w14:paraId="282CC41D">
      <w:pPr>
        <w:sectPr>
          <w:pgSz w:w="11907" w:h="16840"/>
          <w:pgMar w:top="1701" w:right="1531" w:bottom="2127" w:left="1531" w:header="851" w:footer="851" w:gutter="0"/>
          <w:cols w:space="720" w:num="1"/>
          <w:docGrid w:linePitch="312" w:charSpace="0"/>
        </w:sect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2581"/>
      </w:tblGrid>
      <w:tr w14:paraId="0507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1" w:hRule="atLeast"/>
        </w:trPr>
        <w:tc>
          <w:tcPr>
            <w:tcW w:w="421" w:type="dxa"/>
            <w:vAlign w:val="center"/>
          </w:tcPr>
          <w:p w14:paraId="586C57E9">
            <w:pPr>
              <w:pStyle w:val="20"/>
              <w:adjustRightInd w:val="0"/>
              <w:snapToGrid w:val="0"/>
              <w:rPr>
                <w:rFonts w:ascii="Times New Roman" w:hAnsi="Times New Roman"/>
                <w:kern w:val="2"/>
                <w:szCs w:val="24"/>
              </w:rPr>
            </w:pPr>
            <w:r>
              <w:rPr>
                <w:rFonts w:ascii="Times New Roman" w:hAnsi="Times New Roman"/>
                <w:kern w:val="2"/>
                <w:szCs w:val="24"/>
              </w:rPr>
              <w:t>运营期环境影响和保护措施</w:t>
            </w:r>
          </w:p>
        </w:tc>
        <w:tc>
          <w:tcPr>
            <w:tcW w:w="12581" w:type="dxa"/>
            <w:vAlign w:val="center"/>
          </w:tcPr>
          <w:p w14:paraId="4F757B82">
            <w:pPr>
              <w:pStyle w:val="20"/>
              <w:adjustRightInd w:val="0"/>
              <w:snapToGrid w:val="0"/>
              <w:spacing w:before="0" w:beforeAutospacing="0" w:after="0" w:afterAutospacing="0"/>
              <w:jc w:val="center"/>
              <w:rPr>
                <w:rFonts w:ascii="Times New Roman" w:hAnsi="Times New Roman"/>
                <w:b/>
                <w:bCs/>
                <w:kern w:val="2"/>
                <w:szCs w:val="24"/>
              </w:rPr>
            </w:pPr>
            <w:r>
              <w:rPr>
                <w:rFonts w:ascii="Times New Roman" w:hAnsi="Times New Roman"/>
                <w:b/>
                <w:bCs/>
                <w:kern w:val="2"/>
                <w:szCs w:val="24"/>
              </w:rPr>
              <w:t>表2</w:t>
            </w:r>
            <w:r>
              <w:rPr>
                <w:rFonts w:hint="eastAsia" w:ascii="Times New Roman" w:hAnsi="Times New Roman"/>
                <w:b/>
                <w:bCs/>
                <w:kern w:val="2"/>
                <w:szCs w:val="24"/>
              </w:rPr>
              <w:t>3</w:t>
            </w:r>
            <w:r>
              <w:rPr>
                <w:rFonts w:ascii="Times New Roman" w:hAnsi="Times New Roman"/>
                <w:b/>
                <w:bCs/>
                <w:kern w:val="2"/>
                <w:szCs w:val="24"/>
              </w:rPr>
              <w:t xml:space="preserve">   本项目废气产排情况一览表</w:t>
            </w:r>
          </w:p>
          <w:tbl>
            <w:tblPr>
              <w:tblStyle w:val="24"/>
              <w:tblW w:w="12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7"/>
              <w:gridCol w:w="1133"/>
              <w:gridCol w:w="709"/>
              <w:gridCol w:w="708"/>
              <w:gridCol w:w="709"/>
              <w:gridCol w:w="709"/>
              <w:gridCol w:w="567"/>
              <w:gridCol w:w="567"/>
              <w:gridCol w:w="851"/>
              <w:gridCol w:w="851"/>
              <w:gridCol w:w="850"/>
              <w:gridCol w:w="709"/>
              <w:gridCol w:w="851"/>
              <w:gridCol w:w="850"/>
              <w:gridCol w:w="878"/>
              <w:gridCol w:w="563"/>
              <w:gridCol w:w="572"/>
            </w:tblGrid>
            <w:tr w14:paraId="780E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trPr>
              <w:tc>
                <w:tcPr>
                  <w:tcW w:w="1410" w:type="dxa"/>
                  <w:gridSpan w:val="2"/>
                  <w:vMerge w:val="restart"/>
                  <w:vAlign w:val="center"/>
                </w:tcPr>
                <w:p w14:paraId="690FF959">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产污环节</w:t>
                  </w:r>
                </w:p>
              </w:tc>
              <w:tc>
                <w:tcPr>
                  <w:tcW w:w="709" w:type="dxa"/>
                  <w:vMerge w:val="restart"/>
                  <w:vAlign w:val="center"/>
                </w:tcPr>
                <w:p w14:paraId="24DDC458">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污染物种类</w:t>
                  </w:r>
                </w:p>
              </w:tc>
              <w:tc>
                <w:tcPr>
                  <w:tcW w:w="2126" w:type="dxa"/>
                  <w:gridSpan w:val="3"/>
                  <w:vAlign w:val="center"/>
                </w:tcPr>
                <w:p w14:paraId="6AC224DB">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产生情况</w:t>
                  </w:r>
                </w:p>
              </w:tc>
              <w:tc>
                <w:tcPr>
                  <w:tcW w:w="567" w:type="dxa"/>
                  <w:vMerge w:val="restart"/>
                  <w:vAlign w:val="center"/>
                </w:tcPr>
                <w:p w14:paraId="350CCAF0">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收集效率</w:t>
                  </w:r>
                </w:p>
              </w:tc>
              <w:tc>
                <w:tcPr>
                  <w:tcW w:w="567" w:type="dxa"/>
                  <w:vMerge w:val="restart"/>
                  <w:vAlign w:val="center"/>
                </w:tcPr>
                <w:p w14:paraId="46D229CF">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风机风量m</w:t>
                  </w:r>
                  <w:r>
                    <w:rPr>
                      <w:rFonts w:ascii="Times New Roman" w:hAnsi="Times New Roman"/>
                      <w:kern w:val="2"/>
                      <w:sz w:val="21"/>
                      <w:szCs w:val="21"/>
                      <w:vertAlign w:val="superscript"/>
                    </w:rPr>
                    <w:t>3</w:t>
                  </w:r>
                  <w:r>
                    <w:rPr>
                      <w:rFonts w:ascii="Times New Roman" w:hAnsi="Times New Roman"/>
                      <w:kern w:val="2"/>
                      <w:sz w:val="21"/>
                      <w:szCs w:val="21"/>
                    </w:rPr>
                    <w:t>/h</w:t>
                  </w:r>
                </w:p>
              </w:tc>
              <w:tc>
                <w:tcPr>
                  <w:tcW w:w="2552" w:type="dxa"/>
                  <w:gridSpan w:val="3"/>
                  <w:vAlign w:val="center"/>
                </w:tcPr>
                <w:p w14:paraId="079AD520">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治理设施</w:t>
                  </w:r>
                </w:p>
              </w:tc>
              <w:tc>
                <w:tcPr>
                  <w:tcW w:w="709" w:type="dxa"/>
                  <w:vMerge w:val="restart"/>
                  <w:vAlign w:val="center"/>
                </w:tcPr>
                <w:p w14:paraId="59EEE7D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排放口编号</w:t>
                  </w:r>
                </w:p>
              </w:tc>
              <w:tc>
                <w:tcPr>
                  <w:tcW w:w="2579" w:type="dxa"/>
                  <w:gridSpan w:val="3"/>
                  <w:vAlign w:val="center"/>
                </w:tcPr>
                <w:p w14:paraId="3D4029CC">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污染物排放情况</w:t>
                  </w:r>
                </w:p>
              </w:tc>
              <w:tc>
                <w:tcPr>
                  <w:tcW w:w="1135" w:type="dxa"/>
                  <w:gridSpan w:val="2"/>
                  <w:vAlign w:val="center"/>
                </w:tcPr>
                <w:p w14:paraId="61904E06">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排放标准</w:t>
                  </w:r>
                </w:p>
              </w:tc>
            </w:tr>
            <w:tr w14:paraId="22B9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 w:hRule="atLeast"/>
              </w:trPr>
              <w:tc>
                <w:tcPr>
                  <w:tcW w:w="1410" w:type="dxa"/>
                  <w:gridSpan w:val="2"/>
                  <w:vMerge w:val="continue"/>
                  <w:vAlign w:val="center"/>
                </w:tcPr>
                <w:p w14:paraId="537A60EE">
                  <w:pPr>
                    <w:pStyle w:val="20"/>
                    <w:adjustRightInd w:val="0"/>
                    <w:snapToGrid w:val="0"/>
                    <w:spacing w:before="0" w:beforeAutospacing="0" w:after="0" w:afterAutospacing="0"/>
                    <w:jc w:val="center"/>
                    <w:rPr>
                      <w:rFonts w:ascii="Times New Roman" w:hAnsi="Times New Roman"/>
                      <w:kern w:val="2"/>
                      <w:sz w:val="21"/>
                      <w:szCs w:val="21"/>
                    </w:rPr>
                  </w:pPr>
                </w:p>
              </w:tc>
              <w:tc>
                <w:tcPr>
                  <w:tcW w:w="709" w:type="dxa"/>
                  <w:vMerge w:val="continue"/>
                  <w:vAlign w:val="center"/>
                </w:tcPr>
                <w:p w14:paraId="18E57097">
                  <w:pPr>
                    <w:pStyle w:val="20"/>
                    <w:adjustRightInd w:val="0"/>
                    <w:snapToGrid w:val="0"/>
                    <w:spacing w:before="0" w:beforeAutospacing="0" w:after="0" w:afterAutospacing="0"/>
                    <w:jc w:val="center"/>
                    <w:rPr>
                      <w:rFonts w:ascii="Times New Roman" w:hAnsi="Times New Roman"/>
                      <w:kern w:val="2"/>
                      <w:sz w:val="21"/>
                      <w:szCs w:val="21"/>
                    </w:rPr>
                  </w:pPr>
                </w:p>
              </w:tc>
              <w:tc>
                <w:tcPr>
                  <w:tcW w:w="708" w:type="dxa"/>
                  <w:vAlign w:val="center"/>
                </w:tcPr>
                <w:p w14:paraId="351D1A70">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核算方法</w:t>
                  </w:r>
                </w:p>
              </w:tc>
              <w:tc>
                <w:tcPr>
                  <w:tcW w:w="709" w:type="dxa"/>
                  <w:vAlign w:val="center"/>
                </w:tcPr>
                <w:p w14:paraId="388BFC67">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产生量t/a</w:t>
                  </w:r>
                </w:p>
              </w:tc>
              <w:tc>
                <w:tcPr>
                  <w:tcW w:w="709" w:type="dxa"/>
                  <w:vAlign w:val="center"/>
                </w:tcPr>
                <w:p w14:paraId="6D5EBA5B">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产生速率kg/h</w:t>
                  </w:r>
                </w:p>
              </w:tc>
              <w:tc>
                <w:tcPr>
                  <w:tcW w:w="567" w:type="dxa"/>
                  <w:vMerge w:val="continue"/>
                  <w:vAlign w:val="center"/>
                </w:tcPr>
                <w:p w14:paraId="66202513">
                  <w:pPr>
                    <w:pStyle w:val="20"/>
                    <w:adjustRightInd w:val="0"/>
                    <w:snapToGrid w:val="0"/>
                    <w:spacing w:before="0" w:beforeAutospacing="0" w:after="0" w:afterAutospacing="0"/>
                    <w:jc w:val="center"/>
                    <w:rPr>
                      <w:rFonts w:ascii="Times New Roman" w:hAnsi="Times New Roman"/>
                      <w:kern w:val="2"/>
                      <w:sz w:val="21"/>
                      <w:szCs w:val="21"/>
                    </w:rPr>
                  </w:pPr>
                </w:p>
              </w:tc>
              <w:tc>
                <w:tcPr>
                  <w:tcW w:w="567" w:type="dxa"/>
                  <w:vMerge w:val="continue"/>
                  <w:vAlign w:val="center"/>
                </w:tcPr>
                <w:p w14:paraId="7A3B3905">
                  <w:pPr>
                    <w:pStyle w:val="20"/>
                    <w:adjustRightInd w:val="0"/>
                    <w:snapToGrid w:val="0"/>
                    <w:spacing w:before="0" w:beforeAutospacing="0" w:after="0" w:afterAutospacing="0"/>
                    <w:jc w:val="center"/>
                    <w:rPr>
                      <w:rFonts w:ascii="Times New Roman" w:hAnsi="Times New Roman"/>
                      <w:kern w:val="2"/>
                      <w:sz w:val="21"/>
                      <w:szCs w:val="21"/>
                    </w:rPr>
                  </w:pPr>
                </w:p>
              </w:tc>
              <w:tc>
                <w:tcPr>
                  <w:tcW w:w="851" w:type="dxa"/>
                  <w:vAlign w:val="center"/>
                </w:tcPr>
                <w:p w14:paraId="4D075CF7">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治理设施</w:t>
                  </w:r>
                </w:p>
              </w:tc>
              <w:tc>
                <w:tcPr>
                  <w:tcW w:w="851" w:type="dxa"/>
                  <w:vAlign w:val="center"/>
                </w:tcPr>
                <w:p w14:paraId="2E865C27">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治理工艺去除率%</w:t>
                  </w:r>
                </w:p>
              </w:tc>
              <w:tc>
                <w:tcPr>
                  <w:tcW w:w="850" w:type="dxa"/>
                  <w:vAlign w:val="center"/>
                </w:tcPr>
                <w:p w14:paraId="738A17A3">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是否为可行技术</w:t>
                  </w:r>
                </w:p>
              </w:tc>
              <w:tc>
                <w:tcPr>
                  <w:tcW w:w="709" w:type="dxa"/>
                  <w:vMerge w:val="continue"/>
                  <w:vAlign w:val="center"/>
                </w:tcPr>
                <w:p w14:paraId="13B9AF65">
                  <w:pPr>
                    <w:pStyle w:val="20"/>
                    <w:adjustRightInd w:val="0"/>
                    <w:snapToGrid w:val="0"/>
                    <w:spacing w:before="0" w:beforeAutospacing="0" w:after="0" w:afterAutospacing="0"/>
                    <w:jc w:val="center"/>
                    <w:rPr>
                      <w:rFonts w:ascii="Times New Roman" w:hAnsi="Times New Roman"/>
                      <w:kern w:val="2"/>
                      <w:sz w:val="21"/>
                      <w:szCs w:val="21"/>
                    </w:rPr>
                  </w:pPr>
                </w:p>
              </w:tc>
              <w:tc>
                <w:tcPr>
                  <w:tcW w:w="851" w:type="dxa"/>
                  <w:vAlign w:val="center"/>
                </w:tcPr>
                <w:p w14:paraId="558A6DD0">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排放量t/a</w:t>
                  </w:r>
                </w:p>
              </w:tc>
              <w:tc>
                <w:tcPr>
                  <w:tcW w:w="850" w:type="dxa"/>
                  <w:vAlign w:val="center"/>
                </w:tcPr>
                <w:p w14:paraId="3AA3A046">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排放速率kg/h</w:t>
                  </w:r>
                </w:p>
              </w:tc>
              <w:tc>
                <w:tcPr>
                  <w:tcW w:w="878" w:type="dxa"/>
                  <w:vAlign w:val="center"/>
                </w:tcPr>
                <w:p w14:paraId="324883DC">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排放浓度</w:t>
                  </w:r>
                  <w:r>
                    <w:rPr>
                      <w:rFonts w:ascii="Times New Roman" w:hAnsi="Times New Roman"/>
                      <w:sz w:val="21"/>
                      <w:szCs w:val="21"/>
                    </w:rPr>
                    <w:t>mg/m</w:t>
                  </w:r>
                  <w:r>
                    <w:rPr>
                      <w:rFonts w:ascii="Times New Roman" w:hAnsi="Times New Roman"/>
                      <w:sz w:val="21"/>
                      <w:szCs w:val="21"/>
                      <w:vertAlign w:val="superscript"/>
                    </w:rPr>
                    <w:t>3</w:t>
                  </w:r>
                </w:p>
              </w:tc>
              <w:tc>
                <w:tcPr>
                  <w:tcW w:w="563" w:type="dxa"/>
                  <w:vAlign w:val="center"/>
                </w:tcPr>
                <w:p w14:paraId="22F74E03">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速率kg/h</w:t>
                  </w:r>
                </w:p>
              </w:tc>
              <w:tc>
                <w:tcPr>
                  <w:tcW w:w="572" w:type="dxa"/>
                  <w:vAlign w:val="center"/>
                </w:tcPr>
                <w:p w14:paraId="0478A0AF">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浓度</w:t>
                  </w:r>
                  <w:r>
                    <w:rPr>
                      <w:rFonts w:ascii="Times New Roman" w:hAnsi="Times New Roman"/>
                      <w:sz w:val="21"/>
                      <w:szCs w:val="21"/>
                    </w:rPr>
                    <w:t>mg/m</w:t>
                  </w:r>
                  <w:r>
                    <w:rPr>
                      <w:rFonts w:ascii="Times New Roman" w:hAnsi="Times New Roman"/>
                      <w:sz w:val="21"/>
                      <w:szCs w:val="21"/>
                      <w:vertAlign w:val="superscript"/>
                    </w:rPr>
                    <w:t>3</w:t>
                  </w:r>
                </w:p>
              </w:tc>
            </w:tr>
            <w:tr w14:paraId="2BB1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77" w:type="dxa"/>
                  <w:vMerge w:val="restart"/>
                  <w:vAlign w:val="center"/>
                </w:tcPr>
                <w:p w14:paraId="3227C706">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有组织</w:t>
                  </w:r>
                </w:p>
              </w:tc>
              <w:tc>
                <w:tcPr>
                  <w:tcW w:w="1133" w:type="dxa"/>
                  <w:vAlign w:val="center"/>
                </w:tcPr>
                <w:p w14:paraId="3B0AF42B">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废油液抽取过程</w:t>
                  </w:r>
                </w:p>
              </w:tc>
              <w:tc>
                <w:tcPr>
                  <w:tcW w:w="709" w:type="dxa"/>
                  <w:vAlign w:val="center"/>
                </w:tcPr>
                <w:p w14:paraId="2E45D7EF">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非甲烷总烃</w:t>
                  </w:r>
                </w:p>
              </w:tc>
              <w:tc>
                <w:tcPr>
                  <w:tcW w:w="708" w:type="dxa"/>
                  <w:vAlign w:val="center"/>
                </w:tcPr>
                <w:p w14:paraId="4879BC26">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系数法</w:t>
                  </w:r>
                </w:p>
              </w:tc>
              <w:tc>
                <w:tcPr>
                  <w:tcW w:w="709" w:type="dxa"/>
                  <w:vAlign w:val="center"/>
                </w:tcPr>
                <w:p w14:paraId="0133CCDC">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0.005</w:t>
                  </w:r>
                </w:p>
              </w:tc>
              <w:tc>
                <w:tcPr>
                  <w:tcW w:w="709" w:type="dxa"/>
                  <w:vAlign w:val="center"/>
                </w:tcPr>
                <w:p w14:paraId="3B46B93D">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0.017</w:t>
                  </w:r>
                </w:p>
              </w:tc>
              <w:tc>
                <w:tcPr>
                  <w:tcW w:w="567" w:type="dxa"/>
                  <w:vMerge w:val="restart"/>
                  <w:vAlign w:val="center"/>
                </w:tcPr>
                <w:p w14:paraId="233D1E2C">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85%</w:t>
                  </w:r>
                </w:p>
              </w:tc>
              <w:tc>
                <w:tcPr>
                  <w:tcW w:w="567" w:type="dxa"/>
                  <w:vMerge w:val="restart"/>
                  <w:vAlign w:val="center"/>
                </w:tcPr>
                <w:p w14:paraId="7ABB4816">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2000</w:t>
                  </w:r>
                </w:p>
              </w:tc>
              <w:tc>
                <w:tcPr>
                  <w:tcW w:w="851" w:type="dxa"/>
                  <w:vMerge w:val="restart"/>
                  <w:vAlign w:val="center"/>
                </w:tcPr>
                <w:p w14:paraId="7DC9667B">
                  <w:pPr>
                    <w:pStyle w:val="20"/>
                    <w:adjustRightInd w:val="0"/>
                    <w:snapToGrid w:val="0"/>
                    <w:spacing w:before="0" w:beforeAutospacing="0" w:after="0" w:afterAutospacing="0"/>
                    <w:jc w:val="center"/>
                    <w:rPr>
                      <w:rFonts w:ascii="Times New Roman" w:hAnsi="Times New Roman"/>
                      <w:kern w:val="2"/>
                      <w:sz w:val="21"/>
                      <w:szCs w:val="21"/>
                    </w:rPr>
                  </w:pPr>
                  <w:r>
                    <w:rPr>
                      <w:rFonts w:hint="eastAsia" w:ascii="Times New Roman" w:hAnsi="Times New Roman"/>
                      <w:kern w:val="2"/>
                      <w:sz w:val="21"/>
                      <w:szCs w:val="21"/>
                    </w:rPr>
                    <w:t>两级</w:t>
                  </w:r>
                  <w:r>
                    <w:rPr>
                      <w:rFonts w:ascii="Times New Roman" w:hAnsi="Times New Roman"/>
                      <w:kern w:val="2"/>
                      <w:sz w:val="21"/>
                      <w:szCs w:val="21"/>
                    </w:rPr>
                    <w:t>活性炭吸附装置</w:t>
                  </w:r>
                </w:p>
              </w:tc>
              <w:tc>
                <w:tcPr>
                  <w:tcW w:w="851" w:type="dxa"/>
                  <w:vMerge w:val="restart"/>
                  <w:vAlign w:val="center"/>
                </w:tcPr>
                <w:p w14:paraId="326D6B8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70%</w:t>
                  </w:r>
                </w:p>
              </w:tc>
              <w:tc>
                <w:tcPr>
                  <w:tcW w:w="850" w:type="dxa"/>
                  <w:vMerge w:val="restart"/>
                  <w:vAlign w:val="center"/>
                </w:tcPr>
                <w:p w14:paraId="2AC20038">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是</w:t>
                  </w:r>
                </w:p>
              </w:tc>
              <w:tc>
                <w:tcPr>
                  <w:tcW w:w="709" w:type="dxa"/>
                  <w:vMerge w:val="restart"/>
                  <w:vAlign w:val="center"/>
                </w:tcPr>
                <w:p w14:paraId="6F8F1B57">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DA001</w:t>
                  </w:r>
                </w:p>
              </w:tc>
              <w:tc>
                <w:tcPr>
                  <w:tcW w:w="851" w:type="dxa"/>
                  <w:vMerge w:val="restart"/>
                  <w:vAlign w:val="center"/>
                </w:tcPr>
                <w:p w14:paraId="6018BEE2">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0.0015</w:t>
                  </w:r>
                </w:p>
              </w:tc>
              <w:tc>
                <w:tcPr>
                  <w:tcW w:w="850" w:type="dxa"/>
                  <w:vMerge w:val="restart"/>
                  <w:vAlign w:val="center"/>
                </w:tcPr>
                <w:p w14:paraId="305FBBB2">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0.01</w:t>
                  </w:r>
                </w:p>
              </w:tc>
              <w:tc>
                <w:tcPr>
                  <w:tcW w:w="878" w:type="dxa"/>
                  <w:vMerge w:val="restart"/>
                  <w:vAlign w:val="center"/>
                </w:tcPr>
                <w:p w14:paraId="63B05C1A">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5</w:t>
                  </w:r>
                </w:p>
              </w:tc>
              <w:tc>
                <w:tcPr>
                  <w:tcW w:w="563" w:type="dxa"/>
                  <w:vMerge w:val="restart"/>
                  <w:vAlign w:val="center"/>
                </w:tcPr>
                <w:p w14:paraId="7FCA335F">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10</w:t>
                  </w:r>
                </w:p>
              </w:tc>
              <w:tc>
                <w:tcPr>
                  <w:tcW w:w="572" w:type="dxa"/>
                  <w:vMerge w:val="restart"/>
                  <w:vAlign w:val="center"/>
                </w:tcPr>
                <w:p w14:paraId="0B21D33A">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30</w:t>
                  </w:r>
                </w:p>
              </w:tc>
            </w:tr>
            <w:tr w14:paraId="38D7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77" w:type="dxa"/>
                  <w:vMerge w:val="continue"/>
                  <w:vAlign w:val="center"/>
                </w:tcPr>
                <w:p w14:paraId="4453B1AB">
                  <w:pPr>
                    <w:pStyle w:val="20"/>
                    <w:adjustRightInd w:val="0"/>
                    <w:snapToGrid w:val="0"/>
                    <w:spacing w:before="0" w:beforeAutospacing="0" w:after="0" w:afterAutospacing="0"/>
                    <w:jc w:val="center"/>
                    <w:rPr>
                      <w:rFonts w:ascii="Times New Roman" w:hAnsi="Times New Roman"/>
                      <w:kern w:val="2"/>
                      <w:sz w:val="21"/>
                      <w:szCs w:val="21"/>
                    </w:rPr>
                  </w:pPr>
                </w:p>
              </w:tc>
              <w:tc>
                <w:tcPr>
                  <w:tcW w:w="1133" w:type="dxa"/>
                  <w:vAlign w:val="center"/>
                </w:tcPr>
                <w:p w14:paraId="59D3B3ED">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危废贮存</w:t>
                  </w:r>
                </w:p>
              </w:tc>
              <w:tc>
                <w:tcPr>
                  <w:tcW w:w="709" w:type="dxa"/>
                  <w:vAlign w:val="center"/>
                </w:tcPr>
                <w:p w14:paraId="29AA7DE4">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非甲烷总烃</w:t>
                  </w:r>
                </w:p>
              </w:tc>
              <w:tc>
                <w:tcPr>
                  <w:tcW w:w="708" w:type="dxa"/>
                  <w:vAlign w:val="center"/>
                </w:tcPr>
                <w:p w14:paraId="0CAC51CC">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系数法</w:t>
                  </w:r>
                </w:p>
              </w:tc>
              <w:tc>
                <w:tcPr>
                  <w:tcW w:w="709" w:type="dxa"/>
                  <w:vAlign w:val="center"/>
                </w:tcPr>
                <w:p w14:paraId="49CABAE7">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微量</w:t>
                  </w:r>
                </w:p>
              </w:tc>
              <w:tc>
                <w:tcPr>
                  <w:tcW w:w="709" w:type="dxa"/>
                  <w:vAlign w:val="center"/>
                </w:tcPr>
                <w:p w14:paraId="017107D0">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微量</w:t>
                  </w:r>
                </w:p>
              </w:tc>
              <w:tc>
                <w:tcPr>
                  <w:tcW w:w="567" w:type="dxa"/>
                  <w:vMerge w:val="continue"/>
                  <w:vAlign w:val="center"/>
                </w:tcPr>
                <w:p w14:paraId="68456C82">
                  <w:pPr>
                    <w:pStyle w:val="20"/>
                    <w:adjustRightInd w:val="0"/>
                    <w:snapToGrid w:val="0"/>
                    <w:spacing w:before="0" w:beforeAutospacing="0" w:after="0" w:afterAutospacing="0"/>
                    <w:jc w:val="center"/>
                    <w:rPr>
                      <w:rFonts w:ascii="Times New Roman" w:hAnsi="Times New Roman"/>
                      <w:kern w:val="2"/>
                      <w:sz w:val="21"/>
                      <w:szCs w:val="21"/>
                    </w:rPr>
                  </w:pPr>
                </w:p>
              </w:tc>
              <w:tc>
                <w:tcPr>
                  <w:tcW w:w="567" w:type="dxa"/>
                  <w:vMerge w:val="continue"/>
                  <w:vAlign w:val="center"/>
                </w:tcPr>
                <w:p w14:paraId="4A60AF0A">
                  <w:pPr>
                    <w:pStyle w:val="20"/>
                    <w:adjustRightInd w:val="0"/>
                    <w:snapToGrid w:val="0"/>
                    <w:spacing w:before="0" w:beforeAutospacing="0" w:after="0" w:afterAutospacing="0"/>
                    <w:jc w:val="center"/>
                    <w:rPr>
                      <w:rFonts w:ascii="Times New Roman" w:hAnsi="Times New Roman"/>
                      <w:kern w:val="2"/>
                      <w:sz w:val="21"/>
                      <w:szCs w:val="21"/>
                    </w:rPr>
                  </w:pPr>
                </w:p>
              </w:tc>
              <w:tc>
                <w:tcPr>
                  <w:tcW w:w="851" w:type="dxa"/>
                  <w:vMerge w:val="continue"/>
                  <w:vAlign w:val="center"/>
                </w:tcPr>
                <w:p w14:paraId="7A27E294">
                  <w:pPr>
                    <w:pStyle w:val="20"/>
                    <w:adjustRightInd w:val="0"/>
                    <w:snapToGrid w:val="0"/>
                    <w:spacing w:before="0" w:beforeAutospacing="0" w:after="0" w:afterAutospacing="0"/>
                    <w:jc w:val="center"/>
                    <w:rPr>
                      <w:rFonts w:ascii="Times New Roman" w:hAnsi="Times New Roman"/>
                      <w:kern w:val="2"/>
                      <w:sz w:val="21"/>
                      <w:szCs w:val="21"/>
                    </w:rPr>
                  </w:pPr>
                </w:p>
              </w:tc>
              <w:tc>
                <w:tcPr>
                  <w:tcW w:w="851" w:type="dxa"/>
                  <w:vMerge w:val="continue"/>
                  <w:vAlign w:val="center"/>
                </w:tcPr>
                <w:p w14:paraId="672C40B3">
                  <w:pPr>
                    <w:pStyle w:val="20"/>
                    <w:adjustRightInd w:val="0"/>
                    <w:snapToGrid w:val="0"/>
                    <w:spacing w:before="0" w:beforeAutospacing="0" w:after="0" w:afterAutospacing="0"/>
                    <w:jc w:val="center"/>
                    <w:rPr>
                      <w:rFonts w:ascii="Times New Roman" w:hAnsi="Times New Roman"/>
                      <w:kern w:val="2"/>
                      <w:sz w:val="21"/>
                      <w:szCs w:val="21"/>
                    </w:rPr>
                  </w:pPr>
                </w:p>
              </w:tc>
              <w:tc>
                <w:tcPr>
                  <w:tcW w:w="850" w:type="dxa"/>
                  <w:vMerge w:val="continue"/>
                  <w:vAlign w:val="center"/>
                </w:tcPr>
                <w:p w14:paraId="27BAF376">
                  <w:pPr>
                    <w:pStyle w:val="20"/>
                    <w:adjustRightInd w:val="0"/>
                    <w:snapToGrid w:val="0"/>
                    <w:spacing w:before="0" w:beforeAutospacing="0" w:after="0" w:afterAutospacing="0"/>
                    <w:jc w:val="center"/>
                    <w:rPr>
                      <w:rFonts w:ascii="Times New Roman" w:hAnsi="Times New Roman"/>
                      <w:kern w:val="2"/>
                      <w:sz w:val="21"/>
                      <w:szCs w:val="21"/>
                    </w:rPr>
                  </w:pPr>
                </w:p>
              </w:tc>
              <w:tc>
                <w:tcPr>
                  <w:tcW w:w="709" w:type="dxa"/>
                  <w:vMerge w:val="continue"/>
                  <w:vAlign w:val="center"/>
                </w:tcPr>
                <w:p w14:paraId="4A1AC6F0">
                  <w:pPr>
                    <w:pStyle w:val="20"/>
                    <w:adjustRightInd w:val="0"/>
                    <w:snapToGrid w:val="0"/>
                    <w:spacing w:before="0" w:beforeAutospacing="0" w:after="0" w:afterAutospacing="0"/>
                    <w:jc w:val="center"/>
                    <w:rPr>
                      <w:rFonts w:ascii="Times New Roman" w:hAnsi="Times New Roman"/>
                      <w:kern w:val="2"/>
                      <w:sz w:val="21"/>
                      <w:szCs w:val="21"/>
                    </w:rPr>
                  </w:pPr>
                </w:p>
              </w:tc>
              <w:tc>
                <w:tcPr>
                  <w:tcW w:w="851" w:type="dxa"/>
                  <w:vMerge w:val="continue"/>
                  <w:vAlign w:val="center"/>
                </w:tcPr>
                <w:p w14:paraId="004ED390">
                  <w:pPr>
                    <w:pStyle w:val="20"/>
                    <w:adjustRightInd w:val="0"/>
                    <w:snapToGrid w:val="0"/>
                    <w:spacing w:before="0" w:beforeAutospacing="0" w:after="0" w:afterAutospacing="0"/>
                    <w:jc w:val="center"/>
                    <w:rPr>
                      <w:rFonts w:ascii="Times New Roman" w:hAnsi="Times New Roman"/>
                      <w:kern w:val="2"/>
                      <w:sz w:val="21"/>
                      <w:szCs w:val="21"/>
                    </w:rPr>
                  </w:pPr>
                </w:p>
              </w:tc>
              <w:tc>
                <w:tcPr>
                  <w:tcW w:w="850" w:type="dxa"/>
                  <w:vMerge w:val="continue"/>
                  <w:vAlign w:val="center"/>
                </w:tcPr>
                <w:p w14:paraId="6B16DDC7">
                  <w:pPr>
                    <w:pStyle w:val="20"/>
                    <w:adjustRightInd w:val="0"/>
                    <w:snapToGrid w:val="0"/>
                    <w:spacing w:before="0" w:beforeAutospacing="0" w:after="0" w:afterAutospacing="0"/>
                    <w:jc w:val="center"/>
                    <w:rPr>
                      <w:rFonts w:ascii="Times New Roman" w:hAnsi="Times New Roman"/>
                      <w:kern w:val="2"/>
                      <w:sz w:val="21"/>
                      <w:szCs w:val="21"/>
                    </w:rPr>
                  </w:pPr>
                </w:p>
              </w:tc>
              <w:tc>
                <w:tcPr>
                  <w:tcW w:w="878" w:type="dxa"/>
                  <w:vMerge w:val="continue"/>
                  <w:vAlign w:val="center"/>
                </w:tcPr>
                <w:p w14:paraId="67470A69">
                  <w:pPr>
                    <w:pStyle w:val="20"/>
                    <w:adjustRightInd w:val="0"/>
                    <w:snapToGrid w:val="0"/>
                    <w:spacing w:before="0" w:beforeAutospacing="0" w:after="0" w:afterAutospacing="0"/>
                    <w:jc w:val="center"/>
                    <w:rPr>
                      <w:rFonts w:ascii="Times New Roman" w:hAnsi="Times New Roman"/>
                      <w:kern w:val="2"/>
                      <w:sz w:val="21"/>
                      <w:szCs w:val="21"/>
                    </w:rPr>
                  </w:pPr>
                </w:p>
              </w:tc>
              <w:tc>
                <w:tcPr>
                  <w:tcW w:w="563" w:type="dxa"/>
                  <w:vMerge w:val="continue"/>
                  <w:vAlign w:val="center"/>
                </w:tcPr>
                <w:p w14:paraId="2B6754C2">
                  <w:pPr>
                    <w:pStyle w:val="20"/>
                    <w:adjustRightInd w:val="0"/>
                    <w:snapToGrid w:val="0"/>
                    <w:spacing w:before="0" w:beforeAutospacing="0" w:after="0" w:afterAutospacing="0"/>
                    <w:jc w:val="center"/>
                    <w:rPr>
                      <w:rFonts w:ascii="Times New Roman" w:hAnsi="Times New Roman"/>
                      <w:kern w:val="2"/>
                      <w:sz w:val="21"/>
                      <w:szCs w:val="21"/>
                    </w:rPr>
                  </w:pPr>
                </w:p>
              </w:tc>
              <w:tc>
                <w:tcPr>
                  <w:tcW w:w="572" w:type="dxa"/>
                  <w:vMerge w:val="continue"/>
                  <w:vAlign w:val="center"/>
                </w:tcPr>
                <w:p w14:paraId="362B5E8F">
                  <w:pPr>
                    <w:pStyle w:val="20"/>
                    <w:adjustRightInd w:val="0"/>
                    <w:snapToGrid w:val="0"/>
                    <w:spacing w:before="0" w:beforeAutospacing="0" w:after="0" w:afterAutospacing="0"/>
                    <w:jc w:val="center"/>
                    <w:rPr>
                      <w:rFonts w:ascii="Times New Roman" w:hAnsi="Times New Roman"/>
                      <w:kern w:val="2"/>
                      <w:sz w:val="21"/>
                      <w:szCs w:val="21"/>
                    </w:rPr>
                  </w:pPr>
                </w:p>
              </w:tc>
            </w:tr>
            <w:tr w14:paraId="7CB9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77" w:type="dxa"/>
                  <w:vMerge w:val="continue"/>
                  <w:vAlign w:val="center"/>
                </w:tcPr>
                <w:p w14:paraId="3A1A8163">
                  <w:pPr>
                    <w:pStyle w:val="20"/>
                    <w:adjustRightInd w:val="0"/>
                    <w:snapToGrid w:val="0"/>
                    <w:spacing w:before="0" w:beforeAutospacing="0" w:after="0" w:afterAutospacing="0"/>
                    <w:jc w:val="center"/>
                    <w:rPr>
                      <w:rFonts w:ascii="Times New Roman" w:hAnsi="Times New Roman"/>
                      <w:kern w:val="2"/>
                      <w:sz w:val="21"/>
                      <w:szCs w:val="21"/>
                    </w:rPr>
                  </w:pPr>
                </w:p>
              </w:tc>
              <w:tc>
                <w:tcPr>
                  <w:tcW w:w="1133" w:type="dxa"/>
                  <w:vAlign w:val="center"/>
                </w:tcPr>
                <w:p w14:paraId="25E2752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切割工序</w:t>
                  </w:r>
                </w:p>
              </w:tc>
              <w:tc>
                <w:tcPr>
                  <w:tcW w:w="709" w:type="dxa"/>
                  <w:vAlign w:val="center"/>
                </w:tcPr>
                <w:p w14:paraId="7BB4355F">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颗粒物</w:t>
                  </w:r>
                </w:p>
              </w:tc>
              <w:tc>
                <w:tcPr>
                  <w:tcW w:w="708" w:type="dxa"/>
                  <w:vAlign w:val="center"/>
                </w:tcPr>
                <w:p w14:paraId="4B707B2B">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系数法</w:t>
                  </w:r>
                </w:p>
              </w:tc>
              <w:tc>
                <w:tcPr>
                  <w:tcW w:w="709" w:type="dxa"/>
                  <w:vAlign w:val="center"/>
                </w:tcPr>
                <w:p w14:paraId="3531EBA0">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0.0561</w:t>
                  </w:r>
                </w:p>
              </w:tc>
              <w:tc>
                <w:tcPr>
                  <w:tcW w:w="709" w:type="dxa"/>
                  <w:vAlign w:val="center"/>
                </w:tcPr>
                <w:p w14:paraId="57292C25">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0.187</w:t>
                  </w:r>
                </w:p>
              </w:tc>
              <w:tc>
                <w:tcPr>
                  <w:tcW w:w="567" w:type="dxa"/>
                  <w:vAlign w:val="center"/>
                </w:tcPr>
                <w:p w14:paraId="618F6B2B">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85%</w:t>
                  </w:r>
                </w:p>
              </w:tc>
              <w:tc>
                <w:tcPr>
                  <w:tcW w:w="567" w:type="dxa"/>
                  <w:vAlign w:val="center"/>
                </w:tcPr>
                <w:p w14:paraId="560F47C2">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2000</w:t>
                  </w:r>
                </w:p>
              </w:tc>
              <w:tc>
                <w:tcPr>
                  <w:tcW w:w="851" w:type="dxa"/>
                  <w:vAlign w:val="center"/>
                </w:tcPr>
                <w:p w14:paraId="2340AFFA">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袋式除尘器</w:t>
                  </w:r>
                </w:p>
              </w:tc>
              <w:tc>
                <w:tcPr>
                  <w:tcW w:w="851" w:type="dxa"/>
                  <w:vAlign w:val="center"/>
                </w:tcPr>
                <w:p w14:paraId="03ABBCC7">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95%</w:t>
                  </w:r>
                </w:p>
              </w:tc>
              <w:tc>
                <w:tcPr>
                  <w:tcW w:w="850" w:type="dxa"/>
                  <w:vAlign w:val="center"/>
                </w:tcPr>
                <w:p w14:paraId="6E75BF2F">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是</w:t>
                  </w:r>
                </w:p>
              </w:tc>
              <w:tc>
                <w:tcPr>
                  <w:tcW w:w="709" w:type="dxa"/>
                  <w:vAlign w:val="center"/>
                </w:tcPr>
                <w:p w14:paraId="36346450">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DA002</w:t>
                  </w:r>
                </w:p>
              </w:tc>
              <w:tc>
                <w:tcPr>
                  <w:tcW w:w="851" w:type="dxa"/>
                  <w:vAlign w:val="center"/>
                </w:tcPr>
                <w:p w14:paraId="12F91CD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0.003</w:t>
                  </w:r>
                </w:p>
              </w:tc>
              <w:tc>
                <w:tcPr>
                  <w:tcW w:w="850" w:type="dxa"/>
                  <w:vAlign w:val="center"/>
                </w:tcPr>
                <w:p w14:paraId="79D349E6">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0.009</w:t>
                  </w:r>
                </w:p>
              </w:tc>
              <w:tc>
                <w:tcPr>
                  <w:tcW w:w="878" w:type="dxa"/>
                  <w:vAlign w:val="center"/>
                </w:tcPr>
                <w:p w14:paraId="39C703CD">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4.5</w:t>
                  </w:r>
                </w:p>
              </w:tc>
              <w:tc>
                <w:tcPr>
                  <w:tcW w:w="563" w:type="dxa"/>
                  <w:vAlign w:val="center"/>
                </w:tcPr>
                <w:p w14:paraId="22E9A412">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3.5</w:t>
                  </w:r>
                </w:p>
              </w:tc>
              <w:tc>
                <w:tcPr>
                  <w:tcW w:w="572" w:type="dxa"/>
                  <w:vAlign w:val="center"/>
                </w:tcPr>
                <w:p w14:paraId="7847FCC9">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10</w:t>
                  </w:r>
                </w:p>
              </w:tc>
            </w:tr>
            <w:tr w14:paraId="5EAE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77" w:type="dxa"/>
                  <w:vMerge w:val="restart"/>
                  <w:vAlign w:val="center"/>
                </w:tcPr>
                <w:p w14:paraId="77161C0A">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无组织</w:t>
                  </w:r>
                </w:p>
              </w:tc>
              <w:tc>
                <w:tcPr>
                  <w:tcW w:w="1133" w:type="dxa"/>
                  <w:vAlign w:val="center"/>
                </w:tcPr>
                <w:p w14:paraId="263EB52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废油液抽取和危废贮存</w:t>
                  </w:r>
                </w:p>
              </w:tc>
              <w:tc>
                <w:tcPr>
                  <w:tcW w:w="709" w:type="dxa"/>
                  <w:vAlign w:val="center"/>
                </w:tcPr>
                <w:p w14:paraId="4EB77274">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非甲烷总烃</w:t>
                  </w:r>
                </w:p>
              </w:tc>
              <w:tc>
                <w:tcPr>
                  <w:tcW w:w="708" w:type="dxa"/>
                  <w:vAlign w:val="center"/>
                </w:tcPr>
                <w:p w14:paraId="6EAEA035">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709" w:type="dxa"/>
                  <w:vAlign w:val="center"/>
                </w:tcPr>
                <w:p w14:paraId="3C4509D0">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0.0009</w:t>
                  </w:r>
                </w:p>
              </w:tc>
              <w:tc>
                <w:tcPr>
                  <w:tcW w:w="709" w:type="dxa"/>
                  <w:vAlign w:val="center"/>
                </w:tcPr>
                <w:p w14:paraId="3F96547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567" w:type="dxa"/>
                  <w:vAlign w:val="center"/>
                </w:tcPr>
                <w:p w14:paraId="053251C4">
                  <w:pPr>
                    <w:pStyle w:val="20"/>
                    <w:adjustRightInd w:val="0"/>
                    <w:snapToGrid w:val="0"/>
                    <w:spacing w:before="0" w:beforeAutospacing="0" w:after="0" w:afterAutospacing="0"/>
                    <w:jc w:val="center"/>
                    <w:rPr>
                      <w:rFonts w:ascii="Times New Roman" w:hAnsi="Times New Roman"/>
                      <w:kern w:val="2"/>
                      <w:sz w:val="21"/>
                      <w:szCs w:val="21"/>
                    </w:rPr>
                  </w:pPr>
                </w:p>
              </w:tc>
              <w:tc>
                <w:tcPr>
                  <w:tcW w:w="567" w:type="dxa"/>
                  <w:vAlign w:val="center"/>
                </w:tcPr>
                <w:p w14:paraId="76777017">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851" w:type="dxa"/>
                  <w:vAlign w:val="center"/>
                </w:tcPr>
                <w:p w14:paraId="5F1422C8">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851" w:type="dxa"/>
                  <w:vAlign w:val="center"/>
                </w:tcPr>
                <w:p w14:paraId="22873963">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850" w:type="dxa"/>
                  <w:vAlign w:val="center"/>
                </w:tcPr>
                <w:p w14:paraId="38B13F9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709" w:type="dxa"/>
                  <w:vAlign w:val="center"/>
                </w:tcPr>
                <w:p w14:paraId="02E064C9">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851" w:type="dxa"/>
                  <w:vAlign w:val="center"/>
                </w:tcPr>
                <w:p w14:paraId="758734F4">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0.0009</w:t>
                  </w:r>
                </w:p>
              </w:tc>
              <w:tc>
                <w:tcPr>
                  <w:tcW w:w="850" w:type="dxa"/>
                  <w:vAlign w:val="center"/>
                </w:tcPr>
                <w:p w14:paraId="5F076ED9">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0.0058</w:t>
                  </w:r>
                </w:p>
              </w:tc>
              <w:tc>
                <w:tcPr>
                  <w:tcW w:w="878" w:type="dxa"/>
                  <w:vAlign w:val="center"/>
                </w:tcPr>
                <w:p w14:paraId="3B34757E">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563" w:type="dxa"/>
                  <w:vAlign w:val="center"/>
                </w:tcPr>
                <w:p w14:paraId="668C2382">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572" w:type="dxa"/>
                  <w:vAlign w:val="center"/>
                </w:tcPr>
                <w:p w14:paraId="293B3008">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r>
            <w:tr w14:paraId="50A3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77" w:type="dxa"/>
                  <w:vMerge w:val="continue"/>
                  <w:vAlign w:val="center"/>
                </w:tcPr>
                <w:p w14:paraId="66CF1EBD">
                  <w:pPr>
                    <w:pStyle w:val="20"/>
                    <w:adjustRightInd w:val="0"/>
                    <w:snapToGrid w:val="0"/>
                    <w:spacing w:before="0" w:beforeAutospacing="0" w:after="0" w:afterAutospacing="0"/>
                    <w:jc w:val="center"/>
                    <w:rPr>
                      <w:rFonts w:ascii="Times New Roman" w:hAnsi="Times New Roman"/>
                      <w:kern w:val="2"/>
                      <w:sz w:val="21"/>
                      <w:szCs w:val="21"/>
                    </w:rPr>
                  </w:pPr>
                </w:p>
              </w:tc>
              <w:tc>
                <w:tcPr>
                  <w:tcW w:w="1133" w:type="dxa"/>
                  <w:vAlign w:val="center"/>
                </w:tcPr>
                <w:p w14:paraId="32DB2143">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切割工序</w:t>
                  </w:r>
                </w:p>
              </w:tc>
              <w:tc>
                <w:tcPr>
                  <w:tcW w:w="709" w:type="dxa"/>
                  <w:vAlign w:val="center"/>
                </w:tcPr>
                <w:p w14:paraId="1B97D0B2">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颗粒物</w:t>
                  </w:r>
                </w:p>
              </w:tc>
              <w:tc>
                <w:tcPr>
                  <w:tcW w:w="708" w:type="dxa"/>
                  <w:vAlign w:val="center"/>
                </w:tcPr>
                <w:p w14:paraId="2A2E0FD6">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709" w:type="dxa"/>
                  <w:vAlign w:val="center"/>
                </w:tcPr>
                <w:p w14:paraId="4422500C">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0.0099</w:t>
                  </w:r>
                </w:p>
              </w:tc>
              <w:tc>
                <w:tcPr>
                  <w:tcW w:w="709" w:type="dxa"/>
                  <w:vAlign w:val="center"/>
                </w:tcPr>
                <w:p w14:paraId="7365A4E3">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567" w:type="dxa"/>
                  <w:vAlign w:val="center"/>
                </w:tcPr>
                <w:p w14:paraId="1D739213">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567" w:type="dxa"/>
                  <w:vAlign w:val="center"/>
                </w:tcPr>
                <w:p w14:paraId="75B7B53F">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851" w:type="dxa"/>
                  <w:vAlign w:val="center"/>
                </w:tcPr>
                <w:p w14:paraId="23B123A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851" w:type="dxa"/>
                  <w:vAlign w:val="center"/>
                </w:tcPr>
                <w:p w14:paraId="5DB0A723">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850" w:type="dxa"/>
                  <w:vAlign w:val="center"/>
                </w:tcPr>
                <w:p w14:paraId="5D08C6C6">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709" w:type="dxa"/>
                  <w:vAlign w:val="center"/>
                </w:tcPr>
                <w:p w14:paraId="34BE8AB3">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851" w:type="dxa"/>
                  <w:vAlign w:val="center"/>
                </w:tcPr>
                <w:p w14:paraId="0CDBB6AB">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0.0099</w:t>
                  </w:r>
                </w:p>
              </w:tc>
              <w:tc>
                <w:tcPr>
                  <w:tcW w:w="850" w:type="dxa"/>
                  <w:vAlign w:val="center"/>
                </w:tcPr>
                <w:p w14:paraId="63FB7617">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0.033</w:t>
                  </w:r>
                </w:p>
              </w:tc>
              <w:tc>
                <w:tcPr>
                  <w:tcW w:w="878" w:type="dxa"/>
                  <w:vAlign w:val="center"/>
                </w:tcPr>
                <w:p w14:paraId="40EE447F">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563" w:type="dxa"/>
                  <w:vAlign w:val="center"/>
                </w:tcPr>
                <w:p w14:paraId="0FC68472">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c>
                <w:tcPr>
                  <w:tcW w:w="572" w:type="dxa"/>
                  <w:vAlign w:val="center"/>
                </w:tcPr>
                <w:p w14:paraId="4DD3C7C1">
                  <w:pPr>
                    <w:pStyle w:val="20"/>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w:t>
                  </w:r>
                </w:p>
              </w:tc>
            </w:tr>
          </w:tbl>
          <w:p w14:paraId="1B862A0A">
            <w:pPr>
              <w:pStyle w:val="20"/>
              <w:adjustRightInd w:val="0"/>
              <w:snapToGrid w:val="0"/>
              <w:spacing w:before="0" w:beforeAutospacing="0" w:after="0" w:afterAutospacing="0"/>
              <w:jc w:val="center"/>
              <w:rPr>
                <w:rFonts w:ascii="Times New Roman" w:hAnsi="Times New Roman"/>
                <w:kern w:val="2"/>
                <w:sz w:val="21"/>
                <w:szCs w:val="21"/>
              </w:rPr>
            </w:pPr>
          </w:p>
        </w:tc>
      </w:tr>
    </w:tbl>
    <w:p w14:paraId="0ACB3D59">
      <w:pPr>
        <w:tabs>
          <w:tab w:val="left" w:pos="3494"/>
        </w:tabs>
        <w:rPr>
          <w:szCs w:val="21"/>
        </w:rPr>
        <w:sectPr>
          <w:pgSz w:w="16840" w:h="11907" w:orient="landscape"/>
          <w:pgMar w:top="1531" w:right="1701" w:bottom="1531" w:left="2127" w:header="851" w:footer="851" w:gutter="0"/>
          <w:cols w:space="720" w:num="1"/>
          <w:docGrid w:linePitch="312" w:charSpace="0"/>
        </w:sectPr>
      </w:pPr>
    </w:p>
    <w:tbl>
      <w:tblPr>
        <w:tblStyle w:val="23"/>
        <w:tblW w:w="93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6"/>
        <w:gridCol w:w="8903"/>
      </w:tblGrid>
      <w:tr w14:paraId="6F421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6" w:hRule="atLeast"/>
          <w:jc w:val="center"/>
        </w:trPr>
        <w:tc>
          <w:tcPr>
            <w:tcW w:w="416" w:type="dxa"/>
            <w:tcMar>
              <w:left w:w="28" w:type="dxa"/>
              <w:right w:w="28" w:type="dxa"/>
            </w:tcMar>
            <w:vAlign w:val="center"/>
          </w:tcPr>
          <w:p w14:paraId="31FD2985">
            <w:pPr>
              <w:adjustRightInd w:val="0"/>
              <w:snapToGrid w:val="0"/>
              <w:jc w:val="center"/>
              <w:rPr>
                <w:bCs/>
                <w:sz w:val="24"/>
              </w:rPr>
            </w:pPr>
            <w:r>
              <w:rPr>
                <w:bCs/>
                <w:sz w:val="24"/>
              </w:rPr>
              <w:t>运营期环境影响和保护措施</w:t>
            </w:r>
          </w:p>
        </w:tc>
        <w:tc>
          <w:tcPr>
            <w:tcW w:w="8903" w:type="dxa"/>
            <w:vAlign w:val="center"/>
          </w:tcPr>
          <w:p w14:paraId="582E90E8">
            <w:pPr>
              <w:pStyle w:val="32"/>
              <w:numPr>
                <w:ilvl w:val="0"/>
                <w:numId w:val="15"/>
              </w:numPr>
              <w:adjustRightInd w:val="0"/>
              <w:snapToGrid w:val="0"/>
              <w:spacing w:line="360" w:lineRule="auto"/>
              <w:ind w:firstLineChars="0"/>
              <w:jc w:val="left"/>
              <w:rPr>
                <w:b/>
                <w:sz w:val="24"/>
              </w:rPr>
            </w:pPr>
            <w:r>
              <w:rPr>
                <w:b/>
                <w:sz w:val="24"/>
              </w:rPr>
              <w:t>废气源强分析</w:t>
            </w:r>
          </w:p>
          <w:p w14:paraId="0D79F9F6">
            <w:pPr>
              <w:adjustRightInd w:val="0"/>
              <w:snapToGrid w:val="0"/>
              <w:spacing w:line="360" w:lineRule="auto"/>
              <w:ind w:firstLine="480" w:firstLineChars="200"/>
              <w:jc w:val="left"/>
              <w:rPr>
                <w:bCs/>
                <w:sz w:val="24"/>
              </w:rPr>
            </w:pPr>
            <w:r>
              <w:rPr>
                <w:bCs/>
                <w:sz w:val="24"/>
              </w:rPr>
              <w:t>本项目生产过程中产生的废气主要为预拆解过程废油液抽取过程挥发有机废气、切割烟尘、危废贮存有机废气。</w:t>
            </w:r>
          </w:p>
          <w:p w14:paraId="1B771881">
            <w:pPr>
              <w:numPr>
                <w:ilvl w:val="0"/>
                <w:numId w:val="16"/>
              </w:numPr>
              <w:adjustRightInd w:val="0"/>
              <w:snapToGrid w:val="0"/>
              <w:spacing w:line="360" w:lineRule="auto"/>
              <w:ind w:firstLine="480" w:firstLineChars="200"/>
              <w:jc w:val="left"/>
              <w:rPr>
                <w:bCs/>
                <w:sz w:val="24"/>
              </w:rPr>
            </w:pPr>
            <w:r>
              <w:rPr>
                <w:bCs/>
                <w:sz w:val="24"/>
              </w:rPr>
              <w:t>废油液抽取过程和危废贮存挥发废气</w:t>
            </w:r>
          </w:p>
          <w:p w14:paraId="42F3C0F0">
            <w:pPr>
              <w:pStyle w:val="32"/>
              <w:adjustRightInd w:val="0"/>
              <w:snapToGrid w:val="0"/>
              <w:spacing w:line="360" w:lineRule="auto"/>
              <w:ind w:left="480" w:firstLine="0" w:firstLineChars="0"/>
              <w:jc w:val="left"/>
              <w:rPr>
                <w:bCs/>
                <w:sz w:val="24"/>
              </w:rPr>
            </w:pPr>
            <w:r>
              <w:rPr>
                <w:bCs/>
                <w:sz w:val="24"/>
              </w:rPr>
              <w:t>a.废油液抽取过程挥发废气</w:t>
            </w:r>
          </w:p>
          <w:p w14:paraId="1C3D9A3F">
            <w:pPr>
              <w:adjustRightInd w:val="0"/>
              <w:snapToGrid w:val="0"/>
              <w:spacing w:line="360" w:lineRule="auto"/>
              <w:ind w:firstLine="480" w:firstLineChars="200"/>
              <w:rPr>
                <w:bCs/>
                <w:sz w:val="24"/>
              </w:rPr>
            </w:pPr>
            <w:r>
              <w:rPr>
                <w:bCs/>
                <w:sz w:val="24"/>
              </w:rPr>
              <w:t>本项目报废农机在入厂后，首先对农机进行检查，对出现泄漏的总成部件，收集泄漏的液体或封住泄漏处，故泄漏的废油液量很少。</w:t>
            </w:r>
          </w:p>
          <w:p w14:paraId="02531B50">
            <w:pPr>
              <w:adjustRightInd w:val="0"/>
              <w:snapToGrid w:val="0"/>
              <w:spacing w:line="360" w:lineRule="auto"/>
              <w:ind w:firstLine="482" w:firstLineChars="200"/>
              <w:rPr>
                <w:b/>
                <w:sz w:val="24"/>
                <w:u w:val="single"/>
              </w:rPr>
            </w:pPr>
            <w:r>
              <w:rPr>
                <w:rFonts w:hint="eastAsia"/>
                <w:b/>
                <w:sz w:val="24"/>
                <w:u w:val="single"/>
              </w:rPr>
              <w:t>本项目回收的废旧农机不设置空调，因为无废制冷剂抽取工位，项目设置1个废油液抽取工位，采用电动抽油机对报废农机内的废油液封闭式抽取，因此在报废农机内及卸油、收集过程中非甲烷总烃的挥发量较少。</w:t>
            </w:r>
            <w:r>
              <w:rPr>
                <w:b/>
                <w:sz w:val="24"/>
                <w:u w:val="single"/>
              </w:rPr>
              <w:t>项目拆解抽取废油液包括残余燃油（汽油、柴油等）及其他矿物油（机油、润滑油等）、废防冻液、废液压油等各种液体，除燃油外，其他油液主要对发动机等机械设备起到润滑、清洁、密封、减磨、防锈等作用，相对于燃油具有较强的氧化稳定性、热稳定性以及低挥发性，拆解过程基本不产生废气。此外，在各类废液抽取后在专用密闭容器内封存，因此本项目可能产生的非甲烷总烃废气的环节主要为排空油液的过程中油液的挥发。根据《散装液态石油产品损耗》（GB11085-89）中灌桶（0.18%）和零售加注时（0.29%）的两部分的损失率，按总体的0.47%计算损失率。</w:t>
            </w:r>
          </w:p>
          <w:p w14:paraId="494B76EC">
            <w:pPr>
              <w:adjustRightInd w:val="0"/>
              <w:snapToGrid w:val="0"/>
              <w:spacing w:line="360" w:lineRule="auto"/>
              <w:ind w:firstLine="482" w:firstLineChars="200"/>
              <w:rPr>
                <w:b/>
                <w:sz w:val="24"/>
                <w:u w:val="single"/>
              </w:rPr>
            </w:pPr>
            <w:r>
              <w:rPr>
                <w:b/>
                <w:sz w:val="24"/>
                <w:u w:val="single"/>
              </w:rPr>
              <w:t>本项目拆解农机数量为50台/年，根据建设单位提供资料，每台废旧农机油液产生量约为250kg，残留约10%，则项目平均每台废旧农机残留废油液按25kg计，废油液总量为1.25t/a。项目废油液回收时间约150h/a，废油液抽取过程中会有部分油液残留在容器壁上。经类比同类项目，该部分以无组织形式排放，因残留量极少，本次评价按1.25t废油液均被抽取计算，则废油液挥发产生的非甲烷总烃约0.0059t/a，非甲烷总烃产生速率为0.039kg/h。</w:t>
            </w:r>
          </w:p>
          <w:p w14:paraId="6F1E11AD">
            <w:pPr>
              <w:pStyle w:val="59"/>
              <w:spacing w:line="360" w:lineRule="auto"/>
              <w:ind w:firstLine="482"/>
              <w:jc w:val="both"/>
              <w:rPr>
                <w:b/>
                <w:color w:val="auto"/>
                <w:sz w:val="24"/>
                <w:szCs w:val="24"/>
                <w:u w:val="single"/>
              </w:rPr>
            </w:pPr>
            <w:r>
              <w:rPr>
                <w:b/>
                <w:color w:val="auto"/>
                <w:sz w:val="24"/>
                <w:u w:val="single"/>
              </w:rPr>
              <w:t>企业拟将废油液抽取工位固定，上方设置可伸缩式集气罩，油液抽取时，将集气罩对准油液抽取机，</w:t>
            </w:r>
            <w:r>
              <w:rPr>
                <w:b/>
                <w:color w:val="auto"/>
                <w:sz w:val="24"/>
                <w:szCs w:val="24"/>
                <w:u w:val="single"/>
              </w:rPr>
              <w:t>集气罩尺寸为1.0m*0.55m，罩口平均风速为0.6m/s。风机风量计算依据公式如下：</w:t>
            </w:r>
          </w:p>
          <w:p w14:paraId="6F9917CD">
            <w:pPr>
              <w:pStyle w:val="59"/>
              <w:spacing w:line="360" w:lineRule="auto"/>
              <w:ind w:firstLine="482"/>
              <w:jc w:val="center"/>
              <w:rPr>
                <w:b/>
                <w:color w:val="auto"/>
                <w:sz w:val="24"/>
                <w:szCs w:val="24"/>
                <w:u w:val="single"/>
              </w:rPr>
            </w:pPr>
            <w:r>
              <w:rPr>
                <w:b/>
                <w:color w:val="auto"/>
                <w:sz w:val="24"/>
                <w:szCs w:val="24"/>
                <w:u w:val="single"/>
              </w:rPr>
              <w:t>L</w:t>
            </w:r>
            <w:r>
              <w:rPr>
                <w:b/>
                <w:color w:val="auto"/>
                <w:sz w:val="24"/>
                <w:szCs w:val="24"/>
                <w:u w:val="single"/>
                <w:vertAlign w:val="subscript"/>
              </w:rPr>
              <w:t>3</w:t>
            </w:r>
            <w:r>
              <w:rPr>
                <w:b/>
                <w:color w:val="auto"/>
                <w:sz w:val="24"/>
                <w:szCs w:val="24"/>
                <w:u w:val="single"/>
              </w:rPr>
              <w:t>=V×F×3600             公式（1）</w:t>
            </w:r>
          </w:p>
          <w:p w14:paraId="5F32FA59">
            <w:pPr>
              <w:pStyle w:val="59"/>
              <w:spacing w:line="360" w:lineRule="auto"/>
              <w:ind w:firstLine="482"/>
              <w:rPr>
                <w:b/>
                <w:color w:val="auto"/>
                <w:sz w:val="24"/>
                <w:szCs w:val="24"/>
                <w:u w:val="single"/>
              </w:rPr>
            </w:pPr>
            <w:r>
              <w:rPr>
                <w:b/>
                <w:color w:val="auto"/>
                <w:sz w:val="24"/>
                <w:szCs w:val="24"/>
                <w:u w:val="single"/>
              </w:rPr>
              <w:t>式中：L</w:t>
            </w:r>
            <w:r>
              <w:rPr>
                <w:b/>
                <w:color w:val="auto"/>
                <w:sz w:val="24"/>
                <w:szCs w:val="24"/>
                <w:u w:val="single"/>
                <w:vertAlign w:val="subscript"/>
              </w:rPr>
              <w:t>3</w:t>
            </w:r>
            <w:r>
              <w:rPr>
                <w:b/>
                <w:color w:val="auto"/>
                <w:sz w:val="24"/>
                <w:szCs w:val="24"/>
                <w:u w:val="single"/>
              </w:rPr>
              <w:t>—顶吸罩的计算风量，m</w:t>
            </w:r>
            <w:r>
              <w:rPr>
                <w:b/>
                <w:color w:val="auto"/>
                <w:sz w:val="24"/>
                <w:szCs w:val="24"/>
                <w:u w:val="single"/>
                <w:vertAlign w:val="superscript"/>
              </w:rPr>
              <w:t>3</w:t>
            </w:r>
            <w:r>
              <w:rPr>
                <w:b/>
                <w:color w:val="auto"/>
                <w:sz w:val="24"/>
                <w:szCs w:val="24"/>
                <w:u w:val="single"/>
              </w:rPr>
              <w:t>/h；</w:t>
            </w:r>
          </w:p>
          <w:p w14:paraId="41BB114F">
            <w:pPr>
              <w:pStyle w:val="59"/>
              <w:spacing w:line="360" w:lineRule="auto"/>
              <w:ind w:firstLine="482"/>
              <w:rPr>
                <w:b/>
                <w:color w:val="auto"/>
                <w:sz w:val="24"/>
                <w:szCs w:val="24"/>
                <w:u w:val="single"/>
              </w:rPr>
            </w:pPr>
            <w:r>
              <w:rPr>
                <w:b/>
                <w:color w:val="auto"/>
                <w:sz w:val="24"/>
                <w:szCs w:val="24"/>
                <w:u w:val="single"/>
              </w:rPr>
              <w:t>V—罩口平均风速，m/s，可取0.3-1.0；</w:t>
            </w:r>
          </w:p>
          <w:p w14:paraId="4093C988">
            <w:pPr>
              <w:pStyle w:val="59"/>
              <w:spacing w:line="360" w:lineRule="auto"/>
              <w:ind w:firstLine="482"/>
              <w:rPr>
                <w:b/>
                <w:color w:val="auto"/>
                <w:sz w:val="24"/>
                <w:szCs w:val="24"/>
                <w:u w:val="single"/>
              </w:rPr>
            </w:pPr>
            <w:r>
              <w:rPr>
                <w:b/>
                <w:color w:val="auto"/>
                <w:sz w:val="24"/>
                <w:szCs w:val="24"/>
                <w:u w:val="single"/>
              </w:rPr>
              <w:t>F—排风罩开口面面积，m</w:t>
            </w:r>
            <w:r>
              <w:rPr>
                <w:b/>
                <w:color w:val="auto"/>
                <w:sz w:val="24"/>
                <w:szCs w:val="24"/>
                <w:u w:val="single"/>
                <w:vertAlign w:val="superscript"/>
              </w:rPr>
              <w:t>2</w:t>
            </w:r>
            <w:r>
              <w:rPr>
                <w:b/>
                <w:color w:val="auto"/>
                <w:sz w:val="24"/>
                <w:szCs w:val="24"/>
                <w:u w:val="single"/>
              </w:rPr>
              <w:t>；</w:t>
            </w:r>
          </w:p>
          <w:p w14:paraId="00A74B57">
            <w:pPr>
              <w:adjustRightInd w:val="0"/>
              <w:snapToGrid w:val="0"/>
              <w:spacing w:line="360" w:lineRule="auto"/>
              <w:ind w:firstLine="482" w:firstLineChars="200"/>
              <w:rPr>
                <w:b/>
                <w:sz w:val="24"/>
                <w:u w:val="single"/>
              </w:rPr>
            </w:pPr>
            <w:r>
              <w:rPr>
                <w:b/>
                <w:sz w:val="24"/>
                <w:u w:val="single"/>
              </w:rPr>
              <w:t>经计算废油液抽取工序风机风量为1980m³/h，考虑风阻，企业拟设置</w:t>
            </w:r>
            <w:r>
              <w:rPr>
                <w:rFonts w:hint="eastAsia"/>
                <w:b/>
                <w:sz w:val="24"/>
                <w:u w:val="single"/>
              </w:rPr>
              <w:t>1</w:t>
            </w:r>
            <w:r>
              <w:rPr>
                <w:b/>
                <w:sz w:val="24"/>
                <w:u w:val="single"/>
              </w:rPr>
              <w:t>台风量为2000m</w:t>
            </w:r>
            <w:r>
              <w:rPr>
                <w:b/>
                <w:sz w:val="24"/>
                <w:u w:val="single"/>
                <w:vertAlign w:val="superscript"/>
              </w:rPr>
              <w:t>3</w:t>
            </w:r>
            <w:r>
              <w:rPr>
                <w:b/>
                <w:sz w:val="24"/>
                <w:u w:val="single"/>
              </w:rPr>
              <w:t>/h的风机。本项目废油液抽取时集气罩收集效率以85%计，经</w:t>
            </w:r>
            <w:r>
              <w:rPr>
                <w:rFonts w:hint="eastAsia"/>
                <w:b/>
                <w:sz w:val="24"/>
                <w:u w:val="single"/>
              </w:rPr>
              <w:t>两级</w:t>
            </w:r>
            <w:r>
              <w:rPr>
                <w:b/>
                <w:sz w:val="24"/>
                <w:u w:val="single"/>
              </w:rPr>
              <w:t>活性炭吸附装置处理后由15m高排气筒DA001达标后排放，处理效率以70%计，则有组织非甲烷总烃排放量为0.0015t/a，排放速率为0.01kg/h，排放浓度5mg/m</w:t>
            </w:r>
            <w:r>
              <w:rPr>
                <w:b/>
                <w:sz w:val="24"/>
                <w:u w:val="single"/>
                <w:vertAlign w:val="superscript"/>
              </w:rPr>
              <w:t>3</w:t>
            </w:r>
            <w:r>
              <w:rPr>
                <w:b/>
                <w:sz w:val="24"/>
                <w:u w:val="single"/>
              </w:rPr>
              <w:t>，非甲烷总烃排放可满足《大气污染物综合排放标准》（GB16297-1996）表2二级标准（15m排气筒排放限值要求10kg/h、120mg/m</w:t>
            </w:r>
            <w:r>
              <w:rPr>
                <w:b/>
                <w:sz w:val="24"/>
                <w:u w:val="single"/>
                <w:vertAlign w:val="superscript"/>
              </w:rPr>
              <w:t>3</w:t>
            </w:r>
            <w:r>
              <w:rPr>
                <w:b/>
                <w:sz w:val="24"/>
                <w:u w:val="single"/>
              </w:rPr>
              <w:t>）要求及《关于全省开展工业企业挥发性有机物专项治理工作中排放建议值的通知》（豫环攻坚办</w:t>
            </w:r>
            <w:r>
              <w:rPr>
                <w:b/>
                <w:kern w:val="0"/>
                <w:sz w:val="24"/>
                <w:u w:val="single"/>
              </w:rPr>
              <w:t>〔2017〕</w:t>
            </w:r>
            <w:r>
              <w:rPr>
                <w:b/>
                <w:sz w:val="24"/>
                <w:u w:val="single"/>
              </w:rPr>
              <w:t>162号）非甲烷总烃排放浓度限值80mg/m</w:t>
            </w:r>
            <w:r>
              <w:rPr>
                <w:b/>
                <w:sz w:val="24"/>
                <w:u w:val="single"/>
                <w:vertAlign w:val="superscript"/>
              </w:rPr>
              <w:t>3</w:t>
            </w:r>
            <w:r>
              <w:rPr>
                <w:b/>
                <w:sz w:val="24"/>
                <w:u w:val="single"/>
              </w:rPr>
              <w:t>的要求，同时满足《河南省重污染天气重点行业应急减排措施制定技术指南（2024年修订版）》中的通用行业涉VOCs企业绩效引领指标要求（30mg/m</w:t>
            </w:r>
            <w:r>
              <w:rPr>
                <w:b/>
                <w:sz w:val="24"/>
                <w:u w:val="single"/>
                <w:vertAlign w:val="superscript"/>
              </w:rPr>
              <w:t>3</w:t>
            </w:r>
            <w:r>
              <w:rPr>
                <w:b/>
                <w:sz w:val="24"/>
                <w:u w:val="single"/>
              </w:rPr>
              <w:t>）。</w:t>
            </w:r>
          </w:p>
          <w:p w14:paraId="2D01EF6B">
            <w:pPr>
              <w:adjustRightInd w:val="0"/>
              <w:snapToGrid w:val="0"/>
              <w:spacing w:line="360" w:lineRule="auto"/>
              <w:ind w:firstLine="482" w:firstLineChars="200"/>
              <w:jc w:val="left"/>
              <w:rPr>
                <w:b/>
                <w:sz w:val="24"/>
                <w:u w:val="single"/>
              </w:rPr>
            </w:pPr>
            <w:r>
              <w:rPr>
                <w:b/>
                <w:sz w:val="24"/>
                <w:u w:val="single"/>
              </w:rPr>
              <w:t>残留在容器壁的废油液和未被收集的废气以无组织形式排放，则无组织非甲烷总烃排放量为0.0009t/a，排放速率为0.0058kg/h。</w:t>
            </w:r>
          </w:p>
          <w:p w14:paraId="3E4AB929">
            <w:pPr>
              <w:pStyle w:val="32"/>
              <w:adjustRightInd w:val="0"/>
              <w:snapToGrid w:val="0"/>
              <w:spacing w:line="360" w:lineRule="auto"/>
              <w:ind w:left="480" w:firstLine="0" w:firstLineChars="0"/>
              <w:jc w:val="left"/>
              <w:rPr>
                <w:bCs/>
                <w:sz w:val="24"/>
              </w:rPr>
            </w:pPr>
            <w:r>
              <w:rPr>
                <w:bCs/>
                <w:sz w:val="24"/>
              </w:rPr>
              <w:t>b.危险废物贮存有机废气</w:t>
            </w:r>
          </w:p>
          <w:p w14:paraId="53AE1E57">
            <w:pPr>
              <w:adjustRightInd w:val="0"/>
              <w:snapToGrid w:val="0"/>
              <w:spacing w:line="360" w:lineRule="auto"/>
              <w:ind w:firstLine="480" w:firstLineChars="200"/>
              <w:rPr>
                <w:bCs/>
                <w:sz w:val="24"/>
              </w:rPr>
            </w:pPr>
            <w:r>
              <w:rPr>
                <w:bCs/>
                <w:sz w:val="24"/>
              </w:rPr>
              <w:t>本项目建设有40m</w:t>
            </w:r>
            <w:r>
              <w:rPr>
                <w:bCs/>
                <w:sz w:val="24"/>
                <w:vertAlign w:val="superscript"/>
              </w:rPr>
              <w:t>2</w:t>
            </w:r>
            <w:r>
              <w:rPr>
                <w:bCs/>
                <w:sz w:val="24"/>
              </w:rPr>
              <w:t>危险废物暂存间1座，用于存储项目运营过程中产生的危险废物。鉴于废油液、废活性炭、废含油抹布及手套等危险废物均采用专用密闭容器封存，暂存过程中产生的有机废气产生量很少，本次评价不再定量核算，仅提出相应的废气污染方式措施，即危废暂存间设置负压密闭收集管道，废气集中后与废油液抽取工序废气共用1套</w:t>
            </w:r>
            <w:r>
              <w:rPr>
                <w:rFonts w:hint="eastAsia"/>
                <w:bCs/>
                <w:sz w:val="24"/>
              </w:rPr>
              <w:t>两级</w:t>
            </w:r>
            <w:r>
              <w:rPr>
                <w:bCs/>
                <w:sz w:val="24"/>
              </w:rPr>
              <w:t>活性炭吸附装置处理后达标排放。</w:t>
            </w:r>
          </w:p>
          <w:p w14:paraId="59CED9DA">
            <w:pPr>
              <w:adjustRightInd w:val="0"/>
              <w:snapToGrid w:val="0"/>
              <w:spacing w:line="360" w:lineRule="auto"/>
              <w:ind w:firstLine="480" w:firstLineChars="200"/>
              <w:jc w:val="left"/>
              <w:rPr>
                <w:bCs/>
                <w:sz w:val="24"/>
              </w:rPr>
            </w:pPr>
            <w:r>
              <w:rPr>
                <w:bCs/>
                <w:sz w:val="24"/>
              </w:rPr>
              <w:t>（3）切割废气</w:t>
            </w:r>
          </w:p>
          <w:p w14:paraId="6F886FC3">
            <w:pPr>
              <w:spacing w:line="360" w:lineRule="auto"/>
              <w:ind w:firstLine="482" w:firstLineChars="200"/>
              <w:rPr>
                <w:bCs/>
                <w:sz w:val="24"/>
              </w:rPr>
            </w:pPr>
            <w:r>
              <w:rPr>
                <w:b/>
                <w:sz w:val="24"/>
                <w:u w:val="single"/>
              </w:rPr>
              <w:t>在拆解时需对螺栓等连接处进行切割，拆除的金属部件不需要进一步分割、破碎、色选、清洗及打包等，拆解后的金属部件直接外售处理；废旧农机在拆解后较大部件还需进行切割，本项目</w:t>
            </w:r>
            <w:r>
              <w:rPr>
                <w:rFonts w:hint="eastAsia"/>
                <w:b/>
                <w:sz w:val="24"/>
                <w:u w:val="single"/>
              </w:rPr>
              <w:t>设置一台切割机，</w:t>
            </w:r>
            <w:r>
              <w:rPr>
                <w:b/>
                <w:sz w:val="24"/>
                <w:u w:val="single"/>
              </w:rPr>
              <w:t>切割方式采用等离子切割，等离子切割过程中所用切割气体为乙炔和氧气。</w:t>
            </w:r>
            <w:r>
              <w:rPr>
                <w:bCs/>
                <w:sz w:val="24"/>
              </w:rPr>
              <w:t>乙炔燃烧产生的废气为H</w:t>
            </w:r>
            <w:r>
              <w:rPr>
                <w:bCs/>
                <w:sz w:val="24"/>
                <w:vertAlign w:val="subscript"/>
              </w:rPr>
              <w:t>2</w:t>
            </w:r>
            <w:r>
              <w:rPr>
                <w:bCs/>
                <w:sz w:val="24"/>
              </w:rPr>
              <w:t>O和CO</w:t>
            </w:r>
            <w:r>
              <w:rPr>
                <w:bCs/>
                <w:sz w:val="24"/>
                <w:vertAlign w:val="subscript"/>
              </w:rPr>
              <w:t>2</w:t>
            </w:r>
            <w:r>
              <w:rPr>
                <w:bCs/>
                <w:sz w:val="24"/>
              </w:rPr>
              <w:t>，其环境影响小，但切割过程农机被切割位置的受热金属融化，由于局部的高温作用部分金属离子直接以气态形式进入空气中，金属离子在空气中随即冷却形成颗粒物，因此而产生的切割烟尘环境影响较大。根据被切割件的性质特点，本项目切割烟尘主要成分为金属颗粒物。</w:t>
            </w:r>
          </w:p>
          <w:p w14:paraId="6034776F">
            <w:pPr>
              <w:spacing w:line="360" w:lineRule="auto"/>
              <w:ind w:firstLine="480" w:firstLineChars="200"/>
              <w:rPr>
                <w:sz w:val="24"/>
              </w:rPr>
            </w:pPr>
            <w:r>
              <w:rPr>
                <w:sz w:val="24"/>
              </w:rPr>
              <w:t>根据《排放源统计调查产排污核算方法和系数手册》中“第33-37,431-434机械行业系数手册”，参考钢铁加工企业经验数据，采用等离子切割产生的颗粒物1.1kg/t-原料。本项目年拆解废旧农机50台，废旧农机拆解钢铁约为119.5t/a，其中约50%需进行等离子切割处理，剩余约50%进行手动拆解或者机械钳手动切割，每天共切割2h，年切割时间300h，则切割烟尘产生总量为0.066t/a，产生速率为0.22kg/h。</w:t>
            </w:r>
          </w:p>
          <w:p w14:paraId="57D6D73B">
            <w:pPr>
              <w:adjustRightInd w:val="0"/>
              <w:snapToGrid w:val="0"/>
              <w:spacing w:line="360" w:lineRule="auto"/>
              <w:ind w:firstLine="480" w:firstLineChars="200"/>
              <w:rPr>
                <w:sz w:val="24"/>
              </w:rPr>
            </w:pPr>
            <w:r>
              <w:rPr>
                <w:sz w:val="24"/>
              </w:rPr>
              <w:t>本项目在切割工序上方设置集气罩对切割过程中产生的烟尘进行收集，收集效率85%，收集后的废气经过覆膜袋式除尘器净化处理，处理效率以95%计，后通过15m高排气筒达标排放，风机风量2000m</w:t>
            </w:r>
            <w:r>
              <w:rPr>
                <w:sz w:val="24"/>
                <w:vertAlign w:val="superscript"/>
              </w:rPr>
              <w:t>3</w:t>
            </w:r>
            <w:r>
              <w:rPr>
                <w:sz w:val="24"/>
              </w:rPr>
              <w:t>/h，切割烟尘的排放量约为0.003t/a，排放速率为0.009kg/h，排放浓度为4.5mg/m</w:t>
            </w:r>
            <w:r>
              <w:rPr>
                <w:sz w:val="24"/>
                <w:vertAlign w:val="superscript"/>
              </w:rPr>
              <w:t>3</w:t>
            </w:r>
            <w:r>
              <w:rPr>
                <w:sz w:val="24"/>
              </w:rPr>
              <w:t>，颗粒物排放满足《大气污染物综合排放标准》（GB16297-1996）表2二级标准限值（15m排气筒排放限值要求3.5kg/h、120mg/m</w:t>
            </w:r>
            <w:r>
              <w:rPr>
                <w:sz w:val="24"/>
                <w:vertAlign w:val="superscript"/>
              </w:rPr>
              <w:t>3</w:t>
            </w:r>
            <w:r>
              <w:rPr>
                <w:sz w:val="24"/>
              </w:rPr>
              <w:t>）要求及《河南省重污染天气通用行业应急减排措施制定技术指南》（2024年修订版）中通用行业PM排放浓度≤10mg/m</w:t>
            </w:r>
            <w:r>
              <w:rPr>
                <w:sz w:val="24"/>
                <w:vertAlign w:val="superscript"/>
              </w:rPr>
              <w:t>3</w:t>
            </w:r>
            <w:r>
              <w:rPr>
                <w:sz w:val="24"/>
              </w:rPr>
              <w:t>的要求。</w:t>
            </w:r>
          </w:p>
          <w:p w14:paraId="680BE093">
            <w:pPr>
              <w:adjustRightInd w:val="0"/>
              <w:snapToGrid w:val="0"/>
              <w:spacing w:line="360" w:lineRule="auto"/>
              <w:ind w:firstLine="480" w:firstLineChars="200"/>
              <w:rPr>
                <w:sz w:val="24"/>
              </w:rPr>
            </w:pPr>
            <w:r>
              <w:rPr>
                <w:sz w:val="24"/>
              </w:rPr>
              <w:t>切割工序未被收集的烟尘以无组织形式向环境中排放，无组织排放颗粒物量约为0.0099t/a，排放速率为0.033kg/h。</w:t>
            </w:r>
          </w:p>
          <w:p w14:paraId="2AB3680E">
            <w:pPr>
              <w:pStyle w:val="32"/>
              <w:numPr>
                <w:ilvl w:val="0"/>
                <w:numId w:val="15"/>
              </w:numPr>
              <w:adjustRightInd w:val="0"/>
              <w:snapToGrid w:val="0"/>
              <w:spacing w:line="360" w:lineRule="auto"/>
              <w:ind w:firstLineChars="0"/>
              <w:jc w:val="left"/>
              <w:rPr>
                <w:b/>
                <w:sz w:val="24"/>
              </w:rPr>
            </w:pPr>
            <w:r>
              <w:rPr>
                <w:b/>
                <w:sz w:val="24"/>
              </w:rPr>
              <w:t>废气治理措施可行性分析</w:t>
            </w:r>
          </w:p>
          <w:p w14:paraId="3FABB634">
            <w:pPr>
              <w:adjustRightInd w:val="0"/>
              <w:snapToGrid w:val="0"/>
              <w:spacing w:line="360" w:lineRule="auto"/>
              <w:ind w:firstLine="480" w:firstLineChars="200"/>
              <w:jc w:val="left"/>
              <w:rPr>
                <w:bCs/>
                <w:sz w:val="24"/>
              </w:rPr>
            </w:pPr>
            <w:r>
              <w:rPr>
                <w:bCs/>
                <w:sz w:val="24"/>
              </w:rPr>
              <w:t>（1）切割废气治理措施及排放情况分析</w:t>
            </w:r>
          </w:p>
          <w:p w14:paraId="3979CFEB">
            <w:pPr>
              <w:adjustRightInd w:val="0"/>
              <w:snapToGrid w:val="0"/>
              <w:spacing w:line="360" w:lineRule="auto"/>
              <w:ind w:firstLine="480" w:firstLineChars="200"/>
              <w:rPr>
                <w:bCs/>
                <w:sz w:val="24"/>
              </w:rPr>
            </w:pPr>
            <w:r>
              <w:rPr>
                <w:bCs/>
                <w:sz w:val="24"/>
              </w:rPr>
              <w:t>根据《排污许可证申请与核发技术规范 总则》（HJ942-2018）“废气污染治理设施工艺-除尘设施”包括袋式除尘器、电除尘器、电袋复合除尘器、其他。本项目生产过程中</w:t>
            </w:r>
            <w:r>
              <w:rPr>
                <w:rFonts w:hint="eastAsia"/>
                <w:bCs/>
                <w:sz w:val="24"/>
              </w:rPr>
              <w:t>颗粒物</w:t>
            </w:r>
            <w:r>
              <w:rPr>
                <w:bCs/>
                <w:sz w:val="24"/>
              </w:rPr>
              <w:t>设置集气罩收集，经覆膜袋式除尘器处理后由15m高排气筒排放，风机量为2000m</w:t>
            </w:r>
            <w:r>
              <w:rPr>
                <w:bCs/>
                <w:sz w:val="24"/>
                <w:vertAlign w:val="superscript"/>
              </w:rPr>
              <w:t>3</w:t>
            </w:r>
            <w:r>
              <w:rPr>
                <w:bCs/>
                <w:sz w:val="24"/>
              </w:rPr>
              <w:t>/h，有组织颗粒物排放浓度为4.5mg/m</w:t>
            </w:r>
            <w:r>
              <w:rPr>
                <w:bCs/>
                <w:sz w:val="24"/>
                <w:vertAlign w:val="superscript"/>
              </w:rPr>
              <w:t>3</w:t>
            </w:r>
            <w:r>
              <w:rPr>
                <w:bCs/>
                <w:sz w:val="24"/>
              </w:rPr>
              <w:t>，排放速率为</w:t>
            </w:r>
            <w:r>
              <w:rPr>
                <w:sz w:val="24"/>
              </w:rPr>
              <w:t>0.009</w:t>
            </w:r>
            <w:r>
              <w:rPr>
                <w:bCs/>
                <w:sz w:val="24"/>
              </w:rPr>
              <w:t>kg/h，满足《大气污染物综合排放标准》（GB16297-1996）表2二级标准限值（15m排气筒排放限值要求3.5kg/h、120mg/m</w:t>
            </w:r>
            <w:r>
              <w:rPr>
                <w:bCs/>
                <w:sz w:val="24"/>
                <w:vertAlign w:val="superscript"/>
              </w:rPr>
              <w:t>3</w:t>
            </w:r>
            <w:r>
              <w:rPr>
                <w:bCs/>
                <w:sz w:val="24"/>
              </w:rPr>
              <w:t>）的要求及《河南省重污染天气通用行业应急减排措施制定技术指南》（2024年修订版）中通用行业PM排放浓度≤10mg/m</w:t>
            </w:r>
            <w:r>
              <w:rPr>
                <w:bCs/>
                <w:sz w:val="24"/>
                <w:vertAlign w:val="superscript"/>
              </w:rPr>
              <w:t>3</w:t>
            </w:r>
            <w:r>
              <w:rPr>
                <w:bCs/>
                <w:sz w:val="24"/>
              </w:rPr>
              <w:t>的要求。因此本项目烟尘污染防治措施可行。</w:t>
            </w:r>
          </w:p>
          <w:p w14:paraId="112A3AD9">
            <w:pPr>
              <w:adjustRightInd w:val="0"/>
              <w:snapToGrid w:val="0"/>
              <w:spacing w:line="360" w:lineRule="auto"/>
              <w:ind w:firstLine="480" w:firstLineChars="200"/>
              <w:jc w:val="left"/>
              <w:rPr>
                <w:bCs/>
                <w:sz w:val="24"/>
              </w:rPr>
            </w:pPr>
            <w:r>
              <w:rPr>
                <w:bCs/>
                <w:sz w:val="24"/>
              </w:rPr>
              <w:t>（2）挥发性有机废气治理措施及排放情况分析</w:t>
            </w:r>
          </w:p>
          <w:p w14:paraId="1C204D75">
            <w:pPr>
              <w:adjustRightInd w:val="0"/>
              <w:snapToGrid w:val="0"/>
              <w:spacing w:line="360" w:lineRule="auto"/>
              <w:ind w:firstLine="480" w:firstLineChars="200"/>
              <w:rPr>
                <w:bCs/>
                <w:sz w:val="24"/>
              </w:rPr>
            </w:pPr>
            <w:r>
              <w:rPr>
                <w:bCs/>
                <w:sz w:val="24"/>
              </w:rPr>
              <w:t>本项目拆解过程利用电动抽油机对油液进行抽取，挥发性有机废气主要为排空油液的过程中油液的挥发过程。根据《排污许可证申请与核发技术规范 废弃资源加工工业》（HJ1034-2019）（参照废机动车），规定中要求废机动车拆解过程产生的非甲烷总烃污染防治可行技术为活性炭吸附，根据建设单位设计，项目拆解过程中产生的非甲烷总烃拟采用</w:t>
            </w:r>
            <w:r>
              <w:rPr>
                <w:rFonts w:hint="eastAsia"/>
                <w:bCs/>
                <w:sz w:val="24"/>
              </w:rPr>
              <w:t>两级</w:t>
            </w:r>
            <w:r>
              <w:rPr>
                <w:bCs/>
                <w:sz w:val="24"/>
              </w:rPr>
              <w:t>活性炭吸附装置处理，后经15m高排气筒排放，风机风量为2000m</w:t>
            </w:r>
            <w:r>
              <w:rPr>
                <w:bCs/>
                <w:sz w:val="24"/>
                <w:vertAlign w:val="superscript"/>
              </w:rPr>
              <w:t>3</w:t>
            </w:r>
            <w:r>
              <w:rPr>
                <w:bCs/>
                <w:sz w:val="24"/>
              </w:rPr>
              <w:t>/h，</w:t>
            </w:r>
            <w:r>
              <w:rPr>
                <w:rFonts w:hint="eastAsia"/>
                <w:bCs/>
                <w:sz w:val="24"/>
              </w:rPr>
              <w:t>非甲烷总烃有组织排放量</w:t>
            </w:r>
            <w:r>
              <w:rPr>
                <w:bCs/>
                <w:sz w:val="24"/>
              </w:rPr>
              <w:t>为0.0015t/a，排放速率为0.01kg/h，排放浓度5mg/m</w:t>
            </w:r>
            <w:r>
              <w:rPr>
                <w:bCs/>
                <w:sz w:val="24"/>
                <w:vertAlign w:val="superscript"/>
              </w:rPr>
              <w:t>3</w:t>
            </w:r>
            <w:r>
              <w:rPr>
                <w:rFonts w:hint="eastAsia"/>
                <w:bCs/>
                <w:sz w:val="24"/>
              </w:rPr>
              <w:t>，</w:t>
            </w:r>
            <w:r>
              <w:rPr>
                <w:bCs/>
                <w:sz w:val="24"/>
              </w:rPr>
              <w:t>非甲烷总烃有组织排放满足《大气污染物综合排放标准》（GB16297-1996）表2二级标准（15m排气筒排放限值要求10kg/h、120mg/m</w:t>
            </w:r>
            <w:r>
              <w:rPr>
                <w:bCs/>
                <w:sz w:val="24"/>
                <w:vertAlign w:val="superscript"/>
              </w:rPr>
              <w:t>3</w:t>
            </w:r>
            <w:r>
              <w:rPr>
                <w:bCs/>
                <w:sz w:val="24"/>
              </w:rPr>
              <w:t>）要求及《关于全省开展工业企业挥发性有机物专项治理工作中排放建议值的通知》（豫环攻坚办</w:t>
            </w:r>
            <w:r>
              <w:rPr>
                <w:kern w:val="0"/>
                <w:sz w:val="24"/>
              </w:rPr>
              <w:t>〔2017〕</w:t>
            </w:r>
            <w:r>
              <w:rPr>
                <w:bCs/>
                <w:sz w:val="24"/>
              </w:rPr>
              <w:t>162号）排放浓度限值80mg/m</w:t>
            </w:r>
            <w:r>
              <w:rPr>
                <w:bCs/>
                <w:sz w:val="24"/>
                <w:vertAlign w:val="superscript"/>
              </w:rPr>
              <w:t>3</w:t>
            </w:r>
            <w:r>
              <w:rPr>
                <w:bCs/>
                <w:sz w:val="24"/>
              </w:rPr>
              <w:t>的要求，</w:t>
            </w:r>
            <w:r>
              <w:rPr>
                <w:sz w:val="24"/>
              </w:rPr>
              <w:t>同时满足《河南省重污染天气重点行业应急减排措施制定技术指南（2024年修订版）》中的通用行业涉VOCs企业绩效引领指标要求（30mg/m</w:t>
            </w:r>
            <w:r>
              <w:rPr>
                <w:sz w:val="24"/>
                <w:vertAlign w:val="superscript"/>
              </w:rPr>
              <w:t>3</w:t>
            </w:r>
            <w:r>
              <w:rPr>
                <w:sz w:val="24"/>
              </w:rPr>
              <w:t>）</w:t>
            </w:r>
            <w:r>
              <w:rPr>
                <w:bCs/>
                <w:sz w:val="24"/>
              </w:rPr>
              <w:t>。因此本项目挥发性有机废气污染防治措施可行。</w:t>
            </w:r>
          </w:p>
          <w:p w14:paraId="1E4844F1">
            <w:pPr>
              <w:adjustRightInd w:val="0"/>
              <w:snapToGrid w:val="0"/>
              <w:spacing w:line="360" w:lineRule="auto"/>
              <w:ind w:firstLine="480" w:firstLineChars="200"/>
              <w:rPr>
                <w:bCs/>
                <w:sz w:val="24"/>
              </w:rPr>
            </w:pPr>
            <w:r>
              <w:rPr>
                <w:bCs/>
                <w:sz w:val="24"/>
              </w:rPr>
              <w:t>综上所述，本项目切割废气和挥发性有机废气采用的防治措施属于《排污许可证申请与核发技术规范 废弃资源加工工业》（HJ1034-2019）中要求的可行技术，故以上废气采取的污染防治措施是可行的。</w:t>
            </w:r>
          </w:p>
          <w:p w14:paraId="5589974F">
            <w:pPr>
              <w:pStyle w:val="32"/>
              <w:numPr>
                <w:ilvl w:val="0"/>
                <w:numId w:val="15"/>
              </w:numPr>
              <w:adjustRightInd w:val="0"/>
              <w:snapToGrid w:val="0"/>
              <w:spacing w:line="360" w:lineRule="auto"/>
              <w:ind w:firstLineChars="0"/>
              <w:jc w:val="left"/>
              <w:rPr>
                <w:b/>
                <w:sz w:val="24"/>
              </w:rPr>
            </w:pPr>
            <w:r>
              <w:rPr>
                <w:b/>
                <w:sz w:val="24"/>
              </w:rPr>
              <w:t>非正常工况分析</w:t>
            </w:r>
          </w:p>
          <w:p w14:paraId="1A7E8FA9">
            <w:pPr>
              <w:adjustRightInd w:val="0"/>
              <w:snapToGrid w:val="0"/>
              <w:spacing w:line="360" w:lineRule="auto"/>
              <w:ind w:firstLine="480" w:firstLineChars="200"/>
              <w:rPr>
                <w:bCs/>
                <w:sz w:val="24"/>
              </w:rPr>
            </w:pPr>
            <w:r>
              <w:rPr>
                <w:bCs/>
                <w:sz w:val="24"/>
              </w:rPr>
              <w:t>废气非正常排放一般指生产过程中开停车、设备检修、工艺设备运转异常等非正常工况下的污染物排放，以及污染物排放控制措施达不到应有效率等情况下的排放。本项目废气非正常有组织排放取覆膜袋式除尘器处理装置发生故障未进行治理以及活性炭失效未及时更换直接排放，非正常工况污染物排放情况见下表。</w:t>
            </w:r>
          </w:p>
          <w:p w14:paraId="045A17B2">
            <w:pPr>
              <w:pStyle w:val="14"/>
              <w:spacing w:before="0" w:after="0" w:line="240" w:lineRule="auto"/>
              <w:ind w:right="0"/>
              <w:jc w:val="center"/>
              <w:rPr>
                <w:b/>
                <w:bCs/>
                <w:szCs w:val="24"/>
              </w:rPr>
            </w:pPr>
            <w:r>
              <w:rPr>
                <w:b/>
                <w:bCs/>
                <w:szCs w:val="24"/>
              </w:rPr>
              <w:t>表</w:t>
            </w:r>
            <w:r>
              <w:rPr>
                <w:rFonts w:hint="eastAsia"/>
                <w:b/>
                <w:bCs/>
                <w:szCs w:val="24"/>
              </w:rPr>
              <w:t>24</w:t>
            </w:r>
            <w:r>
              <w:rPr>
                <w:b/>
                <w:bCs/>
                <w:szCs w:val="24"/>
              </w:rPr>
              <w:t xml:space="preserve">   污染源非正常排放情况一览表</w:t>
            </w:r>
          </w:p>
          <w:tbl>
            <w:tblPr>
              <w:tblStyle w:val="24"/>
              <w:tblW w:w="8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842"/>
              <w:gridCol w:w="1827"/>
              <w:gridCol w:w="924"/>
              <w:gridCol w:w="927"/>
              <w:gridCol w:w="900"/>
              <w:gridCol w:w="903"/>
              <w:gridCol w:w="562"/>
              <w:gridCol w:w="841"/>
            </w:tblGrid>
            <w:tr w14:paraId="556C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 w:hRule="atLeast"/>
              </w:trPr>
              <w:tc>
                <w:tcPr>
                  <w:tcW w:w="969" w:type="dxa"/>
                  <w:vMerge w:val="restart"/>
                  <w:vAlign w:val="center"/>
                </w:tcPr>
                <w:p w14:paraId="0F4BBE37">
                  <w:pPr>
                    <w:jc w:val="center"/>
                  </w:pPr>
                  <w:r>
                    <w:t>排放源</w:t>
                  </w:r>
                </w:p>
              </w:tc>
              <w:tc>
                <w:tcPr>
                  <w:tcW w:w="842" w:type="dxa"/>
                  <w:vMerge w:val="restart"/>
                  <w:vAlign w:val="center"/>
                </w:tcPr>
                <w:p w14:paraId="67CD0072">
                  <w:pPr>
                    <w:jc w:val="center"/>
                  </w:pPr>
                  <w:r>
                    <w:t>污染物</w:t>
                  </w:r>
                </w:p>
              </w:tc>
              <w:tc>
                <w:tcPr>
                  <w:tcW w:w="1827" w:type="dxa"/>
                  <w:vMerge w:val="restart"/>
                  <w:vAlign w:val="center"/>
                </w:tcPr>
                <w:p w14:paraId="3E9705A8">
                  <w:pPr>
                    <w:jc w:val="center"/>
                  </w:pPr>
                  <w:r>
                    <w:t>非正常情况</w:t>
                  </w:r>
                </w:p>
              </w:tc>
              <w:tc>
                <w:tcPr>
                  <w:tcW w:w="924" w:type="dxa"/>
                  <w:vMerge w:val="restart"/>
                  <w:vAlign w:val="center"/>
                </w:tcPr>
                <w:p w14:paraId="42C0DB9E">
                  <w:pPr>
                    <w:jc w:val="center"/>
                  </w:pPr>
                  <w:r>
                    <w:t>处理效率</w:t>
                  </w:r>
                </w:p>
              </w:tc>
              <w:tc>
                <w:tcPr>
                  <w:tcW w:w="2730" w:type="dxa"/>
                  <w:gridSpan w:val="3"/>
                  <w:vAlign w:val="center"/>
                </w:tcPr>
                <w:p w14:paraId="7BB61137">
                  <w:pPr>
                    <w:jc w:val="center"/>
                  </w:pPr>
                  <w:r>
                    <w:t>非正常排放情况</w:t>
                  </w:r>
                </w:p>
              </w:tc>
              <w:tc>
                <w:tcPr>
                  <w:tcW w:w="562" w:type="dxa"/>
                  <w:vMerge w:val="restart"/>
                  <w:vAlign w:val="center"/>
                </w:tcPr>
                <w:p w14:paraId="12BF5C80">
                  <w:pPr>
                    <w:jc w:val="center"/>
                  </w:pPr>
                  <w:r>
                    <w:t>持续时间</w:t>
                  </w:r>
                </w:p>
              </w:tc>
              <w:tc>
                <w:tcPr>
                  <w:tcW w:w="841" w:type="dxa"/>
                  <w:vMerge w:val="restart"/>
                  <w:vAlign w:val="center"/>
                </w:tcPr>
                <w:p w14:paraId="524C552B">
                  <w:pPr>
                    <w:jc w:val="center"/>
                  </w:pPr>
                  <w:r>
                    <w:t>年发生频次</w:t>
                  </w:r>
                </w:p>
              </w:tc>
            </w:tr>
            <w:tr w14:paraId="7056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 w:hRule="atLeast"/>
              </w:trPr>
              <w:tc>
                <w:tcPr>
                  <w:tcW w:w="969" w:type="dxa"/>
                  <w:vMerge w:val="continue"/>
                  <w:vAlign w:val="center"/>
                </w:tcPr>
                <w:p w14:paraId="333D0DAB">
                  <w:pPr>
                    <w:jc w:val="center"/>
                  </w:pPr>
                </w:p>
              </w:tc>
              <w:tc>
                <w:tcPr>
                  <w:tcW w:w="842" w:type="dxa"/>
                  <w:vMerge w:val="continue"/>
                  <w:vAlign w:val="center"/>
                </w:tcPr>
                <w:p w14:paraId="484224F3">
                  <w:pPr>
                    <w:jc w:val="center"/>
                  </w:pPr>
                </w:p>
              </w:tc>
              <w:tc>
                <w:tcPr>
                  <w:tcW w:w="1827" w:type="dxa"/>
                  <w:vMerge w:val="continue"/>
                  <w:vAlign w:val="center"/>
                </w:tcPr>
                <w:p w14:paraId="2C905139">
                  <w:pPr>
                    <w:jc w:val="center"/>
                  </w:pPr>
                </w:p>
              </w:tc>
              <w:tc>
                <w:tcPr>
                  <w:tcW w:w="924" w:type="dxa"/>
                  <w:vMerge w:val="continue"/>
                  <w:vAlign w:val="center"/>
                </w:tcPr>
                <w:p w14:paraId="3788D478">
                  <w:pPr>
                    <w:jc w:val="center"/>
                  </w:pPr>
                </w:p>
              </w:tc>
              <w:tc>
                <w:tcPr>
                  <w:tcW w:w="927" w:type="dxa"/>
                  <w:vAlign w:val="center"/>
                </w:tcPr>
                <w:p w14:paraId="174BD47E">
                  <w:pPr>
                    <w:jc w:val="center"/>
                  </w:pPr>
                  <w:r>
                    <w:t>排放浓度mg/m</w:t>
                  </w:r>
                  <w:r>
                    <w:rPr>
                      <w:vertAlign w:val="superscript"/>
                    </w:rPr>
                    <w:t>3</w:t>
                  </w:r>
                </w:p>
              </w:tc>
              <w:tc>
                <w:tcPr>
                  <w:tcW w:w="900" w:type="dxa"/>
                  <w:vAlign w:val="center"/>
                </w:tcPr>
                <w:p w14:paraId="53239188">
                  <w:pPr>
                    <w:jc w:val="center"/>
                  </w:pPr>
                  <w:r>
                    <w:t>排放速率kg/h</w:t>
                  </w:r>
                </w:p>
              </w:tc>
              <w:tc>
                <w:tcPr>
                  <w:tcW w:w="903" w:type="dxa"/>
                  <w:vAlign w:val="center"/>
                </w:tcPr>
                <w:p w14:paraId="1692EB3F">
                  <w:pPr>
                    <w:jc w:val="center"/>
                  </w:pPr>
                  <w:r>
                    <w:t>排放量kg</w:t>
                  </w:r>
                </w:p>
              </w:tc>
              <w:tc>
                <w:tcPr>
                  <w:tcW w:w="562" w:type="dxa"/>
                  <w:vMerge w:val="continue"/>
                  <w:vAlign w:val="center"/>
                </w:tcPr>
                <w:p w14:paraId="1D578563">
                  <w:pPr>
                    <w:jc w:val="center"/>
                  </w:pPr>
                </w:p>
              </w:tc>
              <w:tc>
                <w:tcPr>
                  <w:tcW w:w="841" w:type="dxa"/>
                  <w:vMerge w:val="continue"/>
                  <w:vAlign w:val="center"/>
                </w:tcPr>
                <w:p w14:paraId="41A4F4F7">
                  <w:pPr>
                    <w:jc w:val="center"/>
                  </w:pPr>
                </w:p>
              </w:tc>
            </w:tr>
            <w:tr w14:paraId="562F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 w:hRule="atLeast"/>
              </w:trPr>
              <w:tc>
                <w:tcPr>
                  <w:tcW w:w="969" w:type="dxa"/>
                  <w:vAlign w:val="center"/>
                </w:tcPr>
                <w:p w14:paraId="4236E9E4">
                  <w:pPr>
                    <w:jc w:val="center"/>
                  </w:pPr>
                  <w:r>
                    <w:rPr>
                      <w:szCs w:val="21"/>
                    </w:rPr>
                    <w:t>电动抽油机</w:t>
                  </w:r>
                </w:p>
              </w:tc>
              <w:tc>
                <w:tcPr>
                  <w:tcW w:w="842" w:type="dxa"/>
                  <w:vAlign w:val="center"/>
                </w:tcPr>
                <w:p w14:paraId="4FB7AFA9">
                  <w:pPr>
                    <w:jc w:val="center"/>
                  </w:pPr>
                  <w:r>
                    <w:rPr>
                      <w:szCs w:val="21"/>
                    </w:rPr>
                    <w:t>非甲烷总烃</w:t>
                  </w:r>
                </w:p>
              </w:tc>
              <w:tc>
                <w:tcPr>
                  <w:tcW w:w="1827" w:type="dxa"/>
                  <w:vAlign w:val="center"/>
                </w:tcPr>
                <w:p w14:paraId="54DACC72">
                  <w:pPr>
                    <w:jc w:val="center"/>
                  </w:pPr>
                  <w:r>
                    <w:rPr>
                      <w:szCs w:val="21"/>
                    </w:rPr>
                    <w:t>未及时更换活性炭造成处理效率下降</w:t>
                  </w:r>
                </w:p>
              </w:tc>
              <w:tc>
                <w:tcPr>
                  <w:tcW w:w="924" w:type="dxa"/>
                  <w:vAlign w:val="center"/>
                </w:tcPr>
                <w:p w14:paraId="68E21A63">
                  <w:pPr>
                    <w:jc w:val="center"/>
                  </w:pPr>
                  <w:r>
                    <w:rPr>
                      <w:szCs w:val="21"/>
                    </w:rPr>
                    <w:t>0</w:t>
                  </w:r>
                </w:p>
              </w:tc>
              <w:tc>
                <w:tcPr>
                  <w:tcW w:w="927" w:type="dxa"/>
                  <w:vAlign w:val="center"/>
                </w:tcPr>
                <w:p w14:paraId="451B3429">
                  <w:pPr>
                    <w:jc w:val="center"/>
                  </w:pPr>
                  <w:r>
                    <w:t>8.5</w:t>
                  </w:r>
                </w:p>
              </w:tc>
              <w:tc>
                <w:tcPr>
                  <w:tcW w:w="900" w:type="dxa"/>
                  <w:shd w:val="clear" w:color="auto" w:fill="auto"/>
                  <w:vAlign w:val="center"/>
                </w:tcPr>
                <w:p w14:paraId="3FACEDD3">
                  <w:pPr>
                    <w:jc w:val="center"/>
                  </w:pPr>
                  <w:r>
                    <w:t>0.017</w:t>
                  </w:r>
                </w:p>
              </w:tc>
              <w:tc>
                <w:tcPr>
                  <w:tcW w:w="903" w:type="dxa"/>
                  <w:vAlign w:val="center"/>
                </w:tcPr>
                <w:p w14:paraId="682C84D4">
                  <w:pPr>
                    <w:jc w:val="center"/>
                  </w:pPr>
                  <w:r>
                    <w:t>0.0085</w:t>
                  </w:r>
                </w:p>
              </w:tc>
              <w:tc>
                <w:tcPr>
                  <w:tcW w:w="562" w:type="dxa"/>
                  <w:vAlign w:val="center"/>
                </w:tcPr>
                <w:p w14:paraId="0EF0964E">
                  <w:pPr>
                    <w:jc w:val="center"/>
                  </w:pPr>
                  <w:r>
                    <w:rPr>
                      <w:sz w:val="20"/>
                      <w:szCs w:val="22"/>
                    </w:rPr>
                    <w:t>≤0.5h</w:t>
                  </w:r>
                </w:p>
              </w:tc>
              <w:tc>
                <w:tcPr>
                  <w:tcW w:w="841" w:type="dxa"/>
                  <w:vAlign w:val="center"/>
                </w:tcPr>
                <w:p w14:paraId="3EC2E748">
                  <w:pPr>
                    <w:jc w:val="center"/>
                  </w:pPr>
                  <w:r>
                    <w:t>≤1次</w:t>
                  </w:r>
                </w:p>
              </w:tc>
            </w:tr>
            <w:tr w14:paraId="0329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 w:hRule="atLeast"/>
              </w:trPr>
              <w:tc>
                <w:tcPr>
                  <w:tcW w:w="969" w:type="dxa"/>
                  <w:vAlign w:val="center"/>
                </w:tcPr>
                <w:p w14:paraId="79D29B34">
                  <w:pPr>
                    <w:jc w:val="center"/>
                  </w:pPr>
                  <w:r>
                    <w:rPr>
                      <w:szCs w:val="21"/>
                    </w:rPr>
                    <w:t>切割机</w:t>
                  </w:r>
                </w:p>
              </w:tc>
              <w:tc>
                <w:tcPr>
                  <w:tcW w:w="842" w:type="dxa"/>
                  <w:vAlign w:val="center"/>
                </w:tcPr>
                <w:p w14:paraId="1F990378">
                  <w:pPr>
                    <w:jc w:val="center"/>
                  </w:pPr>
                  <w:r>
                    <w:rPr>
                      <w:szCs w:val="21"/>
                    </w:rPr>
                    <w:t>颗粒物</w:t>
                  </w:r>
                </w:p>
              </w:tc>
              <w:tc>
                <w:tcPr>
                  <w:tcW w:w="1827" w:type="dxa"/>
                  <w:vAlign w:val="center"/>
                </w:tcPr>
                <w:p w14:paraId="4C26C386">
                  <w:pPr>
                    <w:jc w:val="center"/>
                  </w:pPr>
                  <w:r>
                    <w:rPr>
                      <w:szCs w:val="21"/>
                    </w:rPr>
                    <w:t>未及时更换布袋，处理效率下降</w:t>
                  </w:r>
                </w:p>
              </w:tc>
              <w:tc>
                <w:tcPr>
                  <w:tcW w:w="924" w:type="dxa"/>
                  <w:vAlign w:val="center"/>
                </w:tcPr>
                <w:p w14:paraId="0627B69D">
                  <w:pPr>
                    <w:jc w:val="center"/>
                  </w:pPr>
                  <w:r>
                    <w:rPr>
                      <w:szCs w:val="21"/>
                    </w:rPr>
                    <w:t>0</w:t>
                  </w:r>
                </w:p>
              </w:tc>
              <w:tc>
                <w:tcPr>
                  <w:tcW w:w="927" w:type="dxa"/>
                  <w:vAlign w:val="center"/>
                </w:tcPr>
                <w:p w14:paraId="3C954ABA">
                  <w:pPr>
                    <w:jc w:val="center"/>
                  </w:pPr>
                  <w:r>
                    <w:t>93.5</w:t>
                  </w:r>
                </w:p>
              </w:tc>
              <w:tc>
                <w:tcPr>
                  <w:tcW w:w="900" w:type="dxa"/>
                  <w:shd w:val="clear" w:color="auto" w:fill="auto"/>
                  <w:vAlign w:val="center"/>
                </w:tcPr>
                <w:p w14:paraId="4660830F">
                  <w:pPr>
                    <w:jc w:val="center"/>
                  </w:pPr>
                  <w:r>
                    <w:t>0.187</w:t>
                  </w:r>
                </w:p>
              </w:tc>
              <w:tc>
                <w:tcPr>
                  <w:tcW w:w="903" w:type="dxa"/>
                  <w:vAlign w:val="center"/>
                </w:tcPr>
                <w:p w14:paraId="7F90A6D8">
                  <w:pPr>
                    <w:jc w:val="center"/>
                  </w:pPr>
                  <w:r>
                    <w:t>0.0935</w:t>
                  </w:r>
                </w:p>
              </w:tc>
              <w:tc>
                <w:tcPr>
                  <w:tcW w:w="562" w:type="dxa"/>
                  <w:vAlign w:val="center"/>
                </w:tcPr>
                <w:p w14:paraId="6B5DA8D9">
                  <w:pPr>
                    <w:jc w:val="center"/>
                  </w:pPr>
                  <w:r>
                    <w:rPr>
                      <w:sz w:val="20"/>
                      <w:szCs w:val="22"/>
                    </w:rPr>
                    <w:t>≤0.5h</w:t>
                  </w:r>
                </w:p>
              </w:tc>
              <w:tc>
                <w:tcPr>
                  <w:tcW w:w="841" w:type="dxa"/>
                  <w:vAlign w:val="center"/>
                </w:tcPr>
                <w:p w14:paraId="03237AC2">
                  <w:pPr>
                    <w:jc w:val="center"/>
                  </w:pPr>
                  <w:r>
                    <w:t>≤1次</w:t>
                  </w:r>
                </w:p>
              </w:tc>
            </w:tr>
          </w:tbl>
          <w:p w14:paraId="577AE07E">
            <w:pPr>
              <w:spacing w:line="360" w:lineRule="auto"/>
              <w:ind w:firstLine="480" w:firstLineChars="200"/>
              <w:rPr>
                <w:sz w:val="24"/>
                <w:szCs w:val="22"/>
              </w:rPr>
            </w:pPr>
            <w:r>
              <w:rPr>
                <w:rFonts w:hint="eastAsia"/>
                <w:sz w:val="24"/>
                <w:szCs w:val="22"/>
              </w:rPr>
              <w:t>由上表可见，非正常工况下污染物排放量增加，颗粒物及非甲烷总烃会出现超标排放，会对周边环境造成一定影响，但非正常工况持续时间较短，不会对周围环境产生较大影响。为确保项目废气处理装置正常运行，建设单位在日常运行过程中，拟采取如下措施：</w:t>
            </w:r>
          </w:p>
          <w:p w14:paraId="20031431">
            <w:pPr>
              <w:spacing w:line="360" w:lineRule="auto"/>
              <w:ind w:firstLine="480" w:firstLineChars="200"/>
              <w:rPr>
                <w:sz w:val="24"/>
                <w:szCs w:val="22"/>
              </w:rPr>
            </w:pPr>
            <w:r>
              <w:rPr>
                <w:rFonts w:hint="eastAsia"/>
                <w:sz w:val="24"/>
                <w:szCs w:val="22"/>
              </w:rPr>
              <w:t>①由公司委派专人负责每日巡检废气处理装置，做好巡检记录。</w:t>
            </w:r>
          </w:p>
          <w:p w14:paraId="312A6681">
            <w:pPr>
              <w:spacing w:line="360" w:lineRule="auto"/>
              <w:ind w:firstLine="480" w:firstLineChars="200"/>
              <w:rPr>
                <w:sz w:val="24"/>
                <w:szCs w:val="22"/>
              </w:rPr>
            </w:pPr>
            <w:r>
              <w:rPr>
                <w:rFonts w:hint="eastAsia"/>
                <w:sz w:val="24"/>
                <w:szCs w:val="22"/>
              </w:rPr>
              <w:t>②当发现废气处理设施故障并导致废气非正常排放时，应立即停止生产，待废气处理装置故障排除后并可正常运行时方可恢复生产等。</w:t>
            </w:r>
          </w:p>
          <w:p w14:paraId="42AB4060">
            <w:pPr>
              <w:spacing w:line="360" w:lineRule="auto"/>
              <w:ind w:firstLine="480" w:firstLineChars="200"/>
              <w:rPr>
                <w:sz w:val="24"/>
                <w:szCs w:val="22"/>
              </w:rPr>
            </w:pPr>
            <w:r>
              <w:rPr>
                <w:rFonts w:hint="eastAsia"/>
                <w:sz w:val="24"/>
                <w:szCs w:val="22"/>
              </w:rPr>
              <w:t>③按照环评要求定期对废气处理装置进行维护保养，保证废气处理装置的正常运行，以减少废气的非正常排放。</w:t>
            </w:r>
          </w:p>
          <w:p w14:paraId="3ED170BA">
            <w:pPr>
              <w:spacing w:line="360" w:lineRule="auto"/>
              <w:ind w:firstLine="480" w:firstLineChars="200"/>
              <w:rPr>
                <w:sz w:val="24"/>
              </w:rPr>
            </w:pPr>
            <w:r>
              <w:rPr>
                <w:rFonts w:hint="eastAsia"/>
                <w:sz w:val="24"/>
                <w:szCs w:val="22"/>
              </w:rPr>
              <w:t>在建设单位措施落实到位的情况下，可以最大程度上避免非正常工况下废气排放对周围环境产生不利影响。</w:t>
            </w:r>
          </w:p>
          <w:p w14:paraId="03DE5ED9">
            <w:pPr>
              <w:pStyle w:val="32"/>
              <w:numPr>
                <w:ilvl w:val="0"/>
                <w:numId w:val="15"/>
              </w:numPr>
              <w:adjustRightInd w:val="0"/>
              <w:snapToGrid w:val="0"/>
              <w:spacing w:line="360" w:lineRule="auto"/>
              <w:ind w:firstLineChars="0"/>
              <w:jc w:val="left"/>
              <w:rPr>
                <w:b/>
                <w:sz w:val="24"/>
              </w:rPr>
            </w:pPr>
            <w:r>
              <w:rPr>
                <w:b/>
                <w:sz w:val="24"/>
              </w:rPr>
              <w:t>排放口基本情况及监测要求</w:t>
            </w:r>
          </w:p>
          <w:p w14:paraId="04E9650E">
            <w:pPr>
              <w:adjustRightInd w:val="0"/>
              <w:snapToGrid w:val="0"/>
              <w:spacing w:line="360" w:lineRule="auto"/>
              <w:ind w:firstLine="480" w:firstLineChars="200"/>
              <w:jc w:val="left"/>
              <w:rPr>
                <w:bCs/>
                <w:sz w:val="24"/>
              </w:rPr>
            </w:pPr>
            <w:r>
              <w:rPr>
                <w:bCs/>
                <w:sz w:val="24"/>
              </w:rPr>
              <w:t>项目废气排放口基本情况见下表。</w:t>
            </w:r>
          </w:p>
          <w:p w14:paraId="08D682BC">
            <w:pPr>
              <w:jc w:val="center"/>
              <w:rPr>
                <w:b/>
                <w:sz w:val="24"/>
              </w:rPr>
            </w:pPr>
            <w:r>
              <w:rPr>
                <w:b/>
                <w:sz w:val="24"/>
              </w:rPr>
              <w:t>表</w:t>
            </w:r>
            <w:r>
              <w:rPr>
                <w:rFonts w:hint="eastAsia"/>
                <w:b/>
                <w:sz w:val="24"/>
              </w:rPr>
              <w:t>25</w:t>
            </w:r>
            <w:r>
              <w:rPr>
                <w:b/>
                <w:sz w:val="24"/>
              </w:rPr>
              <w:t xml:space="preserve">   项目废气排放口基本情况一览表</w:t>
            </w:r>
          </w:p>
          <w:tbl>
            <w:tblPr>
              <w:tblStyle w:val="23"/>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48"/>
              <w:gridCol w:w="840"/>
              <w:gridCol w:w="1504"/>
              <w:gridCol w:w="730"/>
              <w:gridCol w:w="1256"/>
              <w:gridCol w:w="1257"/>
              <w:gridCol w:w="976"/>
              <w:gridCol w:w="836"/>
              <w:gridCol w:w="824"/>
            </w:tblGrid>
            <w:tr w14:paraId="1F00E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8" w:type="pct"/>
                  <w:vMerge w:val="restart"/>
                  <w:tcBorders>
                    <w:top w:val="single" w:color="auto" w:sz="6" w:space="0"/>
                    <w:left w:val="single" w:color="auto" w:sz="6" w:space="0"/>
                    <w:bottom w:val="single" w:color="auto" w:sz="6" w:space="0"/>
                    <w:right w:val="single" w:color="auto" w:sz="6" w:space="0"/>
                  </w:tcBorders>
                  <w:vAlign w:val="center"/>
                </w:tcPr>
                <w:p w14:paraId="28622610">
                  <w:pPr>
                    <w:jc w:val="center"/>
                    <w:textAlignment w:val="baseline"/>
                    <w:rPr>
                      <w:bCs/>
                      <w:szCs w:val="21"/>
                    </w:rPr>
                  </w:pPr>
                  <w:r>
                    <w:rPr>
                      <w:szCs w:val="21"/>
                    </w:rPr>
                    <w:t>序号</w:t>
                  </w:r>
                </w:p>
              </w:tc>
              <w:tc>
                <w:tcPr>
                  <w:tcW w:w="484" w:type="pct"/>
                  <w:vMerge w:val="restart"/>
                  <w:tcBorders>
                    <w:top w:val="single" w:color="auto" w:sz="6" w:space="0"/>
                    <w:left w:val="single" w:color="auto" w:sz="6" w:space="0"/>
                    <w:bottom w:val="single" w:color="auto" w:sz="6" w:space="0"/>
                    <w:right w:val="single" w:color="auto" w:sz="6" w:space="0"/>
                  </w:tcBorders>
                  <w:vAlign w:val="center"/>
                </w:tcPr>
                <w:p w14:paraId="585AFD64">
                  <w:pPr>
                    <w:jc w:val="center"/>
                    <w:textAlignment w:val="baseline"/>
                    <w:rPr>
                      <w:bCs/>
                      <w:szCs w:val="21"/>
                    </w:rPr>
                  </w:pPr>
                  <w:r>
                    <w:rPr>
                      <w:szCs w:val="21"/>
                    </w:rPr>
                    <w:t>排放口</w:t>
                  </w:r>
                </w:p>
                <w:p w14:paraId="35B7CD68">
                  <w:pPr>
                    <w:jc w:val="center"/>
                    <w:textAlignment w:val="baseline"/>
                    <w:rPr>
                      <w:bCs/>
                      <w:szCs w:val="21"/>
                    </w:rPr>
                  </w:pPr>
                  <w:r>
                    <w:rPr>
                      <w:szCs w:val="21"/>
                    </w:rPr>
                    <w:t>编号</w:t>
                  </w:r>
                </w:p>
              </w:tc>
              <w:tc>
                <w:tcPr>
                  <w:tcW w:w="867" w:type="pct"/>
                  <w:vMerge w:val="restart"/>
                  <w:tcBorders>
                    <w:top w:val="single" w:color="auto" w:sz="6" w:space="0"/>
                    <w:left w:val="single" w:color="auto" w:sz="6" w:space="0"/>
                    <w:bottom w:val="single" w:color="auto" w:sz="6" w:space="0"/>
                    <w:right w:val="single" w:color="auto" w:sz="6" w:space="0"/>
                  </w:tcBorders>
                  <w:vAlign w:val="center"/>
                </w:tcPr>
                <w:p w14:paraId="674FCDB8">
                  <w:pPr>
                    <w:jc w:val="center"/>
                    <w:textAlignment w:val="baseline"/>
                    <w:rPr>
                      <w:bCs/>
                      <w:szCs w:val="21"/>
                    </w:rPr>
                  </w:pPr>
                  <w:r>
                    <w:rPr>
                      <w:szCs w:val="21"/>
                    </w:rPr>
                    <w:t>排放口名称</w:t>
                  </w:r>
                </w:p>
              </w:tc>
              <w:tc>
                <w:tcPr>
                  <w:tcW w:w="421" w:type="pct"/>
                  <w:vMerge w:val="restart"/>
                  <w:tcBorders>
                    <w:top w:val="single" w:color="auto" w:sz="6" w:space="0"/>
                    <w:left w:val="single" w:color="auto" w:sz="6" w:space="0"/>
                    <w:bottom w:val="single" w:color="auto" w:sz="6" w:space="0"/>
                    <w:right w:val="single" w:color="auto" w:sz="6" w:space="0"/>
                  </w:tcBorders>
                  <w:vAlign w:val="center"/>
                </w:tcPr>
                <w:p w14:paraId="7B93FBDC">
                  <w:pPr>
                    <w:jc w:val="center"/>
                    <w:textAlignment w:val="baseline"/>
                    <w:rPr>
                      <w:bCs/>
                      <w:szCs w:val="21"/>
                    </w:rPr>
                  </w:pPr>
                  <w:r>
                    <w:rPr>
                      <w:szCs w:val="21"/>
                    </w:rPr>
                    <w:t>污染物</w:t>
                  </w:r>
                </w:p>
              </w:tc>
              <w:tc>
                <w:tcPr>
                  <w:tcW w:w="1449" w:type="pct"/>
                  <w:gridSpan w:val="2"/>
                  <w:tcBorders>
                    <w:top w:val="single" w:color="auto" w:sz="6" w:space="0"/>
                    <w:left w:val="single" w:color="auto" w:sz="6" w:space="0"/>
                    <w:bottom w:val="single" w:color="auto" w:sz="6" w:space="0"/>
                    <w:right w:val="single" w:color="auto" w:sz="6" w:space="0"/>
                  </w:tcBorders>
                  <w:vAlign w:val="center"/>
                </w:tcPr>
                <w:p w14:paraId="773215F6">
                  <w:pPr>
                    <w:jc w:val="center"/>
                    <w:textAlignment w:val="baseline"/>
                    <w:rPr>
                      <w:bCs/>
                      <w:szCs w:val="21"/>
                    </w:rPr>
                  </w:pPr>
                  <w:r>
                    <w:rPr>
                      <w:szCs w:val="21"/>
                    </w:rPr>
                    <w:t>排放口地理坐标</w:t>
                  </w:r>
                </w:p>
              </w:tc>
              <w:tc>
                <w:tcPr>
                  <w:tcW w:w="1520" w:type="pct"/>
                  <w:gridSpan w:val="3"/>
                  <w:tcBorders>
                    <w:top w:val="single" w:color="auto" w:sz="6" w:space="0"/>
                    <w:left w:val="single" w:color="auto" w:sz="6" w:space="0"/>
                    <w:bottom w:val="single" w:color="auto" w:sz="6" w:space="0"/>
                    <w:right w:val="single" w:color="auto" w:sz="6" w:space="0"/>
                  </w:tcBorders>
                  <w:vAlign w:val="center"/>
                </w:tcPr>
                <w:p w14:paraId="57818610">
                  <w:pPr>
                    <w:jc w:val="center"/>
                    <w:textAlignment w:val="baseline"/>
                    <w:rPr>
                      <w:szCs w:val="21"/>
                    </w:rPr>
                  </w:pPr>
                  <w:r>
                    <w:rPr>
                      <w:bCs/>
                      <w:szCs w:val="21"/>
                    </w:rPr>
                    <w:t>排放口基本情况</w:t>
                  </w:r>
                </w:p>
              </w:tc>
            </w:tr>
            <w:tr w14:paraId="0E92B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8" w:type="pct"/>
                  <w:vMerge w:val="continue"/>
                  <w:tcBorders>
                    <w:top w:val="single" w:color="auto" w:sz="6" w:space="0"/>
                    <w:left w:val="single" w:color="auto" w:sz="6" w:space="0"/>
                    <w:bottom w:val="single" w:color="auto" w:sz="6" w:space="0"/>
                    <w:right w:val="single" w:color="auto" w:sz="6" w:space="0"/>
                  </w:tcBorders>
                  <w:vAlign w:val="center"/>
                </w:tcPr>
                <w:p w14:paraId="0164F473">
                  <w:pPr>
                    <w:widowControl/>
                    <w:jc w:val="center"/>
                    <w:rPr>
                      <w:bCs/>
                      <w:szCs w:val="21"/>
                    </w:rPr>
                  </w:pPr>
                </w:p>
              </w:tc>
              <w:tc>
                <w:tcPr>
                  <w:tcW w:w="484" w:type="pct"/>
                  <w:vMerge w:val="continue"/>
                  <w:tcBorders>
                    <w:top w:val="single" w:color="auto" w:sz="6" w:space="0"/>
                    <w:left w:val="single" w:color="auto" w:sz="6" w:space="0"/>
                    <w:bottom w:val="single" w:color="auto" w:sz="6" w:space="0"/>
                    <w:right w:val="single" w:color="auto" w:sz="6" w:space="0"/>
                  </w:tcBorders>
                  <w:vAlign w:val="center"/>
                </w:tcPr>
                <w:p w14:paraId="1902829F">
                  <w:pPr>
                    <w:widowControl/>
                    <w:jc w:val="center"/>
                    <w:rPr>
                      <w:bCs/>
                      <w:szCs w:val="21"/>
                    </w:rPr>
                  </w:pPr>
                </w:p>
              </w:tc>
              <w:tc>
                <w:tcPr>
                  <w:tcW w:w="867" w:type="pct"/>
                  <w:vMerge w:val="continue"/>
                  <w:tcBorders>
                    <w:top w:val="single" w:color="auto" w:sz="6" w:space="0"/>
                    <w:left w:val="single" w:color="auto" w:sz="6" w:space="0"/>
                    <w:bottom w:val="single" w:color="auto" w:sz="6" w:space="0"/>
                    <w:right w:val="single" w:color="auto" w:sz="6" w:space="0"/>
                  </w:tcBorders>
                  <w:vAlign w:val="center"/>
                </w:tcPr>
                <w:p w14:paraId="1059D300">
                  <w:pPr>
                    <w:widowControl/>
                    <w:jc w:val="center"/>
                    <w:rPr>
                      <w:bCs/>
                      <w:szCs w:val="21"/>
                    </w:rPr>
                  </w:pPr>
                </w:p>
              </w:tc>
              <w:tc>
                <w:tcPr>
                  <w:tcW w:w="421" w:type="pct"/>
                  <w:vMerge w:val="continue"/>
                  <w:tcBorders>
                    <w:top w:val="single" w:color="auto" w:sz="6" w:space="0"/>
                    <w:left w:val="single" w:color="auto" w:sz="6" w:space="0"/>
                    <w:bottom w:val="single" w:color="auto" w:sz="6" w:space="0"/>
                    <w:right w:val="single" w:color="auto" w:sz="6" w:space="0"/>
                  </w:tcBorders>
                  <w:vAlign w:val="center"/>
                </w:tcPr>
                <w:p w14:paraId="61005FAE">
                  <w:pPr>
                    <w:widowControl/>
                    <w:jc w:val="center"/>
                    <w:rPr>
                      <w:bCs/>
                      <w:szCs w:val="21"/>
                    </w:rPr>
                  </w:pPr>
                </w:p>
              </w:tc>
              <w:tc>
                <w:tcPr>
                  <w:tcW w:w="724" w:type="pct"/>
                  <w:tcBorders>
                    <w:top w:val="single" w:color="auto" w:sz="6" w:space="0"/>
                    <w:left w:val="single" w:color="auto" w:sz="6" w:space="0"/>
                    <w:bottom w:val="single" w:color="auto" w:sz="6" w:space="0"/>
                    <w:right w:val="single" w:color="auto" w:sz="6" w:space="0"/>
                  </w:tcBorders>
                  <w:vAlign w:val="center"/>
                </w:tcPr>
                <w:p w14:paraId="66639301">
                  <w:pPr>
                    <w:jc w:val="center"/>
                    <w:textAlignment w:val="baseline"/>
                    <w:rPr>
                      <w:bCs/>
                      <w:szCs w:val="21"/>
                    </w:rPr>
                  </w:pPr>
                  <w:r>
                    <w:rPr>
                      <w:szCs w:val="21"/>
                    </w:rPr>
                    <w:t>经度</w:t>
                  </w:r>
                </w:p>
              </w:tc>
              <w:tc>
                <w:tcPr>
                  <w:tcW w:w="725" w:type="pct"/>
                  <w:tcBorders>
                    <w:top w:val="single" w:color="auto" w:sz="6" w:space="0"/>
                    <w:left w:val="single" w:color="auto" w:sz="6" w:space="0"/>
                    <w:bottom w:val="single" w:color="auto" w:sz="6" w:space="0"/>
                    <w:right w:val="single" w:color="auto" w:sz="6" w:space="0"/>
                  </w:tcBorders>
                  <w:vAlign w:val="center"/>
                </w:tcPr>
                <w:p w14:paraId="150B6808">
                  <w:pPr>
                    <w:jc w:val="center"/>
                    <w:textAlignment w:val="baseline"/>
                    <w:rPr>
                      <w:bCs/>
                      <w:kern w:val="0"/>
                    </w:rPr>
                  </w:pPr>
                  <w:r>
                    <w:rPr>
                      <w:szCs w:val="21"/>
                    </w:rPr>
                    <w:t>纬度</w:t>
                  </w:r>
                </w:p>
              </w:tc>
              <w:tc>
                <w:tcPr>
                  <w:tcW w:w="563" w:type="pct"/>
                  <w:tcBorders>
                    <w:top w:val="single" w:color="auto" w:sz="6" w:space="0"/>
                    <w:left w:val="single" w:color="auto" w:sz="6" w:space="0"/>
                    <w:bottom w:val="single" w:color="auto" w:sz="6" w:space="0"/>
                    <w:right w:val="single" w:color="auto" w:sz="6" w:space="0"/>
                  </w:tcBorders>
                  <w:vAlign w:val="center"/>
                </w:tcPr>
                <w:p w14:paraId="71A2A623">
                  <w:pPr>
                    <w:jc w:val="center"/>
                    <w:textAlignment w:val="baseline"/>
                    <w:rPr>
                      <w:bCs/>
                      <w:szCs w:val="21"/>
                    </w:rPr>
                  </w:pPr>
                  <w:r>
                    <w:rPr>
                      <w:szCs w:val="21"/>
                    </w:rPr>
                    <w:t>排气筒高度（m）</w:t>
                  </w:r>
                </w:p>
              </w:tc>
              <w:tc>
                <w:tcPr>
                  <w:tcW w:w="482" w:type="pct"/>
                  <w:tcBorders>
                    <w:left w:val="single" w:color="auto" w:sz="6" w:space="0"/>
                    <w:bottom w:val="single" w:color="auto" w:sz="6" w:space="0"/>
                    <w:right w:val="single" w:color="auto" w:sz="6" w:space="0"/>
                  </w:tcBorders>
                  <w:vAlign w:val="center"/>
                </w:tcPr>
                <w:p w14:paraId="07CC8581">
                  <w:pPr>
                    <w:jc w:val="center"/>
                    <w:textAlignment w:val="baseline"/>
                    <w:rPr>
                      <w:szCs w:val="21"/>
                    </w:rPr>
                  </w:pPr>
                  <w:r>
                    <w:rPr>
                      <w:szCs w:val="21"/>
                    </w:rPr>
                    <w:t>排气筒内径（m）</w:t>
                  </w:r>
                </w:p>
              </w:tc>
              <w:tc>
                <w:tcPr>
                  <w:tcW w:w="475" w:type="pct"/>
                  <w:tcBorders>
                    <w:left w:val="single" w:color="auto" w:sz="6" w:space="0"/>
                    <w:bottom w:val="single" w:color="auto" w:sz="6" w:space="0"/>
                    <w:right w:val="single" w:color="auto" w:sz="6" w:space="0"/>
                  </w:tcBorders>
                  <w:vAlign w:val="center"/>
                </w:tcPr>
                <w:p w14:paraId="4C2A51D9">
                  <w:pPr>
                    <w:jc w:val="center"/>
                    <w:textAlignment w:val="baseline"/>
                    <w:rPr>
                      <w:szCs w:val="21"/>
                    </w:rPr>
                  </w:pPr>
                  <w:r>
                    <w:rPr>
                      <w:szCs w:val="21"/>
                    </w:rPr>
                    <w:t>排气温度（℃）</w:t>
                  </w:r>
                </w:p>
              </w:tc>
            </w:tr>
            <w:tr w14:paraId="53A800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8" w:type="pct"/>
                  <w:tcBorders>
                    <w:top w:val="single" w:color="auto" w:sz="6" w:space="0"/>
                    <w:left w:val="single" w:color="auto" w:sz="6" w:space="0"/>
                    <w:bottom w:val="single" w:color="auto" w:sz="6" w:space="0"/>
                    <w:right w:val="single" w:color="auto" w:sz="6" w:space="0"/>
                  </w:tcBorders>
                  <w:vAlign w:val="center"/>
                </w:tcPr>
                <w:p w14:paraId="2E71901E">
                  <w:pPr>
                    <w:jc w:val="center"/>
                    <w:textAlignment w:val="baseline"/>
                    <w:rPr>
                      <w:bCs/>
                      <w:szCs w:val="21"/>
                    </w:rPr>
                  </w:pPr>
                  <w:r>
                    <w:rPr>
                      <w:szCs w:val="21"/>
                    </w:rPr>
                    <w:t>1</w:t>
                  </w:r>
                </w:p>
              </w:tc>
              <w:tc>
                <w:tcPr>
                  <w:tcW w:w="484" w:type="pct"/>
                  <w:tcBorders>
                    <w:top w:val="single" w:color="auto" w:sz="6" w:space="0"/>
                    <w:left w:val="single" w:color="auto" w:sz="6" w:space="0"/>
                    <w:bottom w:val="single" w:color="auto" w:sz="6" w:space="0"/>
                    <w:right w:val="single" w:color="auto" w:sz="6" w:space="0"/>
                  </w:tcBorders>
                  <w:vAlign w:val="center"/>
                </w:tcPr>
                <w:p w14:paraId="55B29E06">
                  <w:pPr>
                    <w:pStyle w:val="36"/>
                    <w:snapToGrid w:val="0"/>
                    <w:spacing w:line="240" w:lineRule="auto"/>
                    <w:rPr>
                      <w:kern w:val="2"/>
                      <w:sz w:val="21"/>
                      <w:szCs w:val="21"/>
                    </w:rPr>
                  </w:pPr>
                  <w:r>
                    <w:rPr>
                      <w:kern w:val="2"/>
                      <w:sz w:val="21"/>
                      <w:szCs w:val="21"/>
                    </w:rPr>
                    <w:t>DA001</w:t>
                  </w:r>
                </w:p>
              </w:tc>
              <w:tc>
                <w:tcPr>
                  <w:tcW w:w="867" w:type="pct"/>
                  <w:tcBorders>
                    <w:top w:val="single" w:color="auto" w:sz="6" w:space="0"/>
                    <w:left w:val="single" w:color="auto" w:sz="6" w:space="0"/>
                    <w:right w:val="single" w:color="auto" w:sz="6" w:space="0"/>
                  </w:tcBorders>
                  <w:vAlign w:val="center"/>
                </w:tcPr>
                <w:p w14:paraId="40651ED3">
                  <w:pPr>
                    <w:snapToGrid w:val="0"/>
                    <w:jc w:val="center"/>
                    <w:rPr>
                      <w:bCs/>
                      <w:szCs w:val="21"/>
                    </w:rPr>
                  </w:pPr>
                  <w:r>
                    <w:rPr>
                      <w:szCs w:val="21"/>
                    </w:rPr>
                    <w:t>废油液回收有机废气排气筒</w:t>
                  </w:r>
                </w:p>
              </w:tc>
              <w:tc>
                <w:tcPr>
                  <w:tcW w:w="421" w:type="pct"/>
                  <w:tcBorders>
                    <w:top w:val="single" w:color="auto" w:sz="6" w:space="0"/>
                    <w:left w:val="single" w:color="auto" w:sz="6" w:space="0"/>
                    <w:bottom w:val="single" w:color="auto" w:sz="6" w:space="0"/>
                    <w:right w:val="single" w:color="auto" w:sz="6" w:space="0"/>
                  </w:tcBorders>
                  <w:vAlign w:val="center"/>
                </w:tcPr>
                <w:p w14:paraId="025C6BE8">
                  <w:pPr>
                    <w:jc w:val="center"/>
                    <w:textAlignment w:val="baseline"/>
                    <w:rPr>
                      <w:bCs/>
                      <w:szCs w:val="21"/>
                    </w:rPr>
                  </w:pPr>
                  <w:r>
                    <w:rPr>
                      <w:kern w:val="0"/>
                      <w:szCs w:val="21"/>
                    </w:rPr>
                    <w:t>非甲烷总烃</w:t>
                  </w:r>
                </w:p>
              </w:tc>
              <w:tc>
                <w:tcPr>
                  <w:tcW w:w="724" w:type="pct"/>
                  <w:tcBorders>
                    <w:top w:val="single" w:color="auto" w:sz="6" w:space="0"/>
                    <w:left w:val="single" w:color="auto" w:sz="6" w:space="0"/>
                    <w:bottom w:val="single" w:color="auto" w:sz="6" w:space="0"/>
                    <w:right w:val="single" w:color="auto" w:sz="6" w:space="0"/>
                  </w:tcBorders>
                  <w:vAlign w:val="center"/>
                </w:tcPr>
                <w:p w14:paraId="2EA4624C">
                  <w:pPr>
                    <w:jc w:val="center"/>
                    <w:textAlignment w:val="baseline"/>
                    <w:rPr>
                      <w:bCs/>
                      <w:szCs w:val="21"/>
                    </w:rPr>
                  </w:pPr>
                  <w:r>
                    <w:rPr>
                      <w:bCs/>
                      <w:szCs w:val="21"/>
                    </w:rPr>
                    <w:t>114.97858644</w:t>
                  </w:r>
                </w:p>
              </w:tc>
              <w:tc>
                <w:tcPr>
                  <w:tcW w:w="725" w:type="pct"/>
                  <w:tcBorders>
                    <w:top w:val="single" w:color="auto" w:sz="6" w:space="0"/>
                    <w:left w:val="single" w:color="auto" w:sz="6" w:space="0"/>
                    <w:bottom w:val="single" w:color="auto" w:sz="6" w:space="0"/>
                    <w:right w:val="single" w:color="auto" w:sz="6" w:space="0"/>
                  </w:tcBorders>
                  <w:vAlign w:val="center"/>
                </w:tcPr>
                <w:p w14:paraId="735BCE3B">
                  <w:pPr>
                    <w:jc w:val="center"/>
                    <w:textAlignment w:val="baseline"/>
                    <w:rPr>
                      <w:bCs/>
                      <w:szCs w:val="21"/>
                    </w:rPr>
                  </w:pPr>
                  <w:r>
                    <w:rPr>
                      <w:bCs/>
                      <w:szCs w:val="21"/>
                    </w:rPr>
                    <w:t>34.71370228</w:t>
                  </w:r>
                </w:p>
              </w:tc>
              <w:tc>
                <w:tcPr>
                  <w:tcW w:w="563" w:type="pct"/>
                  <w:tcBorders>
                    <w:top w:val="single" w:color="auto" w:sz="6" w:space="0"/>
                    <w:left w:val="single" w:color="auto" w:sz="6" w:space="0"/>
                    <w:bottom w:val="single" w:color="auto" w:sz="6" w:space="0"/>
                    <w:right w:val="single" w:color="auto" w:sz="6" w:space="0"/>
                  </w:tcBorders>
                  <w:vAlign w:val="center"/>
                </w:tcPr>
                <w:p w14:paraId="2403AF5C">
                  <w:pPr>
                    <w:jc w:val="center"/>
                    <w:rPr>
                      <w:bCs/>
                    </w:rPr>
                  </w:pPr>
                  <w:r>
                    <w:rPr>
                      <w:bCs/>
                    </w:rPr>
                    <w:t>15</w:t>
                  </w:r>
                </w:p>
              </w:tc>
              <w:tc>
                <w:tcPr>
                  <w:tcW w:w="482" w:type="pct"/>
                  <w:tcBorders>
                    <w:top w:val="single" w:color="auto" w:sz="6" w:space="0"/>
                    <w:left w:val="single" w:color="auto" w:sz="6" w:space="0"/>
                    <w:bottom w:val="single" w:color="auto" w:sz="6" w:space="0"/>
                    <w:right w:val="single" w:color="auto" w:sz="6" w:space="0"/>
                  </w:tcBorders>
                  <w:vAlign w:val="center"/>
                </w:tcPr>
                <w:p w14:paraId="3C6B3510">
                  <w:pPr>
                    <w:jc w:val="center"/>
                    <w:rPr>
                      <w:bCs/>
                      <w:szCs w:val="21"/>
                    </w:rPr>
                  </w:pPr>
                  <w:r>
                    <w:rPr>
                      <w:bCs/>
                      <w:szCs w:val="21"/>
                    </w:rPr>
                    <w:t>0.3</w:t>
                  </w:r>
                </w:p>
              </w:tc>
              <w:tc>
                <w:tcPr>
                  <w:tcW w:w="475" w:type="pct"/>
                  <w:tcBorders>
                    <w:top w:val="single" w:color="auto" w:sz="6" w:space="0"/>
                    <w:left w:val="single" w:color="auto" w:sz="6" w:space="0"/>
                    <w:bottom w:val="single" w:color="auto" w:sz="6" w:space="0"/>
                    <w:right w:val="single" w:color="auto" w:sz="6" w:space="0"/>
                  </w:tcBorders>
                  <w:vAlign w:val="center"/>
                </w:tcPr>
                <w:p w14:paraId="77DF7C14">
                  <w:pPr>
                    <w:jc w:val="center"/>
                    <w:rPr>
                      <w:bCs/>
                      <w:szCs w:val="21"/>
                    </w:rPr>
                  </w:pPr>
                  <w:bookmarkStart w:id="15" w:name="OLE_LINK75"/>
                  <w:r>
                    <w:rPr>
                      <w:bCs/>
                      <w:szCs w:val="21"/>
                    </w:rPr>
                    <w:t>常温</w:t>
                  </w:r>
                  <w:bookmarkEnd w:id="15"/>
                </w:p>
              </w:tc>
            </w:tr>
            <w:tr w14:paraId="72788C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58" w:type="pct"/>
                  <w:tcBorders>
                    <w:top w:val="single" w:color="auto" w:sz="6" w:space="0"/>
                    <w:left w:val="single" w:color="auto" w:sz="6" w:space="0"/>
                    <w:bottom w:val="single" w:color="auto" w:sz="6" w:space="0"/>
                    <w:right w:val="single" w:color="auto" w:sz="6" w:space="0"/>
                  </w:tcBorders>
                  <w:vAlign w:val="center"/>
                </w:tcPr>
                <w:p w14:paraId="6F1D9FBD">
                  <w:pPr>
                    <w:jc w:val="center"/>
                    <w:textAlignment w:val="baseline"/>
                    <w:rPr>
                      <w:szCs w:val="21"/>
                    </w:rPr>
                  </w:pPr>
                  <w:r>
                    <w:rPr>
                      <w:szCs w:val="21"/>
                    </w:rPr>
                    <w:t>2</w:t>
                  </w:r>
                </w:p>
              </w:tc>
              <w:tc>
                <w:tcPr>
                  <w:tcW w:w="484" w:type="pct"/>
                  <w:tcBorders>
                    <w:top w:val="single" w:color="auto" w:sz="6" w:space="0"/>
                    <w:left w:val="single" w:color="auto" w:sz="6" w:space="0"/>
                    <w:bottom w:val="single" w:color="auto" w:sz="6" w:space="0"/>
                    <w:right w:val="single" w:color="auto" w:sz="6" w:space="0"/>
                  </w:tcBorders>
                  <w:vAlign w:val="center"/>
                </w:tcPr>
                <w:p w14:paraId="5E85FA5D">
                  <w:pPr>
                    <w:pStyle w:val="36"/>
                    <w:snapToGrid w:val="0"/>
                    <w:spacing w:line="240" w:lineRule="auto"/>
                    <w:rPr>
                      <w:kern w:val="2"/>
                      <w:sz w:val="21"/>
                      <w:szCs w:val="21"/>
                    </w:rPr>
                  </w:pPr>
                  <w:r>
                    <w:rPr>
                      <w:bCs/>
                      <w:sz w:val="21"/>
                      <w:szCs w:val="21"/>
                    </w:rPr>
                    <w:t>DA002</w:t>
                  </w:r>
                </w:p>
              </w:tc>
              <w:tc>
                <w:tcPr>
                  <w:tcW w:w="867" w:type="pct"/>
                  <w:tcBorders>
                    <w:top w:val="single" w:color="auto" w:sz="6" w:space="0"/>
                    <w:left w:val="single" w:color="auto" w:sz="6" w:space="0"/>
                    <w:right w:val="single" w:color="auto" w:sz="6" w:space="0"/>
                  </w:tcBorders>
                  <w:vAlign w:val="center"/>
                </w:tcPr>
                <w:p w14:paraId="54E2A06B">
                  <w:pPr>
                    <w:snapToGrid w:val="0"/>
                    <w:jc w:val="center"/>
                    <w:rPr>
                      <w:szCs w:val="21"/>
                    </w:rPr>
                  </w:pPr>
                  <w:r>
                    <w:rPr>
                      <w:szCs w:val="21"/>
                    </w:rPr>
                    <w:t>切割废气排气筒</w:t>
                  </w:r>
                </w:p>
              </w:tc>
              <w:tc>
                <w:tcPr>
                  <w:tcW w:w="421" w:type="pct"/>
                  <w:tcBorders>
                    <w:top w:val="single" w:color="auto" w:sz="6" w:space="0"/>
                    <w:left w:val="single" w:color="auto" w:sz="6" w:space="0"/>
                    <w:bottom w:val="single" w:color="auto" w:sz="6" w:space="0"/>
                    <w:right w:val="single" w:color="auto" w:sz="6" w:space="0"/>
                  </w:tcBorders>
                  <w:vAlign w:val="center"/>
                </w:tcPr>
                <w:p w14:paraId="15311286">
                  <w:pPr>
                    <w:jc w:val="center"/>
                    <w:textAlignment w:val="baseline"/>
                    <w:rPr>
                      <w:kern w:val="0"/>
                      <w:szCs w:val="21"/>
                    </w:rPr>
                  </w:pPr>
                  <w:r>
                    <w:rPr>
                      <w:kern w:val="0"/>
                      <w:szCs w:val="21"/>
                    </w:rPr>
                    <w:t>颗粒物</w:t>
                  </w:r>
                </w:p>
              </w:tc>
              <w:tc>
                <w:tcPr>
                  <w:tcW w:w="724" w:type="pct"/>
                  <w:tcBorders>
                    <w:top w:val="single" w:color="auto" w:sz="6" w:space="0"/>
                    <w:left w:val="single" w:color="auto" w:sz="6" w:space="0"/>
                    <w:bottom w:val="single" w:color="auto" w:sz="6" w:space="0"/>
                    <w:right w:val="single" w:color="auto" w:sz="6" w:space="0"/>
                  </w:tcBorders>
                  <w:vAlign w:val="center"/>
                </w:tcPr>
                <w:p w14:paraId="16A05681">
                  <w:pPr>
                    <w:jc w:val="center"/>
                    <w:textAlignment w:val="baseline"/>
                    <w:rPr>
                      <w:bCs/>
                      <w:szCs w:val="21"/>
                    </w:rPr>
                  </w:pPr>
                  <w:r>
                    <w:rPr>
                      <w:bCs/>
                      <w:szCs w:val="21"/>
                    </w:rPr>
                    <w:t>114.97828469</w:t>
                  </w:r>
                </w:p>
              </w:tc>
              <w:tc>
                <w:tcPr>
                  <w:tcW w:w="725" w:type="pct"/>
                  <w:tcBorders>
                    <w:top w:val="single" w:color="auto" w:sz="6" w:space="0"/>
                    <w:left w:val="single" w:color="auto" w:sz="6" w:space="0"/>
                    <w:bottom w:val="single" w:color="auto" w:sz="6" w:space="0"/>
                    <w:right w:val="single" w:color="auto" w:sz="6" w:space="0"/>
                  </w:tcBorders>
                  <w:vAlign w:val="center"/>
                </w:tcPr>
                <w:p w14:paraId="202352B4">
                  <w:pPr>
                    <w:jc w:val="center"/>
                    <w:textAlignment w:val="baseline"/>
                    <w:rPr>
                      <w:bCs/>
                      <w:szCs w:val="21"/>
                    </w:rPr>
                  </w:pPr>
                  <w:r>
                    <w:rPr>
                      <w:bCs/>
                      <w:szCs w:val="21"/>
                    </w:rPr>
                    <w:t>34.71373866</w:t>
                  </w:r>
                </w:p>
              </w:tc>
              <w:tc>
                <w:tcPr>
                  <w:tcW w:w="563" w:type="pct"/>
                  <w:tcBorders>
                    <w:top w:val="single" w:color="auto" w:sz="6" w:space="0"/>
                    <w:left w:val="single" w:color="auto" w:sz="6" w:space="0"/>
                    <w:bottom w:val="single" w:color="auto" w:sz="6" w:space="0"/>
                    <w:right w:val="single" w:color="auto" w:sz="6" w:space="0"/>
                  </w:tcBorders>
                  <w:vAlign w:val="center"/>
                </w:tcPr>
                <w:p w14:paraId="062893F1">
                  <w:pPr>
                    <w:jc w:val="center"/>
                    <w:rPr>
                      <w:bCs/>
                    </w:rPr>
                  </w:pPr>
                  <w:r>
                    <w:rPr>
                      <w:bCs/>
                    </w:rPr>
                    <w:t>15</w:t>
                  </w:r>
                </w:p>
              </w:tc>
              <w:tc>
                <w:tcPr>
                  <w:tcW w:w="482" w:type="pct"/>
                  <w:tcBorders>
                    <w:top w:val="single" w:color="auto" w:sz="6" w:space="0"/>
                    <w:left w:val="single" w:color="auto" w:sz="6" w:space="0"/>
                    <w:bottom w:val="single" w:color="auto" w:sz="6" w:space="0"/>
                    <w:right w:val="single" w:color="auto" w:sz="6" w:space="0"/>
                  </w:tcBorders>
                  <w:vAlign w:val="center"/>
                </w:tcPr>
                <w:p w14:paraId="5DC04224">
                  <w:pPr>
                    <w:jc w:val="center"/>
                    <w:rPr>
                      <w:bCs/>
                      <w:szCs w:val="21"/>
                    </w:rPr>
                  </w:pPr>
                  <w:r>
                    <w:rPr>
                      <w:bCs/>
                      <w:szCs w:val="21"/>
                    </w:rPr>
                    <w:t>0.3</w:t>
                  </w:r>
                </w:p>
              </w:tc>
              <w:tc>
                <w:tcPr>
                  <w:tcW w:w="475" w:type="pct"/>
                  <w:tcBorders>
                    <w:top w:val="single" w:color="auto" w:sz="6" w:space="0"/>
                    <w:left w:val="single" w:color="auto" w:sz="6" w:space="0"/>
                    <w:bottom w:val="single" w:color="auto" w:sz="6" w:space="0"/>
                    <w:right w:val="single" w:color="auto" w:sz="6" w:space="0"/>
                  </w:tcBorders>
                  <w:vAlign w:val="center"/>
                </w:tcPr>
                <w:p w14:paraId="33B644C2">
                  <w:pPr>
                    <w:jc w:val="center"/>
                    <w:rPr>
                      <w:bCs/>
                      <w:szCs w:val="21"/>
                    </w:rPr>
                  </w:pPr>
                  <w:r>
                    <w:rPr>
                      <w:bCs/>
                      <w:szCs w:val="21"/>
                    </w:rPr>
                    <w:t>常温</w:t>
                  </w:r>
                </w:p>
              </w:tc>
            </w:tr>
          </w:tbl>
          <w:p w14:paraId="15B7171D">
            <w:pPr>
              <w:adjustRightInd w:val="0"/>
              <w:snapToGrid w:val="0"/>
              <w:spacing w:line="360" w:lineRule="auto"/>
              <w:ind w:firstLine="480" w:firstLineChars="200"/>
              <w:jc w:val="left"/>
              <w:rPr>
                <w:bCs/>
                <w:sz w:val="24"/>
              </w:rPr>
            </w:pPr>
            <w:r>
              <w:rPr>
                <w:bCs/>
                <w:sz w:val="24"/>
              </w:rPr>
              <w:t>根据《排污许可证申请与核发技术规范 总则》（HJ942-2018）、《排污许可证申请与核发技术规范 废弃资源加工工业》（HJ1024-2019）及项目情况，本项目建设后废气监测方案见</w:t>
            </w:r>
            <w:r>
              <w:rPr>
                <w:rFonts w:hint="eastAsia"/>
                <w:bCs/>
                <w:sz w:val="24"/>
              </w:rPr>
              <w:t>下</w:t>
            </w:r>
            <w:r>
              <w:rPr>
                <w:bCs/>
                <w:sz w:val="24"/>
              </w:rPr>
              <w:t>表。</w:t>
            </w:r>
          </w:p>
          <w:p w14:paraId="2BFE704E">
            <w:pPr>
              <w:adjustRightInd w:val="0"/>
              <w:snapToGrid w:val="0"/>
              <w:jc w:val="center"/>
              <w:rPr>
                <w:spacing w:val="-2"/>
                <w:sz w:val="32"/>
                <w:szCs w:val="32"/>
              </w:rPr>
            </w:pPr>
            <w:r>
              <w:rPr>
                <w:b/>
                <w:sz w:val="24"/>
              </w:rPr>
              <w:t>表</w:t>
            </w:r>
            <w:r>
              <w:rPr>
                <w:rFonts w:hint="eastAsia"/>
                <w:b/>
                <w:sz w:val="24"/>
              </w:rPr>
              <w:t>26</w:t>
            </w:r>
            <w:r>
              <w:rPr>
                <w:b/>
                <w:sz w:val="24"/>
              </w:rPr>
              <w:t xml:space="preserve">  本项目营运期废气监测方案</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772"/>
              <w:gridCol w:w="1203"/>
              <w:gridCol w:w="993"/>
              <w:gridCol w:w="4109"/>
            </w:tblGrid>
            <w:tr w14:paraId="4419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366" w:type="pct"/>
                  <w:gridSpan w:val="2"/>
                  <w:tcBorders>
                    <w:top w:val="single" w:color="auto" w:sz="4" w:space="0"/>
                    <w:left w:val="single" w:color="auto" w:sz="4" w:space="0"/>
                    <w:bottom w:val="single" w:color="auto" w:sz="4" w:space="0"/>
                    <w:right w:val="single" w:color="auto" w:sz="4" w:space="0"/>
                  </w:tcBorders>
                  <w:vAlign w:val="center"/>
                </w:tcPr>
                <w:p w14:paraId="5B271FB9">
                  <w:pPr>
                    <w:jc w:val="center"/>
                    <w:textAlignment w:val="baseline"/>
                    <w:rPr>
                      <w:b/>
                      <w:bCs/>
                      <w:szCs w:val="21"/>
                      <w:u w:val="single"/>
                    </w:rPr>
                  </w:pPr>
                  <w:r>
                    <w:rPr>
                      <w:b/>
                      <w:bCs/>
                      <w:szCs w:val="21"/>
                      <w:u w:val="single"/>
                    </w:rPr>
                    <w:t>监测点位</w:t>
                  </w:r>
                </w:p>
              </w:tc>
              <w:tc>
                <w:tcPr>
                  <w:tcW w:w="693" w:type="pct"/>
                  <w:tcBorders>
                    <w:top w:val="single" w:color="auto" w:sz="4" w:space="0"/>
                    <w:left w:val="single" w:color="auto" w:sz="4" w:space="0"/>
                    <w:bottom w:val="single" w:color="auto" w:sz="4" w:space="0"/>
                    <w:right w:val="single" w:color="auto" w:sz="4" w:space="0"/>
                  </w:tcBorders>
                  <w:vAlign w:val="center"/>
                </w:tcPr>
                <w:p w14:paraId="06F8EFAD">
                  <w:pPr>
                    <w:jc w:val="center"/>
                    <w:textAlignment w:val="baseline"/>
                    <w:rPr>
                      <w:b/>
                      <w:bCs/>
                      <w:szCs w:val="21"/>
                      <w:u w:val="single"/>
                    </w:rPr>
                  </w:pPr>
                  <w:r>
                    <w:rPr>
                      <w:b/>
                      <w:bCs/>
                      <w:szCs w:val="21"/>
                      <w:u w:val="single"/>
                    </w:rPr>
                    <w:t>监测项目</w:t>
                  </w:r>
                </w:p>
              </w:tc>
              <w:tc>
                <w:tcPr>
                  <w:tcW w:w="572" w:type="pct"/>
                  <w:tcBorders>
                    <w:top w:val="single" w:color="auto" w:sz="4" w:space="0"/>
                    <w:left w:val="single" w:color="auto" w:sz="4" w:space="0"/>
                    <w:bottom w:val="single" w:color="auto" w:sz="4" w:space="0"/>
                    <w:right w:val="single" w:color="auto" w:sz="4" w:space="0"/>
                  </w:tcBorders>
                  <w:vAlign w:val="center"/>
                </w:tcPr>
                <w:p w14:paraId="170F6FCE">
                  <w:pPr>
                    <w:jc w:val="center"/>
                    <w:textAlignment w:val="baseline"/>
                    <w:rPr>
                      <w:b/>
                      <w:bCs/>
                      <w:szCs w:val="21"/>
                      <w:u w:val="single"/>
                    </w:rPr>
                  </w:pPr>
                  <w:r>
                    <w:rPr>
                      <w:b/>
                      <w:bCs/>
                      <w:szCs w:val="21"/>
                      <w:u w:val="single"/>
                    </w:rPr>
                    <w:t>监测频次</w:t>
                  </w:r>
                </w:p>
              </w:tc>
              <w:tc>
                <w:tcPr>
                  <w:tcW w:w="2367" w:type="pct"/>
                  <w:tcBorders>
                    <w:top w:val="single" w:color="auto" w:sz="4" w:space="0"/>
                    <w:left w:val="single" w:color="auto" w:sz="4" w:space="0"/>
                    <w:bottom w:val="single" w:color="auto" w:sz="4" w:space="0"/>
                    <w:right w:val="single" w:color="auto" w:sz="4" w:space="0"/>
                  </w:tcBorders>
                  <w:vAlign w:val="center"/>
                </w:tcPr>
                <w:p w14:paraId="4640EEE7">
                  <w:pPr>
                    <w:jc w:val="center"/>
                    <w:textAlignment w:val="baseline"/>
                    <w:rPr>
                      <w:b/>
                      <w:bCs/>
                      <w:szCs w:val="21"/>
                      <w:u w:val="single"/>
                    </w:rPr>
                  </w:pPr>
                  <w:r>
                    <w:rPr>
                      <w:b/>
                      <w:bCs/>
                      <w:szCs w:val="21"/>
                      <w:u w:val="single"/>
                    </w:rPr>
                    <w:t>执行标准</w:t>
                  </w:r>
                </w:p>
              </w:tc>
            </w:tr>
            <w:tr w14:paraId="23DD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jc w:val="center"/>
              </w:trPr>
              <w:tc>
                <w:tcPr>
                  <w:tcW w:w="345" w:type="pct"/>
                  <w:vMerge w:val="restart"/>
                  <w:tcBorders>
                    <w:top w:val="single" w:color="auto" w:sz="4" w:space="0"/>
                    <w:left w:val="single" w:color="auto" w:sz="4" w:space="0"/>
                    <w:right w:val="single" w:color="auto" w:sz="4" w:space="0"/>
                  </w:tcBorders>
                  <w:vAlign w:val="center"/>
                </w:tcPr>
                <w:p w14:paraId="31F99AB1">
                  <w:pPr>
                    <w:jc w:val="center"/>
                    <w:textAlignment w:val="baseline"/>
                    <w:rPr>
                      <w:b/>
                      <w:bCs/>
                      <w:szCs w:val="21"/>
                      <w:u w:val="single"/>
                    </w:rPr>
                  </w:pPr>
                  <w:r>
                    <w:rPr>
                      <w:b/>
                      <w:bCs/>
                      <w:szCs w:val="21"/>
                      <w:u w:val="single"/>
                    </w:rPr>
                    <w:t>有组织废气</w:t>
                  </w:r>
                </w:p>
              </w:tc>
              <w:tc>
                <w:tcPr>
                  <w:tcW w:w="1021" w:type="pct"/>
                  <w:tcBorders>
                    <w:top w:val="single" w:color="auto" w:sz="4" w:space="0"/>
                    <w:left w:val="single" w:color="auto" w:sz="4" w:space="0"/>
                    <w:bottom w:val="single" w:color="auto" w:sz="4" w:space="0"/>
                    <w:right w:val="single" w:color="auto" w:sz="4" w:space="0"/>
                  </w:tcBorders>
                  <w:vAlign w:val="center"/>
                </w:tcPr>
                <w:p w14:paraId="4FB0501E">
                  <w:pPr>
                    <w:jc w:val="center"/>
                    <w:textAlignment w:val="baseline"/>
                    <w:rPr>
                      <w:b/>
                      <w:bCs/>
                      <w:szCs w:val="21"/>
                      <w:u w:val="single"/>
                    </w:rPr>
                  </w:pPr>
                  <w:r>
                    <w:rPr>
                      <w:b/>
                      <w:bCs/>
                      <w:szCs w:val="21"/>
                      <w:u w:val="single"/>
                    </w:rPr>
                    <w:t>排气筒DA001</w:t>
                  </w:r>
                </w:p>
              </w:tc>
              <w:tc>
                <w:tcPr>
                  <w:tcW w:w="693" w:type="pct"/>
                  <w:tcBorders>
                    <w:top w:val="single" w:color="auto" w:sz="4" w:space="0"/>
                    <w:left w:val="single" w:color="auto" w:sz="4" w:space="0"/>
                    <w:bottom w:val="single" w:color="auto" w:sz="4" w:space="0"/>
                    <w:right w:val="single" w:color="auto" w:sz="4" w:space="0"/>
                  </w:tcBorders>
                  <w:vAlign w:val="center"/>
                </w:tcPr>
                <w:p w14:paraId="39FE643E">
                  <w:pPr>
                    <w:jc w:val="center"/>
                    <w:textAlignment w:val="baseline"/>
                    <w:rPr>
                      <w:b/>
                      <w:bCs/>
                      <w:szCs w:val="21"/>
                      <w:u w:val="single"/>
                    </w:rPr>
                  </w:pPr>
                  <w:r>
                    <w:rPr>
                      <w:b/>
                      <w:bCs/>
                      <w:szCs w:val="21"/>
                      <w:u w:val="single"/>
                    </w:rPr>
                    <w:t>非甲烷总烃</w:t>
                  </w:r>
                </w:p>
              </w:tc>
              <w:tc>
                <w:tcPr>
                  <w:tcW w:w="572" w:type="pct"/>
                  <w:tcBorders>
                    <w:top w:val="single" w:color="auto" w:sz="4" w:space="0"/>
                    <w:left w:val="single" w:color="auto" w:sz="4" w:space="0"/>
                    <w:bottom w:val="single" w:color="auto" w:sz="4" w:space="0"/>
                    <w:right w:val="single" w:color="auto" w:sz="4" w:space="0"/>
                  </w:tcBorders>
                  <w:vAlign w:val="center"/>
                </w:tcPr>
                <w:p w14:paraId="6F587417">
                  <w:pPr>
                    <w:jc w:val="center"/>
                    <w:textAlignment w:val="baseline"/>
                    <w:rPr>
                      <w:b/>
                      <w:bCs/>
                      <w:szCs w:val="21"/>
                      <w:u w:val="single"/>
                    </w:rPr>
                  </w:pPr>
                  <w:r>
                    <w:rPr>
                      <w:b/>
                      <w:bCs/>
                      <w:szCs w:val="21"/>
                      <w:u w:val="single"/>
                    </w:rPr>
                    <w:t>1次/年</w:t>
                  </w:r>
                </w:p>
              </w:tc>
              <w:tc>
                <w:tcPr>
                  <w:tcW w:w="2367" w:type="pct"/>
                  <w:vMerge w:val="restart"/>
                  <w:tcBorders>
                    <w:top w:val="single" w:color="auto" w:sz="4" w:space="0"/>
                    <w:left w:val="single" w:color="auto" w:sz="4" w:space="0"/>
                    <w:right w:val="single" w:color="auto" w:sz="4" w:space="0"/>
                  </w:tcBorders>
                  <w:vAlign w:val="center"/>
                </w:tcPr>
                <w:p w14:paraId="2F6A80D4">
                  <w:pPr>
                    <w:jc w:val="center"/>
                    <w:textAlignment w:val="baseline"/>
                    <w:rPr>
                      <w:b/>
                      <w:bCs/>
                      <w:szCs w:val="21"/>
                      <w:u w:val="single"/>
                    </w:rPr>
                  </w:pPr>
                  <w:r>
                    <w:rPr>
                      <w:b/>
                      <w:bCs/>
                      <w:szCs w:val="21"/>
                      <w:u w:val="single"/>
                    </w:rPr>
                    <w:t>《大气污染物综合排放标准》（GB16297-1996）表2二级标准要求、《关于全省开展工业企业挥发性有机物专项治理工作中排放建议值的通知》（豫环攻坚办</w:t>
                  </w:r>
                  <w:r>
                    <w:rPr>
                      <w:b/>
                      <w:bCs/>
                      <w:kern w:val="0"/>
                      <w:szCs w:val="21"/>
                      <w:u w:val="single"/>
                    </w:rPr>
                    <w:t>〔2017〕</w:t>
                  </w:r>
                  <w:r>
                    <w:rPr>
                      <w:b/>
                      <w:bCs/>
                      <w:szCs w:val="21"/>
                      <w:u w:val="single"/>
                    </w:rPr>
                    <w:t>162号）要求、《河南省重污染天气通用行业应急减排措施制定技术指南》（2024年修订版）</w:t>
                  </w:r>
                  <w:r>
                    <w:rPr>
                      <w:rFonts w:hint="eastAsia"/>
                      <w:b/>
                      <w:bCs/>
                      <w:szCs w:val="21"/>
                      <w:u w:val="single"/>
                    </w:rPr>
                    <w:t>中通用行业PM、V</w:t>
                  </w:r>
                  <w:r>
                    <w:rPr>
                      <w:b/>
                      <w:bCs/>
                      <w:szCs w:val="21"/>
                      <w:u w:val="single"/>
                    </w:rPr>
                    <w:t>OCs</w:t>
                  </w:r>
                  <w:r>
                    <w:rPr>
                      <w:rFonts w:hint="eastAsia"/>
                      <w:b/>
                      <w:bCs/>
                      <w:szCs w:val="21"/>
                      <w:u w:val="single"/>
                    </w:rPr>
                    <w:t>排放要求</w:t>
                  </w:r>
                </w:p>
              </w:tc>
            </w:tr>
            <w:tr w14:paraId="4743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345" w:type="pct"/>
                  <w:vMerge w:val="continue"/>
                  <w:tcBorders>
                    <w:left w:val="single" w:color="auto" w:sz="4" w:space="0"/>
                    <w:right w:val="single" w:color="auto" w:sz="4" w:space="0"/>
                  </w:tcBorders>
                  <w:vAlign w:val="center"/>
                </w:tcPr>
                <w:p w14:paraId="759C41BA">
                  <w:pPr>
                    <w:jc w:val="center"/>
                    <w:textAlignment w:val="baseline"/>
                    <w:rPr>
                      <w:b/>
                      <w:bCs/>
                      <w:szCs w:val="21"/>
                      <w:u w:val="single"/>
                    </w:rPr>
                  </w:pPr>
                </w:p>
              </w:tc>
              <w:tc>
                <w:tcPr>
                  <w:tcW w:w="1021" w:type="pct"/>
                  <w:tcBorders>
                    <w:top w:val="single" w:color="auto" w:sz="4" w:space="0"/>
                    <w:left w:val="single" w:color="auto" w:sz="4" w:space="0"/>
                    <w:bottom w:val="single" w:color="auto" w:sz="4" w:space="0"/>
                    <w:right w:val="single" w:color="auto" w:sz="4" w:space="0"/>
                  </w:tcBorders>
                  <w:vAlign w:val="center"/>
                </w:tcPr>
                <w:p w14:paraId="0692737C">
                  <w:pPr>
                    <w:jc w:val="center"/>
                    <w:textAlignment w:val="baseline"/>
                    <w:rPr>
                      <w:b/>
                      <w:bCs/>
                      <w:szCs w:val="21"/>
                      <w:u w:val="single"/>
                    </w:rPr>
                  </w:pPr>
                  <w:r>
                    <w:rPr>
                      <w:b/>
                      <w:bCs/>
                      <w:szCs w:val="21"/>
                      <w:u w:val="single"/>
                    </w:rPr>
                    <w:t>排气筒DA002</w:t>
                  </w:r>
                </w:p>
              </w:tc>
              <w:tc>
                <w:tcPr>
                  <w:tcW w:w="693" w:type="pct"/>
                  <w:tcBorders>
                    <w:top w:val="single" w:color="auto" w:sz="4" w:space="0"/>
                    <w:left w:val="single" w:color="auto" w:sz="4" w:space="0"/>
                    <w:bottom w:val="single" w:color="auto" w:sz="4" w:space="0"/>
                    <w:right w:val="single" w:color="auto" w:sz="4" w:space="0"/>
                  </w:tcBorders>
                  <w:vAlign w:val="center"/>
                </w:tcPr>
                <w:p w14:paraId="3B6519B7">
                  <w:pPr>
                    <w:jc w:val="center"/>
                    <w:textAlignment w:val="baseline"/>
                    <w:rPr>
                      <w:b/>
                      <w:bCs/>
                      <w:szCs w:val="21"/>
                      <w:u w:val="single"/>
                    </w:rPr>
                  </w:pPr>
                  <w:r>
                    <w:rPr>
                      <w:b/>
                      <w:bCs/>
                      <w:szCs w:val="21"/>
                      <w:u w:val="single"/>
                    </w:rPr>
                    <w:t>颗粒物</w:t>
                  </w:r>
                </w:p>
              </w:tc>
              <w:tc>
                <w:tcPr>
                  <w:tcW w:w="572" w:type="pct"/>
                  <w:tcBorders>
                    <w:top w:val="single" w:color="auto" w:sz="4" w:space="0"/>
                    <w:left w:val="single" w:color="auto" w:sz="4" w:space="0"/>
                    <w:bottom w:val="single" w:color="auto" w:sz="4" w:space="0"/>
                    <w:right w:val="single" w:color="auto" w:sz="4" w:space="0"/>
                  </w:tcBorders>
                  <w:vAlign w:val="center"/>
                </w:tcPr>
                <w:p w14:paraId="309847C4">
                  <w:pPr>
                    <w:jc w:val="center"/>
                    <w:textAlignment w:val="baseline"/>
                    <w:rPr>
                      <w:b/>
                      <w:bCs/>
                      <w:szCs w:val="21"/>
                      <w:u w:val="single"/>
                    </w:rPr>
                  </w:pPr>
                  <w:r>
                    <w:rPr>
                      <w:b/>
                      <w:bCs/>
                      <w:szCs w:val="21"/>
                      <w:u w:val="single"/>
                    </w:rPr>
                    <w:t>1次/年</w:t>
                  </w:r>
                </w:p>
              </w:tc>
              <w:tc>
                <w:tcPr>
                  <w:tcW w:w="2367" w:type="pct"/>
                  <w:vMerge w:val="continue"/>
                  <w:tcBorders>
                    <w:left w:val="single" w:color="auto" w:sz="4" w:space="0"/>
                    <w:right w:val="single" w:color="auto" w:sz="4" w:space="0"/>
                  </w:tcBorders>
                  <w:vAlign w:val="center"/>
                </w:tcPr>
                <w:p w14:paraId="5D05EC37">
                  <w:pPr>
                    <w:jc w:val="center"/>
                    <w:textAlignment w:val="baseline"/>
                    <w:rPr>
                      <w:b/>
                      <w:bCs/>
                      <w:szCs w:val="21"/>
                      <w:u w:val="single"/>
                    </w:rPr>
                  </w:pPr>
                </w:p>
              </w:tc>
            </w:tr>
            <w:tr w14:paraId="61B5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345" w:type="pct"/>
                  <w:vMerge w:val="restart"/>
                  <w:tcBorders>
                    <w:top w:val="single" w:color="auto" w:sz="4" w:space="0"/>
                    <w:left w:val="single" w:color="auto" w:sz="4" w:space="0"/>
                    <w:right w:val="single" w:color="auto" w:sz="4" w:space="0"/>
                  </w:tcBorders>
                  <w:vAlign w:val="center"/>
                </w:tcPr>
                <w:p w14:paraId="10474F48">
                  <w:pPr>
                    <w:jc w:val="center"/>
                    <w:textAlignment w:val="baseline"/>
                    <w:rPr>
                      <w:b/>
                      <w:bCs/>
                      <w:szCs w:val="21"/>
                      <w:u w:val="single"/>
                    </w:rPr>
                  </w:pPr>
                  <w:r>
                    <w:rPr>
                      <w:b/>
                      <w:bCs/>
                      <w:szCs w:val="21"/>
                      <w:u w:val="single"/>
                    </w:rPr>
                    <w:t>无组织废气</w:t>
                  </w:r>
                </w:p>
              </w:tc>
              <w:tc>
                <w:tcPr>
                  <w:tcW w:w="1021" w:type="pct"/>
                  <w:tcBorders>
                    <w:top w:val="single" w:color="auto" w:sz="4" w:space="0"/>
                    <w:left w:val="single" w:color="auto" w:sz="4" w:space="0"/>
                    <w:right w:val="single" w:color="auto" w:sz="4" w:space="0"/>
                  </w:tcBorders>
                  <w:vAlign w:val="center"/>
                </w:tcPr>
                <w:p w14:paraId="1AB94756">
                  <w:pPr>
                    <w:jc w:val="center"/>
                    <w:textAlignment w:val="baseline"/>
                    <w:rPr>
                      <w:b/>
                      <w:bCs/>
                      <w:szCs w:val="21"/>
                      <w:u w:val="single"/>
                    </w:rPr>
                  </w:pPr>
                  <w:r>
                    <w:rPr>
                      <w:b/>
                      <w:bCs/>
                      <w:szCs w:val="21"/>
                      <w:u w:val="single"/>
                    </w:rPr>
                    <w:t>厂房外</w:t>
                  </w:r>
                </w:p>
              </w:tc>
              <w:tc>
                <w:tcPr>
                  <w:tcW w:w="693" w:type="pct"/>
                  <w:tcBorders>
                    <w:top w:val="single" w:color="auto" w:sz="4" w:space="0"/>
                    <w:left w:val="single" w:color="auto" w:sz="4" w:space="0"/>
                    <w:bottom w:val="single" w:color="auto" w:sz="4" w:space="0"/>
                    <w:right w:val="single" w:color="auto" w:sz="4" w:space="0"/>
                  </w:tcBorders>
                  <w:vAlign w:val="center"/>
                </w:tcPr>
                <w:p w14:paraId="50F28156">
                  <w:pPr>
                    <w:jc w:val="center"/>
                    <w:textAlignment w:val="baseline"/>
                    <w:rPr>
                      <w:b/>
                      <w:bCs/>
                      <w:szCs w:val="21"/>
                      <w:u w:val="single"/>
                    </w:rPr>
                  </w:pPr>
                  <w:r>
                    <w:rPr>
                      <w:b/>
                      <w:bCs/>
                      <w:szCs w:val="21"/>
                      <w:u w:val="single"/>
                    </w:rPr>
                    <w:t>非甲烷总烃</w:t>
                  </w:r>
                </w:p>
              </w:tc>
              <w:tc>
                <w:tcPr>
                  <w:tcW w:w="572" w:type="pct"/>
                  <w:tcBorders>
                    <w:left w:val="single" w:color="auto" w:sz="4" w:space="0"/>
                    <w:right w:val="single" w:color="auto" w:sz="4" w:space="0"/>
                  </w:tcBorders>
                  <w:vAlign w:val="center"/>
                </w:tcPr>
                <w:p w14:paraId="0258AAF2">
                  <w:pPr>
                    <w:jc w:val="center"/>
                    <w:textAlignment w:val="baseline"/>
                    <w:rPr>
                      <w:b/>
                      <w:bCs/>
                      <w:szCs w:val="21"/>
                      <w:u w:val="single"/>
                    </w:rPr>
                  </w:pPr>
                  <w:r>
                    <w:rPr>
                      <w:b/>
                      <w:bCs/>
                      <w:szCs w:val="21"/>
                      <w:u w:val="single"/>
                    </w:rPr>
                    <w:t>1次/年</w:t>
                  </w:r>
                </w:p>
              </w:tc>
              <w:tc>
                <w:tcPr>
                  <w:tcW w:w="2367" w:type="pct"/>
                  <w:tcBorders>
                    <w:left w:val="single" w:color="auto" w:sz="4" w:space="0"/>
                    <w:right w:val="single" w:color="auto" w:sz="4" w:space="0"/>
                  </w:tcBorders>
                  <w:vAlign w:val="center"/>
                </w:tcPr>
                <w:p w14:paraId="1EA2AC34">
                  <w:pPr>
                    <w:jc w:val="center"/>
                    <w:textAlignment w:val="baseline"/>
                    <w:rPr>
                      <w:b/>
                      <w:bCs/>
                      <w:szCs w:val="21"/>
                      <w:u w:val="single"/>
                    </w:rPr>
                  </w:pPr>
                  <w:r>
                    <w:rPr>
                      <w:b/>
                      <w:bCs/>
                      <w:szCs w:val="21"/>
                      <w:u w:val="single"/>
                    </w:rPr>
                    <w:t>《挥发性有机物无组织排放控制标准》（GB37822-2019）</w:t>
                  </w:r>
                </w:p>
              </w:tc>
            </w:tr>
            <w:tr w14:paraId="05A6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345" w:type="pct"/>
                  <w:vMerge w:val="continue"/>
                  <w:tcBorders>
                    <w:left w:val="single" w:color="auto" w:sz="4" w:space="0"/>
                    <w:right w:val="single" w:color="auto" w:sz="4" w:space="0"/>
                  </w:tcBorders>
                  <w:vAlign w:val="center"/>
                </w:tcPr>
                <w:p w14:paraId="7BAA3AA2">
                  <w:pPr>
                    <w:jc w:val="center"/>
                    <w:textAlignment w:val="baseline"/>
                    <w:rPr>
                      <w:b/>
                      <w:bCs/>
                      <w:szCs w:val="21"/>
                      <w:u w:val="single"/>
                    </w:rPr>
                  </w:pPr>
                </w:p>
              </w:tc>
              <w:tc>
                <w:tcPr>
                  <w:tcW w:w="1021" w:type="pct"/>
                  <w:tcBorders>
                    <w:top w:val="single" w:color="auto" w:sz="4" w:space="0"/>
                    <w:left w:val="single" w:color="auto" w:sz="4" w:space="0"/>
                    <w:right w:val="single" w:color="auto" w:sz="4" w:space="0"/>
                  </w:tcBorders>
                  <w:vAlign w:val="center"/>
                </w:tcPr>
                <w:p w14:paraId="4C984F2A">
                  <w:pPr>
                    <w:jc w:val="center"/>
                    <w:textAlignment w:val="baseline"/>
                    <w:rPr>
                      <w:b/>
                      <w:bCs/>
                      <w:szCs w:val="21"/>
                      <w:u w:val="single"/>
                    </w:rPr>
                  </w:pPr>
                  <w:r>
                    <w:rPr>
                      <w:b/>
                      <w:bCs/>
                      <w:szCs w:val="21"/>
                      <w:u w:val="single"/>
                    </w:rPr>
                    <w:t>厂界上风向布设1个参照点，厂界下风向10米内布设3个监控点</w:t>
                  </w:r>
                </w:p>
              </w:tc>
              <w:tc>
                <w:tcPr>
                  <w:tcW w:w="693" w:type="pct"/>
                  <w:tcBorders>
                    <w:top w:val="single" w:color="auto" w:sz="4" w:space="0"/>
                    <w:left w:val="single" w:color="auto" w:sz="4" w:space="0"/>
                    <w:right w:val="single" w:color="auto" w:sz="4" w:space="0"/>
                  </w:tcBorders>
                  <w:vAlign w:val="center"/>
                </w:tcPr>
                <w:p w14:paraId="0A21D0E8">
                  <w:pPr>
                    <w:jc w:val="center"/>
                    <w:textAlignment w:val="baseline"/>
                    <w:rPr>
                      <w:b/>
                      <w:bCs/>
                      <w:szCs w:val="21"/>
                      <w:u w:val="single"/>
                    </w:rPr>
                  </w:pPr>
                  <w:r>
                    <w:rPr>
                      <w:b/>
                      <w:bCs/>
                      <w:szCs w:val="21"/>
                      <w:u w:val="single"/>
                    </w:rPr>
                    <w:t>非甲烷总烃、颗粒物</w:t>
                  </w:r>
                </w:p>
              </w:tc>
              <w:tc>
                <w:tcPr>
                  <w:tcW w:w="572" w:type="pct"/>
                  <w:tcBorders>
                    <w:left w:val="single" w:color="auto" w:sz="4" w:space="0"/>
                    <w:right w:val="single" w:color="auto" w:sz="4" w:space="0"/>
                  </w:tcBorders>
                  <w:vAlign w:val="center"/>
                </w:tcPr>
                <w:p w14:paraId="4E58152B">
                  <w:pPr>
                    <w:jc w:val="center"/>
                    <w:textAlignment w:val="baseline"/>
                    <w:rPr>
                      <w:b/>
                      <w:bCs/>
                      <w:szCs w:val="21"/>
                      <w:u w:val="single"/>
                    </w:rPr>
                  </w:pPr>
                  <w:r>
                    <w:rPr>
                      <w:b/>
                      <w:bCs/>
                      <w:szCs w:val="21"/>
                      <w:u w:val="single"/>
                    </w:rPr>
                    <w:t>1次/年</w:t>
                  </w:r>
                </w:p>
              </w:tc>
              <w:tc>
                <w:tcPr>
                  <w:tcW w:w="2367" w:type="pct"/>
                  <w:tcBorders>
                    <w:left w:val="single" w:color="auto" w:sz="4" w:space="0"/>
                    <w:right w:val="single" w:color="auto" w:sz="4" w:space="0"/>
                  </w:tcBorders>
                  <w:vAlign w:val="center"/>
                </w:tcPr>
                <w:p w14:paraId="2430F800">
                  <w:pPr>
                    <w:jc w:val="center"/>
                    <w:textAlignment w:val="baseline"/>
                    <w:rPr>
                      <w:b/>
                      <w:bCs/>
                      <w:szCs w:val="21"/>
                      <w:u w:val="single"/>
                    </w:rPr>
                  </w:pPr>
                  <w:r>
                    <w:rPr>
                      <w:b/>
                      <w:bCs/>
                      <w:szCs w:val="21"/>
                      <w:u w:val="single"/>
                    </w:rPr>
                    <w:t>《大气污染物综合排放标准》（GB16297-1996）表2二级标准要求、《关于全省开展工业企业挥发性有机物专项治理工作中排放建议值的通知》（豫环攻坚办</w:t>
                  </w:r>
                  <w:r>
                    <w:rPr>
                      <w:b/>
                      <w:bCs/>
                      <w:kern w:val="0"/>
                      <w:szCs w:val="21"/>
                      <w:u w:val="single"/>
                    </w:rPr>
                    <w:t>〔2017〕</w:t>
                  </w:r>
                  <w:r>
                    <w:rPr>
                      <w:b/>
                      <w:bCs/>
                      <w:szCs w:val="21"/>
                      <w:u w:val="single"/>
                    </w:rPr>
                    <w:t>162号）要求</w:t>
                  </w:r>
                </w:p>
              </w:tc>
            </w:tr>
          </w:tbl>
          <w:p w14:paraId="6F3706AF">
            <w:pPr>
              <w:pStyle w:val="32"/>
              <w:numPr>
                <w:ilvl w:val="0"/>
                <w:numId w:val="15"/>
              </w:numPr>
              <w:adjustRightInd w:val="0"/>
              <w:snapToGrid w:val="0"/>
              <w:spacing w:line="360" w:lineRule="auto"/>
              <w:ind w:firstLineChars="0"/>
              <w:rPr>
                <w:b/>
                <w:spacing w:val="-10"/>
                <w:sz w:val="24"/>
              </w:rPr>
            </w:pPr>
            <w:r>
              <w:rPr>
                <w:b/>
                <w:spacing w:val="-10"/>
                <w:sz w:val="24"/>
              </w:rPr>
              <w:t>大气环境影响分析</w:t>
            </w:r>
          </w:p>
          <w:p w14:paraId="2D084922">
            <w:pPr>
              <w:spacing w:line="360" w:lineRule="auto"/>
              <w:ind w:firstLine="480" w:firstLineChars="200"/>
              <w:rPr>
                <w:sz w:val="24"/>
              </w:rPr>
            </w:pPr>
            <w:r>
              <w:rPr>
                <w:sz w:val="24"/>
              </w:rPr>
              <w:t>本项目废气主要为非甲烷总烃和颗粒物，建设有全封闭拆解车间、危废暂存间等，主要产气工序均设有废气收集措施及处理措施，废气经处理后可经排气筒达标排放，对周围环境影响较小；厂址周边500m范围内除西侧约130m处的农技推广站和西侧约180m的税务局、280m的民权县公安交通警察大队人和中队外无其他居住点、学校等大气敏感点分布，本项目与该两处敏感点之间分布有道路、农田，且本项目建设有全封闭厂房，设置有废气处理装置，对周围区域环境影响较小。因此，企业在做好日常管理工作、废气处理设施设备正常运作情况下，项目废气对周围环境影响不大。</w:t>
            </w:r>
          </w:p>
          <w:p w14:paraId="31EA6403">
            <w:pPr>
              <w:adjustRightInd w:val="0"/>
              <w:snapToGrid w:val="0"/>
              <w:spacing w:line="360" w:lineRule="auto"/>
              <w:ind w:firstLine="442" w:firstLineChars="200"/>
            </w:pPr>
            <w:r>
              <w:rPr>
                <w:b/>
                <w:spacing w:val="-10"/>
                <w:sz w:val="24"/>
              </w:rPr>
              <w:t>二、废水</w:t>
            </w:r>
          </w:p>
          <w:p w14:paraId="080B8595">
            <w:pPr>
              <w:spacing w:line="360" w:lineRule="auto"/>
              <w:ind w:firstLine="482" w:firstLineChars="200"/>
              <w:rPr>
                <w:b/>
                <w:bCs/>
                <w:sz w:val="24"/>
              </w:rPr>
            </w:pPr>
            <w:r>
              <w:rPr>
                <w:b/>
                <w:bCs/>
                <w:sz w:val="24"/>
              </w:rPr>
              <w:t>1、废水产排污情况</w:t>
            </w:r>
          </w:p>
          <w:p w14:paraId="3D106B56">
            <w:pPr>
              <w:spacing w:line="360" w:lineRule="auto"/>
              <w:ind w:firstLine="480" w:firstLineChars="200"/>
            </w:pPr>
            <w:r>
              <w:rPr>
                <w:sz w:val="24"/>
              </w:rPr>
              <w:t>（1）生活污水</w:t>
            </w:r>
          </w:p>
          <w:p w14:paraId="39F2A3A6">
            <w:pPr>
              <w:pStyle w:val="14"/>
              <w:spacing w:before="0" w:after="0" w:line="360" w:lineRule="auto"/>
              <w:ind w:right="0" w:firstLine="480" w:firstLineChars="200"/>
              <w:rPr>
                <w:szCs w:val="24"/>
              </w:rPr>
            </w:pPr>
            <w:r>
              <w:rPr>
                <w:szCs w:val="24"/>
              </w:rPr>
              <w:t>本项目废水主要为职工生活污水。本项目定员5人，年工作时间150天，均不在厂区食宿，参照《工业与城镇生活用水定额》（DB41/T385-2020），职工生活用水量按50L/人·d计，则项目员工日用水量合计为0.25m</w:t>
            </w:r>
            <w:r>
              <w:rPr>
                <w:szCs w:val="24"/>
                <w:vertAlign w:val="superscript"/>
              </w:rPr>
              <w:t>3</w:t>
            </w:r>
            <w:r>
              <w:rPr>
                <w:szCs w:val="24"/>
              </w:rPr>
              <w:t>/d，即员工生活用水年用量为37.5m</w:t>
            </w:r>
            <w:r>
              <w:rPr>
                <w:szCs w:val="24"/>
                <w:vertAlign w:val="superscript"/>
              </w:rPr>
              <w:t>3</w:t>
            </w:r>
            <w:r>
              <w:rPr>
                <w:szCs w:val="24"/>
              </w:rPr>
              <w:t>/a。生活污水产生系数为0.8，则生活污水产生量为0.2m</w:t>
            </w:r>
            <w:r>
              <w:rPr>
                <w:szCs w:val="24"/>
                <w:vertAlign w:val="superscript"/>
              </w:rPr>
              <w:t>3</w:t>
            </w:r>
            <w:r>
              <w:rPr>
                <w:szCs w:val="24"/>
              </w:rPr>
              <w:t>/d（即30m</w:t>
            </w:r>
            <w:r>
              <w:rPr>
                <w:szCs w:val="24"/>
                <w:vertAlign w:val="superscript"/>
              </w:rPr>
              <w:t>3</w:t>
            </w:r>
            <w:r>
              <w:rPr>
                <w:szCs w:val="24"/>
              </w:rPr>
              <w:t>/a）。生活污水中主要污染物为COD、BOD</w:t>
            </w:r>
            <w:r>
              <w:rPr>
                <w:szCs w:val="24"/>
                <w:vertAlign w:val="subscript"/>
              </w:rPr>
              <w:t>5</w:t>
            </w:r>
            <w:r>
              <w:rPr>
                <w:szCs w:val="24"/>
              </w:rPr>
              <w:t>、氨氮、SS等，产生浓度分别为COD250mg/L，BOD</w:t>
            </w:r>
            <w:r>
              <w:rPr>
                <w:szCs w:val="24"/>
                <w:vertAlign w:val="subscript"/>
              </w:rPr>
              <w:t>5</w:t>
            </w:r>
            <w:r>
              <w:rPr>
                <w:szCs w:val="24"/>
              </w:rPr>
              <w:t>180mg/L，氨氮30mg/L，SS200mg/L。建设单位建设1座10m</w:t>
            </w:r>
            <w:r>
              <w:rPr>
                <w:szCs w:val="24"/>
                <w:vertAlign w:val="superscript"/>
              </w:rPr>
              <w:t>3</w:t>
            </w:r>
            <w:r>
              <w:rPr>
                <w:szCs w:val="24"/>
              </w:rPr>
              <w:t>化粪池，项目产生的生活污水经化粪池暂存后，定期清掏，外运肥田。</w:t>
            </w:r>
          </w:p>
          <w:p w14:paraId="2C7CF63E">
            <w:pPr>
              <w:spacing w:line="360" w:lineRule="auto"/>
              <w:ind w:firstLine="480" w:firstLineChars="200"/>
            </w:pPr>
            <w:r>
              <w:rPr>
                <w:sz w:val="24"/>
              </w:rPr>
              <w:t>（2）初期雨水</w:t>
            </w:r>
          </w:p>
          <w:p w14:paraId="50FF6152">
            <w:pPr>
              <w:spacing w:line="360" w:lineRule="auto"/>
              <w:ind w:firstLine="480" w:firstLineChars="200"/>
              <w:rPr>
                <w:sz w:val="24"/>
              </w:rPr>
            </w:pPr>
            <w:r>
              <w:rPr>
                <w:sz w:val="24"/>
              </w:rPr>
              <w:t>项目主要拆解及拆解物暂存车间均设在密闭的标准化厂房内。首先对入厂农机进行检查，对出现泄漏的总成部件，采用专用的泄漏收集盘用于接收并收集泄漏的液体或者在泄漏点周围放置吸油垫快速吸收泄漏的液体，各类废油液进行分类收集后采用专用容器进行封存和转移，因此不存在泄露废油液。根据核算，需收集的初期雨水汇水面积按2860m</w:t>
            </w:r>
            <w:r>
              <w:rPr>
                <w:sz w:val="24"/>
                <w:vertAlign w:val="superscript"/>
              </w:rPr>
              <w:t>2</w:t>
            </w:r>
            <w:r>
              <w:rPr>
                <w:sz w:val="24"/>
              </w:rPr>
              <w:t>计，项目厂址所在地属于北方地区，年降雨量较少。根据给排水涉及规范推荐的暴雨强度计算方法，河南省暴雨强度的计算公式如下：</w:t>
            </w:r>
          </w:p>
          <w:p w14:paraId="7045547D">
            <w:pPr>
              <w:spacing w:line="360" w:lineRule="auto"/>
              <w:jc w:val="center"/>
              <w:rPr>
                <w:iCs/>
                <w:sz w:val="24"/>
              </w:rPr>
            </w:pPr>
            <w:r>
              <w:rPr>
                <w:b/>
                <w:bCs/>
                <w:iCs/>
                <w:position w:val="-24"/>
                <w:sz w:val="24"/>
              </w:rPr>
              <w:object>
                <v:shape id="_x0000_i1026" o:spt="75" type="#_x0000_t75" style="height:30.7pt;width:119.6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p>
          <w:p w14:paraId="2EC7271D">
            <w:pPr>
              <w:spacing w:line="360" w:lineRule="auto"/>
              <w:ind w:firstLine="480" w:firstLineChars="200"/>
              <w:rPr>
                <w:sz w:val="24"/>
              </w:rPr>
            </w:pPr>
            <w:r>
              <w:rPr>
                <w:sz w:val="24"/>
              </w:rPr>
              <w:t>其中：</w:t>
            </w:r>
            <w:r>
              <w:rPr>
                <w:i/>
                <w:iCs/>
                <w:sz w:val="24"/>
              </w:rPr>
              <w:t>q</w:t>
            </w:r>
            <w:r>
              <w:rPr>
                <w:sz w:val="24"/>
              </w:rPr>
              <w:t>—暴雨强度，L/s·ha；</w:t>
            </w:r>
          </w:p>
          <w:p w14:paraId="29344600">
            <w:pPr>
              <w:spacing w:line="360" w:lineRule="auto"/>
              <w:ind w:firstLine="480" w:firstLineChars="200"/>
              <w:rPr>
                <w:sz w:val="24"/>
              </w:rPr>
            </w:pPr>
            <w:r>
              <w:rPr>
                <w:i/>
                <w:iCs/>
                <w:sz w:val="24"/>
              </w:rPr>
              <w:t>P</w:t>
            </w:r>
            <w:r>
              <w:rPr>
                <w:sz w:val="24"/>
              </w:rPr>
              <w:t>—设计重现期，取2年；</w:t>
            </w:r>
          </w:p>
          <w:p w14:paraId="556E25E5">
            <w:pPr>
              <w:spacing w:line="360" w:lineRule="auto"/>
              <w:ind w:firstLine="480" w:firstLineChars="200"/>
              <w:rPr>
                <w:sz w:val="24"/>
              </w:rPr>
            </w:pPr>
            <w:r>
              <w:rPr>
                <w:i/>
                <w:iCs/>
                <w:sz w:val="24"/>
              </w:rPr>
              <w:t>t</w:t>
            </w:r>
            <w:r>
              <w:rPr>
                <w:sz w:val="24"/>
              </w:rPr>
              <w:t>--降雨历时，取初期10min。</w:t>
            </w:r>
          </w:p>
          <w:p w14:paraId="7DB0AF5C">
            <w:pPr>
              <w:spacing w:line="360" w:lineRule="auto"/>
              <w:ind w:firstLine="480" w:firstLineChars="200"/>
              <w:rPr>
                <w:sz w:val="24"/>
              </w:rPr>
            </w:pPr>
            <w:r>
              <w:rPr>
                <w:sz w:val="24"/>
              </w:rPr>
              <w:t>根据当地最大暴雨强度和项目汇水面积2860m</w:t>
            </w:r>
            <w:r>
              <w:rPr>
                <w:sz w:val="24"/>
                <w:vertAlign w:val="superscript"/>
              </w:rPr>
              <w:t>2</w:t>
            </w:r>
            <w:r>
              <w:rPr>
                <w:sz w:val="24"/>
              </w:rPr>
              <w:t>（0.286ha）、q=278L/s·ha计算，则初期雨水产生量约为48m</w:t>
            </w:r>
            <w:r>
              <w:rPr>
                <w:sz w:val="24"/>
                <w:vertAlign w:val="superscript"/>
              </w:rPr>
              <w:t>3</w:t>
            </w:r>
            <w:r>
              <w:rPr>
                <w:sz w:val="24"/>
              </w:rPr>
              <w:t>/次，</w:t>
            </w:r>
            <w:r>
              <w:rPr>
                <w:rFonts w:hint="eastAsia"/>
                <w:sz w:val="24"/>
              </w:rPr>
              <w:t>产生水质为COD150mg/L、SS250mg/L、石油类40mg/L。该部分初期雨水不能随其他雨水一起排放，收集至前期雨水收集池（</w:t>
            </w:r>
            <w:r>
              <w:rPr>
                <w:sz w:val="24"/>
              </w:rPr>
              <w:t>60</w:t>
            </w:r>
            <w:r>
              <w:rPr>
                <w:rFonts w:hint="eastAsia"/>
                <w:sz w:val="24"/>
              </w:rPr>
              <w:t>m</w:t>
            </w:r>
            <w:r>
              <w:rPr>
                <w:rFonts w:hint="eastAsia"/>
                <w:sz w:val="24"/>
                <w:vertAlign w:val="superscript"/>
              </w:rPr>
              <w:t>3</w:t>
            </w:r>
            <w:r>
              <w:rPr>
                <w:rFonts w:hint="eastAsia"/>
                <w:sz w:val="24"/>
              </w:rPr>
              <w:t>）内。</w:t>
            </w:r>
          </w:p>
          <w:p w14:paraId="7E444F35">
            <w:pPr>
              <w:spacing w:line="360" w:lineRule="auto"/>
              <w:ind w:firstLine="480" w:firstLineChars="200"/>
              <w:rPr>
                <w:sz w:val="24"/>
              </w:rPr>
            </w:pPr>
            <w:r>
              <w:rPr>
                <w:rFonts w:hint="eastAsia"/>
                <w:sz w:val="24"/>
              </w:rPr>
              <w:t>本项目采用雨污分流制，雨水沟设为明渠，根据厂区所在区域地势并结合项目平面布置铺设雨水管道。在初期雨水收集池进口设置油水分离器，在收集池雨水入口设置1个三通阀门，通过控制阀门使初期雨水流向初期雨水收集池，收集的初期雨水经油水分离器分离及沉淀后用于厂区洒水抑尘；1</w:t>
            </w:r>
            <w:r>
              <w:rPr>
                <w:sz w:val="24"/>
              </w:rPr>
              <w:t>0</w:t>
            </w:r>
            <w:r>
              <w:rPr>
                <w:rFonts w:hint="eastAsia"/>
                <w:sz w:val="24"/>
              </w:rPr>
              <w:t>min后关闭初期雨水管阀门，打开进雨水管阀门，使中后期雨水经雨水明渠排至雨水管道中。</w:t>
            </w:r>
          </w:p>
          <w:p w14:paraId="1D9FAEF3">
            <w:pPr>
              <w:spacing w:line="360" w:lineRule="auto"/>
              <w:ind w:firstLine="482" w:firstLineChars="200"/>
              <w:rPr>
                <w:b/>
                <w:bCs/>
                <w:sz w:val="24"/>
              </w:rPr>
            </w:pPr>
            <w:r>
              <w:rPr>
                <w:b/>
                <w:bCs/>
                <w:sz w:val="24"/>
              </w:rPr>
              <w:t>2、废水综合利用可行性分析</w:t>
            </w:r>
          </w:p>
          <w:p w14:paraId="12075C26">
            <w:pPr>
              <w:pStyle w:val="14"/>
              <w:numPr>
                <w:ilvl w:val="0"/>
                <w:numId w:val="17"/>
              </w:numPr>
              <w:spacing w:before="0" w:after="0" w:line="360" w:lineRule="auto"/>
              <w:ind w:firstLine="480" w:firstLineChars="200"/>
            </w:pPr>
            <w:r>
              <w:t>项目生活污水外运肥田的可行性分析</w:t>
            </w:r>
          </w:p>
          <w:p w14:paraId="3F66D64D">
            <w:pPr>
              <w:spacing w:line="360" w:lineRule="auto"/>
              <w:ind w:firstLine="480" w:firstLineChars="200"/>
              <w:rPr>
                <w:sz w:val="24"/>
              </w:rPr>
            </w:pPr>
            <w:r>
              <w:rPr>
                <w:sz w:val="24"/>
              </w:rPr>
              <w:t>项目营运期生活污水产生量为0.2m</w:t>
            </w:r>
            <w:r>
              <w:rPr>
                <w:sz w:val="24"/>
                <w:vertAlign w:val="superscript"/>
              </w:rPr>
              <w:t>3</w:t>
            </w:r>
            <w:r>
              <w:rPr>
                <w:sz w:val="24"/>
              </w:rPr>
              <w:t>/d，生活污水中COD浓度约250mg/L、BOD</w:t>
            </w:r>
            <w:r>
              <w:rPr>
                <w:sz w:val="24"/>
                <w:vertAlign w:val="subscript"/>
              </w:rPr>
              <w:t>5</w:t>
            </w:r>
            <w:r>
              <w:rPr>
                <w:sz w:val="24"/>
              </w:rPr>
              <w:t>浓度约为180mg/L、NH</w:t>
            </w:r>
            <w:r>
              <w:rPr>
                <w:sz w:val="24"/>
                <w:vertAlign w:val="subscript"/>
              </w:rPr>
              <w:t>3</w:t>
            </w:r>
            <w:r>
              <w:rPr>
                <w:sz w:val="24"/>
              </w:rPr>
              <w:t>-N浓度约为30mg/L、SS浓度约为200mg/L，生活污水经10m</w:t>
            </w:r>
            <w:r>
              <w:rPr>
                <w:sz w:val="24"/>
                <w:vertAlign w:val="superscript"/>
              </w:rPr>
              <w:t>3</w:t>
            </w:r>
            <w:r>
              <w:rPr>
                <w:sz w:val="24"/>
              </w:rPr>
              <w:t>化粪池暂存后，定期清掏，外运肥田。</w:t>
            </w:r>
          </w:p>
          <w:p w14:paraId="67382029">
            <w:pPr>
              <w:spacing w:line="360" w:lineRule="auto"/>
              <w:ind w:firstLine="480" w:firstLineChars="200"/>
              <w:rPr>
                <w:sz w:val="24"/>
              </w:rPr>
            </w:pPr>
            <w:r>
              <w:rPr>
                <w:sz w:val="24"/>
              </w:rPr>
              <w:t>根据现场调查，项目所在地北侧为农田，占地约42hm²，主要种植农作物为小麦和玉米，能够消纳项目产生的生活污水，因此项目生活污水经化粪池暂存后，由附近村民定期清掏，外运肥田是可行的。</w:t>
            </w:r>
          </w:p>
          <w:p w14:paraId="6F36BD14">
            <w:pPr>
              <w:pStyle w:val="14"/>
              <w:tabs>
                <w:tab w:val="left" w:pos="5727"/>
              </w:tabs>
              <w:spacing w:before="0" w:after="0" w:line="360" w:lineRule="auto"/>
              <w:ind w:right="0" w:firstLine="480" w:firstLineChars="200"/>
            </w:pPr>
            <w:r>
              <w:rPr>
                <w:szCs w:val="24"/>
              </w:rPr>
              <w:t>（2）初期雨水用作厂区地面洒水可行性分析</w:t>
            </w:r>
          </w:p>
          <w:p w14:paraId="22008F98">
            <w:pPr>
              <w:spacing w:line="360" w:lineRule="auto"/>
              <w:ind w:firstLine="480" w:firstLineChars="200"/>
              <w:rPr>
                <w:sz w:val="24"/>
              </w:rPr>
            </w:pPr>
            <w:r>
              <w:rPr>
                <w:rFonts w:hint="eastAsia"/>
                <w:sz w:val="24"/>
              </w:rPr>
              <w:t>本项目收集的初期雨水经油水分离器分离及沉淀后用于厂区洒水抑尘</w:t>
            </w:r>
            <w:r>
              <w:rPr>
                <w:sz w:val="24"/>
              </w:rPr>
              <w:t>初</w:t>
            </w:r>
            <w:r>
              <w:rPr>
                <w:rFonts w:hint="eastAsia"/>
                <w:sz w:val="24"/>
              </w:rPr>
              <w:t>。</w:t>
            </w:r>
            <w:r>
              <w:rPr>
                <w:sz w:val="24"/>
              </w:rPr>
              <w:t>根据《建筑给水排水设计标准》（GB50015-2019）洒水降尘按照3L/m</w:t>
            </w:r>
            <w:r>
              <w:rPr>
                <w:sz w:val="24"/>
                <w:vertAlign w:val="superscript"/>
              </w:rPr>
              <w:t>2</w:t>
            </w:r>
            <w:r>
              <w:rPr>
                <w:sz w:val="24"/>
              </w:rPr>
              <w:t>·次，</w:t>
            </w:r>
            <w:r>
              <w:rPr>
                <w:rFonts w:hint="eastAsia"/>
                <w:sz w:val="24"/>
              </w:rPr>
              <w:t>生产车间外</w:t>
            </w:r>
            <w:r>
              <w:rPr>
                <w:sz w:val="24"/>
              </w:rPr>
              <w:t>可回用洒水降尘面积约2000m</w:t>
            </w:r>
            <w:r>
              <w:rPr>
                <w:sz w:val="24"/>
                <w:vertAlign w:val="superscript"/>
              </w:rPr>
              <w:t>2</w:t>
            </w:r>
            <w:r>
              <w:rPr>
                <w:sz w:val="24"/>
              </w:rPr>
              <w:t>，洒水</w:t>
            </w:r>
            <w:r>
              <w:rPr>
                <w:rFonts w:hint="eastAsia"/>
                <w:sz w:val="24"/>
              </w:rPr>
              <w:t>抑尘用水</w:t>
            </w:r>
            <w:r>
              <w:rPr>
                <w:sz w:val="24"/>
              </w:rPr>
              <w:t>消耗量为6t</w:t>
            </w:r>
            <w:r>
              <w:rPr>
                <w:rFonts w:hint="eastAsia"/>
                <w:sz w:val="24"/>
              </w:rPr>
              <w:t>，本项目初期雨水收集量约4</w:t>
            </w:r>
            <w:r>
              <w:rPr>
                <w:sz w:val="24"/>
              </w:rPr>
              <w:t>8</w:t>
            </w:r>
            <w:r>
              <w:rPr>
                <w:rFonts w:hint="eastAsia"/>
                <w:sz w:val="24"/>
              </w:rPr>
              <w:t>m</w:t>
            </w:r>
            <w:r>
              <w:rPr>
                <w:sz w:val="24"/>
                <w:vertAlign w:val="superscript"/>
              </w:rPr>
              <w:t>3</w:t>
            </w:r>
            <w:r>
              <w:rPr>
                <w:rFonts w:hint="eastAsia"/>
                <w:sz w:val="24"/>
              </w:rPr>
              <w:t>，因此厂区外洒水抑尘可以消纳产生的初期雨水。</w:t>
            </w:r>
          </w:p>
          <w:p w14:paraId="0A918048">
            <w:pPr>
              <w:spacing w:line="360" w:lineRule="auto"/>
              <w:ind w:firstLine="482" w:firstLineChars="200"/>
              <w:rPr>
                <w:b/>
                <w:bCs/>
                <w:sz w:val="24"/>
              </w:rPr>
            </w:pPr>
            <w:r>
              <w:rPr>
                <w:b/>
                <w:bCs/>
                <w:sz w:val="24"/>
              </w:rPr>
              <w:t>三、噪声</w:t>
            </w:r>
          </w:p>
          <w:p w14:paraId="0AF2F744">
            <w:pPr>
              <w:pStyle w:val="14"/>
              <w:spacing w:before="0" w:after="0" w:line="360" w:lineRule="auto"/>
              <w:ind w:right="0" w:firstLine="482" w:firstLineChars="200"/>
              <w:rPr>
                <w:b/>
                <w:bCs/>
                <w:szCs w:val="24"/>
              </w:rPr>
            </w:pPr>
            <w:r>
              <w:rPr>
                <w:b/>
                <w:bCs/>
                <w:szCs w:val="24"/>
              </w:rPr>
              <w:t>1、噪声源强</w:t>
            </w:r>
          </w:p>
          <w:p w14:paraId="2604AC85">
            <w:pPr>
              <w:spacing w:line="360" w:lineRule="auto"/>
              <w:ind w:firstLine="480" w:firstLineChars="200"/>
              <w:rPr>
                <w:sz w:val="24"/>
              </w:rPr>
            </w:pPr>
            <w:r>
              <w:rPr>
                <w:sz w:val="24"/>
              </w:rPr>
              <w:t>本项目运行期间产生的噪声包括：拆解机械发出的机械噪声和手工拆解产生的噪声。其中，废旧农机搬运产生的噪声属于偶发性噪声（比如落地、放倒等产生的噪声），本项目发声区域是集中在车间内，对外环境的影响不大；本项目文明拆解，人工手工拆解使用的器具也非常专业，因此人工拆解噪声非常小，因此由本项目运行而增量的交通噪声对外环境的影响可以忽略。</w:t>
            </w:r>
          </w:p>
          <w:p w14:paraId="1C5B225E">
            <w:pPr>
              <w:spacing w:line="360" w:lineRule="auto"/>
              <w:ind w:firstLine="480" w:firstLineChars="200"/>
            </w:pPr>
            <w:r>
              <w:rPr>
                <w:sz w:val="24"/>
              </w:rPr>
              <w:t>综上所述，本项目主要分析拆解设备运行时产生的机械噪声对外环境造成的影响。通过同类项目类比调查，本项目高噪声设备噪声强度在75～85dB（A）之间。项目主要噪声设备见下表。</w:t>
            </w:r>
          </w:p>
        </w:tc>
      </w:tr>
    </w:tbl>
    <w:p w14:paraId="569A0B97">
      <w:pPr>
        <w:adjustRightInd w:val="0"/>
        <w:snapToGrid w:val="0"/>
        <w:spacing w:line="360" w:lineRule="auto"/>
        <w:rPr>
          <w:b/>
          <w:kern w:val="0"/>
          <w:sz w:val="28"/>
          <w:szCs w:val="28"/>
        </w:rPr>
        <w:sectPr>
          <w:pgSz w:w="11907" w:h="16840"/>
          <w:pgMar w:top="1701" w:right="1531" w:bottom="2127" w:left="1531" w:header="851" w:footer="851" w:gutter="0"/>
          <w:cols w:space="720" w:num="1"/>
          <w:docGrid w:linePitch="312" w:charSpace="0"/>
        </w:sectPr>
      </w:pPr>
    </w:p>
    <w:tbl>
      <w:tblPr>
        <w:tblStyle w:val="23"/>
        <w:tblW w:w="143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87"/>
        <w:gridCol w:w="13983"/>
      </w:tblGrid>
      <w:tr w14:paraId="65EDC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387" w:type="dxa"/>
            <w:tcBorders>
              <w:right w:val="single" w:color="auto" w:sz="4" w:space="0"/>
            </w:tcBorders>
            <w:tcMar>
              <w:left w:w="28" w:type="dxa"/>
              <w:right w:w="28" w:type="dxa"/>
            </w:tcMar>
            <w:vAlign w:val="center"/>
          </w:tcPr>
          <w:p w14:paraId="6EBB8515">
            <w:pPr>
              <w:jc w:val="center"/>
              <w:rPr>
                <w:sz w:val="24"/>
                <w:szCs w:val="32"/>
              </w:rPr>
            </w:pPr>
            <w:r>
              <w:rPr>
                <w:bCs/>
                <w:sz w:val="24"/>
                <w:szCs w:val="32"/>
              </w:rPr>
              <w:t>运营期环境影响和保护措施</w:t>
            </w:r>
            <w:r>
              <w:rPr>
                <w:bCs/>
                <w:sz w:val="24"/>
                <w:szCs w:val="32"/>
              </w:rPr>
              <w:br w:type="page"/>
            </w:r>
          </w:p>
        </w:tc>
        <w:tc>
          <w:tcPr>
            <w:tcW w:w="13983" w:type="dxa"/>
            <w:tcBorders>
              <w:top w:val="single" w:color="auto" w:sz="4" w:space="0"/>
              <w:left w:val="single" w:color="auto" w:sz="4" w:space="0"/>
              <w:bottom w:val="single" w:color="auto" w:sz="4" w:space="0"/>
              <w:right w:val="single" w:color="auto" w:sz="4" w:space="0"/>
            </w:tcBorders>
            <w:vAlign w:val="center"/>
          </w:tcPr>
          <w:p w14:paraId="2AED5FAE">
            <w:pPr>
              <w:jc w:val="center"/>
              <w:rPr>
                <w:b/>
                <w:spacing w:val="-10"/>
                <w:sz w:val="24"/>
                <w:szCs w:val="32"/>
              </w:rPr>
            </w:pPr>
            <w:r>
              <w:rPr>
                <w:b/>
                <w:sz w:val="24"/>
                <w:szCs w:val="32"/>
              </w:rPr>
              <w:t>表2</w:t>
            </w:r>
            <w:r>
              <w:rPr>
                <w:rFonts w:hint="eastAsia"/>
                <w:b/>
                <w:sz w:val="24"/>
                <w:szCs w:val="32"/>
              </w:rPr>
              <w:t>7</w:t>
            </w:r>
            <w:r>
              <w:rPr>
                <w:b/>
                <w:sz w:val="24"/>
                <w:szCs w:val="32"/>
              </w:rPr>
              <w:t xml:space="preserve">   本项目噪声设备源强一览表   单位：dB(A)</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7"/>
              <w:gridCol w:w="470"/>
              <w:gridCol w:w="1275"/>
              <w:gridCol w:w="584"/>
              <w:gridCol w:w="645"/>
              <w:gridCol w:w="1005"/>
              <w:gridCol w:w="450"/>
              <w:gridCol w:w="435"/>
              <w:gridCol w:w="465"/>
              <w:gridCol w:w="420"/>
              <w:gridCol w:w="420"/>
              <w:gridCol w:w="450"/>
              <w:gridCol w:w="412"/>
              <w:gridCol w:w="465"/>
              <w:gridCol w:w="465"/>
              <w:gridCol w:w="495"/>
              <w:gridCol w:w="450"/>
              <w:gridCol w:w="495"/>
              <w:gridCol w:w="360"/>
              <w:gridCol w:w="360"/>
              <w:gridCol w:w="360"/>
              <w:gridCol w:w="360"/>
              <w:gridCol w:w="466"/>
              <w:gridCol w:w="466"/>
              <w:gridCol w:w="451"/>
              <w:gridCol w:w="486"/>
              <w:gridCol w:w="780"/>
            </w:tblGrid>
            <w:tr w14:paraId="5F8D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67" w:type="dxa"/>
                  <w:vMerge w:val="restart"/>
                  <w:tcBorders>
                    <w:tl2br w:val="nil"/>
                    <w:tr2bl w:val="nil"/>
                  </w:tcBorders>
                  <w:vAlign w:val="center"/>
                </w:tcPr>
                <w:p w14:paraId="6F7C6329">
                  <w:pPr>
                    <w:jc w:val="center"/>
                    <w:rPr>
                      <w:bCs/>
                      <w:szCs w:val="21"/>
                    </w:rPr>
                  </w:pPr>
                  <w:r>
                    <w:rPr>
                      <w:bCs/>
                      <w:szCs w:val="21"/>
                    </w:rPr>
                    <w:t>序号</w:t>
                  </w:r>
                </w:p>
              </w:tc>
              <w:tc>
                <w:tcPr>
                  <w:tcW w:w="470" w:type="dxa"/>
                  <w:vMerge w:val="restart"/>
                  <w:tcBorders>
                    <w:tl2br w:val="nil"/>
                    <w:tr2bl w:val="nil"/>
                  </w:tcBorders>
                  <w:vAlign w:val="center"/>
                </w:tcPr>
                <w:p w14:paraId="11F50AA4">
                  <w:pPr>
                    <w:jc w:val="center"/>
                    <w:rPr>
                      <w:bCs/>
                      <w:szCs w:val="21"/>
                    </w:rPr>
                  </w:pPr>
                  <w:r>
                    <w:rPr>
                      <w:bCs/>
                      <w:szCs w:val="21"/>
                    </w:rPr>
                    <w:t>建筑物名称</w:t>
                  </w:r>
                </w:p>
              </w:tc>
              <w:tc>
                <w:tcPr>
                  <w:tcW w:w="1275" w:type="dxa"/>
                  <w:vMerge w:val="restart"/>
                  <w:tcBorders>
                    <w:tl2br w:val="nil"/>
                    <w:tr2bl w:val="nil"/>
                  </w:tcBorders>
                  <w:vAlign w:val="center"/>
                </w:tcPr>
                <w:p w14:paraId="00A5FB0A">
                  <w:pPr>
                    <w:pStyle w:val="40"/>
                    <w:jc w:val="center"/>
                    <w:rPr>
                      <w:bCs/>
                      <w:szCs w:val="21"/>
                    </w:rPr>
                  </w:pPr>
                  <w:r>
                    <w:rPr>
                      <w:bCs/>
                      <w:szCs w:val="21"/>
                    </w:rPr>
                    <w:t>声源</w:t>
                  </w:r>
                </w:p>
                <w:p w14:paraId="7A9C70B7">
                  <w:pPr>
                    <w:pStyle w:val="40"/>
                    <w:jc w:val="center"/>
                    <w:rPr>
                      <w:bCs/>
                      <w:szCs w:val="21"/>
                    </w:rPr>
                  </w:pPr>
                  <w:r>
                    <w:rPr>
                      <w:bCs/>
                      <w:szCs w:val="21"/>
                    </w:rPr>
                    <w:t>名称</w:t>
                  </w:r>
                </w:p>
              </w:tc>
              <w:tc>
                <w:tcPr>
                  <w:tcW w:w="584" w:type="dxa"/>
                  <w:vMerge w:val="restart"/>
                  <w:tcBorders>
                    <w:tl2br w:val="nil"/>
                    <w:tr2bl w:val="nil"/>
                  </w:tcBorders>
                  <w:vAlign w:val="center"/>
                </w:tcPr>
                <w:p w14:paraId="5E9D24A0">
                  <w:pPr>
                    <w:jc w:val="center"/>
                    <w:rPr>
                      <w:bCs/>
                      <w:szCs w:val="21"/>
                    </w:rPr>
                  </w:pPr>
                  <w:r>
                    <w:rPr>
                      <w:bCs/>
                      <w:szCs w:val="21"/>
                    </w:rPr>
                    <w:t>数量（台）</w:t>
                  </w:r>
                </w:p>
              </w:tc>
              <w:tc>
                <w:tcPr>
                  <w:tcW w:w="645" w:type="dxa"/>
                  <w:vMerge w:val="restart"/>
                  <w:tcBorders>
                    <w:tl2br w:val="nil"/>
                    <w:tr2bl w:val="nil"/>
                  </w:tcBorders>
                  <w:vAlign w:val="center"/>
                </w:tcPr>
                <w:p w14:paraId="4D92F527">
                  <w:pPr>
                    <w:pStyle w:val="40"/>
                    <w:jc w:val="center"/>
                    <w:rPr>
                      <w:bCs/>
                      <w:szCs w:val="21"/>
                    </w:rPr>
                  </w:pPr>
                  <w:r>
                    <w:rPr>
                      <w:bCs/>
                      <w:szCs w:val="21"/>
                    </w:rPr>
                    <w:t>声源</w:t>
                  </w:r>
                </w:p>
                <w:p w14:paraId="19D3A9A5">
                  <w:pPr>
                    <w:pStyle w:val="40"/>
                    <w:jc w:val="center"/>
                    <w:rPr>
                      <w:bCs/>
                      <w:szCs w:val="21"/>
                    </w:rPr>
                  </w:pPr>
                  <w:r>
                    <w:rPr>
                      <w:bCs/>
                      <w:szCs w:val="21"/>
                    </w:rPr>
                    <w:t>源强/dB(A)</w:t>
                  </w:r>
                </w:p>
              </w:tc>
              <w:tc>
                <w:tcPr>
                  <w:tcW w:w="1005" w:type="dxa"/>
                  <w:vMerge w:val="restart"/>
                  <w:tcBorders>
                    <w:tl2br w:val="nil"/>
                    <w:tr2bl w:val="nil"/>
                  </w:tcBorders>
                  <w:vAlign w:val="center"/>
                </w:tcPr>
                <w:p w14:paraId="681FD590">
                  <w:pPr>
                    <w:jc w:val="center"/>
                    <w:rPr>
                      <w:bCs/>
                      <w:szCs w:val="21"/>
                    </w:rPr>
                  </w:pPr>
                  <w:r>
                    <w:rPr>
                      <w:bCs/>
                      <w:szCs w:val="21"/>
                    </w:rPr>
                    <w:t>声源控制措施</w:t>
                  </w:r>
                </w:p>
              </w:tc>
              <w:tc>
                <w:tcPr>
                  <w:tcW w:w="1350" w:type="dxa"/>
                  <w:gridSpan w:val="3"/>
                  <w:tcBorders>
                    <w:tl2br w:val="nil"/>
                    <w:tr2bl w:val="nil"/>
                  </w:tcBorders>
                  <w:vAlign w:val="center"/>
                </w:tcPr>
                <w:p w14:paraId="2850DF1D">
                  <w:pPr>
                    <w:jc w:val="center"/>
                    <w:rPr>
                      <w:bCs/>
                      <w:szCs w:val="21"/>
                    </w:rPr>
                  </w:pPr>
                  <w:r>
                    <w:rPr>
                      <w:bCs/>
                      <w:szCs w:val="21"/>
                    </w:rPr>
                    <w:t>空间相对位置/m</w:t>
                  </w:r>
                </w:p>
              </w:tc>
              <w:tc>
                <w:tcPr>
                  <w:tcW w:w="1702" w:type="dxa"/>
                  <w:gridSpan w:val="4"/>
                  <w:tcBorders>
                    <w:tl2br w:val="nil"/>
                    <w:tr2bl w:val="nil"/>
                  </w:tcBorders>
                  <w:vAlign w:val="center"/>
                </w:tcPr>
                <w:p w14:paraId="418C214B">
                  <w:pPr>
                    <w:jc w:val="center"/>
                    <w:rPr>
                      <w:bCs/>
                      <w:szCs w:val="21"/>
                    </w:rPr>
                  </w:pPr>
                  <w:r>
                    <w:rPr>
                      <w:bCs/>
                      <w:szCs w:val="21"/>
                    </w:rPr>
                    <w:t>距室内边界距离/m</w:t>
                  </w:r>
                </w:p>
              </w:tc>
              <w:tc>
                <w:tcPr>
                  <w:tcW w:w="1875" w:type="dxa"/>
                  <w:gridSpan w:val="4"/>
                  <w:tcBorders>
                    <w:tl2br w:val="nil"/>
                    <w:tr2bl w:val="nil"/>
                  </w:tcBorders>
                  <w:vAlign w:val="center"/>
                </w:tcPr>
                <w:p w14:paraId="37E61835">
                  <w:pPr>
                    <w:jc w:val="center"/>
                    <w:rPr>
                      <w:bCs/>
                      <w:szCs w:val="21"/>
                    </w:rPr>
                  </w:pPr>
                  <w:r>
                    <w:rPr>
                      <w:bCs/>
                      <w:szCs w:val="21"/>
                    </w:rPr>
                    <w:t>室内边界声级/dB(A)</w:t>
                  </w:r>
                </w:p>
              </w:tc>
              <w:tc>
                <w:tcPr>
                  <w:tcW w:w="495" w:type="dxa"/>
                  <w:vMerge w:val="restart"/>
                  <w:tcBorders>
                    <w:tl2br w:val="nil"/>
                    <w:tr2bl w:val="nil"/>
                  </w:tcBorders>
                  <w:vAlign w:val="center"/>
                </w:tcPr>
                <w:p w14:paraId="113B7A8E">
                  <w:pPr>
                    <w:jc w:val="center"/>
                    <w:rPr>
                      <w:bCs/>
                      <w:szCs w:val="21"/>
                    </w:rPr>
                  </w:pPr>
                  <w:r>
                    <w:rPr>
                      <w:bCs/>
                      <w:szCs w:val="21"/>
                    </w:rPr>
                    <w:t>运行时段</w:t>
                  </w:r>
                </w:p>
              </w:tc>
              <w:tc>
                <w:tcPr>
                  <w:tcW w:w="1440" w:type="dxa"/>
                  <w:gridSpan w:val="4"/>
                  <w:tcBorders>
                    <w:tl2br w:val="nil"/>
                    <w:tr2bl w:val="nil"/>
                  </w:tcBorders>
                  <w:vAlign w:val="center"/>
                </w:tcPr>
                <w:p w14:paraId="31D95023">
                  <w:pPr>
                    <w:jc w:val="center"/>
                    <w:rPr>
                      <w:bCs/>
                      <w:szCs w:val="21"/>
                    </w:rPr>
                  </w:pPr>
                  <w:r>
                    <w:rPr>
                      <w:bCs/>
                      <w:szCs w:val="21"/>
                    </w:rPr>
                    <w:t>建筑物插入损失/dB(A)</w:t>
                  </w:r>
                </w:p>
              </w:tc>
              <w:tc>
                <w:tcPr>
                  <w:tcW w:w="2649" w:type="dxa"/>
                  <w:gridSpan w:val="5"/>
                  <w:tcBorders>
                    <w:tl2br w:val="nil"/>
                    <w:tr2bl w:val="nil"/>
                  </w:tcBorders>
                  <w:vAlign w:val="center"/>
                </w:tcPr>
                <w:p w14:paraId="78E40B2E">
                  <w:pPr>
                    <w:jc w:val="center"/>
                    <w:rPr>
                      <w:bCs/>
                      <w:szCs w:val="21"/>
                    </w:rPr>
                  </w:pPr>
                  <w:r>
                    <w:rPr>
                      <w:bCs/>
                      <w:szCs w:val="21"/>
                    </w:rPr>
                    <w:t>建筑物外噪声声压级/dB(A)</w:t>
                  </w:r>
                </w:p>
              </w:tc>
            </w:tr>
            <w:tr w14:paraId="0EFE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jc w:val="center"/>
              </w:trPr>
              <w:tc>
                <w:tcPr>
                  <w:tcW w:w="267" w:type="dxa"/>
                  <w:vMerge w:val="continue"/>
                  <w:tcBorders>
                    <w:tl2br w:val="nil"/>
                    <w:tr2bl w:val="nil"/>
                  </w:tcBorders>
                  <w:shd w:val="clear" w:color="auto" w:fill="FFFFFF"/>
                  <w:tcMar>
                    <w:top w:w="0" w:type="dxa"/>
                    <w:left w:w="0" w:type="dxa"/>
                    <w:bottom w:w="0" w:type="dxa"/>
                    <w:right w:w="0" w:type="dxa"/>
                  </w:tcMar>
                  <w:vAlign w:val="center"/>
                </w:tcPr>
                <w:p w14:paraId="5F091560">
                  <w:pPr>
                    <w:jc w:val="center"/>
                    <w:rPr>
                      <w:bCs/>
                      <w:szCs w:val="21"/>
                    </w:rPr>
                  </w:pPr>
                </w:p>
              </w:tc>
              <w:tc>
                <w:tcPr>
                  <w:tcW w:w="470" w:type="dxa"/>
                  <w:vMerge w:val="continue"/>
                  <w:tcBorders>
                    <w:tl2br w:val="nil"/>
                    <w:tr2bl w:val="nil"/>
                  </w:tcBorders>
                  <w:shd w:val="clear" w:color="auto" w:fill="FFFFFF"/>
                  <w:tcMar>
                    <w:top w:w="0" w:type="dxa"/>
                    <w:left w:w="0" w:type="dxa"/>
                    <w:bottom w:w="0" w:type="dxa"/>
                    <w:right w:w="0" w:type="dxa"/>
                  </w:tcMar>
                  <w:vAlign w:val="center"/>
                </w:tcPr>
                <w:p w14:paraId="7A85E6A1">
                  <w:pPr>
                    <w:jc w:val="center"/>
                    <w:rPr>
                      <w:bCs/>
                      <w:szCs w:val="21"/>
                    </w:rPr>
                  </w:pPr>
                </w:p>
              </w:tc>
              <w:tc>
                <w:tcPr>
                  <w:tcW w:w="1275" w:type="dxa"/>
                  <w:vMerge w:val="continue"/>
                  <w:tcBorders>
                    <w:tl2br w:val="nil"/>
                    <w:tr2bl w:val="nil"/>
                  </w:tcBorders>
                  <w:shd w:val="clear" w:color="auto" w:fill="FFFFFF"/>
                  <w:tcMar>
                    <w:top w:w="0" w:type="dxa"/>
                    <w:left w:w="0" w:type="dxa"/>
                    <w:bottom w:w="0" w:type="dxa"/>
                    <w:right w:w="0" w:type="dxa"/>
                  </w:tcMar>
                  <w:vAlign w:val="center"/>
                </w:tcPr>
                <w:p w14:paraId="7DED97C2">
                  <w:pPr>
                    <w:jc w:val="center"/>
                    <w:rPr>
                      <w:bCs/>
                      <w:szCs w:val="21"/>
                    </w:rPr>
                  </w:pPr>
                </w:p>
              </w:tc>
              <w:tc>
                <w:tcPr>
                  <w:tcW w:w="584" w:type="dxa"/>
                  <w:vMerge w:val="continue"/>
                  <w:tcBorders>
                    <w:tl2br w:val="nil"/>
                    <w:tr2bl w:val="nil"/>
                  </w:tcBorders>
                  <w:shd w:val="clear" w:color="auto" w:fill="FFFFFF"/>
                  <w:tcMar>
                    <w:top w:w="0" w:type="dxa"/>
                    <w:left w:w="0" w:type="dxa"/>
                    <w:bottom w:w="0" w:type="dxa"/>
                    <w:right w:w="0" w:type="dxa"/>
                  </w:tcMar>
                  <w:vAlign w:val="center"/>
                </w:tcPr>
                <w:p w14:paraId="1EE3F5A0">
                  <w:pPr>
                    <w:jc w:val="center"/>
                    <w:rPr>
                      <w:bCs/>
                      <w:szCs w:val="21"/>
                    </w:rPr>
                  </w:pPr>
                </w:p>
              </w:tc>
              <w:tc>
                <w:tcPr>
                  <w:tcW w:w="645" w:type="dxa"/>
                  <w:vMerge w:val="continue"/>
                  <w:tcBorders>
                    <w:tl2br w:val="nil"/>
                    <w:tr2bl w:val="nil"/>
                  </w:tcBorders>
                  <w:shd w:val="clear" w:color="auto" w:fill="FFFFFF"/>
                  <w:tcMar>
                    <w:top w:w="0" w:type="dxa"/>
                    <w:left w:w="0" w:type="dxa"/>
                    <w:bottom w:w="0" w:type="dxa"/>
                    <w:right w:w="0" w:type="dxa"/>
                  </w:tcMar>
                  <w:vAlign w:val="center"/>
                </w:tcPr>
                <w:p w14:paraId="2A52B040">
                  <w:pPr>
                    <w:jc w:val="center"/>
                    <w:rPr>
                      <w:bCs/>
                      <w:szCs w:val="21"/>
                    </w:rPr>
                  </w:pPr>
                </w:p>
              </w:tc>
              <w:tc>
                <w:tcPr>
                  <w:tcW w:w="1005" w:type="dxa"/>
                  <w:vMerge w:val="continue"/>
                  <w:tcBorders>
                    <w:tl2br w:val="nil"/>
                    <w:tr2bl w:val="nil"/>
                  </w:tcBorders>
                  <w:shd w:val="clear" w:color="auto" w:fill="FFFFFF"/>
                  <w:tcMar>
                    <w:top w:w="0" w:type="dxa"/>
                    <w:left w:w="0" w:type="dxa"/>
                    <w:bottom w:w="0" w:type="dxa"/>
                    <w:right w:w="0" w:type="dxa"/>
                  </w:tcMar>
                  <w:vAlign w:val="center"/>
                </w:tcPr>
                <w:p w14:paraId="414058C6">
                  <w:pPr>
                    <w:jc w:val="center"/>
                    <w:rPr>
                      <w:bCs/>
                      <w:szCs w:val="21"/>
                    </w:rPr>
                  </w:pPr>
                </w:p>
              </w:tc>
              <w:tc>
                <w:tcPr>
                  <w:tcW w:w="450" w:type="dxa"/>
                  <w:tcBorders>
                    <w:tl2br w:val="nil"/>
                    <w:tr2bl w:val="nil"/>
                  </w:tcBorders>
                  <w:shd w:val="clear" w:color="auto" w:fill="FFFFFF"/>
                  <w:tcMar>
                    <w:top w:w="0" w:type="dxa"/>
                    <w:left w:w="0" w:type="dxa"/>
                    <w:bottom w:w="0" w:type="dxa"/>
                    <w:right w:w="0" w:type="dxa"/>
                  </w:tcMar>
                  <w:vAlign w:val="center"/>
                </w:tcPr>
                <w:p w14:paraId="5C9A6F62">
                  <w:pPr>
                    <w:jc w:val="center"/>
                    <w:rPr>
                      <w:bCs/>
                      <w:szCs w:val="21"/>
                    </w:rPr>
                  </w:pPr>
                  <w:r>
                    <w:rPr>
                      <w:bCs/>
                      <w:szCs w:val="21"/>
                    </w:rPr>
                    <w:t>X</w:t>
                  </w:r>
                </w:p>
              </w:tc>
              <w:tc>
                <w:tcPr>
                  <w:tcW w:w="435" w:type="dxa"/>
                  <w:tcBorders>
                    <w:tl2br w:val="nil"/>
                    <w:tr2bl w:val="nil"/>
                  </w:tcBorders>
                  <w:shd w:val="clear" w:color="auto" w:fill="FFFFFF"/>
                  <w:tcMar>
                    <w:top w:w="0" w:type="dxa"/>
                    <w:left w:w="0" w:type="dxa"/>
                    <w:bottom w:w="0" w:type="dxa"/>
                    <w:right w:w="0" w:type="dxa"/>
                  </w:tcMar>
                  <w:vAlign w:val="center"/>
                </w:tcPr>
                <w:p w14:paraId="2BAFD912">
                  <w:pPr>
                    <w:jc w:val="center"/>
                    <w:rPr>
                      <w:bCs/>
                      <w:szCs w:val="21"/>
                    </w:rPr>
                  </w:pPr>
                  <w:r>
                    <w:rPr>
                      <w:bCs/>
                      <w:szCs w:val="21"/>
                    </w:rPr>
                    <w:t>Y</w:t>
                  </w:r>
                </w:p>
              </w:tc>
              <w:tc>
                <w:tcPr>
                  <w:tcW w:w="465" w:type="dxa"/>
                  <w:tcBorders>
                    <w:tl2br w:val="nil"/>
                    <w:tr2bl w:val="nil"/>
                  </w:tcBorders>
                  <w:shd w:val="clear" w:color="auto" w:fill="FFFFFF"/>
                  <w:tcMar>
                    <w:top w:w="0" w:type="dxa"/>
                    <w:left w:w="0" w:type="dxa"/>
                    <w:bottom w:w="0" w:type="dxa"/>
                    <w:right w:w="0" w:type="dxa"/>
                  </w:tcMar>
                  <w:vAlign w:val="center"/>
                </w:tcPr>
                <w:p w14:paraId="1427528C">
                  <w:pPr>
                    <w:jc w:val="center"/>
                    <w:rPr>
                      <w:bCs/>
                      <w:szCs w:val="21"/>
                    </w:rPr>
                  </w:pPr>
                  <w:r>
                    <w:rPr>
                      <w:bCs/>
                      <w:szCs w:val="21"/>
                    </w:rPr>
                    <w:t>Z</w:t>
                  </w:r>
                </w:p>
              </w:tc>
              <w:tc>
                <w:tcPr>
                  <w:tcW w:w="420" w:type="dxa"/>
                  <w:tcBorders>
                    <w:tl2br w:val="nil"/>
                    <w:tr2bl w:val="nil"/>
                  </w:tcBorders>
                  <w:shd w:val="clear" w:color="auto" w:fill="FFFFFF"/>
                  <w:tcMar>
                    <w:top w:w="0" w:type="dxa"/>
                    <w:left w:w="0" w:type="dxa"/>
                    <w:bottom w:w="0" w:type="dxa"/>
                    <w:right w:w="0" w:type="dxa"/>
                  </w:tcMar>
                  <w:vAlign w:val="center"/>
                </w:tcPr>
                <w:p w14:paraId="43967184">
                  <w:pPr>
                    <w:jc w:val="center"/>
                    <w:rPr>
                      <w:bCs/>
                      <w:szCs w:val="21"/>
                    </w:rPr>
                  </w:pPr>
                  <w:r>
                    <w:rPr>
                      <w:bCs/>
                      <w:szCs w:val="21"/>
                    </w:rPr>
                    <w:t>东</w:t>
                  </w:r>
                </w:p>
              </w:tc>
              <w:tc>
                <w:tcPr>
                  <w:tcW w:w="420" w:type="dxa"/>
                  <w:tcBorders>
                    <w:tl2br w:val="nil"/>
                    <w:tr2bl w:val="nil"/>
                  </w:tcBorders>
                  <w:shd w:val="clear" w:color="auto" w:fill="FFFFFF"/>
                  <w:tcMar>
                    <w:top w:w="0" w:type="dxa"/>
                    <w:left w:w="0" w:type="dxa"/>
                    <w:bottom w:w="0" w:type="dxa"/>
                    <w:right w:w="0" w:type="dxa"/>
                  </w:tcMar>
                  <w:vAlign w:val="center"/>
                </w:tcPr>
                <w:p w14:paraId="7D8DB8AE">
                  <w:pPr>
                    <w:jc w:val="center"/>
                    <w:rPr>
                      <w:bCs/>
                      <w:szCs w:val="21"/>
                    </w:rPr>
                  </w:pPr>
                  <w:r>
                    <w:rPr>
                      <w:bCs/>
                      <w:szCs w:val="21"/>
                    </w:rPr>
                    <w:t>南</w:t>
                  </w:r>
                </w:p>
              </w:tc>
              <w:tc>
                <w:tcPr>
                  <w:tcW w:w="450" w:type="dxa"/>
                  <w:tcBorders>
                    <w:tl2br w:val="nil"/>
                    <w:tr2bl w:val="nil"/>
                  </w:tcBorders>
                  <w:shd w:val="clear" w:color="auto" w:fill="FFFFFF"/>
                  <w:tcMar>
                    <w:top w:w="0" w:type="dxa"/>
                    <w:left w:w="0" w:type="dxa"/>
                    <w:bottom w:w="0" w:type="dxa"/>
                    <w:right w:w="0" w:type="dxa"/>
                  </w:tcMar>
                  <w:vAlign w:val="center"/>
                </w:tcPr>
                <w:p w14:paraId="40F2E259">
                  <w:pPr>
                    <w:jc w:val="center"/>
                    <w:rPr>
                      <w:bCs/>
                      <w:szCs w:val="21"/>
                    </w:rPr>
                  </w:pPr>
                  <w:r>
                    <w:rPr>
                      <w:bCs/>
                      <w:szCs w:val="21"/>
                    </w:rPr>
                    <w:t>西</w:t>
                  </w:r>
                </w:p>
              </w:tc>
              <w:tc>
                <w:tcPr>
                  <w:tcW w:w="412" w:type="dxa"/>
                  <w:tcBorders>
                    <w:tl2br w:val="nil"/>
                    <w:tr2bl w:val="nil"/>
                  </w:tcBorders>
                  <w:shd w:val="clear" w:color="auto" w:fill="FFFFFF"/>
                  <w:tcMar>
                    <w:top w:w="0" w:type="dxa"/>
                    <w:left w:w="0" w:type="dxa"/>
                    <w:bottom w:w="0" w:type="dxa"/>
                    <w:right w:w="0" w:type="dxa"/>
                  </w:tcMar>
                  <w:vAlign w:val="center"/>
                </w:tcPr>
                <w:p w14:paraId="40E242FA">
                  <w:pPr>
                    <w:jc w:val="center"/>
                    <w:rPr>
                      <w:bCs/>
                      <w:szCs w:val="21"/>
                    </w:rPr>
                  </w:pPr>
                  <w:r>
                    <w:rPr>
                      <w:bCs/>
                      <w:szCs w:val="21"/>
                    </w:rPr>
                    <w:t>北</w:t>
                  </w:r>
                </w:p>
              </w:tc>
              <w:tc>
                <w:tcPr>
                  <w:tcW w:w="465" w:type="dxa"/>
                  <w:tcBorders>
                    <w:tl2br w:val="nil"/>
                    <w:tr2bl w:val="nil"/>
                  </w:tcBorders>
                  <w:shd w:val="clear" w:color="auto" w:fill="FFFFFF"/>
                  <w:tcMar>
                    <w:top w:w="0" w:type="dxa"/>
                    <w:left w:w="0" w:type="dxa"/>
                    <w:bottom w:w="0" w:type="dxa"/>
                    <w:right w:w="0" w:type="dxa"/>
                  </w:tcMar>
                  <w:vAlign w:val="center"/>
                </w:tcPr>
                <w:p w14:paraId="43305812">
                  <w:pPr>
                    <w:jc w:val="center"/>
                    <w:rPr>
                      <w:bCs/>
                      <w:szCs w:val="21"/>
                    </w:rPr>
                  </w:pPr>
                  <w:r>
                    <w:rPr>
                      <w:bCs/>
                      <w:szCs w:val="21"/>
                    </w:rPr>
                    <w:t>东</w:t>
                  </w:r>
                </w:p>
              </w:tc>
              <w:tc>
                <w:tcPr>
                  <w:tcW w:w="465" w:type="dxa"/>
                  <w:tcBorders>
                    <w:tl2br w:val="nil"/>
                    <w:tr2bl w:val="nil"/>
                  </w:tcBorders>
                  <w:shd w:val="clear" w:color="auto" w:fill="FFFFFF"/>
                  <w:tcMar>
                    <w:top w:w="0" w:type="dxa"/>
                    <w:left w:w="0" w:type="dxa"/>
                    <w:bottom w:w="0" w:type="dxa"/>
                    <w:right w:w="0" w:type="dxa"/>
                  </w:tcMar>
                  <w:vAlign w:val="center"/>
                </w:tcPr>
                <w:p w14:paraId="30AF8FEB">
                  <w:pPr>
                    <w:jc w:val="center"/>
                    <w:rPr>
                      <w:bCs/>
                      <w:szCs w:val="21"/>
                    </w:rPr>
                  </w:pPr>
                  <w:r>
                    <w:rPr>
                      <w:bCs/>
                      <w:szCs w:val="21"/>
                    </w:rPr>
                    <w:t>南</w:t>
                  </w:r>
                </w:p>
              </w:tc>
              <w:tc>
                <w:tcPr>
                  <w:tcW w:w="495" w:type="dxa"/>
                  <w:tcBorders>
                    <w:tl2br w:val="nil"/>
                    <w:tr2bl w:val="nil"/>
                  </w:tcBorders>
                  <w:shd w:val="clear" w:color="auto" w:fill="FFFFFF"/>
                  <w:tcMar>
                    <w:top w:w="0" w:type="dxa"/>
                    <w:left w:w="0" w:type="dxa"/>
                    <w:bottom w:w="0" w:type="dxa"/>
                    <w:right w:w="0" w:type="dxa"/>
                  </w:tcMar>
                  <w:vAlign w:val="center"/>
                </w:tcPr>
                <w:p w14:paraId="5A30FAFE">
                  <w:pPr>
                    <w:jc w:val="center"/>
                    <w:rPr>
                      <w:bCs/>
                      <w:szCs w:val="21"/>
                    </w:rPr>
                  </w:pPr>
                  <w:r>
                    <w:rPr>
                      <w:bCs/>
                      <w:szCs w:val="21"/>
                    </w:rPr>
                    <w:t>西</w:t>
                  </w:r>
                </w:p>
              </w:tc>
              <w:tc>
                <w:tcPr>
                  <w:tcW w:w="450" w:type="dxa"/>
                  <w:tcBorders>
                    <w:tl2br w:val="nil"/>
                    <w:tr2bl w:val="nil"/>
                  </w:tcBorders>
                  <w:shd w:val="clear" w:color="auto" w:fill="FFFFFF"/>
                  <w:tcMar>
                    <w:top w:w="0" w:type="dxa"/>
                    <w:left w:w="0" w:type="dxa"/>
                    <w:bottom w:w="0" w:type="dxa"/>
                    <w:right w:w="0" w:type="dxa"/>
                  </w:tcMar>
                  <w:vAlign w:val="center"/>
                </w:tcPr>
                <w:p w14:paraId="2419CD33">
                  <w:pPr>
                    <w:jc w:val="center"/>
                    <w:rPr>
                      <w:bCs/>
                      <w:szCs w:val="21"/>
                    </w:rPr>
                  </w:pPr>
                  <w:r>
                    <w:rPr>
                      <w:bCs/>
                      <w:szCs w:val="21"/>
                    </w:rPr>
                    <w:t>北</w:t>
                  </w:r>
                </w:p>
              </w:tc>
              <w:tc>
                <w:tcPr>
                  <w:tcW w:w="495" w:type="dxa"/>
                  <w:vMerge w:val="continue"/>
                  <w:tcBorders>
                    <w:tl2br w:val="nil"/>
                    <w:tr2bl w:val="nil"/>
                  </w:tcBorders>
                  <w:shd w:val="clear" w:color="auto" w:fill="FFFFFF"/>
                  <w:tcMar>
                    <w:top w:w="0" w:type="dxa"/>
                    <w:left w:w="0" w:type="dxa"/>
                    <w:bottom w:w="0" w:type="dxa"/>
                    <w:right w:w="0" w:type="dxa"/>
                  </w:tcMar>
                  <w:vAlign w:val="center"/>
                </w:tcPr>
                <w:p w14:paraId="0CE1D8B9">
                  <w:pPr>
                    <w:jc w:val="center"/>
                    <w:rPr>
                      <w:bCs/>
                      <w:szCs w:val="21"/>
                    </w:rPr>
                  </w:pPr>
                </w:p>
              </w:tc>
              <w:tc>
                <w:tcPr>
                  <w:tcW w:w="360" w:type="dxa"/>
                  <w:tcBorders>
                    <w:tl2br w:val="nil"/>
                    <w:tr2bl w:val="nil"/>
                  </w:tcBorders>
                  <w:shd w:val="clear" w:color="auto" w:fill="FFFFFF"/>
                  <w:tcMar>
                    <w:top w:w="0" w:type="dxa"/>
                    <w:left w:w="0" w:type="dxa"/>
                    <w:bottom w:w="0" w:type="dxa"/>
                    <w:right w:w="0" w:type="dxa"/>
                  </w:tcMar>
                  <w:vAlign w:val="center"/>
                </w:tcPr>
                <w:p w14:paraId="4F43F7B7">
                  <w:pPr>
                    <w:jc w:val="center"/>
                    <w:rPr>
                      <w:bCs/>
                      <w:szCs w:val="21"/>
                    </w:rPr>
                  </w:pPr>
                  <w:r>
                    <w:rPr>
                      <w:bCs/>
                      <w:szCs w:val="21"/>
                    </w:rPr>
                    <w:t>东</w:t>
                  </w:r>
                </w:p>
              </w:tc>
              <w:tc>
                <w:tcPr>
                  <w:tcW w:w="360" w:type="dxa"/>
                  <w:tcBorders>
                    <w:tl2br w:val="nil"/>
                    <w:tr2bl w:val="nil"/>
                  </w:tcBorders>
                  <w:shd w:val="clear" w:color="auto" w:fill="FFFFFF"/>
                  <w:tcMar>
                    <w:top w:w="0" w:type="dxa"/>
                    <w:left w:w="0" w:type="dxa"/>
                    <w:bottom w:w="0" w:type="dxa"/>
                    <w:right w:w="0" w:type="dxa"/>
                  </w:tcMar>
                  <w:vAlign w:val="center"/>
                </w:tcPr>
                <w:p w14:paraId="7D82FE65">
                  <w:pPr>
                    <w:jc w:val="center"/>
                    <w:rPr>
                      <w:bCs/>
                      <w:szCs w:val="21"/>
                    </w:rPr>
                  </w:pPr>
                  <w:r>
                    <w:rPr>
                      <w:bCs/>
                      <w:szCs w:val="21"/>
                    </w:rPr>
                    <w:t>南</w:t>
                  </w:r>
                </w:p>
              </w:tc>
              <w:tc>
                <w:tcPr>
                  <w:tcW w:w="360" w:type="dxa"/>
                  <w:tcBorders>
                    <w:tl2br w:val="nil"/>
                    <w:tr2bl w:val="nil"/>
                  </w:tcBorders>
                  <w:shd w:val="clear" w:color="auto" w:fill="FFFFFF"/>
                  <w:tcMar>
                    <w:top w:w="0" w:type="dxa"/>
                    <w:left w:w="0" w:type="dxa"/>
                    <w:bottom w:w="0" w:type="dxa"/>
                    <w:right w:w="0" w:type="dxa"/>
                  </w:tcMar>
                  <w:vAlign w:val="center"/>
                </w:tcPr>
                <w:p w14:paraId="25665D82">
                  <w:pPr>
                    <w:jc w:val="center"/>
                    <w:rPr>
                      <w:bCs/>
                      <w:szCs w:val="21"/>
                    </w:rPr>
                  </w:pPr>
                  <w:r>
                    <w:rPr>
                      <w:bCs/>
                      <w:szCs w:val="21"/>
                    </w:rPr>
                    <w:t>西</w:t>
                  </w:r>
                </w:p>
              </w:tc>
              <w:tc>
                <w:tcPr>
                  <w:tcW w:w="360" w:type="dxa"/>
                  <w:tcBorders>
                    <w:tl2br w:val="nil"/>
                    <w:tr2bl w:val="nil"/>
                  </w:tcBorders>
                  <w:shd w:val="clear" w:color="auto" w:fill="FFFFFF"/>
                  <w:tcMar>
                    <w:top w:w="0" w:type="dxa"/>
                    <w:left w:w="0" w:type="dxa"/>
                    <w:bottom w:w="0" w:type="dxa"/>
                    <w:right w:w="0" w:type="dxa"/>
                  </w:tcMar>
                  <w:vAlign w:val="center"/>
                </w:tcPr>
                <w:p w14:paraId="631DFE98">
                  <w:pPr>
                    <w:jc w:val="center"/>
                    <w:rPr>
                      <w:bCs/>
                      <w:szCs w:val="21"/>
                    </w:rPr>
                  </w:pPr>
                  <w:r>
                    <w:rPr>
                      <w:bCs/>
                      <w:szCs w:val="21"/>
                    </w:rPr>
                    <w:t>北</w:t>
                  </w:r>
                </w:p>
              </w:tc>
              <w:tc>
                <w:tcPr>
                  <w:tcW w:w="466" w:type="dxa"/>
                  <w:tcBorders>
                    <w:tl2br w:val="nil"/>
                    <w:tr2bl w:val="nil"/>
                  </w:tcBorders>
                  <w:shd w:val="clear" w:color="auto" w:fill="FFFFFF"/>
                  <w:tcMar>
                    <w:top w:w="0" w:type="dxa"/>
                    <w:left w:w="0" w:type="dxa"/>
                    <w:bottom w:w="0" w:type="dxa"/>
                    <w:right w:w="0" w:type="dxa"/>
                  </w:tcMar>
                  <w:vAlign w:val="center"/>
                </w:tcPr>
                <w:p w14:paraId="10BCFA2B">
                  <w:pPr>
                    <w:jc w:val="center"/>
                    <w:rPr>
                      <w:bCs/>
                      <w:szCs w:val="21"/>
                    </w:rPr>
                  </w:pPr>
                  <w:r>
                    <w:rPr>
                      <w:bCs/>
                      <w:szCs w:val="21"/>
                    </w:rPr>
                    <w:t>东</w:t>
                  </w:r>
                </w:p>
              </w:tc>
              <w:tc>
                <w:tcPr>
                  <w:tcW w:w="466" w:type="dxa"/>
                  <w:tcBorders>
                    <w:tl2br w:val="nil"/>
                    <w:tr2bl w:val="nil"/>
                  </w:tcBorders>
                  <w:shd w:val="clear" w:color="auto" w:fill="FFFFFF"/>
                  <w:tcMar>
                    <w:top w:w="0" w:type="dxa"/>
                    <w:left w:w="0" w:type="dxa"/>
                    <w:bottom w:w="0" w:type="dxa"/>
                    <w:right w:w="0" w:type="dxa"/>
                  </w:tcMar>
                  <w:vAlign w:val="center"/>
                </w:tcPr>
                <w:p w14:paraId="3CD5FB25">
                  <w:pPr>
                    <w:jc w:val="center"/>
                    <w:rPr>
                      <w:bCs/>
                      <w:szCs w:val="21"/>
                    </w:rPr>
                  </w:pPr>
                  <w:r>
                    <w:rPr>
                      <w:bCs/>
                      <w:szCs w:val="21"/>
                    </w:rPr>
                    <w:t>南</w:t>
                  </w:r>
                </w:p>
              </w:tc>
              <w:tc>
                <w:tcPr>
                  <w:tcW w:w="451" w:type="dxa"/>
                  <w:tcBorders>
                    <w:tl2br w:val="nil"/>
                    <w:tr2bl w:val="nil"/>
                  </w:tcBorders>
                  <w:shd w:val="clear" w:color="auto" w:fill="FFFFFF"/>
                  <w:tcMar>
                    <w:top w:w="0" w:type="dxa"/>
                    <w:left w:w="0" w:type="dxa"/>
                    <w:bottom w:w="0" w:type="dxa"/>
                    <w:right w:w="0" w:type="dxa"/>
                  </w:tcMar>
                  <w:vAlign w:val="center"/>
                </w:tcPr>
                <w:p w14:paraId="781084C4">
                  <w:pPr>
                    <w:jc w:val="center"/>
                    <w:rPr>
                      <w:bCs/>
                      <w:szCs w:val="21"/>
                    </w:rPr>
                  </w:pPr>
                  <w:r>
                    <w:rPr>
                      <w:bCs/>
                      <w:szCs w:val="21"/>
                    </w:rPr>
                    <w:t>西</w:t>
                  </w:r>
                </w:p>
              </w:tc>
              <w:tc>
                <w:tcPr>
                  <w:tcW w:w="486" w:type="dxa"/>
                  <w:tcBorders>
                    <w:tl2br w:val="nil"/>
                    <w:tr2bl w:val="nil"/>
                  </w:tcBorders>
                  <w:shd w:val="clear" w:color="auto" w:fill="FFFFFF"/>
                  <w:tcMar>
                    <w:top w:w="0" w:type="dxa"/>
                    <w:left w:w="0" w:type="dxa"/>
                    <w:bottom w:w="0" w:type="dxa"/>
                    <w:right w:w="0" w:type="dxa"/>
                  </w:tcMar>
                  <w:vAlign w:val="center"/>
                </w:tcPr>
                <w:p w14:paraId="2CC25A9A">
                  <w:pPr>
                    <w:jc w:val="center"/>
                    <w:rPr>
                      <w:bCs/>
                      <w:szCs w:val="21"/>
                    </w:rPr>
                  </w:pPr>
                  <w:r>
                    <w:rPr>
                      <w:bCs/>
                      <w:szCs w:val="21"/>
                    </w:rPr>
                    <w:t>北</w:t>
                  </w:r>
                </w:p>
              </w:tc>
              <w:tc>
                <w:tcPr>
                  <w:tcW w:w="780" w:type="dxa"/>
                  <w:tcBorders>
                    <w:tl2br w:val="nil"/>
                    <w:tr2bl w:val="nil"/>
                  </w:tcBorders>
                  <w:shd w:val="clear" w:color="auto" w:fill="FFFFFF"/>
                  <w:tcMar>
                    <w:top w:w="0" w:type="dxa"/>
                    <w:left w:w="0" w:type="dxa"/>
                    <w:bottom w:w="0" w:type="dxa"/>
                    <w:right w:w="0" w:type="dxa"/>
                  </w:tcMar>
                  <w:vAlign w:val="center"/>
                </w:tcPr>
                <w:p w14:paraId="371A821D">
                  <w:pPr>
                    <w:jc w:val="center"/>
                    <w:rPr>
                      <w:bCs/>
                      <w:szCs w:val="21"/>
                    </w:rPr>
                  </w:pPr>
                  <w:r>
                    <w:rPr>
                      <w:bCs/>
                      <w:szCs w:val="21"/>
                    </w:rPr>
                    <w:t>建筑物外距离</w:t>
                  </w:r>
                </w:p>
              </w:tc>
            </w:tr>
            <w:tr w14:paraId="12D6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jc w:val="center"/>
              </w:trPr>
              <w:tc>
                <w:tcPr>
                  <w:tcW w:w="267" w:type="dxa"/>
                  <w:tcBorders>
                    <w:tl2br w:val="nil"/>
                    <w:tr2bl w:val="nil"/>
                  </w:tcBorders>
                  <w:shd w:val="clear" w:color="auto" w:fill="FFFFFF"/>
                  <w:tcMar>
                    <w:top w:w="0" w:type="dxa"/>
                    <w:left w:w="0" w:type="dxa"/>
                    <w:bottom w:w="0" w:type="dxa"/>
                    <w:right w:w="0" w:type="dxa"/>
                  </w:tcMar>
                  <w:vAlign w:val="center"/>
                </w:tcPr>
                <w:p w14:paraId="50BE99FD">
                  <w:pPr>
                    <w:jc w:val="center"/>
                    <w:rPr>
                      <w:bCs/>
                      <w:szCs w:val="21"/>
                    </w:rPr>
                  </w:pPr>
                  <w:r>
                    <w:rPr>
                      <w:bCs/>
                      <w:szCs w:val="21"/>
                    </w:rPr>
                    <w:t>1</w:t>
                  </w:r>
                </w:p>
              </w:tc>
              <w:tc>
                <w:tcPr>
                  <w:tcW w:w="470" w:type="dxa"/>
                  <w:vMerge w:val="restart"/>
                  <w:tcBorders>
                    <w:tl2br w:val="nil"/>
                    <w:tr2bl w:val="nil"/>
                  </w:tcBorders>
                  <w:shd w:val="clear" w:color="auto" w:fill="FFFFFF"/>
                  <w:tcMar>
                    <w:top w:w="0" w:type="dxa"/>
                    <w:left w:w="0" w:type="dxa"/>
                    <w:bottom w:w="0" w:type="dxa"/>
                    <w:right w:w="0" w:type="dxa"/>
                  </w:tcMar>
                  <w:vAlign w:val="center"/>
                </w:tcPr>
                <w:p w14:paraId="3B26523B">
                  <w:pPr>
                    <w:jc w:val="center"/>
                    <w:rPr>
                      <w:bCs/>
                      <w:szCs w:val="21"/>
                    </w:rPr>
                  </w:pPr>
                  <w:r>
                    <w:rPr>
                      <w:bCs/>
                      <w:szCs w:val="21"/>
                    </w:rPr>
                    <w:t>拆解车间</w:t>
                  </w:r>
                </w:p>
              </w:tc>
              <w:tc>
                <w:tcPr>
                  <w:tcW w:w="1275" w:type="dxa"/>
                  <w:tcBorders>
                    <w:tl2br w:val="nil"/>
                    <w:tr2bl w:val="nil"/>
                  </w:tcBorders>
                  <w:shd w:val="clear" w:color="auto" w:fill="FFFFFF"/>
                  <w:tcMar>
                    <w:top w:w="0" w:type="dxa"/>
                    <w:left w:w="0" w:type="dxa"/>
                    <w:bottom w:w="0" w:type="dxa"/>
                    <w:right w:w="0" w:type="dxa"/>
                  </w:tcMar>
                  <w:vAlign w:val="center"/>
                </w:tcPr>
                <w:p w14:paraId="482D7AAC">
                  <w:pPr>
                    <w:jc w:val="center"/>
                    <w:rPr>
                      <w:bCs/>
                      <w:szCs w:val="21"/>
                    </w:rPr>
                  </w:pPr>
                  <w:r>
                    <w:rPr>
                      <w:bCs/>
                      <w:szCs w:val="21"/>
                    </w:rPr>
                    <w:t>等离子切割机</w:t>
                  </w:r>
                </w:p>
              </w:tc>
              <w:tc>
                <w:tcPr>
                  <w:tcW w:w="584" w:type="dxa"/>
                  <w:tcBorders>
                    <w:tl2br w:val="nil"/>
                    <w:tr2bl w:val="nil"/>
                  </w:tcBorders>
                  <w:shd w:val="clear" w:color="auto" w:fill="FFFFFF"/>
                  <w:tcMar>
                    <w:top w:w="0" w:type="dxa"/>
                    <w:left w:w="0" w:type="dxa"/>
                    <w:bottom w:w="0" w:type="dxa"/>
                    <w:right w:w="0" w:type="dxa"/>
                  </w:tcMar>
                  <w:vAlign w:val="center"/>
                </w:tcPr>
                <w:p w14:paraId="13C7FF24">
                  <w:pPr>
                    <w:jc w:val="center"/>
                    <w:rPr>
                      <w:bCs/>
                      <w:szCs w:val="21"/>
                    </w:rPr>
                  </w:pPr>
                  <w:r>
                    <w:rPr>
                      <w:bCs/>
                      <w:szCs w:val="21"/>
                    </w:rPr>
                    <w:t>1</w:t>
                  </w:r>
                </w:p>
              </w:tc>
              <w:tc>
                <w:tcPr>
                  <w:tcW w:w="645" w:type="dxa"/>
                  <w:tcBorders>
                    <w:tl2br w:val="nil"/>
                    <w:tr2bl w:val="nil"/>
                  </w:tcBorders>
                  <w:shd w:val="clear" w:color="auto" w:fill="FFFFFF"/>
                  <w:tcMar>
                    <w:top w:w="0" w:type="dxa"/>
                    <w:left w:w="0" w:type="dxa"/>
                    <w:bottom w:w="0" w:type="dxa"/>
                    <w:right w:w="0" w:type="dxa"/>
                  </w:tcMar>
                  <w:vAlign w:val="center"/>
                </w:tcPr>
                <w:p w14:paraId="7A93B5B5">
                  <w:pPr>
                    <w:jc w:val="center"/>
                    <w:rPr>
                      <w:bCs/>
                      <w:szCs w:val="21"/>
                    </w:rPr>
                  </w:pPr>
                  <w:r>
                    <w:rPr>
                      <w:bCs/>
                      <w:szCs w:val="21"/>
                    </w:rPr>
                    <w:t>75</w:t>
                  </w:r>
                </w:p>
              </w:tc>
              <w:tc>
                <w:tcPr>
                  <w:tcW w:w="1005" w:type="dxa"/>
                  <w:tcBorders>
                    <w:tl2br w:val="nil"/>
                    <w:tr2bl w:val="nil"/>
                  </w:tcBorders>
                  <w:shd w:val="clear" w:color="auto" w:fill="FFFFFF"/>
                  <w:tcMar>
                    <w:top w:w="0" w:type="dxa"/>
                    <w:left w:w="0" w:type="dxa"/>
                    <w:bottom w:w="0" w:type="dxa"/>
                    <w:right w:w="0" w:type="dxa"/>
                  </w:tcMar>
                  <w:vAlign w:val="center"/>
                </w:tcPr>
                <w:p w14:paraId="0FAED259">
                  <w:pPr>
                    <w:jc w:val="center"/>
                    <w:rPr>
                      <w:bCs/>
                      <w:szCs w:val="21"/>
                    </w:rPr>
                  </w:pPr>
                  <w:r>
                    <w:rPr>
                      <w:bCs/>
                      <w:spacing w:val="4"/>
                      <w:szCs w:val="21"/>
                    </w:rPr>
                    <w:t>隔声、减振</w:t>
                  </w:r>
                </w:p>
              </w:tc>
              <w:tc>
                <w:tcPr>
                  <w:tcW w:w="450" w:type="dxa"/>
                  <w:tcBorders>
                    <w:tl2br w:val="nil"/>
                    <w:tr2bl w:val="nil"/>
                  </w:tcBorders>
                  <w:shd w:val="clear" w:color="auto" w:fill="FFFFFF"/>
                  <w:tcMar>
                    <w:top w:w="0" w:type="dxa"/>
                    <w:left w:w="0" w:type="dxa"/>
                    <w:bottom w:w="0" w:type="dxa"/>
                    <w:right w:w="0" w:type="dxa"/>
                  </w:tcMar>
                  <w:vAlign w:val="center"/>
                </w:tcPr>
                <w:p w14:paraId="40C861E5">
                  <w:pPr>
                    <w:jc w:val="center"/>
                    <w:rPr>
                      <w:szCs w:val="21"/>
                    </w:rPr>
                  </w:pPr>
                  <w:r>
                    <w:rPr>
                      <w:szCs w:val="21"/>
                    </w:rPr>
                    <w:t>15.9</w:t>
                  </w:r>
                </w:p>
              </w:tc>
              <w:tc>
                <w:tcPr>
                  <w:tcW w:w="435" w:type="dxa"/>
                  <w:tcBorders>
                    <w:tl2br w:val="nil"/>
                    <w:tr2bl w:val="nil"/>
                  </w:tcBorders>
                  <w:shd w:val="clear" w:color="auto" w:fill="FFFFFF"/>
                  <w:tcMar>
                    <w:top w:w="0" w:type="dxa"/>
                    <w:left w:w="0" w:type="dxa"/>
                    <w:bottom w:w="0" w:type="dxa"/>
                    <w:right w:w="0" w:type="dxa"/>
                  </w:tcMar>
                  <w:vAlign w:val="center"/>
                </w:tcPr>
                <w:p w14:paraId="6260658E">
                  <w:pPr>
                    <w:jc w:val="center"/>
                    <w:rPr>
                      <w:szCs w:val="21"/>
                    </w:rPr>
                  </w:pPr>
                  <w:r>
                    <w:rPr>
                      <w:szCs w:val="21"/>
                    </w:rPr>
                    <w:t>24.7</w:t>
                  </w:r>
                </w:p>
              </w:tc>
              <w:tc>
                <w:tcPr>
                  <w:tcW w:w="465" w:type="dxa"/>
                  <w:tcBorders>
                    <w:tl2br w:val="nil"/>
                    <w:tr2bl w:val="nil"/>
                  </w:tcBorders>
                  <w:shd w:val="clear" w:color="auto" w:fill="FFFFFF"/>
                  <w:tcMar>
                    <w:top w:w="0" w:type="dxa"/>
                    <w:left w:w="0" w:type="dxa"/>
                    <w:bottom w:w="0" w:type="dxa"/>
                    <w:right w:w="0" w:type="dxa"/>
                  </w:tcMar>
                  <w:vAlign w:val="center"/>
                </w:tcPr>
                <w:p w14:paraId="2724F0D9">
                  <w:pPr>
                    <w:jc w:val="center"/>
                    <w:rPr>
                      <w:szCs w:val="21"/>
                    </w:rPr>
                  </w:pPr>
                  <w:r>
                    <w:rPr>
                      <w:szCs w:val="21"/>
                    </w:rPr>
                    <w:t>1.2</w:t>
                  </w:r>
                </w:p>
              </w:tc>
              <w:tc>
                <w:tcPr>
                  <w:tcW w:w="420" w:type="dxa"/>
                  <w:tcBorders>
                    <w:tl2br w:val="nil"/>
                    <w:tr2bl w:val="nil"/>
                  </w:tcBorders>
                  <w:shd w:val="solid" w:color="FFFFFF" w:fill="auto"/>
                  <w:tcMar>
                    <w:top w:w="0" w:type="dxa"/>
                    <w:left w:w="0" w:type="dxa"/>
                    <w:bottom w:w="0" w:type="dxa"/>
                    <w:right w:w="0" w:type="dxa"/>
                  </w:tcMar>
                  <w:vAlign w:val="center"/>
                </w:tcPr>
                <w:p w14:paraId="4F387CC3">
                  <w:pPr>
                    <w:jc w:val="center"/>
                    <w:rPr>
                      <w:sz w:val="20"/>
                    </w:rPr>
                  </w:pPr>
                  <w:r>
                    <w:rPr>
                      <w:sz w:val="20"/>
                    </w:rPr>
                    <w:t>77.6</w:t>
                  </w:r>
                </w:p>
              </w:tc>
              <w:tc>
                <w:tcPr>
                  <w:tcW w:w="420" w:type="dxa"/>
                  <w:tcBorders>
                    <w:tl2br w:val="nil"/>
                    <w:tr2bl w:val="nil"/>
                  </w:tcBorders>
                  <w:shd w:val="solid" w:color="FFFFFF" w:fill="auto"/>
                  <w:tcMar>
                    <w:top w:w="0" w:type="dxa"/>
                    <w:left w:w="0" w:type="dxa"/>
                    <w:bottom w:w="0" w:type="dxa"/>
                    <w:right w:w="0" w:type="dxa"/>
                  </w:tcMar>
                  <w:vAlign w:val="center"/>
                </w:tcPr>
                <w:p w14:paraId="45172D11">
                  <w:pPr>
                    <w:jc w:val="center"/>
                    <w:rPr>
                      <w:sz w:val="20"/>
                    </w:rPr>
                  </w:pPr>
                  <w:r>
                    <w:rPr>
                      <w:sz w:val="20"/>
                    </w:rPr>
                    <w:t>9.7</w:t>
                  </w:r>
                </w:p>
              </w:tc>
              <w:tc>
                <w:tcPr>
                  <w:tcW w:w="450" w:type="dxa"/>
                  <w:tcBorders>
                    <w:tl2br w:val="nil"/>
                    <w:tr2bl w:val="nil"/>
                  </w:tcBorders>
                  <w:shd w:val="solid" w:color="FFFFFF" w:fill="auto"/>
                  <w:tcMar>
                    <w:top w:w="0" w:type="dxa"/>
                    <w:left w:w="0" w:type="dxa"/>
                    <w:bottom w:w="0" w:type="dxa"/>
                    <w:right w:w="0" w:type="dxa"/>
                  </w:tcMar>
                  <w:vAlign w:val="center"/>
                </w:tcPr>
                <w:p w14:paraId="2528B20E">
                  <w:pPr>
                    <w:jc w:val="center"/>
                    <w:rPr>
                      <w:sz w:val="20"/>
                    </w:rPr>
                  </w:pPr>
                  <w:r>
                    <w:rPr>
                      <w:sz w:val="20"/>
                    </w:rPr>
                    <w:t>14.4</w:t>
                  </w:r>
                </w:p>
              </w:tc>
              <w:tc>
                <w:tcPr>
                  <w:tcW w:w="412" w:type="dxa"/>
                  <w:tcBorders>
                    <w:tl2br w:val="nil"/>
                    <w:tr2bl w:val="nil"/>
                  </w:tcBorders>
                  <w:shd w:val="solid" w:color="FFFFFF" w:fill="auto"/>
                  <w:tcMar>
                    <w:top w:w="0" w:type="dxa"/>
                    <w:left w:w="0" w:type="dxa"/>
                    <w:bottom w:w="0" w:type="dxa"/>
                    <w:right w:w="0" w:type="dxa"/>
                  </w:tcMar>
                  <w:vAlign w:val="center"/>
                </w:tcPr>
                <w:p w14:paraId="25438480">
                  <w:pPr>
                    <w:jc w:val="center"/>
                    <w:rPr>
                      <w:sz w:val="20"/>
                    </w:rPr>
                  </w:pPr>
                  <w:r>
                    <w:rPr>
                      <w:sz w:val="20"/>
                    </w:rPr>
                    <w:t>3.5</w:t>
                  </w:r>
                </w:p>
              </w:tc>
              <w:tc>
                <w:tcPr>
                  <w:tcW w:w="465" w:type="dxa"/>
                  <w:tcBorders>
                    <w:tl2br w:val="nil"/>
                    <w:tr2bl w:val="nil"/>
                  </w:tcBorders>
                  <w:shd w:val="solid" w:color="FFFFFF" w:fill="auto"/>
                  <w:tcMar>
                    <w:top w:w="0" w:type="dxa"/>
                    <w:left w:w="0" w:type="dxa"/>
                    <w:bottom w:w="0" w:type="dxa"/>
                    <w:right w:w="0" w:type="dxa"/>
                  </w:tcMar>
                  <w:vAlign w:val="center"/>
                </w:tcPr>
                <w:p w14:paraId="2A3EEBEE">
                  <w:pPr>
                    <w:jc w:val="center"/>
                    <w:rPr>
                      <w:rFonts w:eastAsia="Times New Roman"/>
                    </w:rPr>
                  </w:pPr>
                  <w:r>
                    <w:rPr>
                      <w:rFonts w:eastAsia="Times New Roman"/>
                    </w:rPr>
                    <w:t>37.2</w:t>
                  </w:r>
                </w:p>
              </w:tc>
              <w:tc>
                <w:tcPr>
                  <w:tcW w:w="465" w:type="dxa"/>
                  <w:tcBorders>
                    <w:tl2br w:val="nil"/>
                    <w:tr2bl w:val="nil"/>
                  </w:tcBorders>
                  <w:shd w:val="solid" w:color="FFFFFF" w:fill="auto"/>
                  <w:tcMar>
                    <w:top w:w="0" w:type="dxa"/>
                    <w:left w:w="0" w:type="dxa"/>
                    <w:bottom w:w="0" w:type="dxa"/>
                    <w:right w:w="0" w:type="dxa"/>
                  </w:tcMar>
                  <w:vAlign w:val="center"/>
                </w:tcPr>
                <w:p w14:paraId="4AEDE399">
                  <w:pPr>
                    <w:jc w:val="center"/>
                    <w:rPr>
                      <w:rFonts w:eastAsia="Times New Roman"/>
                    </w:rPr>
                  </w:pPr>
                  <w:r>
                    <w:rPr>
                      <w:rFonts w:eastAsia="Times New Roman"/>
                    </w:rPr>
                    <w:t>55.3</w:t>
                  </w:r>
                </w:p>
              </w:tc>
              <w:tc>
                <w:tcPr>
                  <w:tcW w:w="495" w:type="dxa"/>
                  <w:tcBorders>
                    <w:tl2br w:val="nil"/>
                    <w:tr2bl w:val="nil"/>
                  </w:tcBorders>
                  <w:shd w:val="solid" w:color="FFFFFF" w:fill="auto"/>
                  <w:tcMar>
                    <w:top w:w="0" w:type="dxa"/>
                    <w:left w:w="0" w:type="dxa"/>
                    <w:bottom w:w="0" w:type="dxa"/>
                    <w:right w:w="0" w:type="dxa"/>
                  </w:tcMar>
                  <w:vAlign w:val="center"/>
                </w:tcPr>
                <w:p w14:paraId="23415221">
                  <w:pPr>
                    <w:jc w:val="center"/>
                    <w:rPr>
                      <w:rFonts w:eastAsia="Times New Roman"/>
                    </w:rPr>
                  </w:pPr>
                  <w:r>
                    <w:rPr>
                      <w:rFonts w:eastAsia="Times New Roman"/>
                    </w:rPr>
                    <w:t>51.8</w:t>
                  </w:r>
                </w:p>
              </w:tc>
              <w:tc>
                <w:tcPr>
                  <w:tcW w:w="450" w:type="dxa"/>
                  <w:tcBorders>
                    <w:tl2br w:val="nil"/>
                    <w:tr2bl w:val="nil"/>
                  </w:tcBorders>
                  <w:shd w:val="solid" w:color="FFFFFF" w:fill="auto"/>
                  <w:tcMar>
                    <w:top w:w="0" w:type="dxa"/>
                    <w:left w:w="0" w:type="dxa"/>
                    <w:bottom w:w="0" w:type="dxa"/>
                    <w:right w:w="0" w:type="dxa"/>
                  </w:tcMar>
                  <w:vAlign w:val="center"/>
                </w:tcPr>
                <w:p w14:paraId="1BF884E5">
                  <w:pPr>
                    <w:jc w:val="center"/>
                    <w:rPr>
                      <w:rFonts w:eastAsia="Times New Roman"/>
                    </w:rPr>
                  </w:pPr>
                  <w:r>
                    <w:rPr>
                      <w:rFonts w:eastAsia="Times New Roman"/>
                    </w:rPr>
                    <w:t>64.1</w:t>
                  </w:r>
                </w:p>
              </w:tc>
              <w:tc>
                <w:tcPr>
                  <w:tcW w:w="495" w:type="dxa"/>
                  <w:vMerge w:val="restart"/>
                  <w:tcBorders>
                    <w:tl2br w:val="nil"/>
                    <w:tr2bl w:val="nil"/>
                  </w:tcBorders>
                  <w:shd w:val="clear" w:color="auto" w:fill="FFFFFF"/>
                  <w:tcMar>
                    <w:top w:w="0" w:type="dxa"/>
                    <w:left w:w="0" w:type="dxa"/>
                    <w:bottom w:w="0" w:type="dxa"/>
                    <w:right w:w="0" w:type="dxa"/>
                  </w:tcMar>
                  <w:vAlign w:val="center"/>
                </w:tcPr>
                <w:p w14:paraId="280F14EB">
                  <w:pPr>
                    <w:jc w:val="center"/>
                    <w:rPr>
                      <w:bCs/>
                      <w:szCs w:val="21"/>
                    </w:rPr>
                  </w:pPr>
                  <w:r>
                    <w:rPr>
                      <w:bCs/>
                      <w:szCs w:val="21"/>
                    </w:rPr>
                    <w:t>昼间</w:t>
                  </w:r>
                </w:p>
              </w:tc>
              <w:tc>
                <w:tcPr>
                  <w:tcW w:w="360" w:type="dxa"/>
                  <w:tcBorders>
                    <w:tl2br w:val="nil"/>
                    <w:tr2bl w:val="nil"/>
                  </w:tcBorders>
                  <w:shd w:val="clear" w:color="auto" w:fill="FFFFFF"/>
                  <w:tcMar>
                    <w:top w:w="0" w:type="dxa"/>
                    <w:left w:w="0" w:type="dxa"/>
                    <w:bottom w:w="0" w:type="dxa"/>
                    <w:right w:w="0" w:type="dxa"/>
                  </w:tcMar>
                  <w:vAlign w:val="center"/>
                </w:tcPr>
                <w:p w14:paraId="65A23909">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1B72FAEB">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2510CB63">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1057496B">
                  <w:pPr>
                    <w:jc w:val="center"/>
                    <w:textAlignment w:val="center"/>
                    <w:rPr>
                      <w:szCs w:val="21"/>
                    </w:rPr>
                  </w:pPr>
                  <w:r>
                    <w:rPr>
                      <w:szCs w:val="21"/>
                    </w:rPr>
                    <w:t>15</w:t>
                  </w:r>
                </w:p>
              </w:tc>
              <w:tc>
                <w:tcPr>
                  <w:tcW w:w="466" w:type="dxa"/>
                  <w:tcBorders>
                    <w:tl2br w:val="nil"/>
                    <w:tr2bl w:val="nil"/>
                  </w:tcBorders>
                  <w:shd w:val="clear" w:color="auto" w:fill="FFFFFF"/>
                  <w:tcMar>
                    <w:top w:w="0" w:type="dxa"/>
                    <w:left w:w="0" w:type="dxa"/>
                    <w:bottom w:w="0" w:type="dxa"/>
                    <w:right w:w="0" w:type="dxa"/>
                  </w:tcMar>
                  <w:vAlign w:val="center"/>
                </w:tcPr>
                <w:p w14:paraId="7FA8470A">
                  <w:pPr>
                    <w:jc w:val="center"/>
                    <w:rPr>
                      <w:szCs w:val="21"/>
                    </w:rPr>
                  </w:pPr>
                  <w:r>
                    <w:rPr>
                      <w:rFonts w:hint="eastAsia"/>
                      <w:color w:val="000000"/>
                    </w:rPr>
                    <w:t>22.2</w:t>
                  </w:r>
                </w:p>
              </w:tc>
              <w:tc>
                <w:tcPr>
                  <w:tcW w:w="466" w:type="dxa"/>
                  <w:tcBorders>
                    <w:tl2br w:val="nil"/>
                    <w:tr2bl w:val="nil"/>
                  </w:tcBorders>
                  <w:shd w:val="clear" w:color="auto" w:fill="FFFFFF"/>
                  <w:tcMar>
                    <w:top w:w="0" w:type="dxa"/>
                    <w:left w:w="0" w:type="dxa"/>
                    <w:bottom w:w="0" w:type="dxa"/>
                    <w:right w:w="0" w:type="dxa"/>
                  </w:tcMar>
                  <w:vAlign w:val="center"/>
                </w:tcPr>
                <w:p w14:paraId="75BA3B2C">
                  <w:pPr>
                    <w:jc w:val="center"/>
                    <w:rPr>
                      <w:szCs w:val="21"/>
                    </w:rPr>
                  </w:pPr>
                  <w:r>
                    <w:rPr>
                      <w:rFonts w:hint="eastAsia"/>
                      <w:color w:val="000000"/>
                    </w:rPr>
                    <w:t>40.3</w:t>
                  </w:r>
                </w:p>
              </w:tc>
              <w:tc>
                <w:tcPr>
                  <w:tcW w:w="451" w:type="dxa"/>
                  <w:tcBorders>
                    <w:tl2br w:val="nil"/>
                    <w:tr2bl w:val="nil"/>
                  </w:tcBorders>
                  <w:shd w:val="clear" w:color="auto" w:fill="FFFFFF"/>
                  <w:tcMar>
                    <w:top w:w="0" w:type="dxa"/>
                    <w:left w:w="0" w:type="dxa"/>
                    <w:bottom w:w="0" w:type="dxa"/>
                    <w:right w:w="0" w:type="dxa"/>
                  </w:tcMar>
                  <w:vAlign w:val="center"/>
                </w:tcPr>
                <w:p w14:paraId="047D0099">
                  <w:pPr>
                    <w:jc w:val="center"/>
                    <w:rPr>
                      <w:szCs w:val="21"/>
                    </w:rPr>
                  </w:pPr>
                  <w:r>
                    <w:rPr>
                      <w:rFonts w:hint="eastAsia"/>
                      <w:color w:val="000000"/>
                    </w:rPr>
                    <w:t>36.8</w:t>
                  </w:r>
                </w:p>
              </w:tc>
              <w:tc>
                <w:tcPr>
                  <w:tcW w:w="486" w:type="dxa"/>
                  <w:tcBorders>
                    <w:tl2br w:val="nil"/>
                    <w:tr2bl w:val="nil"/>
                  </w:tcBorders>
                  <w:shd w:val="clear" w:color="auto" w:fill="FFFFFF"/>
                  <w:tcMar>
                    <w:top w:w="0" w:type="dxa"/>
                    <w:left w:w="0" w:type="dxa"/>
                    <w:bottom w:w="0" w:type="dxa"/>
                    <w:right w:w="0" w:type="dxa"/>
                  </w:tcMar>
                  <w:vAlign w:val="center"/>
                </w:tcPr>
                <w:p w14:paraId="4A8C9991">
                  <w:pPr>
                    <w:jc w:val="center"/>
                    <w:rPr>
                      <w:szCs w:val="21"/>
                    </w:rPr>
                  </w:pPr>
                  <w:r>
                    <w:rPr>
                      <w:rFonts w:hint="eastAsia"/>
                      <w:color w:val="000000"/>
                    </w:rPr>
                    <w:t>49.1</w:t>
                  </w:r>
                </w:p>
              </w:tc>
              <w:tc>
                <w:tcPr>
                  <w:tcW w:w="780" w:type="dxa"/>
                  <w:tcBorders>
                    <w:tl2br w:val="nil"/>
                    <w:tr2bl w:val="nil"/>
                  </w:tcBorders>
                  <w:shd w:val="clear" w:color="auto" w:fill="FFFFFF"/>
                  <w:tcMar>
                    <w:top w:w="0" w:type="dxa"/>
                    <w:left w:w="0" w:type="dxa"/>
                    <w:bottom w:w="0" w:type="dxa"/>
                    <w:right w:w="0" w:type="dxa"/>
                  </w:tcMar>
                  <w:vAlign w:val="center"/>
                </w:tcPr>
                <w:p w14:paraId="0EEC1B0F">
                  <w:pPr>
                    <w:jc w:val="center"/>
                    <w:rPr>
                      <w:bCs/>
                      <w:szCs w:val="21"/>
                    </w:rPr>
                  </w:pPr>
                  <w:r>
                    <w:rPr>
                      <w:bCs/>
                      <w:szCs w:val="21"/>
                    </w:rPr>
                    <w:t>1m</w:t>
                  </w:r>
                </w:p>
              </w:tc>
            </w:tr>
            <w:tr w14:paraId="587C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jc w:val="center"/>
              </w:trPr>
              <w:tc>
                <w:tcPr>
                  <w:tcW w:w="267" w:type="dxa"/>
                  <w:tcBorders>
                    <w:tl2br w:val="nil"/>
                    <w:tr2bl w:val="nil"/>
                  </w:tcBorders>
                  <w:shd w:val="clear" w:color="auto" w:fill="FFFFFF"/>
                  <w:tcMar>
                    <w:top w:w="0" w:type="dxa"/>
                    <w:left w:w="0" w:type="dxa"/>
                    <w:bottom w:w="0" w:type="dxa"/>
                    <w:right w:w="0" w:type="dxa"/>
                  </w:tcMar>
                  <w:vAlign w:val="center"/>
                </w:tcPr>
                <w:p w14:paraId="524DC49E">
                  <w:pPr>
                    <w:jc w:val="center"/>
                    <w:rPr>
                      <w:bCs/>
                      <w:szCs w:val="21"/>
                    </w:rPr>
                  </w:pPr>
                  <w:r>
                    <w:rPr>
                      <w:bCs/>
                      <w:szCs w:val="21"/>
                    </w:rPr>
                    <w:t>2</w:t>
                  </w:r>
                </w:p>
              </w:tc>
              <w:tc>
                <w:tcPr>
                  <w:tcW w:w="470" w:type="dxa"/>
                  <w:vMerge w:val="continue"/>
                  <w:tcBorders>
                    <w:tl2br w:val="nil"/>
                    <w:tr2bl w:val="nil"/>
                  </w:tcBorders>
                  <w:shd w:val="clear" w:color="auto" w:fill="FFFFFF"/>
                  <w:tcMar>
                    <w:top w:w="0" w:type="dxa"/>
                    <w:left w:w="0" w:type="dxa"/>
                    <w:bottom w:w="0" w:type="dxa"/>
                    <w:right w:w="0" w:type="dxa"/>
                  </w:tcMar>
                  <w:vAlign w:val="center"/>
                </w:tcPr>
                <w:p w14:paraId="0C7CB40C">
                  <w:pPr>
                    <w:jc w:val="center"/>
                    <w:rPr>
                      <w:bCs/>
                      <w:szCs w:val="21"/>
                    </w:rPr>
                  </w:pPr>
                </w:p>
              </w:tc>
              <w:tc>
                <w:tcPr>
                  <w:tcW w:w="1275" w:type="dxa"/>
                  <w:tcBorders>
                    <w:tl2br w:val="nil"/>
                    <w:tr2bl w:val="nil"/>
                  </w:tcBorders>
                  <w:shd w:val="clear" w:color="auto" w:fill="FFFFFF"/>
                  <w:tcMar>
                    <w:top w:w="0" w:type="dxa"/>
                    <w:left w:w="0" w:type="dxa"/>
                    <w:bottom w:w="0" w:type="dxa"/>
                    <w:right w:w="0" w:type="dxa"/>
                  </w:tcMar>
                  <w:vAlign w:val="center"/>
                </w:tcPr>
                <w:p w14:paraId="2713F140">
                  <w:pPr>
                    <w:jc w:val="center"/>
                    <w:rPr>
                      <w:bCs/>
                      <w:szCs w:val="21"/>
                    </w:rPr>
                  </w:pPr>
                  <w:r>
                    <w:rPr>
                      <w:bCs/>
                      <w:szCs w:val="21"/>
                    </w:rPr>
                    <w:t>电动抽油机</w:t>
                  </w:r>
                </w:p>
              </w:tc>
              <w:tc>
                <w:tcPr>
                  <w:tcW w:w="584" w:type="dxa"/>
                  <w:tcBorders>
                    <w:tl2br w:val="nil"/>
                    <w:tr2bl w:val="nil"/>
                  </w:tcBorders>
                  <w:shd w:val="clear" w:color="auto" w:fill="FFFFFF"/>
                  <w:tcMar>
                    <w:top w:w="0" w:type="dxa"/>
                    <w:left w:w="0" w:type="dxa"/>
                    <w:bottom w:w="0" w:type="dxa"/>
                    <w:right w:w="0" w:type="dxa"/>
                  </w:tcMar>
                  <w:vAlign w:val="center"/>
                </w:tcPr>
                <w:p w14:paraId="431AE344">
                  <w:pPr>
                    <w:jc w:val="center"/>
                    <w:rPr>
                      <w:bCs/>
                      <w:szCs w:val="21"/>
                    </w:rPr>
                  </w:pPr>
                  <w:r>
                    <w:rPr>
                      <w:bCs/>
                      <w:szCs w:val="21"/>
                    </w:rPr>
                    <w:t>1</w:t>
                  </w:r>
                </w:p>
              </w:tc>
              <w:tc>
                <w:tcPr>
                  <w:tcW w:w="645" w:type="dxa"/>
                  <w:tcBorders>
                    <w:tl2br w:val="nil"/>
                    <w:tr2bl w:val="nil"/>
                  </w:tcBorders>
                  <w:shd w:val="clear" w:color="auto" w:fill="FFFFFF"/>
                  <w:tcMar>
                    <w:top w:w="0" w:type="dxa"/>
                    <w:left w:w="0" w:type="dxa"/>
                    <w:bottom w:w="0" w:type="dxa"/>
                    <w:right w:w="0" w:type="dxa"/>
                  </w:tcMar>
                  <w:vAlign w:val="center"/>
                </w:tcPr>
                <w:p w14:paraId="798D7853">
                  <w:pPr>
                    <w:jc w:val="center"/>
                    <w:rPr>
                      <w:bCs/>
                      <w:szCs w:val="21"/>
                    </w:rPr>
                  </w:pPr>
                  <w:r>
                    <w:rPr>
                      <w:bCs/>
                      <w:szCs w:val="21"/>
                    </w:rPr>
                    <w:t>75</w:t>
                  </w:r>
                </w:p>
              </w:tc>
              <w:tc>
                <w:tcPr>
                  <w:tcW w:w="1005" w:type="dxa"/>
                  <w:tcBorders>
                    <w:tl2br w:val="nil"/>
                    <w:tr2bl w:val="nil"/>
                  </w:tcBorders>
                  <w:shd w:val="clear" w:color="auto" w:fill="FFFFFF"/>
                  <w:tcMar>
                    <w:top w:w="0" w:type="dxa"/>
                    <w:left w:w="0" w:type="dxa"/>
                    <w:bottom w:w="0" w:type="dxa"/>
                    <w:right w:w="0" w:type="dxa"/>
                  </w:tcMar>
                  <w:vAlign w:val="center"/>
                </w:tcPr>
                <w:p w14:paraId="434DF313">
                  <w:pPr>
                    <w:jc w:val="center"/>
                    <w:rPr>
                      <w:bCs/>
                      <w:spacing w:val="4"/>
                      <w:szCs w:val="21"/>
                    </w:rPr>
                  </w:pPr>
                  <w:r>
                    <w:rPr>
                      <w:bCs/>
                      <w:spacing w:val="4"/>
                      <w:szCs w:val="21"/>
                    </w:rPr>
                    <w:t>隔声、减振</w:t>
                  </w:r>
                </w:p>
              </w:tc>
              <w:tc>
                <w:tcPr>
                  <w:tcW w:w="450" w:type="dxa"/>
                  <w:tcBorders>
                    <w:tl2br w:val="nil"/>
                    <w:tr2bl w:val="nil"/>
                  </w:tcBorders>
                  <w:shd w:val="clear" w:color="auto" w:fill="FFFFFF"/>
                  <w:tcMar>
                    <w:top w:w="0" w:type="dxa"/>
                    <w:left w:w="0" w:type="dxa"/>
                    <w:bottom w:w="0" w:type="dxa"/>
                    <w:right w:w="0" w:type="dxa"/>
                  </w:tcMar>
                  <w:vAlign w:val="center"/>
                </w:tcPr>
                <w:p w14:paraId="20730189">
                  <w:pPr>
                    <w:jc w:val="center"/>
                    <w:rPr>
                      <w:szCs w:val="20"/>
                    </w:rPr>
                  </w:pPr>
                  <w:r>
                    <w:rPr>
                      <w:szCs w:val="20"/>
                    </w:rPr>
                    <w:t>41.5</w:t>
                  </w:r>
                </w:p>
              </w:tc>
              <w:tc>
                <w:tcPr>
                  <w:tcW w:w="435" w:type="dxa"/>
                  <w:tcBorders>
                    <w:tl2br w:val="nil"/>
                    <w:tr2bl w:val="nil"/>
                  </w:tcBorders>
                  <w:shd w:val="clear" w:color="auto" w:fill="FFFFFF"/>
                  <w:tcMar>
                    <w:top w:w="0" w:type="dxa"/>
                    <w:left w:w="0" w:type="dxa"/>
                    <w:bottom w:w="0" w:type="dxa"/>
                    <w:right w:w="0" w:type="dxa"/>
                  </w:tcMar>
                  <w:vAlign w:val="center"/>
                </w:tcPr>
                <w:p w14:paraId="770EB23E">
                  <w:pPr>
                    <w:jc w:val="center"/>
                    <w:rPr>
                      <w:szCs w:val="20"/>
                    </w:rPr>
                  </w:pPr>
                  <w:r>
                    <w:rPr>
                      <w:szCs w:val="20"/>
                    </w:rPr>
                    <w:t>18.1</w:t>
                  </w:r>
                </w:p>
              </w:tc>
              <w:tc>
                <w:tcPr>
                  <w:tcW w:w="465" w:type="dxa"/>
                  <w:tcBorders>
                    <w:tl2br w:val="nil"/>
                    <w:tr2bl w:val="nil"/>
                  </w:tcBorders>
                  <w:shd w:val="clear" w:color="auto" w:fill="FFFFFF"/>
                  <w:tcMar>
                    <w:top w:w="0" w:type="dxa"/>
                    <w:left w:w="0" w:type="dxa"/>
                    <w:bottom w:w="0" w:type="dxa"/>
                    <w:right w:w="0" w:type="dxa"/>
                  </w:tcMar>
                  <w:vAlign w:val="center"/>
                </w:tcPr>
                <w:p w14:paraId="09D8EDB0">
                  <w:pPr>
                    <w:jc w:val="center"/>
                    <w:rPr>
                      <w:szCs w:val="20"/>
                    </w:rPr>
                  </w:pPr>
                  <w:r>
                    <w:rPr>
                      <w:szCs w:val="20"/>
                    </w:rPr>
                    <w:t>1.2</w:t>
                  </w:r>
                </w:p>
              </w:tc>
              <w:tc>
                <w:tcPr>
                  <w:tcW w:w="420" w:type="dxa"/>
                  <w:tcBorders>
                    <w:tl2br w:val="nil"/>
                    <w:tr2bl w:val="nil"/>
                  </w:tcBorders>
                  <w:shd w:val="solid" w:color="FFFFFF" w:fill="auto"/>
                  <w:tcMar>
                    <w:top w:w="0" w:type="dxa"/>
                    <w:left w:w="0" w:type="dxa"/>
                    <w:bottom w:w="0" w:type="dxa"/>
                    <w:right w:w="0" w:type="dxa"/>
                  </w:tcMar>
                  <w:vAlign w:val="center"/>
                </w:tcPr>
                <w:p w14:paraId="62232179">
                  <w:pPr>
                    <w:jc w:val="center"/>
                    <w:rPr>
                      <w:sz w:val="20"/>
                    </w:rPr>
                  </w:pPr>
                  <w:r>
                    <w:rPr>
                      <w:sz w:val="20"/>
                    </w:rPr>
                    <w:t>53.3</w:t>
                  </w:r>
                </w:p>
              </w:tc>
              <w:tc>
                <w:tcPr>
                  <w:tcW w:w="420" w:type="dxa"/>
                  <w:tcBorders>
                    <w:tl2br w:val="nil"/>
                    <w:tr2bl w:val="nil"/>
                  </w:tcBorders>
                  <w:shd w:val="solid" w:color="FFFFFF" w:fill="auto"/>
                  <w:tcMar>
                    <w:top w:w="0" w:type="dxa"/>
                    <w:left w:w="0" w:type="dxa"/>
                    <w:bottom w:w="0" w:type="dxa"/>
                    <w:right w:w="0" w:type="dxa"/>
                  </w:tcMar>
                  <w:vAlign w:val="center"/>
                </w:tcPr>
                <w:p w14:paraId="78C8030F">
                  <w:pPr>
                    <w:jc w:val="center"/>
                    <w:rPr>
                      <w:sz w:val="20"/>
                    </w:rPr>
                  </w:pPr>
                  <w:r>
                    <w:rPr>
                      <w:sz w:val="20"/>
                    </w:rPr>
                    <w:t>8.2</w:t>
                  </w:r>
                </w:p>
              </w:tc>
              <w:tc>
                <w:tcPr>
                  <w:tcW w:w="450" w:type="dxa"/>
                  <w:tcBorders>
                    <w:tl2br w:val="nil"/>
                    <w:tr2bl w:val="nil"/>
                  </w:tcBorders>
                  <w:shd w:val="solid" w:color="FFFFFF" w:fill="auto"/>
                  <w:tcMar>
                    <w:top w:w="0" w:type="dxa"/>
                    <w:left w:w="0" w:type="dxa"/>
                    <w:bottom w:w="0" w:type="dxa"/>
                    <w:right w:w="0" w:type="dxa"/>
                  </w:tcMar>
                  <w:vAlign w:val="center"/>
                </w:tcPr>
                <w:p w14:paraId="2C2A4A11">
                  <w:pPr>
                    <w:jc w:val="center"/>
                    <w:rPr>
                      <w:sz w:val="20"/>
                    </w:rPr>
                  </w:pPr>
                  <w:r>
                    <w:rPr>
                      <w:sz w:val="20"/>
                    </w:rPr>
                    <w:t>39.2</w:t>
                  </w:r>
                </w:p>
              </w:tc>
              <w:tc>
                <w:tcPr>
                  <w:tcW w:w="412" w:type="dxa"/>
                  <w:tcBorders>
                    <w:tl2br w:val="nil"/>
                    <w:tr2bl w:val="nil"/>
                  </w:tcBorders>
                  <w:shd w:val="solid" w:color="FFFFFF" w:fill="auto"/>
                  <w:tcMar>
                    <w:top w:w="0" w:type="dxa"/>
                    <w:left w:w="0" w:type="dxa"/>
                    <w:bottom w:w="0" w:type="dxa"/>
                    <w:right w:w="0" w:type="dxa"/>
                  </w:tcMar>
                  <w:vAlign w:val="center"/>
                </w:tcPr>
                <w:p w14:paraId="6D682C24">
                  <w:pPr>
                    <w:jc w:val="center"/>
                    <w:rPr>
                      <w:sz w:val="20"/>
                    </w:rPr>
                  </w:pPr>
                  <w:r>
                    <w:rPr>
                      <w:sz w:val="20"/>
                    </w:rPr>
                    <w:t>7.8</w:t>
                  </w:r>
                </w:p>
              </w:tc>
              <w:tc>
                <w:tcPr>
                  <w:tcW w:w="465" w:type="dxa"/>
                  <w:tcBorders>
                    <w:tl2br w:val="nil"/>
                    <w:tr2bl w:val="nil"/>
                  </w:tcBorders>
                  <w:shd w:val="solid" w:color="FFFFFF" w:fill="auto"/>
                  <w:tcMar>
                    <w:top w:w="0" w:type="dxa"/>
                    <w:left w:w="0" w:type="dxa"/>
                    <w:bottom w:w="0" w:type="dxa"/>
                    <w:right w:w="0" w:type="dxa"/>
                  </w:tcMar>
                  <w:vAlign w:val="center"/>
                </w:tcPr>
                <w:p w14:paraId="5072433C">
                  <w:pPr>
                    <w:jc w:val="center"/>
                    <w:rPr>
                      <w:rFonts w:eastAsia="Times New Roman"/>
                    </w:rPr>
                  </w:pPr>
                  <w:r>
                    <w:rPr>
                      <w:rFonts w:eastAsia="Times New Roman"/>
                    </w:rPr>
                    <w:t>40.5</w:t>
                  </w:r>
                </w:p>
              </w:tc>
              <w:tc>
                <w:tcPr>
                  <w:tcW w:w="465" w:type="dxa"/>
                  <w:tcBorders>
                    <w:tl2br w:val="nil"/>
                    <w:tr2bl w:val="nil"/>
                  </w:tcBorders>
                  <w:shd w:val="solid" w:color="FFFFFF" w:fill="auto"/>
                  <w:tcMar>
                    <w:top w:w="0" w:type="dxa"/>
                    <w:left w:w="0" w:type="dxa"/>
                    <w:bottom w:w="0" w:type="dxa"/>
                    <w:right w:w="0" w:type="dxa"/>
                  </w:tcMar>
                  <w:vAlign w:val="center"/>
                </w:tcPr>
                <w:p w14:paraId="4A8A2CD6">
                  <w:pPr>
                    <w:jc w:val="center"/>
                    <w:rPr>
                      <w:rFonts w:eastAsia="Times New Roman"/>
                    </w:rPr>
                  </w:pPr>
                  <w:r>
                    <w:rPr>
                      <w:rFonts w:eastAsia="Times New Roman"/>
                    </w:rPr>
                    <w:t>56.7</w:t>
                  </w:r>
                </w:p>
              </w:tc>
              <w:tc>
                <w:tcPr>
                  <w:tcW w:w="495" w:type="dxa"/>
                  <w:tcBorders>
                    <w:tl2br w:val="nil"/>
                    <w:tr2bl w:val="nil"/>
                  </w:tcBorders>
                  <w:shd w:val="solid" w:color="FFFFFF" w:fill="auto"/>
                  <w:tcMar>
                    <w:top w:w="0" w:type="dxa"/>
                    <w:left w:w="0" w:type="dxa"/>
                    <w:bottom w:w="0" w:type="dxa"/>
                    <w:right w:w="0" w:type="dxa"/>
                  </w:tcMar>
                  <w:vAlign w:val="center"/>
                </w:tcPr>
                <w:p w14:paraId="31E6F7FE">
                  <w:pPr>
                    <w:jc w:val="center"/>
                    <w:rPr>
                      <w:rFonts w:eastAsia="Times New Roman"/>
                    </w:rPr>
                  </w:pPr>
                  <w:r>
                    <w:rPr>
                      <w:rFonts w:eastAsia="Times New Roman"/>
                    </w:rPr>
                    <w:t>43.1</w:t>
                  </w:r>
                </w:p>
              </w:tc>
              <w:tc>
                <w:tcPr>
                  <w:tcW w:w="450" w:type="dxa"/>
                  <w:tcBorders>
                    <w:tl2br w:val="nil"/>
                    <w:tr2bl w:val="nil"/>
                  </w:tcBorders>
                  <w:shd w:val="solid" w:color="FFFFFF" w:fill="auto"/>
                  <w:tcMar>
                    <w:top w:w="0" w:type="dxa"/>
                    <w:left w:w="0" w:type="dxa"/>
                    <w:bottom w:w="0" w:type="dxa"/>
                    <w:right w:w="0" w:type="dxa"/>
                  </w:tcMar>
                  <w:vAlign w:val="center"/>
                </w:tcPr>
                <w:p w14:paraId="04C4947B">
                  <w:pPr>
                    <w:jc w:val="center"/>
                    <w:rPr>
                      <w:rFonts w:eastAsiaTheme="minorEastAsia"/>
                    </w:rPr>
                  </w:pPr>
                  <w:r>
                    <w:rPr>
                      <w:rFonts w:hint="eastAsia" w:eastAsiaTheme="minorEastAsia"/>
                    </w:rPr>
                    <w:t>5</w:t>
                  </w:r>
                  <w:r>
                    <w:rPr>
                      <w:rFonts w:eastAsiaTheme="minorEastAsia"/>
                    </w:rPr>
                    <w:t>7.2</w:t>
                  </w:r>
                </w:p>
              </w:tc>
              <w:tc>
                <w:tcPr>
                  <w:tcW w:w="495" w:type="dxa"/>
                  <w:vMerge w:val="continue"/>
                  <w:tcBorders>
                    <w:tl2br w:val="nil"/>
                    <w:tr2bl w:val="nil"/>
                  </w:tcBorders>
                  <w:shd w:val="clear" w:color="auto" w:fill="FFFFFF"/>
                  <w:tcMar>
                    <w:top w:w="0" w:type="dxa"/>
                    <w:left w:w="0" w:type="dxa"/>
                    <w:bottom w:w="0" w:type="dxa"/>
                    <w:right w:w="0" w:type="dxa"/>
                  </w:tcMar>
                  <w:vAlign w:val="center"/>
                </w:tcPr>
                <w:p w14:paraId="0480F7EC">
                  <w:pPr>
                    <w:jc w:val="center"/>
                    <w:rPr>
                      <w:bCs/>
                      <w:szCs w:val="21"/>
                    </w:rPr>
                  </w:pPr>
                </w:p>
              </w:tc>
              <w:tc>
                <w:tcPr>
                  <w:tcW w:w="360" w:type="dxa"/>
                  <w:tcBorders>
                    <w:tl2br w:val="nil"/>
                    <w:tr2bl w:val="nil"/>
                  </w:tcBorders>
                  <w:shd w:val="clear" w:color="auto" w:fill="FFFFFF"/>
                  <w:tcMar>
                    <w:top w:w="0" w:type="dxa"/>
                    <w:left w:w="0" w:type="dxa"/>
                    <w:bottom w:w="0" w:type="dxa"/>
                    <w:right w:w="0" w:type="dxa"/>
                  </w:tcMar>
                  <w:vAlign w:val="center"/>
                </w:tcPr>
                <w:p w14:paraId="62B3C5EA">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25BC9028">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4DF30275">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7EB2179E">
                  <w:pPr>
                    <w:jc w:val="center"/>
                    <w:textAlignment w:val="center"/>
                    <w:rPr>
                      <w:szCs w:val="21"/>
                    </w:rPr>
                  </w:pPr>
                  <w:r>
                    <w:rPr>
                      <w:szCs w:val="21"/>
                    </w:rPr>
                    <w:t>15</w:t>
                  </w:r>
                </w:p>
              </w:tc>
              <w:tc>
                <w:tcPr>
                  <w:tcW w:w="466" w:type="dxa"/>
                  <w:tcBorders>
                    <w:tl2br w:val="nil"/>
                    <w:tr2bl w:val="nil"/>
                  </w:tcBorders>
                  <w:shd w:val="clear" w:color="auto" w:fill="FFFFFF"/>
                  <w:tcMar>
                    <w:top w:w="0" w:type="dxa"/>
                    <w:left w:w="0" w:type="dxa"/>
                    <w:bottom w:w="0" w:type="dxa"/>
                    <w:right w:w="0" w:type="dxa"/>
                  </w:tcMar>
                  <w:vAlign w:val="center"/>
                </w:tcPr>
                <w:p w14:paraId="114115CB">
                  <w:pPr>
                    <w:jc w:val="center"/>
                    <w:rPr>
                      <w:szCs w:val="21"/>
                    </w:rPr>
                  </w:pPr>
                  <w:r>
                    <w:rPr>
                      <w:rFonts w:hint="eastAsia"/>
                      <w:color w:val="000000"/>
                    </w:rPr>
                    <w:t>25.5</w:t>
                  </w:r>
                </w:p>
              </w:tc>
              <w:tc>
                <w:tcPr>
                  <w:tcW w:w="466" w:type="dxa"/>
                  <w:tcBorders>
                    <w:tl2br w:val="nil"/>
                    <w:tr2bl w:val="nil"/>
                  </w:tcBorders>
                  <w:shd w:val="clear" w:color="auto" w:fill="FFFFFF"/>
                  <w:tcMar>
                    <w:top w:w="0" w:type="dxa"/>
                    <w:left w:w="0" w:type="dxa"/>
                    <w:bottom w:w="0" w:type="dxa"/>
                    <w:right w:w="0" w:type="dxa"/>
                  </w:tcMar>
                  <w:vAlign w:val="center"/>
                </w:tcPr>
                <w:p w14:paraId="08EDB6EF">
                  <w:pPr>
                    <w:jc w:val="center"/>
                    <w:rPr>
                      <w:szCs w:val="21"/>
                    </w:rPr>
                  </w:pPr>
                  <w:r>
                    <w:rPr>
                      <w:rFonts w:hint="eastAsia"/>
                      <w:color w:val="000000"/>
                    </w:rPr>
                    <w:t>41.7</w:t>
                  </w:r>
                </w:p>
              </w:tc>
              <w:tc>
                <w:tcPr>
                  <w:tcW w:w="451" w:type="dxa"/>
                  <w:tcBorders>
                    <w:tl2br w:val="nil"/>
                    <w:tr2bl w:val="nil"/>
                  </w:tcBorders>
                  <w:shd w:val="clear" w:color="auto" w:fill="FFFFFF"/>
                  <w:tcMar>
                    <w:top w:w="0" w:type="dxa"/>
                    <w:left w:w="0" w:type="dxa"/>
                    <w:bottom w:w="0" w:type="dxa"/>
                    <w:right w:w="0" w:type="dxa"/>
                  </w:tcMar>
                  <w:vAlign w:val="center"/>
                </w:tcPr>
                <w:p w14:paraId="228FAC6B">
                  <w:pPr>
                    <w:jc w:val="center"/>
                    <w:rPr>
                      <w:szCs w:val="21"/>
                    </w:rPr>
                  </w:pPr>
                  <w:r>
                    <w:rPr>
                      <w:rFonts w:hint="eastAsia"/>
                      <w:color w:val="000000"/>
                    </w:rPr>
                    <w:t>28.1</w:t>
                  </w:r>
                </w:p>
              </w:tc>
              <w:tc>
                <w:tcPr>
                  <w:tcW w:w="486" w:type="dxa"/>
                  <w:tcBorders>
                    <w:tl2br w:val="nil"/>
                    <w:tr2bl w:val="nil"/>
                  </w:tcBorders>
                  <w:shd w:val="clear" w:color="auto" w:fill="FFFFFF"/>
                  <w:tcMar>
                    <w:top w:w="0" w:type="dxa"/>
                    <w:left w:w="0" w:type="dxa"/>
                    <w:bottom w:w="0" w:type="dxa"/>
                    <w:right w:w="0" w:type="dxa"/>
                  </w:tcMar>
                  <w:vAlign w:val="center"/>
                </w:tcPr>
                <w:p w14:paraId="7CD6442F">
                  <w:pPr>
                    <w:jc w:val="center"/>
                    <w:rPr>
                      <w:szCs w:val="21"/>
                    </w:rPr>
                  </w:pPr>
                  <w:r>
                    <w:rPr>
                      <w:rFonts w:hint="eastAsia"/>
                      <w:color w:val="000000"/>
                    </w:rPr>
                    <w:t>42.2</w:t>
                  </w:r>
                </w:p>
              </w:tc>
              <w:tc>
                <w:tcPr>
                  <w:tcW w:w="780" w:type="dxa"/>
                  <w:tcBorders>
                    <w:tl2br w:val="nil"/>
                    <w:tr2bl w:val="nil"/>
                  </w:tcBorders>
                  <w:shd w:val="clear" w:color="auto" w:fill="FFFFFF"/>
                  <w:tcMar>
                    <w:top w:w="0" w:type="dxa"/>
                    <w:left w:w="0" w:type="dxa"/>
                    <w:bottom w:w="0" w:type="dxa"/>
                    <w:right w:w="0" w:type="dxa"/>
                  </w:tcMar>
                  <w:vAlign w:val="center"/>
                </w:tcPr>
                <w:p w14:paraId="4302AB92">
                  <w:pPr>
                    <w:jc w:val="center"/>
                    <w:rPr>
                      <w:bCs/>
                      <w:szCs w:val="21"/>
                    </w:rPr>
                  </w:pPr>
                  <w:r>
                    <w:rPr>
                      <w:bCs/>
                      <w:szCs w:val="21"/>
                    </w:rPr>
                    <w:t>1m</w:t>
                  </w:r>
                </w:p>
              </w:tc>
            </w:tr>
            <w:tr w14:paraId="47A6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jc w:val="center"/>
              </w:trPr>
              <w:tc>
                <w:tcPr>
                  <w:tcW w:w="267" w:type="dxa"/>
                  <w:tcBorders>
                    <w:tl2br w:val="nil"/>
                    <w:tr2bl w:val="nil"/>
                  </w:tcBorders>
                  <w:shd w:val="clear" w:color="auto" w:fill="FFFFFF"/>
                  <w:tcMar>
                    <w:top w:w="0" w:type="dxa"/>
                    <w:left w:w="0" w:type="dxa"/>
                    <w:bottom w:w="0" w:type="dxa"/>
                    <w:right w:w="0" w:type="dxa"/>
                  </w:tcMar>
                  <w:vAlign w:val="center"/>
                </w:tcPr>
                <w:p w14:paraId="48D65D60">
                  <w:pPr>
                    <w:jc w:val="center"/>
                    <w:rPr>
                      <w:bCs/>
                      <w:szCs w:val="21"/>
                    </w:rPr>
                  </w:pPr>
                  <w:r>
                    <w:rPr>
                      <w:bCs/>
                      <w:szCs w:val="21"/>
                    </w:rPr>
                    <w:t>3</w:t>
                  </w:r>
                </w:p>
              </w:tc>
              <w:tc>
                <w:tcPr>
                  <w:tcW w:w="470" w:type="dxa"/>
                  <w:vMerge w:val="continue"/>
                  <w:tcBorders>
                    <w:tl2br w:val="nil"/>
                    <w:tr2bl w:val="nil"/>
                  </w:tcBorders>
                  <w:shd w:val="clear" w:color="auto" w:fill="FFFFFF"/>
                  <w:tcMar>
                    <w:top w:w="0" w:type="dxa"/>
                    <w:left w:w="0" w:type="dxa"/>
                    <w:bottom w:w="0" w:type="dxa"/>
                    <w:right w:w="0" w:type="dxa"/>
                  </w:tcMar>
                  <w:vAlign w:val="center"/>
                </w:tcPr>
                <w:p w14:paraId="62C90AA8">
                  <w:pPr>
                    <w:jc w:val="center"/>
                    <w:rPr>
                      <w:bCs/>
                      <w:szCs w:val="21"/>
                    </w:rPr>
                  </w:pPr>
                </w:p>
              </w:tc>
              <w:tc>
                <w:tcPr>
                  <w:tcW w:w="1275" w:type="dxa"/>
                  <w:tcBorders>
                    <w:tl2br w:val="nil"/>
                    <w:tr2bl w:val="nil"/>
                  </w:tcBorders>
                  <w:shd w:val="clear" w:color="auto" w:fill="FFFFFF"/>
                  <w:tcMar>
                    <w:top w:w="0" w:type="dxa"/>
                    <w:left w:w="0" w:type="dxa"/>
                    <w:bottom w:w="0" w:type="dxa"/>
                    <w:right w:w="0" w:type="dxa"/>
                  </w:tcMar>
                  <w:vAlign w:val="center"/>
                </w:tcPr>
                <w:p w14:paraId="55AAC69E">
                  <w:pPr>
                    <w:jc w:val="center"/>
                    <w:rPr>
                      <w:bCs/>
                      <w:szCs w:val="21"/>
                    </w:rPr>
                  </w:pPr>
                  <w:r>
                    <w:rPr>
                      <w:bCs/>
                      <w:szCs w:val="21"/>
                    </w:rPr>
                    <w:t>风机</w:t>
                  </w:r>
                </w:p>
              </w:tc>
              <w:tc>
                <w:tcPr>
                  <w:tcW w:w="584" w:type="dxa"/>
                  <w:tcBorders>
                    <w:tl2br w:val="nil"/>
                    <w:tr2bl w:val="nil"/>
                  </w:tcBorders>
                  <w:shd w:val="clear" w:color="auto" w:fill="FFFFFF"/>
                  <w:tcMar>
                    <w:top w:w="0" w:type="dxa"/>
                    <w:left w:w="0" w:type="dxa"/>
                    <w:bottom w:w="0" w:type="dxa"/>
                    <w:right w:w="0" w:type="dxa"/>
                  </w:tcMar>
                  <w:vAlign w:val="center"/>
                </w:tcPr>
                <w:p w14:paraId="13927158">
                  <w:pPr>
                    <w:jc w:val="center"/>
                    <w:rPr>
                      <w:bCs/>
                      <w:szCs w:val="21"/>
                    </w:rPr>
                  </w:pPr>
                  <w:r>
                    <w:rPr>
                      <w:bCs/>
                      <w:szCs w:val="21"/>
                    </w:rPr>
                    <w:t>1</w:t>
                  </w:r>
                </w:p>
              </w:tc>
              <w:tc>
                <w:tcPr>
                  <w:tcW w:w="645" w:type="dxa"/>
                  <w:tcBorders>
                    <w:tl2br w:val="nil"/>
                    <w:tr2bl w:val="nil"/>
                  </w:tcBorders>
                  <w:shd w:val="clear" w:color="auto" w:fill="FFFFFF"/>
                  <w:tcMar>
                    <w:top w:w="0" w:type="dxa"/>
                    <w:left w:w="0" w:type="dxa"/>
                    <w:bottom w:w="0" w:type="dxa"/>
                    <w:right w:w="0" w:type="dxa"/>
                  </w:tcMar>
                  <w:vAlign w:val="center"/>
                </w:tcPr>
                <w:p w14:paraId="7412FD8E">
                  <w:pPr>
                    <w:jc w:val="center"/>
                    <w:rPr>
                      <w:bCs/>
                      <w:szCs w:val="21"/>
                    </w:rPr>
                  </w:pPr>
                  <w:r>
                    <w:rPr>
                      <w:bCs/>
                      <w:szCs w:val="21"/>
                    </w:rPr>
                    <w:t>85</w:t>
                  </w:r>
                </w:p>
              </w:tc>
              <w:tc>
                <w:tcPr>
                  <w:tcW w:w="1005" w:type="dxa"/>
                  <w:tcBorders>
                    <w:tl2br w:val="nil"/>
                    <w:tr2bl w:val="nil"/>
                  </w:tcBorders>
                  <w:shd w:val="clear" w:color="auto" w:fill="FFFFFF"/>
                  <w:tcMar>
                    <w:top w:w="0" w:type="dxa"/>
                    <w:left w:w="0" w:type="dxa"/>
                    <w:bottom w:w="0" w:type="dxa"/>
                    <w:right w:w="0" w:type="dxa"/>
                  </w:tcMar>
                  <w:vAlign w:val="center"/>
                </w:tcPr>
                <w:p w14:paraId="17962075">
                  <w:pPr>
                    <w:jc w:val="center"/>
                    <w:rPr>
                      <w:bCs/>
                      <w:szCs w:val="21"/>
                    </w:rPr>
                  </w:pPr>
                  <w:r>
                    <w:rPr>
                      <w:bCs/>
                      <w:spacing w:val="4"/>
                      <w:szCs w:val="21"/>
                    </w:rPr>
                    <w:t>隔声、减振、消声</w:t>
                  </w:r>
                </w:p>
              </w:tc>
              <w:tc>
                <w:tcPr>
                  <w:tcW w:w="450" w:type="dxa"/>
                  <w:tcBorders>
                    <w:tl2br w:val="nil"/>
                    <w:tr2bl w:val="nil"/>
                  </w:tcBorders>
                  <w:shd w:val="clear" w:color="auto" w:fill="FFFFFF"/>
                  <w:tcMar>
                    <w:top w:w="0" w:type="dxa"/>
                    <w:left w:w="0" w:type="dxa"/>
                    <w:bottom w:w="0" w:type="dxa"/>
                    <w:right w:w="0" w:type="dxa"/>
                  </w:tcMar>
                  <w:vAlign w:val="center"/>
                </w:tcPr>
                <w:p w14:paraId="7567E352">
                  <w:pPr>
                    <w:jc w:val="center"/>
                    <w:rPr>
                      <w:szCs w:val="21"/>
                    </w:rPr>
                  </w:pPr>
                  <w:r>
                    <w:rPr>
                      <w:szCs w:val="21"/>
                    </w:rPr>
                    <w:t>14.1</w:t>
                  </w:r>
                </w:p>
              </w:tc>
              <w:tc>
                <w:tcPr>
                  <w:tcW w:w="435" w:type="dxa"/>
                  <w:tcBorders>
                    <w:tl2br w:val="nil"/>
                    <w:tr2bl w:val="nil"/>
                  </w:tcBorders>
                  <w:shd w:val="clear" w:color="auto" w:fill="FFFFFF"/>
                  <w:tcMar>
                    <w:top w:w="0" w:type="dxa"/>
                    <w:left w:w="0" w:type="dxa"/>
                    <w:bottom w:w="0" w:type="dxa"/>
                    <w:right w:w="0" w:type="dxa"/>
                  </w:tcMar>
                  <w:vAlign w:val="center"/>
                </w:tcPr>
                <w:p w14:paraId="2D88B12F">
                  <w:pPr>
                    <w:jc w:val="center"/>
                    <w:rPr>
                      <w:szCs w:val="21"/>
                    </w:rPr>
                  </w:pPr>
                  <w:r>
                    <w:rPr>
                      <w:szCs w:val="21"/>
                    </w:rPr>
                    <w:t>29.4</w:t>
                  </w:r>
                </w:p>
              </w:tc>
              <w:tc>
                <w:tcPr>
                  <w:tcW w:w="465" w:type="dxa"/>
                  <w:tcBorders>
                    <w:tl2br w:val="nil"/>
                    <w:tr2bl w:val="nil"/>
                  </w:tcBorders>
                  <w:shd w:val="clear" w:color="auto" w:fill="FFFFFF"/>
                  <w:tcMar>
                    <w:top w:w="0" w:type="dxa"/>
                    <w:left w:w="0" w:type="dxa"/>
                    <w:bottom w:w="0" w:type="dxa"/>
                    <w:right w:w="0" w:type="dxa"/>
                  </w:tcMar>
                  <w:vAlign w:val="center"/>
                </w:tcPr>
                <w:p w14:paraId="70021D3B">
                  <w:pPr>
                    <w:jc w:val="center"/>
                    <w:rPr>
                      <w:szCs w:val="21"/>
                    </w:rPr>
                  </w:pPr>
                  <w:r>
                    <w:rPr>
                      <w:szCs w:val="21"/>
                    </w:rPr>
                    <w:t>1.2</w:t>
                  </w:r>
                </w:p>
              </w:tc>
              <w:tc>
                <w:tcPr>
                  <w:tcW w:w="420" w:type="dxa"/>
                  <w:tcBorders>
                    <w:tl2br w:val="nil"/>
                    <w:tr2bl w:val="nil"/>
                  </w:tcBorders>
                  <w:shd w:val="solid" w:color="FFFFFF" w:fill="auto"/>
                  <w:tcMar>
                    <w:top w:w="0" w:type="dxa"/>
                    <w:left w:w="0" w:type="dxa"/>
                    <w:bottom w:w="0" w:type="dxa"/>
                    <w:right w:w="0" w:type="dxa"/>
                  </w:tcMar>
                  <w:vAlign w:val="center"/>
                </w:tcPr>
                <w:p w14:paraId="1C285360">
                  <w:pPr>
                    <w:jc w:val="center"/>
                    <w:rPr>
                      <w:sz w:val="20"/>
                    </w:rPr>
                  </w:pPr>
                  <w:r>
                    <w:rPr>
                      <w:sz w:val="20"/>
                    </w:rPr>
                    <w:t>83.8</w:t>
                  </w:r>
                </w:p>
              </w:tc>
              <w:tc>
                <w:tcPr>
                  <w:tcW w:w="420" w:type="dxa"/>
                  <w:tcBorders>
                    <w:tl2br w:val="nil"/>
                    <w:tr2bl w:val="nil"/>
                  </w:tcBorders>
                  <w:shd w:val="solid" w:color="FFFFFF" w:fill="auto"/>
                  <w:tcMar>
                    <w:top w:w="0" w:type="dxa"/>
                    <w:left w:w="0" w:type="dxa"/>
                    <w:bottom w:w="0" w:type="dxa"/>
                    <w:right w:w="0" w:type="dxa"/>
                  </w:tcMar>
                  <w:vAlign w:val="center"/>
                </w:tcPr>
                <w:p w14:paraId="521355ED">
                  <w:pPr>
                    <w:jc w:val="center"/>
                    <w:rPr>
                      <w:sz w:val="20"/>
                    </w:rPr>
                  </w:pPr>
                  <w:r>
                    <w:rPr>
                      <w:sz w:val="20"/>
                    </w:rPr>
                    <w:t>12.1</w:t>
                  </w:r>
                </w:p>
              </w:tc>
              <w:tc>
                <w:tcPr>
                  <w:tcW w:w="450" w:type="dxa"/>
                  <w:tcBorders>
                    <w:tl2br w:val="nil"/>
                    <w:tr2bl w:val="nil"/>
                  </w:tcBorders>
                  <w:shd w:val="solid" w:color="FFFFFF" w:fill="auto"/>
                  <w:tcMar>
                    <w:top w:w="0" w:type="dxa"/>
                    <w:left w:w="0" w:type="dxa"/>
                    <w:bottom w:w="0" w:type="dxa"/>
                    <w:right w:w="0" w:type="dxa"/>
                  </w:tcMar>
                  <w:vAlign w:val="center"/>
                </w:tcPr>
                <w:p w14:paraId="4AD44CF3">
                  <w:pPr>
                    <w:jc w:val="center"/>
                    <w:rPr>
                      <w:sz w:val="20"/>
                    </w:rPr>
                  </w:pPr>
                  <w:r>
                    <w:rPr>
                      <w:sz w:val="20"/>
                    </w:rPr>
                    <w:t>13.3</w:t>
                  </w:r>
                </w:p>
              </w:tc>
              <w:tc>
                <w:tcPr>
                  <w:tcW w:w="412" w:type="dxa"/>
                  <w:tcBorders>
                    <w:tl2br w:val="nil"/>
                    <w:tr2bl w:val="nil"/>
                  </w:tcBorders>
                  <w:shd w:val="solid" w:color="FFFFFF" w:fill="auto"/>
                  <w:tcMar>
                    <w:top w:w="0" w:type="dxa"/>
                    <w:left w:w="0" w:type="dxa"/>
                    <w:bottom w:w="0" w:type="dxa"/>
                    <w:right w:w="0" w:type="dxa"/>
                  </w:tcMar>
                  <w:vAlign w:val="center"/>
                </w:tcPr>
                <w:p w14:paraId="4D98D6AD">
                  <w:pPr>
                    <w:jc w:val="center"/>
                    <w:rPr>
                      <w:sz w:val="20"/>
                    </w:rPr>
                  </w:pPr>
                  <w:r>
                    <w:rPr>
                      <w:sz w:val="20"/>
                    </w:rPr>
                    <w:t>3.6</w:t>
                  </w:r>
                </w:p>
              </w:tc>
              <w:tc>
                <w:tcPr>
                  <w:tcW w:w="465" w:type="dxa"/>
                  <w:tcBorders>
                    <w:tl2br w:val="nil"/>
                    <w:tr2bl w:val="nil"/>
                  </w:tcBorders>
                  <w:shd w:val="solid" w:color="FFFFFF" w:fill="auto"/>
                  <w:tcMar>
                    <w:top w:w="0" w:type="dxa"/>
                    <w:left w:w="0" w:type="dxa"/>
                    <w:bottom w:w="0" w:type="dxa"/>
                    <w:right w:w="0" w:type="dxa"/>
                  </w:tcMar>
                  <w:vAlign w:val="center"/>
                </w:tcPr>
                <w:p w14:paraId="7B7080DD">
                  <w:pPr>
                    <w:jc w:val="center"/>
                    <w:rPr>
                      <w:rFonts w:eastAsiaTheme="minorEastAsia"/>
                    </w:rPr>
                  </w:pPr>
                  <w:r>
                    <w:rPr>
                      <w:rFonts w:hint="eastAsia" w:eastAsiaTheme="minorEastAsia"/>
                    </w:rPr>
                    <w:t>4</w:t>
                  </w:r>
                  <w:r>
                    <w:rPr>
                      <w:rFonts w:eastAsiaTheme="minorEastAsia"/>
                    </w:rPr>
                    <w:t>1.5</w:t>
                  </w:r>
                </w:p>
              </w:tc>
              <w:tc>
                <w:tcPr>
                  <w:tcW w:w="465" w:type="dxa"/>
                  <w:tcBorders>
                    <w:tl2br w:val="nil"/>
                    <w:tr2bl w:val="nil"/>
                  </w:tcBorders>
                  <w:shd w:val="solid" w:color="FFFFFF" w:fill="auto"/>
                  <w:tcMar>
                    <w:top w:w="0" w:type="dxa"/>
                    <w:left w:w="0" w:type="dxa"/>
                    <w:bottom w:w="0" w:type="dxa"/>
                    <w:right w:w="0" w:type="dxa"/>
                  </w:tcMar>
                  <w:vAlign w:val="center"/>
                </w:tcPr>
                <w:p w14:paraId="260C8C35">
                  <w:pPr>
                    <w:jc w:val="center"/>
                    <w:rPr>
                      <w:rFonts w:eastAsiaTheme="minorEastAsia"/>
                    </w:rPr>
                  </w:pPr>
                  <w:r>
                    <w:rPr>
                      <w:rFonts w:hint="eastAsia" w:eastAsiaTheme="minorEastAsia"/>
                    </w:rPr>
                    <w:t>5</w:t>
                  </w:r>
                  <w:r>
                    <w:rPr>
                      <w:rFonts w:eastAsiaTheme="minorEastAsia"/>
                    </w:rPr>
                    <w:t>8.3</w:t>
                  </w:r>
                </w:p>
              </w:tc>
              <w:tc>
                <w:tcPr>
                  <w:tcW w:w="495" w:type="dxa"/>
                  <w:tcBorders>
                    <w:tl2br w:val="nil"/>
                    <w:tr2bl w:val="nil"/>
                  </w:tcBorders>
                  <w:shd w:val="solid" w:color="FFFFFF" w:fill="auto"/>
                  <w:tcMar>
                    <w:top w:w="0" w:type="dxa"/>
                    <w:left w:w="0" w:type="dxa"/>
                    <w:bottom w:w="0" w:type="dxa"/>
                    <w:right w:w="0" w:type="dxa"/>
                  </w:tcMar>
                  <w:vAlign w:val="center"/>
                </w:tcPr>
                <w:p w14:paraId="4A6B92B6">
                  <w:pPr>
                    <w:jc w:val="center"/>
                    <w:rPr>
                      <w:rFonts w:eastAsiaTheme="minorEastAsia"/>
                    </w:rPr>
                  </w:pPr>
                  <w:r>
                    <w:rPr>
                      <w:rFonts w:hint="eastAsia" w:eastAsiaTheme="minorEastAsia"/>
                    </w:rPr>
                    <w:t>5</w:t>
                  </w:r>
                  <w:r>
                    <w:rPr>
                      <w:rFonts w:eastAsiaTheme="minorEastAsia"/>
                    </w:rPr>
                    <w:t>7.5</w:t>
                  </w:r>
                </w:p>
              </w:tc>
              <w:tc>
                <w:tcPr>
                  <w:tcW w:w="450" w:type="dxa"/>
                  <w:tcBorders>
                    <w:tl2br w:val="nil"/>
                    <w:tr2bl w:val="nil"/>
                  </w:tcBorders>
                  <w:shd w:val="solid" w:color="FFFFFF" w:fill="auto"/>
                  <w:tcMar>
                    <w:top w:w="0" w:type="dxa"/>
                    <w:left w:w="0" w:type="dxa"/>
                    <w:bottom w:w="0" w:type="dxa"/>
                    <w:right w:w="0" w:type="dxa"/>
                  </w:tcMar>
                  <w:vAlign w:val="center"/>
                </w:tcPr>
                <w:p w14:paraId="1BE83892">
                  <w:pPr>
                    <w:jc w:val="center"/>
                    <w:rPr>
                      <w:rFonts w:eastAsia="Times New Roman"/>
                    </w:rPr>
                  </w:pPr>
                  <w:r>
                    <w:rPr>
                      <w:rFonts w:eastAsia="Times New Roman"/>
                    </w:rPr>
                    <w:t>68.7</w:t>
                  </w:r>
                </w:p>
              </w:tc>
              <w:tc>
                <w:tcPr>
                  <w:tcW w:w="495" w:type="dxa"/>
                  <w:vMerge w:val="continue"/>
                  <w:tcBorders>
                    <w:tl2br w:val="nil"/>
                    <w:tr2bl w:val="nil"/>
                  </w:tcBorders>
                  <w:shd w:val="clear" w:color="auto" w:fill="FFFFFF"/>
                  <w:tcMar>
                    <w:top w:w="0" w:type="dxa"/>
                    <w:left w:w="0" w:type="dxa"/>
                    <w:bottom w:w="0" w:type="dxa"/>
                    <w:right w:w="0" w:type="dxa"/>
                  </w:tcMar>
                  <w:vAlign w:val="center"/>
                </w:tcPr>
                <w:p w14:paraId="36CEF475">
                  <w:pPr>
                    <w:jc w:val="center"/>
                    <w:rPr>
                      <w:bCs/>
                      <w:szCs w:val="21"/>
                    </w:rPr>
                  </w:pPr>
                </w:p>
              </w:tc>
              <w:tc>
                <w:tcPr>
                  <w:tcW w:w="360" w:type="dxa"/>
                  <w:tcBorders>
                    <w:tl2br w:val="nil"/>
                    <w:tr2bl w:val="nil"/>
                  </w:tcBorders>
                  <w:shd w:val="clear" w:color="auto" w:fill="FFFFFF"/>
                  <w:tcMar>
                    <w:top w:w="0" w:type="dxa"/>
                    <w:left w:w="0" w:type="dxa"/>
                    <w:bottom w:w="0" w:type="dxa"/>
                    <w:right w:w="0" w:type="dxa"/>
                  </w:tcMar>
                  <w:vAlign w:val="center"/>
                </w:tcPr>
                <w:p w14:paraId="3C8507EB">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568D8CEC">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0F642FAD">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1185AF95">
                  <w:pPr>
                    <w:jc w:val="center"/>
                    <w:textAlignment w:val="center"/>
                    <w:rPr>
                      <w:szCs w:val="21"/>
                    </w:rPr>
                  </w:pPr>
                  <w:r>
                    <w:rPr>
                      <w:szCs w:val="21"/>
                    </w:rPr>
                    <w:t>15</w:t>
                  </w:r>
                </w:p>
              </w:tc>
              <w:tc>
                <w:tcPr>
                  <w:tcW w:w="466" w:type="dxa"/>
                  <w:tcBorders>
                    <w:tl2br w:val="nil"/>
                    <w:tr2bl w:val="nil"/>
                  </w:tcBorders>
                  <w:shd w:val="clear" w:color="auto" w:fill="FFFFFF"/>
                  <w:tcMar>
                    <w:top w:w="0" w:type="dxa"/>
                    <w:left w:w="0" w:type="dxa"/>
                    <w:bottom w:w="0" w:type="dxa"/>
                    <w:right w:w="0" w:type="dxa"/>
                  </w:tcMar>
                  <w:vAlign w:val="center"/>
                </w:tcPr>
                <w:p w14:paraId="50AD8F4A">
                  <w:pPr>
                    <w:jc w:val="center"/>
                    <w:rPr>
                      <w:szCs w:val="21"/>
                    </w:rPr>
                  </w:pPr>
                  <w:r>
                    <w:rPr>
                      <w:rFonts w:hint="eastAsia"/>
                      <w:color w:val="000000"/>
                    </w:rPr>
                    <w:t>26.5</w:t>
                  </w:r>
                </w:p>
              </w:tc>
              <w:tc>
                <w:tcPr>
                  <w:tcW w:w="466" w:type="dxa"/>
                  <w:tcBorders>
                    <w:tl2br w:val="nil"/>
                    <w:tr2bl w:val="nil"/>
                  </w:tcBorders>
                  <w:shd w:val="clear" w:color="auto" w:fill="FFFFFF"/>
                  <w:tcMar>
                    <w:top w:w="0" w:type="dxa"/>
                    <w:left w:w="0" w:type="dxa"/>
                    <w:bottom w:w="0" w:type="dxa"/>
                    <w:right w:w="0" w:type="dxa"/>
                  </w:tcMar>
                  <w:vAlign w:val="center"/>
                </w:tcPr>
                <w:p w14:paraId="2D5EF183">
                  <w:pPr>
                    <w:jc w:val="center"/>
                    <w:rPr>
                      <w:szCs w:val="21"/>
                    </w:rPr>
                  </w:pPr>
                  <w:r>
                    <w:rPr>
                      <w:rFonts w:hint="eastAsia"/>
                      <w:color w:val="000000"/>
                    </w:rPr>
                    <w:t>43.3</w:t>
                  </w:r>
                </w:p>
              </w:tc>
              <w:tc>
                <w:tcPr>
                  <w:tcW w:w="451" w:type="dxa"/>
                  <w:tcBorders>
                    <w:tl2br w:val="nil"/>
                    <w:tr2bl w:val="nil"/>
                  </w:tcBorders>
                  <w:shd w:val="clear" w:color="auto" w:fill="FFFFFF"/>
                  <w:tcMar>
                    <w:top w:w="0" w:type="dxa"/>
                    <w:left w:w="0" w:type="dxa"/>
                    <w:bottom w:w="0" w:type="dxa"/>
                    <w:right w:w="0" w:type="dxa"/>
                  </w:tcMar>
                  <w:vAlign w:val="center"/>
                </w:tcPr>
                <w:p w14:paraId="2E63EA16">
                  <w:pPr>
                    <w:jc w:val="center"/>
                    <w:rPr>
                      <w:szCs w:val="21"/>
                    </w:rPr>
                  </w:pPr>
                  <w:r>
                    <w:rPr>
                      <w:rFonts w:hint="eastAsia"/>
                      <w:color w:val="000000"/>
                    </w:rPr>
                    <w:t>42.5</w:t>
                  </w:r>
                </w:p>
              </w:tc>
              <w:tc>
                <w:tcPr>
                  <w:tcW w:w="486" w:type="dxa"/>
                  <w:tcBorders>
                    <w:tl2br w:val="nil"/>
                    <w:tr2bl w:val="nil"/>
                  </w:tcBorders>
                  <w:shd w:val="clear" w:color="auto" w:fill="FFFFFF"/>
                  <w:tcMar>
                    <w:top w:w="0" w:type="dxa"/>
                    <w:left w:w="0" w:type="dxa"/>
                    <w:bottom w:w="0" w:type="dxa"/>
                    <w:right w:w="0" w:type="dxa"/>
                  </w:tcMar>
                  <w:vAlign w:val="center"/>
                </w:tcPr>
                <w:p w14:paraId="4A180A02">
                  <w:pPr>
                    <w:jc w:val="center"/>
                    <w:rPr>
                      <w:szCs w:val="21"/>
                    </w:rPr>
                  </w:pPr>
                  <w:r>
                    <w:rPr>
                      <w:rFonts w:hint="eastAsia"/>
                      <w:color w:val="000000"/>
                    </w:rPr>
                    <w:t>53.7</w:t>
                  </w:r>
                </w:p>
              </w:tc>
              <w:tc>
                <w:tcPr>
                  <w:tcW w:w="780" w:type="dxa"/>
                  <w:tcBorders>
                    <w:tl2br w:val="nil"/>
                    <w:tr2bl w:val="nil"/>
                  </w:tcBorders>
                  <w:shd w:val="clear" w:color="auto" w:fill="FFFFFF"/>
                  <w:tcMar>
                    <w:top w:w="0" w:type="dxa"/>
                    <w:left w:w="0" w:type="dxa"/>
                    <w:bottom w:w="0" w:type="dxa"/>
                    <w:right w:w="0" w:type="dxa"/>
                  </w:tcMar>
                  <w:vAlign w:val="center"/>
                </w:tcPr>
                <w:p w14:paraId="1744DB86">
                  <w:pPr>
                    <w:jc w:val="center"/>
                    <w:rPr>
                      <w:bCs/>
                      <w:szCs w:val="21"/>
                    </w:rPr>
                  </w:pPr>
                  <w:r>
                    <w:rPr>
                      <w:bCs/>
                      <w:szCs w:val="21"/>
                    </w:rPr>
                    <w:t>1m</w:t>
                  </w:r>
                </w:p>
              </w:tc>
            </w:tr>
            <w:tr w14:paraId="5FAE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0" w:hRule="atLeast"/>
                <w:jc w:val="center"/>
              </w:trPr>
              <w:tc>
                <w:tcPr>
                  <w:tcW w:w="267" w:type="dxa"/>
                  <w:tcBorders>
                    <w:tl2br w:val="nil"/>
                    <w:tr2bl w:val="nil"/>
                  </w:tcBorders>
                  <w:shd w:val="clear" w:color="auto" w:fill="FFFFFF"/>
                  <w:tcMar>
                    <w:top w:w="0" w:type="dxa"/>
                    <w:left w:w="0" w:type="dxa"/>
                    <w:bottom w:w="0" w:type="dxa"/>
                    <w:right w:w="0" w:type="dxa"/>
                  </w:tcMar>
                  <w:vAlign w:val="center"/>
                </w:tcPr>
                <w:p w14:paraId="57AEBA0F">
                  <w:pPr>
                    <w:jc w:val="center"/>
                    <w:rPr>
                      <w:bCs/>
                      <w:szCs w:val="21"/>
                    </w:rPr>
                  </w:pPr>
                  <w:r>
                    <w:rPr>
                      <w:bCs/>
                      <w:szCs w:val="21"/>
                    </w:rPr>
                    <w:t>4</w:t>
                  </w:r>
                </w:p>
              </w:tc>
              <w:tc>
                <w:tcPr>
                  <w:tcW w:w="470" w:type="dxa"/>
                  <w:vMerge w:val="continue"/>
                  <w:tcBorders>
                    <w:tl2br w:val="nil"/>
                    <w:tr2bl w:val="nil"/>
                  </w:tcBorders>
                  <w:shd w:val="clear" w:color="auto" w:fill="FFFFFF"/>
                  <w:tcMar>
                    <w:top w:w="0" w:type="dxa"/>
                    <w:left w:w="0" w:type="dxa"/>
                    <w:bottom w:w="0" w:type="dxa"/>
                    <w:right w:w="0" w:type="dxa"/>
                  </w:tcMar>
                  <w:vAlign w:val="center"/>
                </w:tcPr>
                <w:p w14:paraId="6524B1BB">
                  <w:pPr>
                    <w:jc w:val="center"/>
                    <w:rPr>
                      <w:bCs/>
                      <w:szCs w:val="21"/>
                    </w:rPr>
                  </w:pPr>
                </w:p>
              </w:tc>
              <w:tc>
                <w:tcPr>
                  <w:tcW w:w="1275" w:type="dxa"/>
                  <w:tcBorders>
                    <w:tl2br w:val="nil"/>
                    <w:tr2bl w:val="nil"/>
                  </w:tcBorders>
                  <w:shd w:val="clear" w:color="auto" w:fill="FFFFFF"/>
                  <w:tcMar>
                    <w:top w:w="0" w:type="dxa"/>
                    <w:left w:w="0" w:type="dxa"/>
                    <w:bottom w:w="0" w:type="dxa"/>
                    <w:right w:w="0" w:type="dxa"/>
                  </w:tcMar>
                  <w:vAlign w:val="center"/>
                </w:tcPr>
                <w:p w14:paraId="4BC33C6F">
                  <w:pPr>
                    <w:jc w:val="center"/>
                    <w:rPr>
                      <w:bCs/>
                      <w:szCs w:val="21"/>
                    </w:rPr>
                  </w:pPr>
                  <w:r>
                    <w:rPr>
                      <w:bCs/>
                      <w:szCs w:val="21"/>
                    </w:rPr>
                    <w:t>风机</w:t>
                  </w:r>
                </w:p>
              </w:tc>
              <w:tc>
                <w:tcPr>
                  <w:tcW w:w="584" w:type="dxa"/>
                  <w:tcBorders>
                    <w:tl2br w:val="nil"/>
                    <w:tr2bl w:val="nil"/>
                  </w:tcBorders>
                  <w:shd w:val="clear" w:color="auto" w:fill="FFFFFF"/>
                  <w:tcMar>
                    <w:top w:w="0" w:type="dxa"/>
                    <w:left w:w="0" w:type="dxa"/>
                    <w:bottom w:w="0" w:type="dxa"/>
                    <w:right w:w="0" w:type="dxa"/>
                  </w:tcMar>
                  <w:vAlign w:val="center"/>
                </w:tcPr>
                <w:p w14:paraId="1BF23E93">
                  <w:pPr>
                    <w:jc w:val="center"/>
                    <w:rPr>
                      <w:bCs/>
                      <w:szCs w:val="21"/>
                    </w:rPr>
                  </w:pPr>
                  <w:r>
                    <w:rPr>
                      <w:bCs/>
                      <w:szCs w:val="21"/>
                    </w:rPr>
                    <w:t>1</w:t>
                  </w:r>
                </w:p>
              </w:tc>
              <w:tc>
                <w:tcPr>
                  <w:tcW w:w="645" w:type="dxa"/>
                  <w:tcBorders>
                    <w:tl2br w:val="nil"/>
                    <w:tr2bl w:val="nil"/>
                  </w:tcBorders>
                  <w:shd w:val="clear" w:color="auto" w:fill="FFFFFF"/>
                  <w:tcMar>
                    <w:top w:w="0" w:type="dxa"/>
                    <w:left w:w="0" w:type="dxa"/>
                    <w:bottom w:w="0" w:type="dxa"/>
                    <w:right w:w="0" w:type="dxa"/>
                  </w:tcMar>
                  <w:vAlign w:val="center"/>
                </w:tcPr>
                <w:p w14:paraId="3757557C">
                  <w:pPr>
                    <w:jc w:val="center"/>
                    <w:rPr>
                      <w:bCs/>
                      <w:szCs w:val="21"/>
                    </w:rPr>
                  </w:pPr>
                  <w:r>
                    <w:rPr>
                      <w:bCs/>
                      <w:szCs w:val="21"/>
                    </w:rPr>
                    <w:t>85</w:t>
                  </w:r>
                </w:p>
              </w:tc>
              <w:tc>
                <w:tcPr>
                  <w:tcW w:w="1005" w:type="dxa"/>
                  <w:tcBorders>
                    <w:tl2br w:val="nil"/>
                    <w:tr2bl w:val="nil"/>
                  </w:tcBorders>
                  <w:shd w:val="clear" w:color="auto" w:fill="FFFFFF"/>
                  <w:tcMar>
                    <w:top w:w="0" w:type="dxa"/>
                    <w:left w:w="0" w:type="dxa"/>
                    <w:bottom w:w="0" w:type="dxa"/>
                    <w:right w:w="0" w:type="dxa"/>
                  </w:tcMar>
                  <w:vAlign w:val="center"/>
                </w:tcPr>
                <w:p w14:paraId="2C7745D9">
                  <w:pPr>
                    <w:jc w:val="center"/>
                    <w:rPr>
                      <w:bCs/>
                      <w:spacing w:val="4"/>
                      <w:szCs w:val="21"/>
                    </w:rPr>
                  </w:pPr>
                  <w:r>
                    <w:rPr>
                      <w:bCs/>
                      <w:spacing w:val="4"/>
                      <w:szCs w:val="21"/>
                    </w:rPr>
                    <w:t>隔声、减振、消声</w:t>
                  </w:r>
                </w:p>
              </w:tc>
              <w:tc>
                <w:tcPr>
                  <w:tcW w:w="450" w:type="dxa"/>
                  <w:tcBorders>
                    <w:tl2br w:val="nil"/>
                    <w:tr2bl w:val="nil"/>
                  </w:tcBorders>
                  <w:shd w:val="clear" w:color="auto" w:fill="FFFFFF"/>
                  <w:tcMar>
                    <w:top w:w="0" w:type="dxa"/>
                    <w:left w:w="0" w:type="dxa"/>
                    <w:bottom w:w="0" w:type="dxa"/>
                    <w:right w:w="0" w:type="dxa"/>
                  </w:tcMar>
                  <w:vAlign w:val="center"/>
                </w:tcPr>
                <w:p w14:paraId="76BF5A77">
                  <w:pPr>
                    <w:jc w:val="center"/>
                    <w:rPr>
                      <w:szCs w:val="20"/>
                    </w:rPr>
                  </w:pPr>
                  <w:r>
                    <w:rPr>
                      <w:szCs w:val="20"/>
                    </w:rPr>
                    <w:t>37.7</w:t>
                  </w:r>
                </w:p>
              </w:tc>
              <w:tc>
                <w:tcPr>
                  <w:tcW w:w="435" w:type="dxa"/>
                  <w:tcBorders>
                    <w:tl2br w:val="nil"/>
                    <w:tr2bl w:val="nil"/>
                  </w:tcBorders>
                  <w:shd w:val="clear" w:color="auto" w:fill="FFFFFF"/>
                  <w:tcMar>
                    <w:top w:w="0" w:type="dxa"/>
                    <w:left w:w="0" w:type="dxa"/>
                    <w:bottom w:w="0" w:type="dxa"/>
                    <w:right w:w="0" w:type="dxa"/>
                  </w:tcMar>
                  <w:vAlign w:val="center"/>
                </w:tcPr>
                <w:p w14:paraId="25FE6FC2">
                  <w:pPr>
                    <w:jc w:val="center"/>
                    <w:rPr>
                      <w:szCs w:val="20"/>
                    </w:rPr>
                  </w:pPr>
                  <w:r>
                    <w:rPr>
                      <w:szCs w:val="20"/>
                    </w:rPr>
                    <w:t>29.3</w:t>
                  </w:r>
                </w:p>
              </w:tc>
              <w:tc>
                <w:tcPr>
                  <w:tcW w:w="465" w:type="dxa"/>
                  <w:tcBorders>
                    <w:tl2br w:val="nil"/>
                    <w:tr2bl w:val="nil"/>
                  </w:tcBorders>
                  <w:shd w:val="clear" w:color="auto" w:fill="FFFFFF"/>
                  <w:tcMar>
                    <w:top w:w="0" w:type="dxa"/>
                    <w:left w:w="0" w:type="dxa"/>
                    <w:bottom w:w="0" w:type="dxa"/>
                    <w:right w:w="0" w:type="dxa"/>
                  </w:tcMar>
                  <w:vAlign w:val="center"/>
                </w:tcPr>
                <w:p w14:paraId="2D1227F0">
                  <w:pPr>
                    <w:jc w:val="center"/>
                    <w:rPr>
                      <w:szCs w:val="20"/>
                    </w:rPr>
                  </w:pPr>
                  <w:r>
                    <w:rPr>
                      <w:szCs w:val="20"/>
                    </w:rPr>
                    <w:t>1.2</w:t>
                  </w:r>
                </w:p>
              </w:tc>
              <w:tc>
                <w:tcPr>
                  <w:tcW w:w="420" w:type="dxa"/>
                  <w:tcBorders>
                    <w:tl2br w:val="nil"/>
                    <w:tr2bl w:val="nil"/>
                  </w:tcBorders>
                  <w:shd w:val="solid" w:color="FFFFFF" w:fill="auto"/>
                  <w:tcMar>
                    <w:top w:w="0" w:type="dxa"/>
                    <w:left w:w="0" w:type="dxa"/>
                    <w:bottom w:w="0" w:type="dxa"/>
                    <w:right w:w="0" w:type="dxa"/>
                  </w:tcMar>
                  <w:vAlign w:val="center"/>
                </w:tcPr>
                <w:p w14:paraId="2C930073">
                  <w:pPr>
                    <w:jc w:val="center"/>
                    <w:rPr>
                      <w:sz w:val="20"/>
                    </w:rPr>
                  </w:pPr>
                  <w:r>
                    <w:rPr>
                      <w:sz w:val="20"/>
                    </w:rPr>
                    <w:t>61.2</w:t>
                  </w:r>
                </w:p>
              </w:tc>
              <w:tc>
                <w:tcPr>
                  <w:tcW w:w="420" w:type="dxa"/>
                  <w:tcBorders>
                    <w:tl2br w:val="nil"/>
                    <w:tr2bl w:val="nil"/>
                  </w:tcBorders>
                  <w:shd w:val="solid" w:color="FFFFFF" w:fill="auto"/>
                  <w:tcMar>
                    <w:top w:w="0" w:type="dxa"/>
                    <w:left w:w="0" w:type="dxa"/>
                    <w:bottom w:w="0" w:type="dxa"/>
                    <w:right w:w="0" w:type="dxa"/>
                  </w:tcMar>
                  <w:vAlign w:val="center"/>
                </w:tcPr>
                <w:p w14:paraId="1E850296">
                  <w:pPr>
                    <w:jc w:val="center"/>
                    <w:rPr>
                      <w:sz w:val="20"/>
                    </w:rPr>
                  </w:pPr>
                  <w:r>
                    <w:rPr>
                      <w:sz w:val="20"/>
                    </w:rPr>
                    <w:t>14.9</w:t>
                  </w:r>
                </w:p>
              </w:tc>
              <w:tc>
                <w:tcPr>
                  <w:tcW w:w="450" w:type="dxa"/>
                  <w:tcBorders>
                    <w:tl2br w:val="nil"/>
                    <w:tr2bl w:val="nil"/>
                  </w:tcBorders>
                  <w:shd w:val="solid" w:color="FFFFFF" w:fill="auto"/>
                  <w:tcMar>
                    <w:top w:w="0" w:type="dxa"/>
                    <w:left w:w="0" w:type="dxa"/>
                    <w:bottom w:w="0" w:type="dxa"/>
                    <w:right w:w="0" w:type="dxa"/>
                  </w:tcMar>
                  <w:vAlign w:val="center"/>
                </w:tcPr>
                <w:p w14:paraId="6FC100EB">
                  <w:pPr>
                    <w:jc w:val="center"/>
                    <w:rPr>
                      <w:sz w:val="20"/>
                    </w:rPr>
                  </w:pPr>
                  <w:r>
                    <w:rPr>
                      <w:sz w:val="20"/>
                    </w:rPr>
                    <w:t>35.6</w:t>
                  </w:r>
                </w:p>
              </w:tc>
              <w:tc>
                <w:tcPr>
                  <w:tcW w:w="412" w:type="dxa"/>
                  <w:tcBorders>
                    <w:tl2br w:val="nil"/>
                    <w:tr2bl w:val="nil"/>
                  </w:tcBorders>
                  <w:shd w:val="solid" w:color="FFFFFF" w:fill="auto"/>
                  <w:tcMar>
                    <w:top w:w="0" w:type="dxa"/>
                    <w:left w:w="0" w:type="dxa"/>
                    <w:bottom w:w="0" w:type="dxa"/>
                    <w:right w:w="0" w:type="dxa"/>
                  </w:tcMar>
                  <w:vAlign w:val="center"/>
                </w:tcPr>
                <w:p w14:paraId="5A4D1BB3">
                  <w:pPr>
                    <w:jc w:val="center"/>
                    <w:rPr>
                      <w:sz w:val="20"/>
                    </w:rPr>
                  </w:pPr>
                  <w:r>
                    <w:rPr>
                      <w:sz w:val="20"/>
                    </w:rPr>
                    <w:t>4.1</w:t>
                  </w:r>
                </w:p>
              </w:tc>
              <w:tc>
                <w:tcPr>
                  <w:tcW w:w="465" w:type="dxa"/>
                  <w:tcBorders>
                    <w:tl2br w:val="nil"/>
                    <w:tr2bl w:val="nil"/>
                  </w:tcBorders>
                  <w:shd w:val="solid" w:color="FFFFFF" w:fill="auto"/>
                  <w:tcMar>
                    <w:top w:w="0" w:type="dxa"/>
                    <w:left w:w="0" w:type="dxa"/>
                    <w:bottom w:w="0" w:type="dxa"/>
                    <w:right w:w="0" w:type="dxa"/>
                  </w:tcMar>
                  <w:vAlign w:val="center"/>
                </w:tcPr>
                <w:p w14:paraId="5B2C8442">
                  <w:pPr>
                    <w:jc w:val="center"/>
                    <w:rPr>
                      <w:rFonts w:eastAsiaTheme="minorEastAsia"/>
                    </w:rPr>
                  </w:pPr>
                  <w:r>
                    <w:rPr>
                      <w:rFonts w:hint="eastAsia" w:eastAsiaTheme="minorEastAsia"/>
                    </w:rPr>
                    <w:t>4</w:t>
                  </w:r>
                  <w:r>
                    <w:rPr>
                      <w:rFonts w:eastAsiaTheme="minorEastAsia"/>
                    </w:rPr>
                    <w:t>4.3</w:t>
                  </w:r>
                </w:p>
              </w:tc>
              <w:tc>
                <w:tcPr>
                  <w:tcW w:w="465" w:type="dxa"/>
                  <w:tcBorders>
                    <w:tl2br w:val="nil"/>
                    <w:tr2bl w:val="nil"/>
                  </w:tcBorders>
                  <w:shd w:val="solid" w:color="FFFFFF" w:fill="auto"/>
                  <w:tcMar>
                    <w:top w:w="0" w:type="dxa"/>
                    <w:left w:w="0" w:type="dxa"/>
                    <w:bottom w:w="0" w:type="dxa"/>
                    <w:right w:w="0" w:type="dxa"/>
                  </w:tcMar>
                  <w:vAlign w:val="center"/>
                </w:tcPr>
                <w:p w14:paraId="55DAB6D6">
                  <w:pPr>
                    <w:jc w:val="center"/>
                    <w:rPr>
                      <w:rFonts w:eastAsiaTheme="minorEastAsia"/>
                    </w:rPr>
                  </w:pPr>
                  <w:r>
                    <w:rPr>
                      <w:rFonts w:eastAsiaTheme="minorEastAsia"/>
                    </w:rPr>
                    <w:t>56.5</w:t>
                  </w:r>
                </w:p>
              </w:tc>
              <w:tc>
                <w:tcPr>
                  <w:tcW w:w="495" w:type="dxa"/>
                  <w:tcBorders>
                    <w:tl2br w:val="nil"/>
                    <w:tr2bl w:val="nil"/>
                  </w:tcBorders>
                  <w:shd w:val="solid" w:color="FFFFFF" w:fill="auto"/>
                  <w:tcMar>
                    <w:top w:w="0" w:type="dxa"/>
                    <w:left w:w="0" w:type="dxa"/>
                    <w:bottom w:w="0" w:type="dxa"/>
                    <w:right w:w="0" w:type="dxa"/>
                  </w:tcMar>
                  <w:vAlign w:val="center"/>
                </w:tcPr>
                <w:p w14:paraId="42A507EF">
                  <w:pPr>
                    <w:jc w:val="center"/>
                    <w:rPr>
                      <w:rFonts w:eastAsiaTheme="minorEastAsia"/>
                    </w:rPr>
                  </w:pPr>
                  <w:r>
                    <w:rPr>
                      <w:rFonts w:hint="eastAsia" w:eastAsiaTheme="minorEastAsia"/>
                    </w:rPr>
                    <w:t>4</w:t>
                  </w:r>
                  <w:r>
                    <w:rPr>
                      <w:rFonts w:eastAsiaTheme="minorEastAsia"/>
                    </w:rPr>
                    <w:t>8.9</w:t>
                  </w:r>
                </w:p>
              </w:tc>
              <w:tc>
                <w:tcPr>
                  <w:tcW w:w="450" w:type="dxa"/>
                  <w:tcBorders>
                    <w:tl2br w:val="nil"/>
                    <w:tr2bl w:val="nil"/>
                  </w:tcBorders>
                  <w:shd w:val="solid" w:color="FFFFFF" w:fill="auto"/>
                  <w:tcMar>
                    <w:top w:w="0" w:type="dxa"/>
                    <w:left w:w="0" w:type="dxa"/>
                    <w:bottom w:w="0" w:type="dxa"/>
                    <w:right w:w="0" w:type="dxa"/>
                  </w:tcMar>
                  <w:vAlign w:val="center"/>
                </w:tcPr>
                <w:p w14:paraId="502E2DA5">
                  <w:pPr>
                    <w:jc w:val="center"/>
                    <w:rPr>
                      <w:rFonts w:eastAsiaTheme="minorEastAsia"/>
                    </w:rPr>
                  </w:pPr>
                  <w:r>
                    <w:rPr>
                      <w:rFonts w:hint="eastAsia" w:eastAsiaTheme="minorEastAsia"/>
                    </w:rPr>
                    <w:t>6</w:t>
                  </w:r>
                  <w:r>
                    <w:rPr>
                      <w:rFonts w:eastAsiaTheme="minorEastAsia"/>
                    </w:rPr>
                    <w:t>7.7</w:t>
                  </w:r>
                </w:p>
              </w:tc>
              <w:tc>
                <w:tcPr>
                  <w:tcW w:w="495" w:type="dxa"/>
                  <w:vMerge w:val="continue"/>
                  <w:tcBorders>
                    <w:tl2br w:val="nil"/>
                    <w:tr2bl w:val="nil"/>
                  </w:tcBorders>
                  <w:shd w:val="clear" w:color="auto" w:fill="FFFFFF"/>
                  <w:tcMar>
                    <w:top w:w="0" w:type="dxa"/>
                    <w:left w:w="0" w:type="dxa"/>
                    <w:bottom w:w="0" w:type="dxa"/>
                    <w:right w:w="0" w:type="dxa"/>
                  </w:tcMar>
                  <w:vAlign w:val="center"/>
                </w:tcPr>
                <w:p w14:paraId="1699FA45">
                  <w:pPr>
                    <w:jc w:val="center"/>
                    <w:rPr>
                      <w:bCs/>
                      <w:szCs w:val="21"/>
                    </w:rPr>
                  </w:pPr>
                </w:p>
              </w:tc>
              <w:tc>
                <w:tcPr>
                  <w:tcW w:w="360" w:type="dxa"/>
                  <w:tcBorders>
                    <w:tl2br w:val="nil"/>
                    <w:tr2bl w:val="nil"/>
                  </w:tcBorders>
                  <w:shd w:val="clear" w:color="auto" w:fill="FFFFFF"/>
                  <w:tcMar>
                    <w:top w:w="0" w:type="dxa"/>
                    <w:left w:w="0" w:type="dxa"/>
                    <w:bottom w:w="0" w:type="dxa"/>
                    <w:right w:w="0" w:type="dxa"/>
                  </w:tcMar>
                  <w:vAlign w:val="center"/>
                </w:tcPr>
                <w:p w14:paraId="2C22EF0D">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53399239">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62AB8001">
                  <w:pPr>
                    <w:jc w:val="center"/>
                    <w:textAlignment w:val="center"/>
                    <w:rPr>
                      <w:szCs w:val="21"/>
                    </w:rPr>
                  </w:pPr>
                  <w:r>
                    <w:rPr>
                      <w:szCs w:val="21"/>
                    </w:rPr>
                    <w:t>15</w:t>
                  </w:r>
                </w:p>
              </w:tc>
              <w:tc>
                <w:tcPr>
                  <w:tcW w:w="360" w:type="dxa"/>
                  <w:tcBorders>
                    <w:tl2br w:val="nil"/>
                    <w:tr2bl w:val="nil"/>
                  </w:tcBorders>
                  <w:shd w:val="clear" w:color="auto" w:fill="FFFFFF"/>
                  <w:tcMar>
                    <w:top w:w="0" w:type="dxa"/>
                    <w:left w:w="0" w:type="dxa"/>
                    <w:bottom w:w="0" w:type="dxa"/>
                    <w:right w:w="0" w:type="dxa"/>
                  </w:tcMar>
                  <w:vAlign w:val="center"/>
                </w:tcPr>
                <w:p w14:paraId="685A8465">
                  <w:pPr>
                    <w:jc w:val="center"/>
                    <w:textAlignment w:val="center"/>
                    <w:rPr>
                      <w:szCs w:val="21"/>
                    </w:rPr>
                  </w:pPr>
                  <w:r>
                    <w:rPr>
                      <w:szCs w:val="21"/>
                    </w:rPr>
                    <w:t>15</w:t>
                  </w:r>
                </w:p>
              </w:tc>
              <w:tc>
                <w:tcPr>
                  <w:tcW w:w="466" w:type="dxa"/>
                  <w:tcBorders>
                    <w:tl2br w:val="nil"/>
                    <w:tr2bl w:val="nil"/>
                  </w:tcBorders>
                  <w:shd w:val="clear" w:color="auto" w:fill="FFFFFF"/>
                  <w:tcMar>
                    <w:top w:w="0" w:type="dxa"/>
                    <w:left w:w="0" w:type="dxa"/>
                    <w:bottom w:w="0" w:type="dxa"/>
                    <w:right w:w="0" w:type="dxa"/>
                  </w:tcMar>
                  <w:vAlign w:val="center"/>
                </w:tcPr>
                <w:p w14:paraId="73961551">
                  <w:pPr>
                    <w:jc w:val="center"/>
                    <w:rPr>
                      <w:szCs w:val="21"/>
                    </w:rPr>
                  </w:pPr>
                  <w:r>
                    <w:rPr>
                      <w:rFonts w:hint="eastAsia"/>
                      <w:color w:val="000000"/>
                    </w:rPr>
                    <w:t>29.3</w:t>
                  </w:r>
                </w:p>
              </w:tc>
              <w:tc>
                <w:tcPr>
                  <w:tcW w:w="466" w:type="dxa"/>
                  <w:tcBorders>
                    <w:tl2br w:val="nil"/>
                    <w:tr2bl w:val="nil"/>
                  </w:tcBorders>
                  <w:shd w:val="clear" w:color="auto" w:fill="FFFFFF"/>
                  <w:tcMar>
                    <w:top w:w="0" w:type="dxa"/>
                    <w:left w:w="0" w:type="dxa"/>
                    <w:bottom w:w="0" w:type="dxa"/>
                    <w:right w:w="0" w:type="dxa"/>
                  </w:tcMar>
                  <w:vAlign w:val="center"/>
                </w:tcPr>
                <w:p w14:paraId="5FBCC394">
                  <w:pPr>
                    <w:jc w:val="center"/>
                    <w:rPr>
                      <w:szCs w:val="21"/>
                    </w:rPr>
                  </w:pPr>
                  <w:r>
                    <w:rPr>
                      <w:rFonts w:hint="eastAsia"/>
                      <w:color w:val="000000"/>
                    </w:rPr>
                    <w:t>41.5</w:t>
                  </w:r>
                </w:p>
              </w:tc>
              <w:tc>
                <w:tcPr>
                  <w:tcW w:w="451" w:type="dxa"/>
                  <w:tcBorders>
                    <w:tl2br w:val="nil"/>
                    <w:tr2bl w:val="nil"/>
                  </w:tcBorders>
                  <w:shd w:val="clear" w:color="auto" w:fill="FFFFFF"/>
                  <w:tcMar>
                    <w:top w:w="0" w:type="dxa"/>
                    <w:left w:w="0" w:type="dxa"/>
                    <w:bottom w:w="0" w:type="dxa"/>
                    <w:right w:w="0" w:type="dxa"/>
                  </w:tcMar>
                  <w:vAlign w:val="center"/>
                </w:tcPr>
                <w:p w14:paraId="67A7E80B">
                  <w:pPr>
                    <w:jc w:val="center"/>
                    <w:rPr>
                      <w:szCs w:val="21"/>
                    </w:rPr>
                  </w:pPr>
                  <w:r>
                    <w:rPr>
                      <w:rFonts w:hint="eastAsia"/>
                      <w:color w:val="000000"/>
                    </w:rPr>
                    <w:t>33.9</w:t>
                  </w:r>
                </w:p>
              </w:tc>
              <w:tc>
                <w:tcPr>
                  <w:tcW w:w="486" w:type="dxa"/>
                  <w:tcBorders>
                    <w:tl2br w:val="nil"/>
                    <w:tr2bl w:val="nil"/>
                  </w:tcBorders>
                  <w:shd w:val="clear" w:color="auto" w:fill="FFFFFF"/>
                  <w:tcMar>
                    <w:top w:w="0" w:type="dxa"/>
                    <w:left w:w="0" w:type="dxa"/>
                    <w:bottom w:w="0" w:type="dxa"/>
                    <w:right w:w="0" w:type="dxa"/>
                  </w:tcMar>
                  <w:vAlign w:val="center"/>
                </w:tcPr>
                <w:p w14:paraId="2F7DE1B0">
                  <w:pPr>
                    <w:jc w:val="center"/>
                    <w:rPr>
                      <w:szCs w:val="21"/>
                    </w:rPr>
                  </w:pPr>
                  <w:r>
                    <w:rPr>
                      <w:rFonts w:hint="eastAsia"/>
                      <w:color w:val="000000"/>
                    </w:rPr>
                    <w:t>52.7</w:t>
                  </w:r>
                </w:p>
              </w:tc>
              <w:tc>
                <w:tcPr>
                  <w:tcW w:w="780" w:type="dxa"/>
                  <w:tcBorders>
                    <w:tl2br w:val="nil"/>
                    <w:tr2bl w:val="nil"/>
                  </w:tcBorders>
                  <w:shd w:val="clear" w:color="auto" w:fill="FFFFFF"/>
                  <w:tcMar>
                    <w:top w:w="0" w:type="dxa"/>
                    <w:left w:w="0" w:type="dxa"/>
                    <w:bottom w:w="0" w:type="dxa"/>
                    <w:right w:w="0" w:type="dxa"/>
                  </w:tcMar>
                  <w:vAlign w:val="center"/>
                </w:tcPr>
                <w:p w14:paraId="0B47E1CD">
                  <w:pPr>
                    <w:jc w:val="center"/>
                    <w:rPr>
                      <w:bCs/>
                      <w:szCs w:val="21"/>
                    </w:rPr>
                  </w:pPr>
                  <w:r>
                    <w:rPr>
                      <w:bCs/>
                      <w:szCs w:val="21"/>
                    </w:rPr>
                    <w:t>1m</w:t>
                  </w:r>
                </w:p>
              </w:tc>
            </w:tr>
          </w:tbl>
          <w:p w14:paraId="36FB68BC">
            <w:pPr>
              <w:pStyle w:val="2"/>
              <w:spacing w:beforeLines="0" w:afterLines="0"/>
              <w:jc w:val="left"/>
            </w:pPr>
            <w:bookmarkStart w:id="16" w:name="_Toc28404"/>
            <w:r>
              <w:rPr>
                <w:rFonts w:eastAsia="宋体"/>
                <w:bCs w:val="0"/>
                <w:sz w:val="21"/>
                <w:szCs w:val="21"/>
              </w:rPr>
              <w:t>注：表中坐标以车间西南角（114.972563,34.714581）为坐标原点，正东向为X轴正方向，正北向为Y轴正方向。</w:t>
            </w:r>
            <w:bookmarkEnd w:id="16"/>
          </w:p>
        </w:tc>
      </w:tr>
    </w:tbl>
    <w:p w14:paraId="6ED348D7">
      <w:pPr>
        <w:pStyle w:val="20"/>
        <w:adjustRightInd w:val="0"/>
        <w:snapToGrid w:val="0"/>
        <w:spacing w:before="0" w:beforeAutospacing="0" w:after="0" w:afterAutospacing="0"/>
        <w:jc w:val="center"/>
        <w:rPr>
          <w:rFonts w:ascii="Times New Roman" w:hAnsi="Times New Roman"/>
          <w:kern w:val="2"/>
          <w:sz w:val="21"/>
          <w:szCs w:val="21"/>
        </w:rPr>
        <w:sectPr>
          <w:pgSz w:w="16840" w:h="11907" w:orient="landscape"/>
          <w:pgMar w:top="1531" w:right="1701" w:bottom="1531" w:left="2127" w:header="851" w:footer="851" w:gutter="0"/>
          <w:cols w:space="720" w:num="1"/>
          <w:docGrid w:linePitch="312" w:charSpace="0"/>
        </w:sectPr>
      </w:pPr>
    </w:p>
    <w:p w14:paraId="3A9E616F">
      <w:pPr>
        <w:pStyle w:val="20"/>
        <w:adjustRightInd w:val="0"/>
        <w:snapToGrid w:val="0"/>
        <w:spacing w:before="0" w:beforeAutospacing="0" w:after="0" w:afterAutospacing="0"/>
        <w:jc w:val="center"/>
        <w:rPr>
          <w:rFonts w:ascii="Times New Roman" w:hAnsi="Times New Roman"/>
          <w:kern w:val="2"/>
          <w:sz w:val="21"/>
          <w:szCs w:val="21"/>
        </w:rPr>
      </w:pP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25"/>
        <w:gridCol w:w="8558"/>
      </w:tblGrid>
      <w:tr w14:paraId="1AB25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51" w:hRule="atLeast"/>
          <w:jc w:val="center"/>
        </w:trPr>
        <w:tc>
          <w:tcPr>
            <w:tcW w:w="397" w:type="dxa"/>
            <w:tcMar>
              <w:left w:w="28" w:type="dxa"/>
              <w:right w:w="28" w:type="dxa"/>
            </w:tcMar>
            <w:vAlign w:val="center"/>
          </w:tcPr>
          <w:p w14:paraId="690CA694">
            <w:pPr>
              <w:adjustRightInd w:val="0"/>
              <w:snapToGrid w:val="0"/>
              <w:jc w:val="center"/>
              <w:rPr>
                <w:bCs/>
                <w:sz w:val="24"/>
              </w:rPr>
            </w:pPr>
            <w:r>
              <w:rPr>
                <w:bCs/>
                <w:sz w:val="24"/>
              </w:rPr>
              <w:t>运营期环境影响和保护措施</w:t>
            </w:r>
          </w:p>
        </w:tc>
        <w:tc>
          <w:tcPr>
            <w:tcW w:w="8922" w:type="dxa"/>
            <w:vAlign w:val="center"/>
          </w:tcPr>
          <w:p w14:paraId="255F7201">
            <w:pPr>
              <w:spacing w:line="360" w:lineRule="auto"/>
              <w:ind w:firstLine="480" w:firstLineChars="200"/>
              <w:rPr>
                <w:bCs/>
                <w:sz w:val="24"/>
              </w:rPr>
            </w:pPr>
            <w:r>
              <w:rPr>
                <w:bCs/>
                <w:sz w:val="24"/>
              </w:rPr>
              <w:t>为说明项目营运过程中噪声对周围环境的影响程度，预测模式采用《环境影响评价技术导则——声环境》(HJ2.4-2021)中推荐的模型。噪声在传播过程中受到多种因素的干扰，使其产生衰减，根据建设项目噪声源和环境特征，预测过程中考虑了建筑物的屏障作用、空气吸收。</w:t>
            </w:r>
          </w:p>
          <w:p w14:paraId="59A55BF7">
            <w:pPr>
              <w:spacing w:line="360" w:lineRule="auto"/>
              <w:ind w:firstLine="480" w:firstLineChars="200"/>
              <w:rPr>
                <w:bCs/>
                <w:sz w:val="24"/>
              </w:rPr>
            </w:pPr>
            <w:r>
              <w:rPr>
                <w:bCs/>
                <w:sz w:val="24"/>
              </w:rPr>
              <w:t>室内声源可采用等效室外声源声功率级法进行计算。设靠近开口处（或窗户）室内、室外某倍频带的声压级或A声级分别为L</w:t>
            </w:r>
            <w:r>
              <w:rPr>
                <w:bCs/>
                <w:i/>
                <w:iCs/>
                <w:sz w:val="24"/>
                <w:vertAlign w:val="subscript"/>
              </w:rPr>
              <w:t>p</w:t>
            </w:r>
            <w:r>
              <w:rPr>
                <w:bCs/>
                <w:sz w:val="24"/>
                <w:vertAlign w:val="subscript"/>
              </w:rPr>
              <w:t>1</w:t>
            </w:r>
            <w:r>
              <w:rPr>
                <w:bCs/>
                <w:sz w:val="24"/>
              </w:rPr>
              <w:t>和L</w:t>
            </w:r>
            <w:r>
              <w:rPr>
                <w:bCs/>
                <w:i/>
                <w:iCs/>
                <w:sz w:val="24"/>
                <w:vertAlign w:val="subscript"/>
              </w:rPr>
              <w:t>p</w:t>
            </w:r>
            <w:r>
              <w:rPr>
                <w:bCs/>
                <w:sz w:val="24"/>
                <w:vertAlign w:val="subscript"/>
              </w:rPr>
              <w:t>2</w:t>
            </w:r>
            <w:r>
              <w:rPr>
                <w:bCs/>
                <w:sz w:val="24"/>
              </w:rPr>
              <w:t>。若声源在室内声场为近似扩散声场，则室内的倍频带声压级可按下式近似求出：</w:t>
            </w:r>
          </w:p>
          <w:p w14:paraId="37C5F723">
            <w:pPr>
              <w:spacing w:line="360" w:lineRule="auto"/>
              <w:jc w:val="center"/>
              <w:rPr>
                <w:bCs/>
                <w:sz w:val="24"/>
              </w:rPr>
            </w:pPr>
            <w:r>
              <w:rPr>
                <w:bCs/>
                <w:sz w:val="24"/>
              </w:rPr>
              <w:t>L</w:t>
            </w:r>
            <w:r>
              <w:rPr>
                <w:bCs/>
                <w:i/>
                <w:iCs/>
                <w:sz w:val="24"/>
                <w:vertAlign w:val="subscript"/>
              </w:rPr>
              <w:t>p</w:t>
            </w:r>
            <w:r>
              <w:rPr>
                <w:bCs/>
                <w:sz w:val="24"/>
                <w:vertAlign w:val="subscript"/>
              </w:rPr>
              <w:t>2</w:t>
            </w:r>
            <w:r>
              <w:rPr>
                <w:bCs/>
                <w:sz w:val="24"/>
              </w:rPr>
              <w:t>=L</w:t>
            </w:r>
            <w:r>
              <w:rPr>
                <w:bCs/>
                <w:i/>
                <w:iCs/>
                <w:sz w:val="24"/>
                <w:vertAlign w:val="subscript"/>
              </w:rPr>
              <w:t>p</w:t>
            </w:r>
            <w:r>
              <w:rPr>
                <w:bCs/>
                <w:sz w:val="24"/>
                <w:vertAlign w:val="subscript"/>
              </w:rPr>
              <w:t>1</w:t>
            </w:r>
            <w:r>
              <w:rPr>
                <w:bCs/>
                <w:i/>
                <w:iCs/>
                <w:sz w:val="24"/>
              </w:rPr>
              <w:t>-（TL+6）</w:t>
            </w:r>
          </w:p>
          <w:p w14:paraId="40A6BC7A">
            <w:pPr>
              <w:spacing w:line="360" w:lineRule="auto"/>
              <w:ind w:firstLine="480" w:firstLineChars="200"/>
              <w:rPr>
                <w:bCs/>
                <w:sz w:val="24"/>
              </w:rPr>
            </w:pPr>
            <w:r>
              <w:rPr>
                <w:bCs/>
                <w:sz w:val="24"/>
              </w:rPr>
              <w:t>式中：L</w:t>
            </w:r>
            <w:r>
              <w:rPr>
                <w:bCs/>
                <w:i/>
                <w:iCs/>
                <w:sz w:val="24"/>
                <w:vertAlign w:val="subscript"/>
              </w:rPr>
              <w:t>p</w:t>
            </w:r>
            <w:r>
              <w:rPr>
                <w:bCs/>
                <w:sz w:val="24"/>
                <w:vertAlign w:val="subscript"/>
              </w:rPr>
              <w:t>1</w:t>
            </w:r>
            <w:r>
              <w:rPr>
                <w:bCs/>
                <w:sz w:val="24"/>
              </w:rPr>
              <w:t>——靠近开口处（或窗户）室内某倍频带的声压级或A声级，dB；</w:t>
            </w:r>
          </w:p>
          <w:p w14:paraId="57996817">
            <w:pPr>
              <w:spacing w:line="360" w:lineRule="auto"/>
              <w:ind w:firstLine="1200" w:firstLineChars="500"/>
              <w:rPr>
                <w:bCs/>
                <w:sz w:val="24"/>
              </w:rPr>
            </w:pPr>
            <w:r>
              <w:rPr>
                <w:bCs/>
                <w:sz w:val="24"/>
              </w:rPr>
              <w:t>L</w:t>
            </w:r>
            <w:r>
              <w:rPr>
                <w:bCs/>
                <w:i/>
                <w:iCs/>
                <w:sz w:val="24"/>
                <w:vertAlign w:val="subscript"/>
              </w:rPr>
              <w:t>p</w:t>
            </w:r>
            <w:r>
              <w:rPr>
                <w:bCs/>
                <w:sz w:val="24"/>
                <w:vertAlign w:val="subscript"/>
              </w:rPr>
              <w:t>2</w:t>
            </w:r>
            <w:r>
              <w:rPr>
                <w:bCs/>
                <w:sz w:val="24"/>
              </w:rPr>
              <w:t>——靠近开口处（或窗户）室外某倍频带的声压级或A声级，dB；</w:t>
            </w:r>
          </w:p>
          <w:p w14:paraId="333B170B">
            <w:pPr>
              <w:spacing w:line="360" w:lineRule="auto"/>
              <w:ind w:firstLine="1200" w:firstLineChars="500"/>
              <w:rPr>
                <w:bCs/>
                <w:sz w:val="24"/>
              </w:rPr>
            </w:pPr>
            <w:r>
              <w:rPr>
                <w:bCs/>
                <w:sz w:val="24"/>
              </w:rPr>
              <w:t>TL——隔墙（或窗户）倍频带或A声级的隔声量，dB。</w:t>
            </w:r>
          </w:p>
          <w:p w14:paraId="7CEFCEEB">
            <w:pPr>
              <w:spacing w:line="360" w:lineRule="auto"/>
              <w:jc w:val="center"/>
              <w:rPr>
                <w:bCs/>
                <w:sz w:val="24"/>
              </w:rPr>
            </w:pPr>
            <w:r>
              <w:rPr>
                <w:bCs/>
                <w:sz w:val="24"/>
              </w:rPr>
              <w:drawing>
                <wp:inline distT="0" distB="0" distL="114300" distR="114300">
                  <wp:extent cx="2592070" cy="1273810"/>
                  <wp:effectExtent l="0" t="0" r="17780" b="254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2" cstate="print"/>
                          <a:stretch>
                            <a:fillRect/>
                          </a:stretch>
                        </pic:blipFill>
                        <pic:spPr>
                          <a:xfrm>
                            <a:off x="0" y="0"/>
                            <a:ext cx="2592070" cy="1273810"/>
                          </a:xfrm>
                          <a:prstGeom prst="rect">
                            <a:avLst/>
                          </a:prstGeom>
                          <a:noFill/>
                          <a:ln>
                            <a:noFill/>
                          </a:ln>
                        </pic:spPr>
                      </pic:pic>
                    </a:graphicData>
                  </a:graphic>
                </wp:inline>
              </w:drawing>
            </w:r>
          </w:p>
          <w:p w14:paraId="16E209FB">
            <w:pPr>
              <w:jc w:val="center"/>
              <w:rPr>
                <w:bCs/>
                <w:sz w:val="24"/>
              </w:rPr>
            </w:pPr>
            <w:r>
              <w:rPr>
                <w:bCs/>
                <w:sz w:val="24"/>
              </w:rPr>
              <w:t>室内声源等效为室外声源图例</w:t>
            </w:r>
          </w:p>
          <w:p w14:paraId="78A5985B">
            <w:pPr>
              <w:spacing w:line="360" w:lineRule="auto"/>
              <w:ind w:firstLine="480" w:firstLineChars="200"/>
              <w:rPr>
                <w:bCs/>
                <w:sz w:val="24"/>
              </w:rPr>
            </w:pPr>
            <w:r>
              <w:rPr>
                <w:bCs/>
                <w:kern w:val="0"/>
                <w:sz w:val="24"/>
              </w:rPr>
              <w:pict>
                <v:shape id="Object 2" o:spid="_x0000_s1028" o:spt="75" type="#_x0000_t75" style="position:absolute;left:0pt;margin-left:156.15pt;margin-top:43.65pt;height:18pt;width:98pt;z-index:-251654144;mso-width-relative:page;mso-height-relative:page;" o:ole="t" filled="f" o:preferrelative="t" stroked="f" coordsize="21600,21600">
                  <v:path/>
                  <v:fill on="f" focussize="0,0"/>
                  <v:stroke on="f" joinstyle="miter"/>
                  <v:imagedata r:id="rId14" o:title=""/>
                  <o:lock v:ext="edit" aspectratio="t"/>
                </v:shape>
                <o:OLEObject Type="Embed" ProgID="Equation.3" ShapeID="Object 2" DrawAspect="Content" ObjectID="_1468075727" r:id="rId13">
                  <o:LockedField>false</o:LockedField>
                </o:OLEObject>
              </w:pict>
            </w:r>
            <w:r>
              <w:rPr>
                <w:bCs/>
                <w:sz w:val="24"/>
              </w:rPr>
              <w:t>根据《环境影响评价技术导则—声环境》（HJ2.4-2021）的技术要求，在只考虑几何发散衰减时，可按下式计算：</w:t>
            </w:r>
          </w:p>
          <w:p w14:paraId="03D2C16A">
            <w:pPr>
              <w:spacing w:line="360" w:lineRule="auto"/>
              <w:ind w:firstLine="480" w:firstLineChars="200"/>
              <w:rPr>
                <w:bCs/>
                <w:sz w:val="24"/>
              </w:rPr>
            </w:pPr>
          </w:p>
          <w:p w14:paraId="4752B7C7">
            <w:pPr>
              <w:spacing w:line="360" w:lineRule="auto"/>
              <w:ind w:firstLine="480" w:firstLineChars="200"/>
              <w:rPr>
                <w:bCs/>
                <w:sz w:val="24"/>
              </w:rPr>
            </w:pPr>
            <w:r>
              <w:rPr>
                <w:bCs/>
                <w:sz w:val="24"/>
              </w:rPr>
              <w:t>式中：L</w:t>
            </w:r>
            <w:r>
              <w:rPr>
                <w:bCs/>
                <w:sz w:val="24"/>
                <w:vertAlign w:val="subscript"/>
              </w:rPr>
              <w:t>A</w:t>
            </w:r>
            <w:r>
              <w:rPr>
                <w:bCs/>
                <w:sz w:val="24"/>
              </w:rPr>
              <w:t>(r)——距声源r处的A声级，dB(A)；</w:t>
            </w:r>
          </w:p>
          <w:p w14:paraId="4B6136F1">
            <w:pPr>
              <w:spacing w:line="360" w:lineRule="auto"/>
              <w:ind w:firstLine="1200" w:firstLineChars="500"/>
              <w:rPr>
                <w:bCs/>
                <w:sz w:val="24"/>
              </w:rPr>
            </w:pPr>
            <w:r>
              <w:rPr>
                <w:bCs/>
                <w:sz w:val="24"/>
              </w:rPr>
              <w:t>L</w:t>
            </w:r>
            <w:r>
              <w:rPr>
                <w:bCs/>
                <w:sz w:val="24"/>
                <w:vertAlign w:val="subscript"/>
              </w:rPr>
              <w:t>A</w:t>
            </w:r>
            <w:r>
              <w:rPr>
                <w:bCs/>
                <w:sz w:val="24"/>
              </w:rPr>
              <w:t>(r</w:t>
            </w:r>
            <w:r>
              <w:rPr>
                <w:bCs/>
                <w:sz w:val="24"/>
                <w:vertAlign w:val="subscript"/>
              </w:rPr>
              <w:t>0</w:t>
            </w:r>
            <w:r>
              <w:rPr>
                <w:bCs/>
                <w:sz w:val="24"/>
              </w:rPr>
              <w:t>)——参考位置r</w:t>
            </w:r>
            <w:r>
              <w:rPr>
                <w:bCs/>
                <w:sz w:val="24"/>
                <w:vertAlign w:val="subscript"/>
              </w:rPr>
              <w:t>0</w:t>
            </w:r>
            <w:r>
              <w:rPr>
                <w:bCs/>
                <w:sz w:val="24"/>
              </w:rPr>
              <w:t>处的A声级，dB(A)；</w:t>
            </w:r>
          </w:p>
          <w:p w14:paraId="6B8599BC">
            <w:pPr>
              <w:tabs>
                <w:tab w:val="left" w:pos="478"/>
              </w:tabs>
              <w:spacing w:line="360" w:lineRule="auto"/>
              <w:ind w:firstLine="1200" w:firstLineChars="500"/>
              <w:rPr>
                <w:bCs/>
                <w:sz w:val="24"/>
              </w:rPr>
            </w:pPr>
            <w:r>
              <w:rPr>
                <w:bCs/>
                <w:sz w:val="24"/>
              </w:rPr>
              <w:t>A</w:t>
            </w:r>
            <w:r>
              <w:rPr>
                <w:bCs/>
                <w:sz w:val="24"/>
                <w:vertAlign w:val="subscript"/>
              </w:rPr>
              <w:t>div</w:t>
            </w:r>
            <w:r>
              <w:rPr>
                <w:bCs/>
                <w:sz w:val="24"/>
              </w:rPr>
              <w:t>——几何发散引起的衰减，dB。</w:t>
            </w:r>
          </w:p>
          <w:p w14:paraId="7F67A77F">
            <w:pPr>
              <w:spacing w:line="360" w:lineRule="auto"/>
              <w:ind w:firstLine="480" w:firstLineChars="200"/>
              <w:rPr>
                <w:bCs/>
                <w:sz w:val="24"/>
              </w:rPr>
            </w:pPr>
            <w:r>
              <w:rPr>
                <w:bCs/>
                <w:kern w:val="0"/>
                <w:sz w:val="24"/>
              </w:rPr>
              <w:pict>
                <v:shape id="_x0000_s1029" o:spid="_x0000_s1029" o:spt="75" type="#_x0000_t75" style="position:absolute;left:0pt;margin-left:157.55pt;margin-top:21.3pt;height:18pt;width:131pt;z-index:-251653120;mso-width-relative:page;mso-height-relative:page;" o:ole="t" filled="f" o:preferrelative="t" stroked="f" coordsize="21600,21600">
                  <v:path/>
                  <v:fill on="f" focussize="0,0"/>
                  <v:stroke on="f" joinstyle="miter"/>
                  <v:imagedata r:id="rId16" o:title=""/>
                  <o:lock v:ext="edit" aspectratio="t"/>
                </v:shape>
                <o:OLEObject Type="Embed" ProgID="Equation.3" ShapeID="_x0000_s1029" DrawAspect="Content" ObjectID="_1468075728" r:id="rId15">
                  <o:LockedField>false</o:LockedField>
                </o:OLEObject>
              </w:pict>
            </w:r>
            <w:r>
              <w:rPr>
                <w:bCs/>
                <w:sz w:val="24"/>
              </w:rPr>
              <w:t>a.无指向性点声源的几何发散衰减公式：</w:t>
            </w:r>
          </w:p>
          <w:p w14:paraId="4691AA0C">
            <w:pPr>
              <w:spacing w:line="360" w:lineRule="auto"/>
              <w:ind w:firstLine="480" w:firstLineChars="200"/>
              <w:rPr>
                <w:bCs/>
                <w:kern w:val="0"/>
                <w:sz w:val="24"/>
              </w:rPr>
            </w:pPr>
          </w:p>
          <w:p w14:paraId="5D357263">
            <w:pPr>
              <w:spacing w:line="360" w:lineRule="auto"/>
              <w:ind w:firstLine="480" w:firstLineChars="200"/>
              <w:rPr>
                <w:bCs/>
                <w:sz w:val="24"/>
              </w:rPr>
            </w:pPr>
            <w:r>
              <w:rPr>
                <w:bCs/>
                <w:sz w:val="24"/>
              </w:rPr>
              <w:t>式中：L</w:t>
            </w:r>
            <w:r>
              <w:rPr>
                <w:bCs/>
                <w:i/>
                <w:iCs/>
                <w:sz w:val="24"/>
                <w:vertAlign w:val="subscript"/>
              </w:rPr>
              <w:t>P</w:t>
            </w:r>
            <w:r>
              <w:rPr>
                <w:bCs/>
                <w:sz w:val="24"/>
              </w:rPr>
              <w:t>（r）——距离噪声源r处的等效A声级值，dB（A）；</w:t>
            </w:r>
          </w:p>
          <w:p w14:paraId="66722C9C">
            <w:pPr>
              <w:spacing w:line="360" w:lineRule="auto"/>
              <w:ind w:firstLine="1200" w:firstLineChars="500"/>
              <w:rPr>
                <w:bCs/>
                <w:sz w:val="24"/>
              </w:rPr>
            </w:pPr>
            <w:r>
              <w:rPr>
                <w:bCs/>
                <w:sz w:val="24"/>
              </w:rPr>
              <w:t>L</w:t>
            </w:r>
            <w:r>
              <w:rPr>
                <w:bCs/>
                <w:i/>
                <w:iCs/>
                <w:sz w:val="24"/>
                <w:vertAlign w:val="subscript"/>
              </w:rPr>
              <w:t>P</w:t>
            </w:r>
            <w:r>
              <w:rPr>
                <w:bCs/>
                <w:sz w:val="24"/>
              </w:rPr>
              <w:t>（r</w:t>
            </w:r>
            <w:r>
              <w:rPr>
                <w:bCs/>
                <w:sz w:val="24"/>
                <w:vertAlign w:val="subscript"/>
              </w:rPr>
              <w:t>0</w:t>
            </w:r>
            <w:r>
              <w:rPr>
                <w:bCs/>
                <w:sz w:val="24"/>
              </w:rPr>
              <w:t>）——距离噪声源r</w:t>
            </w:r>
            <w:r>
              <w:rPr>
                <w:bCs/>
                <w:sz w:val="24"/>
                <w:vertAlign w:val="subscript"/>
              </w:rPr>
              <w:t>0</w:t>
            </w:r>
            <w:r>
              <w:rPr>
                <w:bCs/>
                <w:sz w:val="24"/>
              </w:rPr>
              <w:t>处的等效A声级值，dB（A）；</w:t>
            </w:r>
          </w:p>
          <w:p w14:paraId="4526450C">
            <w:pPr>
              <w:spacing w:line="360" w:lineRule="auto"/>
              <w:ind w:firstLine="1200" w:firstLineChars="500"/>
              <w:rPr>
                <w:bCs/>
                <w:sz w:val="24"/>
              </w:rPr>
            </w:pPr>
            <w:r>
              <w:rPr>
                <w:bCs/>
                <w:sz w:val="24"/>
              </w:rPr>
              <w:t>r ——预测点距噪声源距离，（m）；</w:t>
            </w:r>
          </w:p>
          <w:p w14:paraId="6833B82C">
            <w:pPr>
              <w:spacing w:line="360" w:lineRule="auto"/>
              <w:ind w:firstLine="1200" w:firstLineChars="500"/>
              <w:rPr>
                <w:bCs/>
                <w:sz w:val="24"/>
              </w:rPr>
            </w:pPr>
            <w:r>
              <w:rPr>
                <w:bCs/>
                <w:sz w:val="24"/>
              </w:rPr>
              <w:t>r</w:t>
            </w:r>
            <w:r>
              <w:rPr>
                <w:bCs/>
                <w:sz w:val="24"/>
                <w:vertAlign w:val="subscript"/>
              </w:rPr>
              <w:t>0</w:t>
            </w:r>
            <w:r>
              <w:rPr>
                <w:bCs/>
                <w:sz w:val="24"/>
              </w:rPr>
              <w:t>——源强外1m处。</w:t>
            </w:r>
          </w:p>
          <w:p w14:paraId="232D4F85">
            <w:pPr>
              <w:spacing w:line="360" w:lineRule="auto"/>
              <w:ind w:firstLine="480" w:firstLineChars="200"/>
              <w:rPr>
                <w:bCs/>
                <w:sz w:val="24"/>
              </w:rPr>
            </w:pPr>
            <w:r>
              <w:rPr>
                <w:bCs/>
                <w:kern w:val="0"/>
                <w:sz w:val="24"/>
              </w:rPr>
              <w:pict>
                <v:shape id="_x0000_s1027" o:spid="_x0000_s1027" o:spt="75" type="#_x0000_t75" style="position:absolute;left:0pt;margin-left:164.2pt;margin-top:10.55pt;height:33pt;width:127pt;z-index:-251656192;mso-width-relative:page;mso-height-relative:page;" o:ole="t" filled="f" o:preferrelative="t" stroked="f" coordsize="21600,21600">
                  <v:path/>
                  <v:fill on="f" focussize="0,0"/>
                  <v:stroke on="f" joinstyle="miter"/>
                  <v:imagedata r:id="rId18" o:title=""/>
                  <o:lock v:ext="edit" aspectratio="t"/>
                </v:shape>
                <o:OLEObject Type="Embed" ProgID="Equation.3" ShapeID="_x0000_s1027" DrawAspect="Content" ObjectID="_1468075729" r:id="rId17">
                  <o:LockedField>false</o:LockedField>
                </o:OLEObject>
              </w:pict>
            </w:r>
            <w:r>
              <w:rPr>
                <w:bCs/>
                <w:sz w:val="24"/>
              </w:rPr>
              <w:t>b.噪声贡献值计算公式为：</w:t>
            </w:r>
          </w:p>
          <w:p w14:paraId="1C506B7F">
            <w:pPr>
              <w:spacing w:line="360" w:lineRule="auto"/>
              <w:ind w:firstLine="480" w:firstLineChars="200"/>
              <w:jc w:val="center"/>
              <w:rPr>
                <w:bCs/>
                <w:sz w:val="24"/>
              </w:rPr>
            </w:pPr>
          </w:p>
          <w:p w14:paraId="5438BA3B">
            <w:pPr>
              <w:spacing w:line="360" w:lineRule="auto"/>
              <w:ind w:firstLine="480" w:firstLineChars="200"/>
              <w:rPr>
                <w:bCs/>
                <w:sz w:val="24"/>
              </w:rPr>
            </w:pPr>
            <w:r>
              <w:rPr>
                <w:bCs/>
                <w:sz w:val="24"/>
              </w:rPr>
              <w:t>式中：L</w:t>
            </w:r>
            <w:r>
              <w:rPr>
                <w:bCs/>
                <w:sz w:val="24"/>
                <w:vertAlign w:val="subscript"/>
              </w:rPr>
              <w:t>eqg</w:t>
            </w:r>
            <w:r>
              <w:rPr>
                <w:bCs/>
                <w:sz w:val="24"/>
              </w:rPr>
              <w:t>——建设项目声源在预测点的等效声级贡献值，dB（A）；</w:t>
            </w:r>
          </w:p>
          <w:p w14:paraId="1F4D5422">
            <w:pPr>
              <w:spacing w:line="360" w:lineRule="auto"/>
              <w:ind w:firstLine="1200" w:firstLineChars="500"/>
              <w:rPr>
                <w:bCs/>
                <w:sz w:val="24"/>
              </w:rPr>
            </w:pPr>
            <w:r>
              <w:rPr>
                <w:bCs/>
                <w:sz w:val="24"/>
              </w:rPr>
              <w:t>L</w:t>
            </w:r>
            <w:r>
              <w:rPr>
                <w:bCs/>
                <w:sz w:val="24"/>
                <w:vertAlign w:val="subscript"/>
              </w:rPr>
              <w:t>Ai</w:t>
            </w:r>
            <w:r>
              <w:rPr>
                <w:bCs/>
                <w:sz w:val="24"/>
              </w:rPr>
              <w:t>——i声源在预测点产生的A声级，dB（A）；</w:t>
            </w:r>
          </w:p>
          <w:p w14:paraId="74A16900">
            <w:pPr>
              <w:spacing w:line="360" w:lineRule="auto"/>
              <w:ind w:firstLine="1200" w:firstLineChars="500"/>
              <w:rPr>
                <w:bCs/>
                <w:sz w:val="24"/>
              </w:rPr>
            </w:pPr>
            <w:r>
              <w:rPr>
                <w:bCs/>
                <w:sz w:val="24"/>
              </w:rPr>
              <w:t>T ——预测计算的时间段，s；</w:t>
            </w:r>
          </w:p>
          <w:p w14:paraId="6F461E3B">
            <w:pPr>
              <w:spacing w:line="360" w:lineRule="auto"/>
              <w:ind w:firstLine="1200" w:firstLineChars="500"/>
              <w:rPr>
                <w:bCs/>
                <w:sz w:val="24"/>
              </w:rPr>
            </w:pPr>
            <w:r>
              <w:rPr>
                <w:bCs/>
                <w:sz w:val="24"/>
              </w:rPr>
              <w:t>t</w:t>
            </w:r>
            <w:r>
              <w:rPr>
                <w:bCs/>
                <w:sz w:val="24"/>
                <w:vertAlign w:val="subscript"/>
              </w:rPr>
              <w:t>i</w:t>
            </w:r>
            <w:r>
              <w:rPr>
                <w:bCs/>
                <w:sz w:val="24"/>
              </w:rPr>
              <w:t>——i声源在T时段内的运行时间，s。</w:t>
            </w:r>
          </w:p>
          <w:p w14:paraId="7002B9BD">
            <w:pPr>
              <w:spacing w:line="360" w:lineRule="auto"/>
              <w:ind w:firstLine="480" w:firstLineChars="200"/>
              <w:rPr>
                <w:bCs/>
                <w:sz w:val="24"/>
              </w:rPr>
            </w:pPr>
            <w:r>
              <w:rPr>
                <w:bCs/>
                <w:sz w:val="24"/>
              </w:rPr>
              <w:t>c.噪声预测值计算公式为：</w:t>
            </w:r>
          </w:p>
          <w:p w14:paraId="339C6EB0">
            <w:pPr>
              <w:pStyle w:val="22"/>
              <w:ind w:firstLine="480"/>
              <w:jc w:val="center"/>
            </w:pPr>
            <w:r>
              <w:rPr>
                <w:bCs/>
                <w:position w:val="-14"/>
                <w:sz w:val="24"/>
              </w:rPr>
              <w:object>
                <v:shape id="_x0000_i1027" o:spt="75" type="#_x0000_t75" style="height:21.3pt;width:135.25pt;" o:ole="t" filled="f" o:preferrelative="t" stroked="f" coordsize="21600,21600">
                  <v:path/>
                  <v:fill on="f" focussize="0,0"/>
                  <v:stroke on="f" joinstyle="miter"/>
                  <v:imagedata r:id="rId20" o:title=""/>
                  <o:lock v:ext="edit" aspectratio="t"/>
                  <w10:wrap type="none"/>
                  <w10:anchorlock/>
                </v:shape>
                <o:OLEObject Type="Embed" ProgID="Equation.3" ShapeID="_x0000_i1027" DrawAspect="Content" ObjectID="_1468075730" r:id="rId19">
                  <o:LockedField>false</o:LockedField>
                </o:OLEObject>
              </w:object>
            </w:r>
          </w:p>
          <w:p w14:paraId="134F267D">
            <w:pPr>
              <w:spacing w:line="360" w:lineRule="auto"/>
              <w:ind w:firstLine="720" w:firstLineChars="300"/>
              <w:rPr>
                <w:bCs/>
                <w:sz w:val="24"/>
              </w:rPr>
            </w:pPr>
            <w:r>
              <w:rPr>
                <w:bCs/>
                <w:sz w:val="24"/>
              </w:rPr>
              <w:t>式中：L</w:t>
            </w:r>
            <w:r>
              <w:rPr>
                <w:bCs/>
                <w:sz w:val="24"/>
                <w:vertAlign w:val="subscript"/>
              </w:rPr>
              <w:t>eq</w:t>
            </w:r>
            <w:r>
              <w:rPr>
                <w:bCs/>
                <w:sz w:val="24"/>
              </w:rPr>
              <w:t>——预测点的噪声预测值，dB；</w:t>
            </w:r>
          </w:p>
          <w:p w14:paraId="5E844700">
            <w:pPr>
              <w:spacing w:line="360" w:lineRule="auto"/>
              <w:ind w:firstLine="1440" w:firstLineChars="600"/>
              <w:rPr>
                <w:bCs/>
                <w:sz w:val="24"/>
              </w:rPr>
            </w:pPr>
            <w:r>
              <w:rPr>
                <w:bCs/>
                <w:sz w:val="24"/>
              </w:rPr>
              <w:t>L</w:t>
            </w:r>
            <w:r>
              <w:rPr>
                <w:bCs/>
                <w:sz w:val="24"/>
                <w:vertAlign w:val="subscript"/>
              </w:rPr>
              <w:t>eqg</w:t>
            </w:r>
            <w:r>
              <w:rPr>
                <w:bCs/>
                <w:sz w:val="24"/>
              </w:rPr>
              <w:t>——建设项目声源在预测点的等效声级贡献值，dB（A）；</w:t>
            </w:r>
          </w:p>
          <w:p w14:paraId="13A4B0AE">
            <w:pPr>
              <w:spacing w:line="336" w:lineRule="auto"/>
              <w:ind w:firstLine="1440" w:firstLineChars="600"/>
              <w:rPr>
                <w:sz w:val="24"/>
              </w:rPr>
            </w:pPr>
            <w:r>
              <w:rPr>
                <w:bCs/>
                <w:sz w:val="24"/>
              </w:rPr>
              <w:t>L</w:t>
            </w:r>
            <w:r>
              <w:rPr>
                <w:bCs/>
                <w:sz w:val="24"/>
                <w:vertAlign w:val="subscript"/>
              </w:rPr>
              <w:t>eqb</w:t>
            </w:r>
            <w:r>
              <w:rPr>
                <w:bCs/>
                <w:sz w:val="24"/>
              </w:rPr>
              <w:t>——预测点的背景值，dB（A）。</w:t>
            </w:r>
          </w:p>
          <w:p w14:paraId="301AC958">
            <w:pPr>
              <w:spacing w:line="360" w:lineRule="auto"/>
              <w:ind w:firstLine="480" w:firstLineChars="200"/>
              <w:rPr>
                <w:sz w:val="24"/>
              </w:rPr>
            </w:pPr>
            <w:r>
              <w:rPr>
                <w:sz w:val="24"/>
              </w:rPr>
              <w:t>项目工作制度为单班制，每班工作8h。本次评价对项目各车间昼间厂界噪声值进行预测，经预测，正常生产情况下本项目各厂界噪声贡献值见表</w:t>
            </w:r>
            <w:r>
              <w:rPr>
                <w:rFonts w:hint="eastAsia"/>
                <w:sz w:val="24"/>
              </w:rPr>
              <w:t>28</w:t>
            </w:r>
            <w:r>
              <w:rPr>
                <w:sz w:val="24"/>
              </w:rPr>
              <w:t>。</w:t>
            </w:r>
          </w:p>
          <w:p w14:paraId="0EAB0F69">
            <w:pPr>
              <w:jc w:val="center"/>
              <w:rPr>
                <w:b/>
                <w:sz w:val="24"/>
              </w:rPr>
            </w:pPr>
            <w:r>
              <w:rPr>
                <w:b/>
                <w:sz w:val="24"/>
              </w:rPr>
              <w:t>表</w:t>
            </w:r>
            <w:r>
              <w:rPr>
                <w:rFonts w:hint="eastAsia"/>
                <w:b/>
                <w:sz w:val="24"/>
              </w:rPr>
              <w:t>28</w:t>
            </w:r>
            <w:r>
              <w:rPr>
                <w:b/>
                <w:sz w:val="24"/>
              </w:rPr>
              <w:t xml:space="preserve">   项目各厂界噪声预测一览表   单位：dB(A)</w:t>
            </w:r>
          </w:p>
          <w:tbl>
            <w:tblPr>
              <w:tblStyle w:val="23"/>
              <w:tblW w:w="49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97"/>
              <w:gridCol w:w="2097"/>
              <w:gridCol w:w="2098"/>
              <w:gridCol w:w="2099"/>
            </w:tblGrid>
            <w:tr w14:paraId="737C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7" w:hRule="atLeast"/>
                <w:jc w:val="center"/>
              </w:trPr>
              <w:tc>
                <w:tcPr>
                  <w:tcW w:w="2084" w:type="dxa"/>
                  <w:vAlign w:val="center"/>
                </w:tcPr>
                <w:p w14:paraId="537AEBD6">
                  <w:pPr>
                    <w:spacing w:line="240" w:lineRule="exact"/>
                    <w:jc w:val="center"/>
                    <w:rPr>
                      <w:szCs w:val="21"/>
                    </w:rPr>
                  </w:pPr>
                  <w:r>
                    <w:rPr>
                      <w:szCs w:val="21"/>
                    </w:rPr>
                    <w:t>预测点位</w:t>
                  </w:r>
                </w:p>
              </w:tc>
              <w:tc>
                <w:tcPr>
                  <w:tcW w:w="2084" w:type="dxa"/>
                  <w:tcBorders>
                    <w:bottom w:val="single" w:color="auto" w:sz="4" w:space="0"/>
                  </w:tcBorders>
                  <w:vAlign w:val="center"/>
                </w:tcPr>
                <w:p w14:paraId="2DB64F87">
                  <w:pPr>
                    <w:spacing w:line="240" w:lineRule="exact"/>
                    <w:jc w:val="center"/>
                    <w:rPr>
                      <w:szCs w:val="21"/>
                    </w:rPr>
                  </w:pPr>
                  <w:r>
                    <w:rPr>
                      <w:szCs w:val="21"/>
                    </w:rPr>
                    <w:t>贡献值</w:t>
                  </w:r>
                </w:p>
              </w:tc>
              <w:tc>
                <w:tcPr>
                  <w:tcW w:w="2085" w:type="dxa"/>
                  <w:vAlign w:val="center"/>
                </w:tcPr>
                <w:p w14:paraId="4615BF44">
                  <w:pPr>
                    <w:spacing w:line="240" w:lineRule="exact"/>
                    <w:jc w:val="center"/>
                    <w:rPr>
                      <w:szCs w:val="21"/>
                    </w:rPr>
                  </w:pPr>
                  <w:r>
                    <w:rPr>
                      <w:szCs w:val="21"/>
                    </w:rPr>
                    <w:t>标准限值</w:t>
                  </w:r>
                </w:p>
              </w:tc>
              <w:tc>
                <w:tcPr>
                  <w:tcW w:w="2085" w:type="dxa"/>
                  <w:vAlign w:val="center"/>
                </w:tcPr>
                <w:p w14:paraId="4B5769A5">
                  <w:pPr>
                    <w:spacing w:line="240" w:lineRule="exact"/>
                    <w:jc w:val="center"/>
                    <w:rPr>
                      <w:szCs w:val="21"/>
                    </w:rPr>
                  </w:pPr>
                  <w:r>
                    <w:rPr>
                      <w:szCs w:val="21"/>
                    </w:rPr>
                    <w:t>是否达标</w:t>
                  </w:r>
                </w:p>
              </w:tc>
            </w:tr>
            <w:tr w14:paraId="40A9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7" w:hRule="atLeast"/>
                <w:jc w:val="center"/>
              </w:trPr>
              <w:tc>
                <w:tcPr>
                  <w:tcW w:w="2084" w:type="dxa"/>
                  <w:tcBorders>
                    <w:right w:val="single" w:color="auto" w:sz="4" w:space="0"/>
                  </w:tcBorders>
                  <w:vAlign w:val="center"/>
                </w:tcPr>
                <w:p w14:paraId="14C0ABB3">
                  <w:pPr>
                    <w:spacing w:line="240" w:lineRule="exact"/>
                    <w:jc w:val="center"/>
                    <w:rPr>
                      <w:szCs w:val="21"/>
                    </w:rPr>
                  </w:pPr>
                  <w:r>
                    <w:rPr>
                      <w:szCs w:val="21"/>
                    </w:rPr>
                    <w:t>东厂界</w:t>
                  </w:r>
                </w:p>
              </w:tc>
              <w:tc>
                <w:tcPr>
                  <w:tcW w:w="2084" w:type="dxa"/>
                  <w:tcBorders>
                    <w:top w:val="single" w:color="auto" w:sz="4" w:space="0"/>
                    <w:left w:val="single" w:color="auto" w:sz="4" w:space="0"/>
                    <w:bottom w:val="single" w:color="auto" w:sz="4" w:space="0"/>
                    <w:right w:val="single" w:color="auto" w:sz="4" w:space="0"/>
                  </w:tcBorders>
                  <w:shd w:val="clear" w:color="auto" w:fill="auto"/>
                  <w:vAlign w:val="center"/>
                </w:tcPr>
                <w:p w14:paraId="3E87ACD9">
                  <w:pPr>
                    <w:spacing w:line="240" w:lineRule="exact"/>
                    <w:jc w:val="center"/>
                    <w:rPr>
                      <w:szCs w:val="21"/>
                    </w:rPr>
                  </w:pPr>
                  <w:r>
                    <w:rPr>
                      <w:szCs w:val="21"/>
                    </w:rPr>
                    <w:t>32.6</w:t>
                  </w:r>
                </w:p>
              </w:tc>
              <w:tc>
                <w:tcPr>
                  <w:tcW w:w="2085" w:type="dxa"/>
                  <w:tcBorders>
                    <w:left w:val="single" w:color="auto" w:sz="4" w:space="0"/>
                  </w:tcBorders>
                  <w:vAlign w:val="center"/>
                </w:tcPr>
                <w:p w14:paraId="75FECADC">
                  <w:pPr>
                    <w:spacing w:line="240" w:lineRule="exact"/>
                    <w:jc w:val="center"/>
                    <w:rPr>
                      <w:szCs w:val="21"/>
                    </w:rPr>
                  </w:pPr>
                  <w:r>
                    <w:rPr>
                      <w:szCs w:val="21"/>
                    </w:rPr>
                    <w:t>60</w:t>
                  </w:r>
                </w:p>
              </w:tc>
              <w:tc>
                <w:tcPr>
                  <w:tcW w:w="2085" w:type="dxa"/>
                  <w:vAlign w:val="center"/>
                </w:tcPr>
                <w:p w14:paraId="4AB94572">
                  <w:pPr>
                    <w:spacing w:line="240" w:lineRule="exact"/>
                    <w:jc w:val="center"/>
                    <w:rPr>
                      <w:szCs w:val="21"/>
                    </w:rPr>
                  </w:pPr>
                  <w:r>
                    <w:rPr>
                      <w:szCs w:val="21"/>
                    </w:rPr>
                    <w:t>是</w:t>
                  </w:r>
                </w:p>
              </w:tc>
            </w:tr>
            <w:tr w14:paraId="79CD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7" w:hRule="atLeast"/>
                <w:jc w:val="center"/>
              </w:trPr>
              <w:tc>
                <w:tcPr>
                  <w:tcW w:w="2084" w:type="dxa"/>
                  <w:tcBorders>
                    <w:right w:val="single" w:color="auto" w:sz="4" w:space="0"/>
                  </w:tcBorders>
                  <w:vAlign w:val="center"/>
                </w:tcPr>
                <w:p w14:paraId="52DEA60C">
                  <w:pPr>
                    <w:spacing w:line="240" w:lineRule="exact"/>
                    <w:jc w:val="center"/>
                    <w:rPr>
                      <w:szCs w:val="21"/>
                    </w:rPr>
                  </w:pPr>
                  <w:r>
                    <w:rPr>
                      <w:szCs w:val="21"/>
                    </w:rPr>
                    <w:t>南厂界</w:t>
                  </w:r>
                </w:p>
              </w:tc>
              <w:tc>
                <w:tcPr>
                  <w:tcW w:w="2084" w:type="dxa"/>
                  <w:tcBorders>
                    <w:top w:val="single" w:color="auto" w:sz="4" w:space="0"/>
                    <w:left w:val="single" w:color="auto" w:sz="4" w:space="0"/>
                    <w:bottom w:val="single" w:color="auto" w:sz="4" w:space="0"/>
                    <w:right w:val="single" w:color="auto" w:sz="4" w:space="0"/>
                  </w:tcBorders>
                  <w:shd w:val="clear" w:color="auto" w:fill="auto"/>
                  <w:vAlign w:val="center"/>
                </w:tcPr>
                <w:p w14:paraId="4294F027">
                  <w:pPr>
                    <w:spacing w:line="240" w:lineRule="exact"/>
                    <w:jc w:val="center"/>
                    <w:rPr>
                      <w:szCs w:val="21"/>
                    </w:rPr>
                  </w:pPr>
                  <w:r>
                    <w:rPr>
                      <w:szCs w:val="21"/>
                    </w:rPr>
                    <w:t>30.5</w:t>
                  </w:r>
                </w:p>
              </w:tc>
              <w:tc>
                <w:tcPr>
                  <w:tcW w:w="2085" w:type="dxa"/>
                  <w:tcBorders>
                    <w:left w:val="single" w:color="auto" w:sz="4" w:space="0"/>
                  </w:tcBorders>
                  <w:vAlign w:val="center"/>
                </w:tcPr>
                <w:p w14:paraId="66CDE12E">
                  <w:pPr>
                    <w:spacing w:line="240" w:lineRule="exact"/>
                    <w:jc w:val="center"/>
                    <w:rPr>
                      <w:szCs w:val="21"/>
                    </w:rPr>
                  </w:pPr>
                  <w:r>
                    <w:rPr>
                      <w:szCs w:val="21"/>
                    </w:rPr>
                    <w:t>60</w:t>
                  </w:r>
                </w:p>
              </w:tc>
              <w:tc>
                <w:tcPr>
                  <w:tcW w:w="2085" w:type="dxa"/>
                  <w:vAlign w:val="center"/>
                </w:tcPr>
                <w:p w14:paraId="034499D3">
                  <w:pPr>
                    <w:spacing w:line="240" w:lineRule="exact"/>
                    <w:jc w:val="center"/>
                    <w:rPr>
                      <w:szCs w:val="21"/>
                    </w:rPr>
                  </w:pPr>
                  <w:r>
                    <w:rPr>
                      <w:szCs w:val="21"/>
                    </w:rPr>
                    <w:t>是</w:t>
                  </w:r>
                </w:p>
              </w:tc>
            </w:tr>
            <w:tr w14:paraId="4DB0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7" w:hRule="atLeast"/>
                <w:jc w:val="center"/>
              </w:trPr>
              <w:tc>
                <w:tcPr>
                  <w:tcW w:w="2084" w:type="dxa"/>
                  <w:tcBorders>
                    <w:right w:val="single" w:color="auto" w:sz="4" w:space="0"/>
                  </w:tcBorders>
                  <w:vAlign w:val="center"/>
                </w:tcPr>
                <w:p w14:paraId="6C22C369">
                  <w:pPr>
                    <w:spacing w:line="240" w:lineRule="exact"/>
                    <w:jc w:val="center"/>
                    <w:rPr>
                      <w:szCs w:val="21"/>
                    </w:rPr>
                  </w:pPr>
                  <w:r>
                    <w:rPr>
                      <w:szCs w:val="21"/>
                    </w:rPr>
                    <w:t>西厂界</w:t>
                  </w:r>
                </w:p>
              </w:tc>
              <w:tc>
                <w:tcPr>
                  <w:tcW w:w="2084" w:type="dxa"/>
                  <w:tcBorders>
                    <w:top w:val="single" w:color="auto" w:sz="4" w:space="0"/>
                    <w:left w:val="single" w:color="auto" w:sz="4" w:space="0"/>
                    <w:bottom w:val="single" w:color="auto" w:sz="4" w:space="0"/>
                    <w:right w:val="single" w:color="auto" w:sz="4" w:space="0"/>
                  </w:tcBorders>
                  <w:shd w:val="clear" w:color="auto" w:fill="auto"/>
                  <w:vAlign w:val="center"/>
                </w:tcPr>
                <w:p w14:paraId="0CAF7647">
                  <w:pPr>
                    <w:spacing w:line="240" w:lineRule="exact"/>
                    <w:jc w:val="center"/>
                    <w:rPr>
                      <w:szCs w:val="21"/>
                    </w:rPr>
                  </w:pPr>
                  <w:r>
                    <w:rPr>
                      <w:szCs w:val="21"/>
                    </w:rPr>
                    <w:t>44.1</w:t>
                  </w:r>
                </w:p>
              </w:tc>
              <w:tc>
                <w:tcPr>
                  <w:tcW w:w="2085" w:type="dxa"/>
                  <w:tcBorders>
                    <w:left w:val="single" w:color="auto" w:sz="4" w:space="0"/>
                  </w:tcBorders>
                  <w:vAlign w:val="center"/>
                </w:tcPr>
                <w:p w14:paraId="42594142">
                  <w:pPr>
                    <w:spacing w:line="240" w:lineRule="exact"/>
                    <w:jc w:val="center"/>
                    <w:rPr>
                      <w:szCs w:val="21"/>
                    </w:rPr>
                  </w:pPr>
                  <w:r>
                    <w:rPr>
                      <w:szCs w:val="21"/>
                    </w:rPr>
                    <w:t>60</w:t>
                  </w:r>
                </w:p>
              </w:tc>
              <w:tc>
                <w:tcPr>
                  <w:tcW w:w="2085" w:type="dxa"/>
                  <w:vAlign w:val="center"/>
                </w:tcPr>
                <w:p w14:paraId="7529550B">
                  <w:pPr>
                    <w:spacing w:line="240" w:lineRule="exact"/>
                    <w:jc w:val="center"/>
                    <w:rPr>
                      <w:szCs w:val="21"/>
                    </w:rPr>
                  </w:pPr>
                  <w:r>
                    <w:rPr>
                      <w:szCs w:val="21"/>
                    </w:rPr>
                    <w:t>是</w:t>
                  </w:r>
                </w:p>
              </w:tc>
            </w:tr>
            <w:tr w14:paraId="729E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6" w:hRule="atLeast"/>
                <w:jc w:val="center"/>
              </w:trPr>
              <w:tc>
                <w:tcPr>
                  <w:tcW w:w="2084" w:type="dxa"/>
                  <w:tcBorders>
                    <w:right w:val="single" w:color="auto" w:sz="4" w:space="0"/>
                  </w:tcBorders>
                  <w:vAlign w:val="center"/>
                </w:tcPr>
                <w:p w14:paraId="071A4E78">
                  <w:pPr>
                    <w:spacing w:line="240" w:lineRule="exact"/>
                    <w:jc w:val="center"/>
                    <w:rPr>
                      <w:szCs w:val="21"/>
                    </w:rPr>
                  </w:pPr>
                  <w:r>
                    <w:rPr>
                      <w:szCs w:val="21"/>
                    </w:rPr>
                    <w:t>北厂界</w:t>
                  </w:r>
                </w:p>
              </w:tc>
              <w:tc>
                <w:tcPr>
                  <w:tcW w:w="2084" w:type="dxa"/>
                  <w:tcBorders>
                    <w:top w:val="single" w:color="auto" w:sz="4" w:space="0"/>
                    <w:left w:val="single" w:color="auto" w:sz="4" w:space="0"/>
                    <w:bottom w:val="single" w:color="auto" w:sz="4" w:space="0"/>
                    <w:right w:val="single" w:color="auto" w:sz="4" w:space="0"/>
                  </w:tcBorders>
                  <w:shd w:val="clear" w:color="auto" w:fill="auto"/>
                  <w:vAlign w:val="center"/>
                </w:tcPr>
                <w:p w14:paraId="174109F1">
                  <w:pPr>
                    <w:spacing w:line="240" w:lineRule="exact"/>
                    <w:jc w:val="center"/>
                    <w:rPr>
                      <w:szCs w:val="21"/>
                    </w:rPr>
                  </w:pPr>
                  <w:r>
                    <w:rPr>
                      <w:szCs w:val="21"/>
                    </w:rPr>
                    <w:t>57.2</w:t>
                  </w:r>
                </w:p>
              </w:tc>
              <w:tc>
                <w:tcPr>
                  <w:tcW w:w="2085" w:type="dxa"/>
                  <w:tcBorders>
                    <w:left w:val="single" w:color="auto" w:sz="4" w:space="0"/>
                  </w:tcBorders>
                  <w:vAlign w:val="center"/>
                </w:tcPr>
                <w:p w14:paraId="35272CCE">
                  <w:pPr>
                    <w:spacing w:line="240" w:lineRule="exact"/>
                    <w:jc w:val="center"/>
                    <w:rPr>
                      <w:szCs w:val="21"/>
                    </w:rPr>
                  </w:pPr>
                  <w:r>
                    <w:rPr>
                      <w:szCs w:val="21"/>
                    </w:rPr>
                    <w:t>60</w:t>
                  </w:r>
                </w:p>
              </w:tc>
              <w:tc>
                <w:tcPr>
                  <w:tcW w:w="2085" w:type="dxa"/>
                  <w:vAlign w:val="center"/>
                </w:tcPr>
                <w:p w14:paraId="3AEEB4E6">
                  <w:pPr>
                    <w:spacing w:line="240" w:lineRule="exact"/>
                    <w:jc w:val="center"/>
                    <w:rPr>
                      <w:szCs w:val="21"/>
                    </w:rPr>
                  </w:pPr>
                  <w:r>
                    <w:rPr>
                      <w:szCs w:val="21"/>
                    </w:rPr>
                    <w:t>是</w:t>
                  </w:r>
                </w:p>
              </w:tc>
            </w:tr>
          </w:tbl>
          <w:p w14:paraId="4F8A5F61">
            <w:pPr>
              <w:spacing w:line="360" w:lineRule="auto"/>
              <w:ind w:firstLine="480" w:firstLineChars="200"/>
              <w:rPr>
                <w:bCs/>
                <w:sz w:val="24"/>
              </w:rPr>
            </w:pPr>
            <w:r>
              <w:rPr>
                <w:bCs/>
                <w:sz w:val="24"/>
              </w:rPr>
              <w:t>由预测结果知，本项目噪声贡献值满足《工业企业厂界环境噪声排放标准》2类标准，项目噪声对区域声环境影响较小。</w:t>
            </w:r>
          </w:p>
          <w:p w14:paraId="0A79DB97">
            <w:pPr>
              <w:spacing w:line="360" w:lineRule="auto"/>
              <w:ind w:firstLine="482" w:firstLineChars="200"/>
              <w:rPr>
                <w:b/>
                <w:bCs/>
                <w:sz w:val="24"/>
              </w:rPr>
            </w:pPr>
            <w:r>
              <w:rPr>
                <w:b/>
                <w:bCs/>
                <w:sz w:val="24"/>
              </w:rPr>
              <w:t>2、监测要求</w:t>
            </w:r>
          </w:p>
          <w:p w14:paraId="7FE9F10A">
            <w:pPr>
              <w:pStyle w:val="14"/>
              <w:spacing w:before="0" w:after="0" w:line="360" w:lineRule="auto"/>
              <w:ind w:right="0" w:firstLine="480" w:firstLineChars="200"/>
            </w:pPr>
            <w:r>
              <w:rPr>
                <w:szCs w:val="24"/>
              </w:rPr>
              <w:t>运行期间环境监测工作应按照《排污许可证申请与核发技术规范 工业噪声》（HJ1301-2023）进行，详见下表。</w:t>
            </w:r>
          </w:p>
          <w:p w14:paraId="4CD10DE2">
            <w:pPr>
              <w:jc w:val="center"/>
              <w:rPr>
                <w:b/>
                <w:bCs/>
                <w:sz w:val="24"/>
              </w:rPr>
            </w:pPr>
            <w:r>
              <w:rPr>
                <w:b/>
                <w:bCs/>
                <w:sz w:val="24"/>
              </w:rPr>
              <w:t>表2</w:t>
            </w:r>
            <w:r>
              <w:rPr>
                <w:rFonts w:hint="eastAsia"/>
                <w:b/>
                <w:bCs/>
                <w:sz w:val="24"/>
              </w:rPr>
              <w:t>9</w:t>
            </w:r>
            <w:r>
              <w:rPr>
                <w:b/>
                <w:bCs/>
                <w:sz w:val="24"/>
              </w:rPr>
              <w:t xml:space="preserve">   厂界运营期噪声监测计划一览表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55"/>
              <w:gridCol w:w="1950"/>
              <w:gridCol w:w="1215"/>
              <w:gridCol w:w="4224"/>
            </w:tblGrid>
            <w:tr w14:paraId="0BFE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55" w:type="dxa"/>
                  <w:vAlign w:val="center"/>
                </w:tcPr>
                <w:p w14:paraId="0B0E7DAF">
                  <w:pPr>
                    <w:jc w:val="center"/>
                    <w:rPr>
                      <w:b/>
                      <w:bCs/>
                      <w:szCs w:val="21"/>
                      <w:u w:val="single"/>
                    </w:rPr>
                  </w:pPr>
                  <w:r>
                    <w:rPr>
                      <w:b/>
                      <w:bCs/>
                      <w:szCs w:val="21"/>
                      <w:u w:val="single"/>
                    </w:rPr>
                    <w:t>监测点位</w:t>
                  </w:r>
                </w:p>
              </w:tc>
              <w:tc>
                <w:tcPr>
                  <w:tcW w:w="1950" w:type="dxa"/>
                  <w:vAlign w:val="center"/>
                </w:tcPr>
                <w:p w14:paraId="45F8493D">
                  <w:pPr>
                    <w:jc w:val="center"/>
                    <w:rPr>
                      <w:b/>
                      <w:bCs/>
                      <w:szCs w:val="21"/>
                      <w:u w:val="single"/>
                    </w:rPr>
                  </w:pPr>
                  <w:r>
                    <w:rPr>
                      <w:b/>
                      <w:bCs/>
                      <w:szCs w:val="21"/>
                      <w:u w:val="single"/>
                    </w:rPr>
                    <w:t>监测项目</w:t>
                  </w:r>
                </w:p>
              </w:tc>
              <w:tc>
                <w:tcPr>
                  <w:tcW w:w="1215" w:type="dxa"/>
                  <w:vAlign w:val="center"/>
                </w:tcPr>
                <w:p w14:paraId="611E7882">
                  <w:pPr>
                    <w:jc w:val="center"/>
                    <w:rPr>
                      <w:b/>
                      <w:bCs/>
                      <w:szCs w:val="21"/>
                      <w:u w:val="single"/>
                    </w:rPr>
                  </w:pPr>
                  <w:r>
                    <w:rPr>
                      <w:b/>
                      <w:bCs/>
                      <w:szCs w:val="21"/>
                      <w:u w:val="single"/>
                    </w:rPr>
                    <w:t>监测频次</w:t>
                  </w:r>
                </w:p>
              </w:tc>
              <w:tc>
                <w:tcPr>
                  <w:tcW w:w="4224" w:type="dxa"/>
                  <w:vAlign w:val="center"/>
                </w:tcPr>
                <w:p w14:paraId="6901FAC6">
                  <w:pPr>
                    <w:jc w:val="center"/>
                    <w:rPr>
                      <w:b/>
                      <w:bCs/>
                      <w:szCs w:val="21"/>
                      <w:u w:val="single"/>
                    </w:rPr>
                  </w:pPr>
                  <w:r>
                    <w:rPr>
                      <w:b/>
                      <w:bCs/>
                      <w:szCs w:val="21"/>
                      <w:u w:val="single"/>
                    </w:rPr>
                    <w:t>执行标准</w:t>
                  </w:r>
                </w:p>
              </w:tc>
            </w:tr>
            <w:tr w14:paraId="2F51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55" w:type="dxa"/>
                  <w:vAlign w:val="center"/>
                </w:tcPr>
                <w:p w14:paraId="3D61EE37">
                  <w:pPr>
                    <w:jc w:val="center"/>
                    <w:rPr>
                      <w:b/>
                      <w:bCs/>
                      <w:szCs w:val="21"/>
                      <w:u w:val="single"/>
                    </w:rPr>
                  </w:pPr>
                  <w:r>
                    <w:rPr>
                      <w:b/>
                      <w:bCs/>
                      <w:szCs w:val="21"/>
                      <w:u w:val="single"/>
                    </w:rPr>
                    <w:t>四周厂界</w:t>
                  </w:r>
                </w:p>
              </w:tc>
              <w:tc>
                <w:tcPr>
                  <w:tcW w:w="1950" w:type="dxa"/>
                  <w:vAlign w:val="center"/>
                </w:tcPr>
                <w:p w14:paraId="70FC7A09">
                  <w:pPr>
                    <w:jc w:val="center"/>
                    <w:rPr>
                      <w:b/>
                      <w:bCs/>
                      <w:szCs w:val="21"/>
                      <w:u w:val="single"/>
                    </w:rPr>
                  </w:pPr>
                  <w:r>
                    <w:rPr>
                      <w:b/>
                      <w:bCs/>
                      <w:szCs w:val="21"/>
                      <w:u w:val="single"/>
                    </w:rPr>
                    <w:t>昼间等效连续A声级</w:t>
                  </w:r>
                </w:p>
              </w:tc>
              <w:tc>
                <w:tcPr>
                  <w:tcW w:w="1215" w:type="dxa"/>
                  <w:vAlign w:val="center"/>
                </w:tcPr>
                <w:p w14:paraId="20E2A51B">
                  <w:pPr>
                    <w:jc w:val="center"/>
                    <w:rPr>
                      <w:b/>
                      <w:bCs/>
                      <w:szCs w:val="21"/>
                      <w:u w:val="single"/>
                    </w:rPr>
                  </w:pPr>
                  <w:r>
                    <w:rPr>
                      <w:b/>
                      <w:bCs/>
                      <w:szCs w:val="21"/>
                      <w:u w:val="single"/>
                    </w:rPr>
                    <w:t>1季度1次</w:t>
                  </w:r>
                </w:p>
              </w:tc>
              <w:tc>
                <w:tcPr>
                  <w:tcW w:w="4224" w:type="dxa"/>
                  <w:vAlign w:val="center"/>
                </w:tcPr>
                <w:p w14:paraId="31E4BDC6">
                  <w:pPr>
                    <w:jc w:val="center"/>
                    <w:rPr>
                      <w:b/>
                      <w:bCs/>
                      <w:szCs w:val="21"/>
                      <w:u w:val="single"/>
                    </w:rPr>
                  </w:pPr>
                  <w:r>
                    <w:rPr>
                      <w:b/>
                      <w:bCs/>
                      <w:szCs w:val="21"/>
                      <w:u w:val="single"/>
                    </w:rPr>
                    <w:t>《工业企业厂界环境噪声排放标准》（GB12348-2008）2类标准</w:t>
                  </w:r>
                </w:p>
              </w:tc>
            </w:tr>
          </w:tbl>
          <w:p w14:paraId="55824F82">
            <w:pPr>
              <w:pStyle w:val="14"/>
              <w:spacing w:before="0" w:after="0" w:line="360" w:lineRule="auto"/>
              <w:ind w:right="0" w:firstLine="482" w:firstLineChars="200"/>
              <w:rPr>
                <w:b/>
                <w:bCs/>
                <w:szCs w:val="24"/>
              </w:rPr>
            </w:pPr>
            <w:r>
              <w:rPr>
                <w:b/>
                <w:bCs/>
                <w:szCs w:val="24"/>
              </w:rPr>
              <w:t>四、固废</w:t>
            </w:r>
          </w:p>
          <w:p w14:paraId="03311987">
            <w:pPr>
              <w:spacing w:line="360" w:lineRule="auto"/>
              <w:ind w:firstLine="482" w:firstLineChars="200"/>
              <w:rPr>
                <w:b/>
                <w:bCs/>
                <w:sz w:val="24"/>
              </w:rPr>
            </w:pPr>
            <w:r>
              <w:rPr>
                <w:b/>
                <w:bCs/>
                <w:sz w:val="24"/>
              </w:rPr>
              <w:t>1、固废产生情况</w:t>
            </w:r>
          </w:p>
          <w:p w14:paraId="0DAD07B8">
            <w:pPr>
              <w:pStyle w:val="14"/>
              <w:spacing w:before="0" w:after="0" w:line="360" w:lineRule="auto"/>
              <w:ind w:right="0" w:firstLine="480" w:firstLineChars="200"/>
            </w:pPr>
            <w:r>
              <w:t>本项目在废旧农机拆解过程中会产生金属类拆解物（钢铁、有色金属）、非金属类拆解物（塑料、橡胶、玻璃和可回收利用零部件），上述拆解物将分类收集，暂存在拆解车间内的金属类拆解物暂存区、非金属拆解物暂存区，作为产品分类外售。拆解过程中产生的一般固废为碎玻璃、皮革等不可回收拆解物以及职工产生的生活垃圾；危险废物有：</w:t>
            </w:r>
            <w:r>
              <w:rPr>
                <w:rFonts w:hint="eastAsia"/>
              </w:rPr>
              <w:t>废铅酸蓄电池、</w:t>
            </w:r>
            <w:r>
              <w:t>废油液</w:t>
            </w:r>
            <w:r>
              <w:rPr>
                <w:rFonts w:hint="eastAsia"/>
              </w:rPr>
              <w:t>（残余燃油及其他矿物油、废防冻液、废液压油）</w:t>
            </w:r>
            <w:r>
              <w:t>、废油箱、废尾气净化装置、废机油滤清器、废电子电器件、废活性炭、含油抹布及手套等，将按照其特性，分类存放处置。</w:t>
            </w:r>
          </w:p>
          <w:p w14:paraId="420DCFC0">
            <w:pPr>
              <w:spacing w:line="360" w:lineRule="auto"/>
              <w:ind w:firstLine="480" w:firstLineChars="200"/>
              <w:rPr>
                <w:sz w:val="24"/>
              </w:rPr>
            </w:pPr>
            <w:r>
              <w:rPr>
                <w:rFonts w:hint="eastAsia"/>
                <w:sz w:val="24"/>
              </w:rPr>
              <w:t>（1）</w:t>
            </w:r>
            <w:r>
              <w:rPr>
                <w:sz w:val="24"/>
              </w:rPr>
              <w:t>一般固废</w:t>
            </w:r>
          </w:p>
          <w:p w14:paraId="26E7C22E">
            <w:pPr>
              <w:pStyle w:val="32"/>
              <w:spacing w:line="360" w:lineRule="auto"/>
              <w:ind w:left="420" w:firstLine="0" w:firstLineChars="0"/>
              <w:rPr>
                <w:sz w:val="24"/>
              </w:rPr>
            </w:pPr>
            <w:r>
              <w:rPr>
                <w:rFonts w:hint="eastAsia" w:ascii="宋体" w:hAnsi="宋体" w:cs="宋体"/>
                <w:sz w:val="24"/>
              </w:rPr>
              <w:t>①</w:t>
            </w:r>
            <w:r>
              <w:rPr>
                <w:sz w:val="24"/>
              </w:rPr>
              <w:t>生活垃圾</w:t>
            </w:r>
          </w:p>
          <w:p w14:paraId="241138DA">
            <w:pPr>
              <w:pStyle w:val="32"/>
              <w:adjustRightInd w:val="0"/>
              <w:snapToGrid w:val="0"/>
              <w:spacing w:line="360" w:lineRule="auto"/>
              <w:ind w:firstLine="480"/>
              <w:rPr>
                <w:sz w:val="24"/>
              </w:rPr>
            </w:pPr>
            <w:r>
              <w:rPr>
                <w:sz w:val="24"/>
              </w:rPr>
              <w:t>本项目营运期劳动定员5人，年工作150天，员工在生产和生活过程中产生生活垃圾按照0.5kg/人·d计，则本项目营运期生活垃圾产生量为0.375t/a。生活垃圾集中收集在生活垃圾桶内，定期清运，交由市政环卫部门统一处置。</w:t>
            </w:r>
          </w:p>
          <w:p w14:paraId="43BECA61">
            <w:pPr>
              <w:pStyle w:val="32"/>
              <w:spacing w:line="360" w:lineRule="auto"/>
              <w:ind w:left="420" w:firstLine="0" w:firstLineChars="0"/>
              <w:rPr>
                <w:sz w:val="24"/>
              </w:rPr>
            </w:pPr>
            <w:r>
              <w:rPr>
                <w:rFonts w:hint="eastAsia" w:ascii="宋体" w:hAnsi="宋体" w:cs="宋体"/>
                <w:sz w:val="24"/>
              </w:rPr>
              <w:t>②</w:t>
            </w:r>
            <w:r>
              <w:rPr>
                <w:sz w:val="24"/>
              </w:rPr>
              <w:t>碎玻璃、皮革等不可回收拆解物</w:t>
            </w:r>
          </w:p>
          <w:p w14:paraId="0966B426">
            <w:pPr>
              <w:spacing w:line="360" w:lineRule="auto"/>
              <w:ind w:firstLine="480" w:firstLineChars="200"/>
              <w:rPr>
                <w:sz w:val="24"/>
              </w:rPr>
            </w:pPr>
            <w:r>
              <w:rPr>
                <w:sz w:val="24"/>
              </w:rPr>
              <w:t>在拆解过程中会产生一定量的不可利用废物，如碎皮革、碎玻璃、碎塑料等无利用价值的拆解物，且不属于危险废物，</w:t>
            </w:r>
            <w:r>
              <w:rPr>
                <w:rFonts w:hint="eastAsia"/>
                <w:sz w:val="24"/>
              </w:rPr>
              <w:t>经物料衡算和统计类比</w:t>
            </w:r>
            <w:r>
              <w:rPr>
                <w:sz w:val="24"/>
              </w:rPr>
              <w:t>，拆解一台农机可产生不可利用废物量为30kg，本项且年拆解农机50台，则产生不可利用废物1.5t/a，不可利用废物集中收集后交由市政环卫部门统一处置。</w:t>
            </w:r>
          </w:p>
          <w:p w14:paraId="4419BF2A">
            <w:pPr>
              <w:spacing w:line="360" w:lineRule="auto"/>
              <w:ind w:firstLine="480" w:firstLineChars="200"/>
              <w:rPr>
                <w:sz w:val="24"/>
              </w:rPr>
            </w:pPr>
            <w:r>
              <w:rPr>
                <w:rFonts w:hint="eastAsia" w:ascii="宋体" w:hAnsi="宋体" w:cs="宋体"/>
                <w:sz w:val="24"/>
              </w:rPr>
              <w:t>③</w:t>
            </w:r>
            <w:r>
              <w:rPr>
                <w:sz w:val="24"/>
              </w:rPr>
              <w:t>除尘器收尘</w:t>
            </w:r>
          </w:p>
          <w:p w14:paraId="2AC7924A">
            <w:pPr>
              <w:spacing w:line="360" w:lineRule="auto"/>
              <w:ind w:firstLine="480" w:firstLineChars="200"/>
              <w:rPr>
                <w:sz w:val="24"/>
              </w:rPr>
            </w:pPr>
            <w:r>
              <w:rPr>
                <w:sz w:val="24"/>
              </w:rPr>
              <w:t>本项目除尘器收集粉尘主要来源于切割工序，除尘器收尘约0.053t/a，收集后交由环卫部门统一处置。</w:t>
            </w:r>
          </w:p>
          <w:p w14:paraId="4543E72A">
            <w:pPr>
              <w:spacing w:line="360" w:lineRule="auto"/>
              <w:ind w:firstLine="720" w:firstLineChars="300"/>
            </w:pPr>
            <w:r>
              <w:rPr>
                <w:rFonts w:hint="eastAsia"/>
                <w:sz w:val="24"/>
              </w:rPr>
              <w:t>（2）</w:t>
            </w:r>
            <w:r>
              <w:rPr>
                <w:sz w:val="24"/>
              </w:rPr>
              <w:t>危险废物</w:t>
            </w:r>
          </w:p>
          <w:p w14:paraId="59081EA2">
            <w:pPr>
              <w:spacing w:line="360" w:lineRule="auto"/>
              <w:ind w:firstLine="720" w:firstLineChars="300"/>
              <w:rPr>
                <w:sz w:val="24"/>
              </w:rPr>
            </w:pPr>
            <w:r>
              <w:rPr>
                <w:rFonts w:hint="eastAsia"/>
                <w:sz w:val="24"/>
              </w:rPr>
              <w:t>1）</w:t>
            </w:r>
            <w:r>
              <w:rPr>
                <w:sz w:val="24"/>
              </w:rPr>
              <w:t>废油液</w:t>
            </w:r>
          </w:p>
          <w:p w14:paraId="278C07AB">
            <w:pPr>
              <w:spacing w:line="360" w:lineRule="auto"/>
              <w:ind w:firstLine="480" w:firstLineChars="200"/>
              <w:rPr>
                <w:sz w:val="24"/>
              </w:rPr>
            </w:pPr>
            <w:r>
              <w:rPr>
                <w:sz w:val="24"/>
              </w:rPr>
              <w:t>废油液主要包括废柴油和废机油等属于残余燃油及其他矿物油（废机油、废润滑油等）、废液压油、废防冻液等废液，根据《国家危险废物名录》（2025版），均属于危险废物。根据本项目拆解农机数量50台/年计算，每台废旧农机残留废油液产生量为25kg，则拆解过程中废油液总产生量约为1.25t/a。</w:t>
            </w:r>
            <w:r>
              <w:rPr>
                <w:rFonts w:hint="eastAsia"/>
                <w:sz w:val="24"/>
              </w:rPr>
              <w:t>废油液放置于密闭容器内，经危废暂存间暂存后，定期交由有资质单位处置。</w:t>
            </w:r>
          </w:p>
          <w:p w14:paraId="420EE44B">
            <w:pPr>
              <w:pStyle w:val="32"/>
              <w:numPr>
                <w:ilvl w:val="0"/>
                <w:numId w:val="18"/>
              </w:numPr>
              <w:spacing w:line="360" w:lineRule="auto"/>
              <w:ind w:firstLineChars="0"/>
              <w:rPr>
                <w:sz w:val="24"/>
              </w:rPr>
            </w:pPr>
            <w:r>
              <w:rPr>
                <w:sz w:val="24"/>
              </w:rPr>
              <w:t>残余燃油及其他矿物油</w:t>
            </w:r>
          </w:p>
          <w:p w14:paraId="5058DB6D">
            <w:pPr>
              <w:spacing w:line="360" w:lineRule="auto"/>
              <w:ind w:firstLine="480" w:firstLineChars="200"/>
              <w:rPr>
                <w:sz w:val="24"/>
              </w:rPr>
            </w:pPr>
            <w:r>
              <w:rPr>
                <w:sz w:val="24"/>
              </w:rPr>
              <w:t>废旧农机拆解过程中产生残余燃油和其他矿物油，主要来自残余燃油（汽油、柴油等）以及对农机发动机等机械设备起到润滑、清洁等作用的矿物油（机油、润滑油等），产生量约0.25t/a，属于《国家危险废物名录》（2025版）“HW08 废矿物油与含矿物油废物”中的非特定行业“900-199-08内燃机、汽车、轮船等集中拆解过程产生的废矿物油及油泥”，</w:t>
            </w:r>
            <w:r>
              <w:rPr>
                <w:rFonts w:hint="eastAsia"/>
                <w:sz w:val="24"/>
              </w:rPr>
              <w:t xml:space="preserve"> 经分类收集后暂存于危险废物暂存间，采用铁桶盛放后加盖密闭暂存，定期委托有资质单位处置。</w:t>
            </w:r>
          </w:p>
          <w:p w14:paraId="7BE6B7B1">
            <w:pPr>
              <w:pStyle w:val="32"/>
              <w:numPr>
                <w:ilvl w:val="0"/>
                <w:numId w:val="18"/>
              </w:numPr>
              <w:spacing w:line="360" w:lineRule="auto"/>
              <w:ind w:firstLineChars="0"/>
              <w:rPr>
                <w:sz w:val="24"/>
              </w:rPr>
            </w:pPr>
            <w:r>
              <w:rPr>
                <w:sz w:val="24"/>
              </w:rPr>
              <w:t>废液压油</w:t>
            </w:r>
          </w:p>
          <w:p w14:paraId="5D21EBFF">
            <w:pPr>
              <w:spacing w:line="360" w:lineRule="auto"/>
              <w:ind w:firstLine="480" w:firstLineChars="200"/>
              <w:rPr>
                <w:sz w:val="24"/>
              </w:rPr>
            </w:pPr>
            <w:r>
              <w:rPr>
                <w:sz w:val="24"/>
              </w:rPr>
              <w:t>废旧农机拆解中产生的废液压油，主要来自液压系统的油箱，产生量约为0.5t/a，属于《国家危险废物名录》（2025版）中“HW08废矿物油与含矿物油废物”的非特定行业“900-218-08 液压设备维护、更换和拆解过程中产生的废液压油”，</w:t>
            </w:r>
            <w:r>
              <w:rPr>
                <w:rFonts w:hint="eastAsia"/>
                <w:sz w:val="24"/>
              </w:rPr>
              <w:t>经分类收集后暂存于危险废物暂存间，采用铁桶盛放后加盖密闭暂存，定期委托有资质单位处置。</w:t>
            </w:r>
          </w:p>
          <w:p w14:paraId="796788A6">
            <w:pPr>
              <w:pStyle w:val="32"/>
              <w:numPr>
                <w:ilvl w:val="0"/>
                <w:numId w:val="18"/>
              </w:numPr>
              <w:spacing w:line="360" w:lineRule="auto"/>
              <w:ind w:firstLineChars="0"/>
              <w:rPr>
                <w:sz w:val="24"/>
              </w:rPr>
            </w:pPr>
            <w:r>
              <w:rPr>
                <w:sz w:val="24"/>
              </w:rPr>
              <w:t>废防冻液</w:t>
            </w:r>
          </w:p>
          <w:p w14:paraId="13F2418B">
            <w:pPr>
              <w:spacing w:line="360" w:lineRule="auto"/>
              <w:ind w:firstLine="480" w:firstLineChars="200"/>
              <w:rPr>
                <w:sz w:val="24"/>
              </w:rPr>
            </w:pPr>
            <w:r>
              <w:rPr>
                <w:sz w:val="24"/>
              </w:rPr>
              <w:t>废旧农机拆解过程中会产生部分废防冻液，产生量约0.5t/a，属于《国家危险废物名录》（2025版）中“HW06 废有机溶剂与含有机溶剂废物”的“900-402-06 工业生产中作为清洗剂、萃取剂、溶剂或反应介质使用后废弃的有机溶剂，包括苯、苯乙烯、丁醇、丙酮、正己烷、甲苯、邻二甲苯、间二甲苯、对二甲苯、1,2,4-三甲苯、乙苯、乙醇、异丙醇、乙醚、丙醚、乙酸甲酯、乙酸乙酯、乙酸丁酯、丙酸丁酯、苯酚，以及在使用前混合的含有一种或多种上述溶剂的混合/调和溶剂使用后废弃的其他列入《危险化学品目录》的有机溶剂，以及在使用前混合的含有一种或多种上述溶剂的混合/调和溶剂”，</w:t>
            </w:r>
            <w:r>
              <w:rPr>
                <w:rFonts w:hint="eastAsia"/>
                <w:sz w:val="24"/>
              </w:rPr>
              <w:t xml:space="preserve"> 经分类收集后暂存于危险废物暂存间，采用铁桶盛放后加盖密闭暂存，定期委托有资质单位处置。</w:t>
            </w:r>
          </w:p>
          <w:p w14:paraId="4FC92113">
            <w:pPr>
              <w:spacing w:line="360" w:lineRule="auto"/>
              <w:ind w:firstLine="480" w:firstLineChars="200"/>
              <w:rPr>
                <w:sz w:val="24"/>
              </w:rPr>
            </w:pPr>
            <w:r>
              <w:rPr>
                <w:sz w:val="24"/>
              </w:rPr>
              <w:t>此外，评价要求上述废油液采用符合相关标准的专用收集桶收集，各收集桶应为密闭，收集桶内顶部与各废油液表面之间保留100mm以上的空间，收集桶外应贴上危险废物标签。各种废油液应分类收集，不得混合装在同一个收集桶内。储存室应设置在阴凉通风处，避免日光直接照射，库温应控制在30℃以下为宜。废油液储存区应设置围堰及导流渠，导流渠通往事故水池，并配备备用收集容器，一旦发生物料泄漏，应及时收集至备用收集容器。另外评价要求各废油液收集桶之间必须留有搬运通道，不同的废油液不能混合装在同一个收集桶内。各废油液的收集桶必须经过检验，确保收集桶外标签与储存危废一致。进入各废油液储存间的人员、机动车辆和作业车辆，必须采取防火措施。各类废液经分类收集后放置危险废物暂存间，定期有委托资质单位处理。</w:t>
            </w:r>
          </w:p>
          <w:p w14:paraId="7206BCDA">
            <w:pPr>
              <w:spacing w:line="360" w:lineRule="auto"/>
              <w:ind w:firstLine="480" w:firstLineChars="200"/>
              <w:rPr>
                <w:sz w:val="24"/>
              </w:rPr>
            </w:pPr>
            <w:r>
              <w:rPr>
                <w:rFonts w:hint="eastAsia"/>
                <w:sz w:val="24"/>
              </w:rPr>
              <w:t>2）</w:t>
            </w:r>
            <w:r>
              <w:rPr>
                <w:sz w:val="24"/>
              </w:rPr>
              <w:t>废油箱</w:t>
            </w:r>
          </w:p>
          <w:p w14:paraId="0787E711">
            <w:pPr>
              <w:pStyle w:val="32"/>
              <w:spacing w:line="360" w:lineRule="auto"/>
              <w:ind w:firstLine="480"/>
              <w:rPr>
                <w:sz w:val="24"/>
              </w:rPr>
            </w:pPr>
            <w:r>
              <w:rPr>
                <w:sz w:val="24"/>
              </w:rPr>
              <w:t>废旧农机在预拆解过程收集废油液后产生的废油箱，产生量约为2.4t/a，属于《国家危险废物名录》（2025版）中“HW08 废矿物油与含矿物油废物”中的“900-249-08 其他生产、销售、使用过程中产生的废矿物油及沾染矿物油的废弃包装物”，经分类收集后暂存于危险废物暂存间，定期有委托资质单位处置。</w:t>
            </w:r>
          </w:p>
          <w:p w14:paraId="03B83200">
            <w:pPr>
              <w:spacing w:line="360" w:lineRule="auto"/>
              <w:ind w:firstLine="480" w:firstLineChars="200"/>
              <w:rPr>
                <w:sz w:val="24"/>
              </w:rPr>
            </w:pPr>
            <w:r>
              <w:rPr>
                <w:rFonts w:hint="eastAsia"/>
                <w:sz w:val="24"/>
              </w:rPr>
              <w:t>3）</w:t>
            </w:r>
            <w:r>
              <w:rPr>
                <w:sz w:val="24"/>
              </w:rPr>
              <w:t>废尾气净化装置</w:t>
            </w:r>
          </w:p>
          <w:p w14:paraId="4C62CDAA">
            <w:pPr>
              <w:pStyle w:val="32"/>
              <w:spacing w:line="360" w:lineRule="auto"/>
              <w:ind w:firstLine="480"/>
              <w:rPr>
                <w:sz w:val="24"/>
              </w:rPr>
            </w:pPr>
            <w:r>
              <w:rPr>
                <w:sz w:val="24"/>
              </w:rPr>
              <w:t>拆解过程产生的废尾气净化装置主要产生于农用车、新能源、机动车排气管，含尾气净化剂，产生量为0.35t/a，属于《国家危险废物名录》（2025版）中“HW50 废催化剂”的非特定行业，危废代码是900-049-50，经分类收集后暂存于危险废物暂存间，定期有委托资质单位处置。</w:t>
            </w:r>
          </w:p>
          <w:p w14:paraId="0578DE49">
            <w:pPr>
              <w:spacing w:line="360" w:lineRule="auto"/>
              <w:ind w:firstLine="480" w:firstLineChars="200"/>
              <w:rPr>
                <w:sz w:val="24"/>
              </w:rPr>
            </w:pPr>
            <w:r>
              <w:rPr>
                <w:rFonts w:hint="eastAsia"/>
                <w:sz w:val="24"/>
              </w:rPr>
              <w:t>4）</w:t>
            </w:r>
            <w:r>
              <w:rPr>
                <w:sz w:val="24"/>
              </w:rPr>
              <w:t>废机油滤清器</w:t>
            </w:r>
          </w:p>
          <w:p w14:paraId="08F43CBD">
            <w:pPr>
              <w:pStyle w:val="32"/>
              <w:spacing w:line="360" w:lineRule="auto"/>
              <w:ind w:firstLine="480"/>
              <w:rPr>
                <w:sz w:val="24"/>
              </w:rPr>
            </w:pPr>
            <w:r>
              <w:rPr>
                <w:sz w:val="24"/>
              </w:rPr>
              <w:t xml:space="preserve">本项目拆解过程中拆除的废机油滤清器，属于《国家危险废物名录》（2025版）中“HW49 </w:t>
            </w:r>
            <w:r>
              <w:rPr>
                <w:sz w:val="24"/>
                <w:shd w:val="clear" w:color="auto" w:fill="FFFFFF"/>
              </w:rPr>
              <w:t>其他废物</w:t>
            </w:r>
            <w:r>
              <w:rPr>
                <w:sz w:val="24"/>
              </w:rPr>
              <w:t>”中非特定行业的“含有或沾染毒性、感染性危险废物的废弃包装物、容器、过滤吸附介质”，产生量约为0.2t/a，危废代码为900-041-49，危险特性为T/In，暂存于危废暂存间内专用机油滤密闭容器内，定期交由有资质单位处置。</w:t>
            </w:r>
          </w:p>
          <w:p w14:paraId="1CCAC434">
            <w:pPr>
              <w:spacing w:line="360" w:lineRule="auto"/>
              <w:ind w:firstLine="480" w:firstLineChars="200"/>
              <w:rPr>
                <w:sz w:val="24"/>
              </w:rPr>
            </w:pPr>
            <w:r>
              <w:rPr>
                <w:rFonts w:hint="eastAsia"/>
                <w:sz w:val="24"/>
              </w:rPr>
              <w:t>5）</w:t>
            </w:r>
            <w:r>
              <w:rPr>
                <w:sz w:val="24"/>
              </w:rPr>
              <w:t>废电子电器件</w:t>
            </w:r>
          </w:p>
          <w:p w14:paraId="29D5B271">
            <w:pPr>
              <w:spacing w:line="360" w:lineRule="auto"/>
              <w:ind w:firstLine="480" w:firstLineChars="200"/>
              <w:rPr>
                <w:sz w:val="24"/>
              </w:rPr>
            </w:pPr>
            <w:r>
              <w:rPr>
                <w:rFonts w:hint="eastAsia"/>
                <w:sz w:val="24"/>
              </w:rPr>
              <w:t>项目拆解过程中产生各种扬声器、电路板等废电子电器件，共计</w:t>
            </w:r>
            <w:r>
              <w:rPr>
                <w:sz w:val="24"/>
              </w:rPr>
              <w:t>0.5</w:t>
            </w:r>
            <w:r>
              <w:rPr>
                <w:rFonts w:hint="eastAsia"/>
                <w:sz w:val="24"/>
              </w:rPr>
              <w:t>t/a，根据《国家危险废物名录》（202</w:t>
            </w:r>
            <w:r>
              <w:rPr>
                <w:sz w:val="24"/>
              </w:rPr>
              <w:t>5</w:t>
            </w:r>
            <w:r>
              <w:rPr>
                <w:rFonts w:hint="eastAsia"/>
                <w:sz w:val="24"/>
              </w:rPr>
              <w:t>版），废电子电器件属于HW</w:t>
            </w:r>
            <w:r>
              <w:rPr>
                <w:sz w:val="24"/>
              </w:rPr>
              <w:t>49</w:t>
            </w:r>
            <w:r>
              <w:rPr>
                <w:rFonts w:hint="eastAsia"/>
                <w:sz w:val="24"/>
              </w:rPr>
              <w:t>其他废物，</w:t>
            </w:r>
            <w:bookmarkStart w:id="17" w:name="OLE_LINK28"/>
            <w:bookmarkStart w:id="18" w:name="OLE_LINK27"/>
            <w:r>
              <w:rPr>
                <w:rFonts w:hint="eastAsia"/>
                <w:sz w:val="24"/>
              </w:rPr>
              <w:t>废物代码为</w:t>
            </w:r>
            <w:bookmarkStart w:id="19" w:name="OLE_LINK34"/>
            <w:bookmarkStart w:id="20" w:name="OLE_LINK33"/>
            <w:r>
              <w:rPr>
                <w:rFonts w:hint="eastAsia"/>
                <w:sz w:val="24"/>
              </w:rPr>
              <w:t>900-0</w:t>
            </w:r>
            <w:r>
              <w:rPr>
                <w:sz w:val="24"/>
              </w:rPr>
              <w:t>45</w:t>
            </w:r>
            <w:r>
              <w:rPr>
                <w:rFonts w:hint="eastAsia"/>
                <w:sz w:val="24"/>
              </w:rPr>
              <w:t>-</w:t>
            </w:r>
            <w:bookmarkEnd w:id="17"/>
            <w:bookmarkEnd w:id="18"/>
            <w:r>
              <w:rPr>
                <w:sz w:val="24"/>
              </w:rPr>
              <w:t>49</w:t>
            </w:r>
            <w:bookmarkEnd w:id="19"/>
            <w:bookmarkEnd w:id="20"/>
            <w:r>
              <w:rPr>
                <w:rFonts w:hint="eastAsia"/>
                <w:sz w:val="24"/>
              </w:rPr>
              <w:t>（</w:t>
            </w:r>
            <w:bookmarkStart w:id="21" w:name="OLE_LINK30"/>
            <w:bookmarkStart w:id="22" w:name="OLE_LINK29"/>
            <w:r>
              <w:rPr>
                <w:rFonts w:hint="eastAsia"/>
                <w:sz w:val="24"/>
              </w:rPr>
              <w:t>废电路板</w:t>
            </w:r>
            <w:bookmarkEnd w:id="21"/>
            <w:bookmarkEnd w:id="22"/>
            <w:r>
              <w:rPr>
                <w:rFonts w:hint="eastAsia"/>
                <w:sz w:val="24"/>
              </w:rPr>
              <w:t>（包括已拆除或未拆除元器件的废弃电路板），及废电路板拆解过程产生的废弃CPU、显卡、声卡、内存、含电解液的电容器、含金等贵金属的连接件）。本项目仅拆下电路板，不对电路板进行拆解。废电子电器件产生后集中收集，暂存于危险废物暂存间中，定期委托资质单位进行处置。</w:t>
            </w:r>
          </w:p>
          <w:p w14:paraId="062B71B2">
            <w:pPr>
              <w:spacing w:line="348" w:lineRule="auto"/>
              <w:ind w:firstLine="480" w:firstLineChars="200"/>
              <w:rPr>
                <w:sz w:val="24"/>
              </w:rPr>
            </w:pPr>
            <w:r>
              <w:rPr>
                <w:rFonts w:hint="eastAsia"/>
                <w:sz w:val="24"/>
              </w:rPr>
              <w:t>6）</w:t>
            </w:r>
            <w:r>
              <w:rPr>
                <w:sz w:val="24"/>
              </w:rPr>
              <w:t>废活性炭</w:t>
            </w:r>
          </w:p>
          <w:p w14:paraId="4BB56892">
            <w:pPr>
              <w:spacing w:line="348" w:lineRule="auto"/>
              <w:ind w:firstLine="480" w:firstLineChars="200"/>
              <w:rPr>
                <w:sz w:val="24"/>
              </w:rPr>
            </w:pPr>
            <w:r>
              <w:rPr>
                <w:rFonts w:hint="eastAsia"/>
                <w:sz w:val="24"/>
              </w:rPr>
              <w:t>废旧农机拆解过程中产生挥发性有机废气经两级活性炭吸附装置处理后排放，活性炭需定期进行更换。本项目活性炭吸附装置由2个活性炭吸附箱串联组成，根据风机风量，每个箱体填充约0.</w:t>
            </w:r>
            <w:r>
              <w:rPr>
                <w:sz w:val="24"/>
              </w:rPr>
              <w:t>15</w:t>
            </w:r>
            <w:r>
              <w:rPr>
                <w:rFonts w:hint="eastAsia"/>
                <w:sz w:val="24"/>
              </w:rPr>
              <w:t>t的蜂窝状活性炭，则所用活性炭量为0.</w:t>
            </w:r>
            <w:r>
              <w:rPr>
                <w:sz w:val="24"/>
              </w:rPr>
              <w:t>3</w:t>
            </w:r>
            <w:r>
              <w:rPr>
                <w:rFonts w:hint="eastAsia"/>
                <w:sz w:val="24"/>
              </w:rPr>
              <w:t>t/a。为保证活性炭的吸附性能，每年更换一次活性炭，根据活性炭有机废气吸附量，计算得废活性炭产生量约为0.</w:t>
            </w:r>
            <w:r>
              <w:rPr>
                <w:sz w:val="24"/>
              </w:rPr>
              <w:t>304</w:t>
            </w:r>
            <w:r>
              <w:rPr>
                <w:rFonts w:hint="eastAsia"/>
                <w:sz w:val="24"/>
              </w:rPr>
              <w:t>t/a。根据《国家危险废物名录》（202</w:t>
            </w:r>
            <w:r>
              <w:rPr>
                <w:sz w:val="24"/>
              </w:rPr>
              <w:t>5</w:t>
            </w:r>
            <w:r>
              <w:rPr>
                <w:rFonts w:hint="eastAsia"/>
                <w:sz w:val="24"/>
              </w:rPr>
              <w:t>版），废活性炭属于HW49其他废物，行业来源为非特定行业，危废代码为900-039-49。废活性炭更换后暂存于危险废物暂存间，定期委托资质单位进行处置</w:t>
            </w:r>
          </w:p>
          <w:p w14:paraId="097977A4">
            <w:pPr>
              <w:spacing w:line="348" w:lineRule="auto"/>
              <w:ind w:firstLine="480" w:firstLineChars="200"/>
              <w:rPr>
                <w:sz w:val="24"/>
              </w:rPr>
            </w:pPr>
            <w:r>
              <w:rPr>
                <w:rFonts w:hint="eastAsia"/>
                <w:sz w:val="24"/>
              </w:rPr>
              <w:t>7）废铅酸蓄电池</w:t>
            </w:r>
          </w:p>
          <w:p w14:paraId="13EF96D0">
            <w:pPr>
              <w:pStyle w:val="32"/>
              <w:spacing w:line="348" w:lineRule="auto"/>
              <w:ind w:firstLine="480"/>
              <w:rPr>
                <w:sz w:val="24"/>
              </w:rPr>
            </w:pPr>
            <w:r>
              <w:rPr>
                <w:rFonts w:hint="eastAsia"/>
                <w:sz w:val="24"/>
              </w:rPr>
              <w:t>本项目废旧农机拆解过程仅存在少量的</w:t>
            </w:r>
            <w:bookmarkStart w:id="23" w:name="OLE_LINK25"/>
            <w:bookmarkStart w:id="24" w:name="OLE_LINK26"/>
            <w:r>
              <w:rPr>
                <w:rFonts w:hint="eastAsia"/>
                <w:sz w:val="24"/>
              </w:rPr>
              <w:t>废铅酸蓄电池</w:t>
            </w:r>
            <w:bookmarkEnd w:id="23"/>
            <w:bookmarkEnd w:id="24"/>
            <w:r>
              <w:rPr>
                <w:rFonts w:hint="eastAsia"/>
                <w:sz w:val="24"/>
              </w:rPr>
              <w:t>，大部分铅酸蓄电池在废旧农机入厂区前被业主拆下自留，因此本项目废铅酸蓄电池产生量约</w:t>
            </w:r>
            <w:r>
              <w:rPr>
                <w:sz w:val="24"/>
              </w:rPr>
              <w:t>0.2</w:t>
            </w:r>
            <w:r>
              <w:rPr>
                <w:rFonts w:hint="eastAsia"/>
                <w:sz w:val="24"/>
              </w:rPr>
              <w:t>t/a。根据《国家危险废物名录》（202</w:t>
            </w:r>
            <w:r>
              <w:rPr>
                <w:sz w:val="24"/>
              </w:rPr>
              <w:t>5</w:t>
            </w:r>
            <w:r>
              <w:rPr>
                <w:rFonts w:hint="eastAsia"/>
                <w:sz w:val="24"/>
              </w:rPr>
              <w:t>版），废铅酸蓄电池属于HW31含铅废物，废物代码为900-052-31废铅蓄电池及废铅蓄电池拆解过程中产生的废铅板、废铅膏和酸液，拆解的铅酸蓄电池将危废暂存间暂存后，定期交由有资质单位处置。</w:t>
            </w:r>
          </w:p>
          <w:p w14:paraId="697960EF">
            <w:pPr>
              <w:spacing w:line="348" w:lineRule="auto"/>
              <w:ind w:firstLine="480" w:firstLineChars="200"/>
              <w:rPr>
                <w:sz w:val="24"/>
              </w:rPr>
            </w:pPr>
            <w:r>
              <w:rPr>
                <w:rFonts w:hint="eastAsia"/>
                <w:sz w:val="24"/>
              </w:rPr>
              <w:t>8）</w:t>
            </w:r>
            <w:r>
              <w:rPr>
                <w:sz w:val="24"/>
              </w:rPr>
              <w:t>含油抹布及手套</w:t>
            </w:r>
          </w:p>
          <w:p w14:paraId="70889394">
            <w:pPr>
              <w:spacing w:line="348" w:lineRule="auto"/>
              <w:ind w:firstLine="480" w:firstLineChars="200"/>
              <w:rPr>
                <w:sz w:val="24"/>
              </w:rPr>
            </w:pPr>
            <w:r>
              <w:rPr>
                <w:sz w:val="24"/>
              </w:rPr>
              <w:t>废旧拆解过程中会产生含油抹布和手套，产生量约0.01t/a，与生活垃圾产生位置不同，具备分类收集的条件。根据《国家危险废物名录》（2025年版），含油抹布及手套属于HW49其他废物，行业来源为非特定行业，危废代码为900-041-49（含有或沾染毒性、感染性危险废物的废弃包装物、容器、过滤吸附介质）。含油抹布及手套经收集后暂存于危险废物暂存间，定期委托资质单位进行处置。</w:t>
            </w:r>
          </w:p>
          <w:p w14:paraId="42927E0A">
            <w:pPr>
              <w:spacing w:line="348" w:lineRule="auto"/>
              <w:ind w:firstLine="480" w:firstLineChars="200"/>
              <w:rPr>
                <w:sz w:val="24"/>
              </w:rPr>
            </w:pPr>
            <w:r>
              <w:rPr>
                <w:sz w:val="24"/>
              </w:rPr>
              <w:t>本项目固废具体产排污情况见下表。</w:t>
            </w:r>
          </w:p>
          <w:p w14:paraId="08FA276B">
            <w:pPr>
              <w:jc w:val="center"/>
              <w:rPr>
                <w:b/>
                <w:bCs/>
                <w:sz w:val="24"/>
              </w:rPr>
            </w:pPr>
            <w:r>
              <w:rPr>
                <w:b/>
                <w:bCs/>
                <w:sz w:val="24"/>
              </w:rPr>
              <w:t>表</w:t>
            </w:r>
            <w:r>
              <w:rPr>
                <w:rFonts w:hint="eastAsia"/>
                <w:b/>
                <w:bCs/>
                <w:sz w:val="24"/>
              </w:rPr>
              <w:t>30</w:t>
            </w:r>
            <w:r>
              <w:rPr>
                <w:b/>
                <w:bCs/>
                <w:sz w:val="24"/>
              </w:rPr>
              <w:t xml:space="preserve">  本项目一般固废产排情况一览表</w:t>
            </w:r>
          </w:p>
          <w:tbl>
            <w:tblPr>
              <w:tblStyle w:val="24"/>
              <w:tblW w:w="8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6"/>
              <w:gridCol w:w="1461"/>
              <w:gridCol w:w="1014"/>
              <w:gridCol w:w="1878"/>
              <w:gridCol w:w="1082"/>
              <w:gridCol w:w="924"/>
              <w:gridCol w:w="1435"/>
            </w:tblGrid>
            <w:tr w14:paraId="14D5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19" w:type="dxa"/>
                  <w:vAlign w:val="center"/>
                </w:tcPr>
                <w:p w14:paraId="7FC6E8EB">
                  <w:pPr>
                    <w:spacing w:line="240" w:lineRule="exact"/>
                    <w:jc w:val="center"/>
                    <w:rPr>
                      <w:szCs w:val="21"/>
                    </w:rPr>
                  </w:pPr>
                  <w:r>
                    <w:rPr>
                      <w:szCs w:val="21"/>
                    </w:rPr>
                    <w:t>序号</w:t>
                  </w:r>
                </w:p>
              </w:tc>
              <w:tc>
                <w:tcPr>
                  <w:tcW w:w="1525" w:type="dxa"/>
                  <w:vAlign w:val="center"/>
                </w:tcPr>
                <w:p w14:paraId="0CE2704B">
                  <w:pPr>
                    <w:spacing w:line="240" w:lineRule="exact"/>
                    <w:jc w:val="center"/>
                    <w:rPr>
                      <w:szCs w:val="21"/>
                    </w:rPr>
                  </w:pPr>
                  <w:r>
                    <w:rPr>
                      <w:szCs w:val="21"/>
                    </w:rPr>
                    <w:t>固体废物名称</w:t>
                  </w:r>
                </w:p>
              </w:tc>
              <w:tc>
                <w:tcPr>
                  <w:tcW w:w="1064" w:type="dxa"/>
                  <w:vAlign w:val="center"/>
                </w:tcPr>
                <w:p w14:paraId="65FA9688">
                  <w:pPr>
                    <w:spacing w:line="240" w:lineRule="exact"/>
                    <w:jc w:val="center"/>
                    <w:rPr>
                      <w:szCs w:val="21"/>
                    </w:rPr>
                  </w:pPr>
                  <w:r>
                    <w:rPr>
                      <w:szCs w:val="21"/>
                    </w:rPr>
                    <w:t>固废属性</w:t>
                  </w:r>
                </w:p>
              </w:tc>
              <w:tc>
                <w:tcPr>
                  <w:tcW w:w="1913" w:type="dxa"/>
                  <w:vAlign w:val="center"/>
                </w:tcPr>
                <w:p w14:paraId="596DBC77">
                  <w:pPr>
                    <w:spacing w:line="240" w:lineRule="exact"/>
                    <w:jc w:val="center"/>
                    <w:rPr>
                      <w:szCs w:val="21"/>
                    </w:rPr>
                  </w:pPr>
                  <w:r>
                    <w:rPr>
                      <w:szCs w:val="21"/>
                    </w:rPr>
                    <w:t>一般固体废物代码</w:t>
                  </w:r>
                </w:p>
              </w:tc>
              <w:tc>
                <w:tcPr>
                  <w:tcW w:w="1123" w:type="dxa"/>
                  <w:vAlign w:val="center"/>
                </w:tcPr>
                <w:p w14:paraId="61E411FF">
                  <w:pPr>
                    <w:spacing w:line="240" w:lineRule="exact"/>
                    <w:jc w:val="center"/>
                    <w:rPr>
                      <w:szCs w:val="21"/>
                    </w:rPr>
                  </w:pPr>
                  <w:r>
                    <w:rPr>
                      <w:szCs w:val="21"/>
                    </w:rPr>
                    <w:t>产生环节</w:t>
                  </w:r>
                </w:p>
              </w:tc>
              <w:tc>
                <w:tcPr>
                  <w:tcW w:w="952" w:type="dxa"/>
                  <w:vAlign w:val="center"/>
                </w:tcPr>
                <w:p w14:paraId="05934BA4">
                  <w:pPr>
                    <w:spacing w:line="240" w:lineRule="exact"/>
                    <w:jc w:val="center"/>
                    <w:rPr>
                      <w:szCs w:val="21"/>
                    </w:rPr>
                  </w:pPr>
                  <w:r>
                    <w:rPr>
                      <w:szCs w:val="21"/>
                    </w:rPr>
                    <w:t>产生量t/a</w:t>
                  </w:r>
                </w:p>
              </w:tc>
              <w:tc>
                <w:tcPr>
                  <w:tcW w:w="1510" w:type="dxa"/>
                  <w:vAlign w:val="center"/>
                </w:tcPr>
                <w:p w14:paraId="7EC98A8C">
                  <w:pPr>
                    <w:spacing w:line="240" w:lineRule="exact"/>
                    <w:jc w:val="center"/>
                    <w:rPr>
                      <w:szCs w:val="21"/>
                    </w:rPr>
                  </w:pPr>
                  <w:r>
                    <w:rPr>
                      <w:szCs w:val="21"/>
                    </w:rPr>
                    <w:t>处置方式和去向</w:t>
                  </w:r>
                </w:p>
              </w:tc>
            </w:tr>
            <w:tr w14:paraId="26E0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19" w:type="dxa"/>
                  <w:vAlign w:val="center"/>
                </w:tcPr>
                <w:p w14:paraId="4CF9F575">
                  <w:pPr>
                    <w:spacing w:line="240" w:lineRule="exact"/>
                    <w:jc w:val="center"/>
                    <w:rPr>
                      <w:szCs w:val="21"/>
                    </w:rPr>
                  </w:pPr>
                  <w:r>
                    <w:rPr>
                      <w:szCs w:val="21"/>
                    </w:rPr>
                    <w:t>1</w:t>
                  </w:r>
                </w:p>
              </w:tc>
              <w:tc>
                <w:tcPr>
                  <w:tcW w:w="1525" w:type="dxa"/>
                  <w:vAlign w:val="center"/>
                </w:tcPr>
                <w:p w14:paraId="2C4A55C8">
                  <w:pPr>
                    <w:spacing w:line="240" w:lineRule="exact"/>
                    <w:jc w:val="center"/>
                    <w:rPr>
                      <w:szCs w:val="21"/>
                    </w:rPr>
                  </w:pPr>
                  <w:r>
                    <w:rPr>
                      <w:szCs w:val="21"/>
                    </w:rPr>
                    <w:t>生活垃圾</w:t>
                  </w:r>
                </w:p>
              </w:tc>
              <w:tc>
                <w:tcPr>
                  <w:tcW w:w="1064" w:type="dxa"/>
                  <w:vAlign w:val="center"/>
                </w:tcPr>
                <w:p w14:paraId="3AC9B00D">
                  <w:pPr>
                    <w:spacing w:line="240" w:lineRule="exact"/>
                    <w:jc w:val="center"/>
                    <w:rPr>
                      <w:szCs w:val="21"/>
                    </w:rPr>
                  </w:pPr>
                  <w:r>
                    <w:rPr>
                      <w:szCs w:val="21"/>
                    </w:rPr>
                    <w:t>一般固废</w:t>
                  </w:r>
                </w:p>
              </w:tc>
              <w:tc>
                <w:tcPr>
                  <w:tcW w:w="1913" w:type="dxa"/>
                  <w:vAlign w:val="center"/>
                </w:tcPr>
                <w:p w14:paraId="6673A6C1">
                  <w:pPr>
                    <w:spacing w:line="240" w:lineRule="exact"/>
                    <w:jc w:val="center"/>
                    <w:rPr>
                      <w:szCs w:val="21"/>
                    </w:rPr>
                  </w:pPr>
                  <w:r>
                    <w:rPr>
                      <w:szCs w:val="21"/>
                    </w:rPr>
                    <w:t>900-001-S62、900-002-S62</w:t>
                  </w:r>
                </w:p>
              </w:tc>
              <w:tc>
                <w:tcPr>
                  <w:tcW w:w="1123" w:type="dxa"/>
                  <w:vAlign w:val="center"/>
                </w:tcPr>
                <w:p w14:paraId="7DD1379D">
                  <w:pPr>
                    <w:spacing w:line="240" w:lineRule="exact"/>
                    <w:jc w:val="center"/>
                    <w:rPr>
                      <w:szCs w:val="21"/>
                    </w:rPr>
                  </w:pPr>
                  <w:r>
                    <w:rPr>
                      <w:szCs w:val="21"/>
                    </w:rPr>
                    <w:t>办公区、生活区</w:t>
                  </w:r>
                </w:p>
              </w:tc>
              <w:tc>
                <w:tcPr>
                  <w:tcW w:w="952" w:type="dxa"/>
                  <w:vAlign w:val="center"/>
                </w:tcPr>
                <w:p w14:paraId="5E4F8BC0">
                  <w:pPr>
                    <w:spacing w:line="240" w:lineRule="exact"/>
                    <w:jc w:val="center"/>
                    <w:rPr>
                      <w:szCs w:val="21"/>
                    </w:rPr>
                  </w:pPr>
                  <w:r>
                    <w:rPr>
                      <w:szCs w:val="21"/>
                    </w:rPr>
                    <w:t>0.375</w:t>
                  </w:r>
                </w:p>
              </w:tc>
              <w:tc>
                <w:tcPr>
                  <w:tcW w:w="1510" w:type="dxa"/>
                  <w:vMerge w:val="restart"/>
                  <w:vAlign w:val="center"/>
                </w:tcPr>
                <w:p w14:paraId="2CB13F8F">
                  <w:pPr>
                    <w:spacing w:line="240" w:lineRule="exact"/>
                    <w:jc w:val="center"/>
                    <w:rPr>
                      <w:szCs w:val="21"/>
                    </w:rPr>
                  </w:pPr>
                  <w:r>
                    <w:rPr>
                      <w:szCs w:val="21"/>
                    </w:rPr>
                    <w:t>委托市政环卫部门统一处置</w:t>
                  </w:r>
                </w:p>
              </w:tc>
            </w:tr>
            <w:tr w14:paraId="2D48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19" w:type="dxa"/>
                  <w:vMerge w:val="restart"/>
                  <w:vAlign w:val="center"/>
                </w:tcPr>
                <w:p w14:paraId="7F2A0C52">
                  <w:pPr>
                    <w:spacing w:line="240" w:lineRule="exact"/>
                    <w:jc w:val="center"/>
                    <w:rPr>
                      <w:szCs w:val="21"/>
                    </w:rPr>
                  </w:pPr>
                  <w:r>
                    <w:rPr>
                      <w:szCs w:val="21"/>
                    </w:rPr>
                    <w:t>2</w:t>
                  </w:r>
                </w:p>
              </w:tc>
              <w:tc>
                <w:tcPr>
                  <w:tcW w:w="1525" w:type="dxa"/>
                  <w:vMerge w:val="restart"/>
                  <w:vAlign w:val="center"/>
                </w:tcPr>
                <w:p w14:paraId="0B27A5C5">
                  <w:pPr>
                    <w:spacing w:line="240" w:lineRule="exact"/>
                    <w:jc w:val="center"/>
                    <w:rPr>
                      <w:szCs w:val="21"/>
                    </w:rPr>
                  </w:pPr>
                  <w:r>
                    <w:rPr>
                      <w:szCs w:val="21"/>
                    </w:rPr>
                    <w:t>碎玻璃、皮革等不可回收拆解物</w:t>
                  </w:r>
                </w:p>
              </w:tc>
              <w:tc>
                <w:tcPr>
                  <w:tcW w:w="1064" w:type="dxa"/>
                  <w:vAlign w:val="center"/>
                </w:tcPr>
                <w:p w14:paraId="0B0F3356">
                  <w:pPr>
                    <w:spacing w:line="240" w:lineRule="exact"/>
                    <w:jc w:val="center"/>
                    <w:rPr>
                      <w:szCs w:val="21"/>
                    </w:rPr>
                  </w:pPr>
                  <w:r>
                    <w:rPr>
                      <w:szCs w:val="21"/>
                    </w:rPr>
                    <w:t>碎皮革</w:t>
                  </w:r>
                </w:p>
              </w:tc>
              <w:tc>
                <w:tcPr>
                  <w:tcW w:w="1913" w:type="dxa"/>
                  <w:vAlign w:val="center"/>
                </w:tcPr>
                <w:p w14:paraId="613129A1">
                  <w:pPr>
                    <w:spacing w:line="240" w:lineRule="exact"/>
                    <w:jc w:val="center"/>
                    <w:rPr>
                      <w:szCs w:val="21"/>
                    </w:rPr>
                  </w:pPr>
                  <w:r>
                    <w:rPr>
                      <w:szCs w:val="21"/>
                    </w:rPr>
                    <w:t>900-099-S14</w:t>
                  </w:r>
                </w:p>
              </w:tc>
              <w:tc>
                <w:tcPr>
                  <w:tcW w:w="1123" w:type="dxa"/>
                  <w:vMerge w:val="restart"/>
                  <w:vAlign w:val="center"/>
                </w:tcPr>
                <w:p w14:paraId="3616F8F4">
                  <w:pPr>
                    <w:spacing w:line="240" w:lineRule="exact"/>
                    <w:jc w:val="center"/>
                    <w:rPr>
                      <w:szCs w:val="21"/>
                    </w:rPr>
                  </w:pPr>
                  <w:r>
                    <w:rPr>
                      <w:szCs w:val="21"/>
                    </w:rPr>
                    <w:t>拆解过程</w:t>
                  </w:r>
                </w:p>
              </w:tc>
              <w:tc>
                <w:tcPr>
                  <w:tcW w:w="952" w:type="dxa"/>
                  <w:vMerge w:val="restart"/>
                  <w:vAlign w:val="center"/>
                </w:tcPr>
                <w:p w14:paraId="2A597EF6">
                  <w:pPr>
                    <w:spacing w:line="240" w:lineRule="exact"/>
                    <w:jc w:val="center"/>
                    <w:rPr>
                      <w:szCs w:val="21"/>
                    </w:rPr>
                  </w:pPr>
                  <w:r>
                    <w:rPr>
                      <w:szCs w:val="21"/>
                    </w:rPr>
                    <w:t>1.5</w:t>
                  </w:r>
                </w:p>
              </w:tc>
              <w:tc>
                <w:tcPr>
                  <w:tcW w:w="1510" w:type="dxa"/>
                  <w:vMerge w:val="continue"/>
                  <w:vAlign w:val="center"/>
                </w:tcPr>
                <w:p w14:paraId="4668606F">
                  <w:pPr>
                    <w:spacing w:line="240" w:lineRule="exact"/>
                    <w:jc w:val="center"/>
                    <w:rPr>
                      <w:szCs w:val="21"/>
                    </w:rPr>
                  </w:pPr>
                </w:p>
              </w:tc>
            </w:tr>
            <w:tr w14:paraId="6C67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19" w:type="dxa"/>
                  <w:vMerge w:val="continue"/>
                  <w:vAlign w:val="center"/>
                </w:tcPr>
                <w:p w14:paraId="4C3B2679">
                  <w:pPr>
                    <w:spacing w:line="240" w:lineRule="exact"/>
                    <w:jc w:val="center"/>
                    <w:rPr>
                      <w:szCs w:val="21"/>
                    </w:rPr>
                  </w:pPr>
                </w:p>
              </w:tc>
              <w:tc>
                <w:tcPr>
                  <w:tcW w:w="1525" w:type="dxa"/>
                  <w:vMerge w:val="continue"/>
                  <w:vAlign w:val="center"/>
                </w:tcPr>
                <w:p w14:paraId="143FC7C7">
                  <w:pPr>
                    <w:spacing w:line="240" w:lineRule="exact"/>
                    <w:jc w:val="center"/>
                    <w:rPr>
                      <w:szCs w:val="21"/>
                    </w:rPr>
                  </w:pPr>
                </w:p>
              </w:tc>
              <w:tc>
                <w:tcPr>
                  <w:tcW w:w="1064" w:type="dxa"/>
                  <w:vAlign w:val="center"/>
                </w:tcPr>
                <w:p w14:paraId="6DDFCC45">
                  <w:pPr>
                    <w:spacing w:line="240" w:lineRule="exact"/>
                    <w:jc w:val="center"/>
                    <w:rPr>
                      <w:szCs w:val="21"/>
                    </w:rPr>
                  </w:pPr>
                  <w:r>
                    <w:rPr>
                      <w:szCs w:val="21"/>
                    </w:rPr>
                    <w:t>碎玻璃</w:t>
                  </w:r>
                </w:p>
              </w:tc>
              <w:tc>
                <w:tcPr>
                  <w:tcW w:w="1913" w:type="dxa"/>
                  <w:vAlign w:val="center"/>
                </w:tcPr>
                <w:p w14:paraId="3DAC6F00">
                  <w:pPr>
                    <w:spacing w:line="240" w:lineRule="exact"/>
                    <w:jc w:val="center"/>
                    <w:rPr>
                      <w:szCs w:val="21"/>
                    </w:rPr>
                  </w:pPr>
                  <w:r>
                    <w:rPr>
                      <w:szCs w:val="21"/>
                    </w:rPr>
                    <w:t>900-004-S62</w:t>
                  </w:r>
                </w:p>
              </w:tc>
              <w:tc>
                <w:tcPr>
                  <w:tcW w:w="1123" w:type="dxa"/>
                  <w:vMerge w:val="continue"/>
                  <w:vAlign w:val="center"/>
                </w:tcPr>
                <w:p w14:paraId="1B2B1743">
                  <w:pPr>
                    <w:spacing w:line="240" w:lineRule="exact"/>
                    <w:jc w:val="center"/>
                    <w:rPr>
                      <w:szCs w:val="21"/>
                    </w:rPr>
                  </w:pPr>
                </w:p>
              </w:tc>
              <w:tc>
                <w:tcPr>
                  <w:tcW w:w="952" w:type="dxa"/>
                  <w:vMerge w:val="continue"/>
                  <w:vAlign w:val="center"/>
                </w:tcPr>
                <w:p w14:paraId="5F282B06">
                  <w:pPr>
                    <w:spacing w:line="240" w:lineRule="exact"/>
                    <w:jc w:val="center"/>
                    <w:rPr>
                      <w:szCs w:val="21"/>
                    </w:rPr>
                  </w:pPr>
                </w:p>
              </w:tc>
              <w:tc>
                <w:tcPr>
                  <w:tcW w:w="1510" w:type="dxa"/>
                  <w:vMerge w:val="continue"/>
                  <w:vAlign w:val="center"/>
                </w:tcPr>
                <w:p w14:paraId="23075C2C">
                  <w:pPr>
                    <w:spacing w:line="240" w:lineRule="exact"/>
                    <w:jc w:val="center"/>
                    <w:rPr>
                      <w:szCs w:val="21"/>
                    </w:rPr>
                  </w:pPr>
                </w:p>
              </w:tc>
            </w:tr>
            <w:tr w14:paraId="478E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19" w:type="dxa"/>
                  <w:vMerge w:val="continue"/>
                  <w:vAlign w:val="center"/>
                </w:tcPr>
                <w:p w14:paraId="670C20F4">
                  <w:pPr>
                    <w:spacing w:line="240" w:lineRule="exact"/>
                    <w:jc w:val="center"/>
                    <w:rPr>
                      <w:szCs w:val="21"/>
                    </w:rPr>
                  </w:pPr>
                </w:p>
              </w:tc>
              <w:tc>
                <w:tcPr>
                  <w:tcW w:w="1525" w:type="dxa"/>
                  <w:vMerge w:val="continue"/>
                  <w:vAlign w:val="center"/>
                </w:tcPr>
                <w:p w14:paraId="57591711">
                  <w:pPr>
                    <w:spacing w:line="240" w:lineRule="exact"/>
                    <w:jc w:val="center"/>
                    <w:rPr>
                      <w:szCs w:val="21"/>
                    </w:rPr>
                  </w:pPr>
                </w:p>
              </w:tc>
              <w:tc>
                <w:tcPr>
                  <w:tcW w:w="1064" w:type="dxa"/>
                  <w:vAlign w:val="center"/>
                </w:tcPr>
                <w:p w14:paraId="0FD6CCA2">
                  <w:pPr>
                    <w:spacing w:line="240" w:lineRule="exact"/>
                    <w:jc w:val="center"/>
                    <w:rPr>
                      <w:szCs w:val="21"/>
                    </w:rPr>
                  </w:pPr>
                  <w:r>
                    <w:rPr>
                      <w:szCs w:val="21"/>
                    </w:rPr>
                    <w:t>碎塑料</w:t>
                  </w:r>
                </w:p>
              </w:tc>
              <w:tc>
                <w:tcPr>
                  <w:tcW w:w="1913" w:type="dxa"/>
                  <w:vAlign w:val="center"/>
                </w:tcPr>
                <w:p w14:paraId="3E751414">
                  <w:pPr>
                    <w:spacing w:line="240" w:lineRule="exact"/>
                    <w:jc w:val="center"/>
                    <w:rPr>
                      <w:szCs w:val="21"/>
                    </w:rPr>
                  </w:pPr>
                  <w:r>
                    <w:rPr>
                      <w:szCs w:val="21"/>
                    </w:rPr>
                    <w:t>900-002-S62</w:t>
                  </w:r>
                </w:p>
              </w:tc>
              <w:tc>
                <w:tcPr>
                  <w:tcW w:w="1123" w:type="dxa"/>
                  <w:vMerge w:val="continue"/>
                  <w:vAlign w:val="center"/>
                </w:tcPr>
                <w:p w14:paraId="2C902A12">
                  <w:pPr>
                    <w:spacing w:line="240" w:lineRule="exact"/>
                    <w:jc w:val="center"/>
                    <w:rPr>
                      <w:szCs w:val="21"/>
                    </w:rPr>
                  </w:pPr>
                </w:p>
              </w:tc>
              <w:tc>
                <w:tcPr>
                  <w:tcW w:w="952" w:type="dxa"/>
                  <w:vMerge w:val="continue"/>
                  <w:vAlign w:val="center"/>
                </w:tcPr>
                <w:p w14:paraId="31AAB01C">
                  <w:pPr>
                    <w:spacing w:line="240" w:lineRule="exact"/>
                    <w:jc w:val="center"/>
                    <w:rPr>
                      <w:szCs w:val="21"/>
                    </w:rPr>
                  </w:pPr>
                </w:p>
              </w:tc>
              <w:tc>
                <w:tcPr>
                  <w:tcW w:w="1510" w:type="dxa"/>
                  <w:vMerge w:val="continue"/>
                  <w:vAlign w:val="center"/>
                </w:tcPr>
                <w:p w14:paraId="7C32E528">
                  <w:pPr>
                    <w:spacing w:line="240" w:lineRule="exact"/>
                    <w:jc w:val="center"/>
                    <w:rPr>
                      <w:szCs w:val="21"/>
                    </w:rPr>
                  </w:pPr>
                </w:p>
              </w:tc>
            </w:tr>
            <w:tr w14:paraId="2C37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19" w:type="dxa"/>
                  <w:vAlign w:val="center"/>
                </w:tcPr>
                <w:p w14:paraId="314379A7">
                  <w:pPr>
                    <w:spacing w:line="240" w:lineRule="exact"/>
                    <w:jc w:val="center"/>
                    <w:rPr>
                      <w:szCs w:val="21"/>
                    </w:rPr>
                  </w:pPr>
                  <w:r>
                    <w:rPr>
                      <w:szCs w:val="21"/>
                    </w:rPr>
                    <w:t>3</w:t>
                  </w:r>
                </w:p>
              </w:tc>
              <w:tc>
                <w:tcPr>
                  <w:tcW w:w="1525" w:type="dxa"/>
                  <w:vAlign w:val="center"/>
                </w:tcPr>
                <w:p w14:paraId="049ED1B1">
                  <w:pPr>
                    <w:spacing w:line="240" w:lineRule="exact"/>
                    <w:jc w:val="center"/>
                    <w:rPr>
                      <w:szCs w:val="21"/>
                    </w:rPr>
                  </w:pPr>
                  <w:r>
                    <w:rPr>
                      <w:szCs w:val="21"/>
                    </w:rPr>
                    <w:t>除尘器收尘</w:t>
                  </w:r>
                </w:p>
              </w:tc>
              <w:tc>
                <w:tcPr>
                  <w:tcW w:w="1064" w:type="dxa"/>
                  <w:vAlign w:val="center"/>
                </w:tcPr>
                <w:p w14:paraId="5BDF147E">
                  <w:pPr>
                    <w:spacing w:line="240" w:lineRule="exact"/>
                    <w:jc w:val="center"/>
                    <w:rPr>
                      <w:szCs w:val="21"/>
                    </w:rPr>
                  </w:pPr>
                  <w:r>
                    <w:rPr>
                      <w:szCs w:val="21"/>
                    </w:rPr>
                    <w:t>一般固废</w:t>
                  </w:r>
                </w:p>
              </w:tc>
              <w:tc>
                <w:tcPr>
                  <w:tcW w:w="1913" w:type="dxa"/>
                  <w:vAlign w:val="center"/>
                </w:tcPr>
                <w:p w14:paraId="18221186">
                  <w:pPr>
                    <w:spacing w:line="240" w:lineRule="exact"/>
                    <w:jc w:val="center"/>
                    <w:rPr>
                      <w:szCs w:val="21"/>
                    </w:rPr>
                  </w:pPr>
                  <w:r>
                    <w:rPr>
                      <w:szCs w:val="21"/>
                    </w:rPr>
                    <w:t>900-099-S59</w:t>
                  </w:r>
                </w:p>
              </w:tc>
              <w:tc>
                <w:tcPr>
                  <w:tcW w:w="1123" w:type="dxa"/>
                  <w:vAlign w:val="center"/>
                </w:tcPr>
                <w:p w14:paraId="6E06FCCC">
                  <w:pPr>
                    <w:spacing w:line="240" w:lineRule="exact"/>
                    <w:jc w:val="center"/>
                    <w:rPr>
                      <w:szCs w:val="21"/>
                    </w:rPr>
                  </w:pPr>
                  <w:r>
                    <w:rPr>
                      <w:szCs w:val="21"/>
                    </w:rPr>
                    <w:t>拆解过程</w:t>
                  </w:r>
                </w:p>
              </w:tc>
              <w:tc>
                <w:tcPr>
                  <w:tcW w:w="952" w:type="dxa"/>
                  <w:vAlign w:val="center"/>
                </w:tcPr>
                <w:p w14:paraId="1D1D0404">
                  <w:pPr>
                    <w:spacing w:line="240" w:lineRule="exact"/>
                    <w:jc w:val="center"/>
                    <w:rPr>
                      <w:szCs w:val="21"/>
                    </w:rPr>
                  </w:pPr>
                  <w:r>
                    <w:rPr>
                      <w:szCs w:val="21"/>
                    </w:rPr>
                    <w:t>0.053</w:t>
                  </w:r>
                </w:p>
              </w:tc>
              <w:tc>
                <w:tcPr>
                  <w:tcW w:w="1510" w:type="dxa"/>
                  <w:vMerge w:val="continue"/>
                  <w:vAlign w:val="center"/>
                </w:tcPr>
                <w:p w14:paraId="7D2FC220">
                  <w:pPr>
                    <w:spacing w:line="240" w:lineRule="exact"/>
                    <w:jc w:val="center"/>
                    <w:rPr>
                      <w:szCs w:val="21"/>
                    </w:rPr>
                  </w:pPr>
                </w:p>
              </w:tc>
            </w:tr>
          </w:tbl>
          <w:p w14:paraId="5DBB5C24">
            <w:pPr>
              <w:jc w:val="center"/>
              <w:rPr>
                <w:b/>
                <w:bCs/>
                <w:sz w:val="24"/>
                <w:szCs w:val="32"/>
              </w:rPr>
            </w:pPr>
          </w:p>
          <w:p w14:paraId="77CAB33B">
            <w:pPr>
              <w:jc w:val="center"/>
              <w:rPr>
                <w:b/>
                <w:bCs/>
                <w:sz w:val="24"/>
                <w:szCs w:val="32"/>
              </w:rPr>
            </w:pPr>
            <w:r>
              <w:rPr>
                <w:b/>
                <w:bCs/>
                <w:sz w:val="24"/>
                <w:szCs w:val="32"/>
              </w:rPr>
              <w:t>表3</w:t>
            </w:r>
            <w:r>
              <w:rPr>
                <w:rFonts w:hint="eastAsia"/>
                <w:b/>
                <w:bCs/>
                <w:sz w:val="24"/>
                <w:szCs w:val="32"/>
              </w:rPr>
              <w:t>1</w:t>
            </w:r>
            <w:r>
              <w:rPr>
                <w:b/>
                <w:bCs/>
                <w:sz w:val="24"/>
                <w:szCs w:val="32"/>
              </w:rPr>
              <w:t xml:space="preserve">   本项目危险废物处置方式汇总表</w:t>
            </w:r>
          </w:p>
          <w:tbl>
            <w:tblPr>
              <w:tblStyle w:val="24"/>
              <w:tblW w:w="8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3"/>
              <w:gridCol w:w="467"/>
              <w:gridCol w:w="469"/>
              <w:gridCol w:w="985"/>
              <w:gridCol w:w="1120"/>
              <w:gridCol w:w="559"/>
              <w:gridCol w:w="918"/>
              <w:gridCol w:w="534"/>
              <w:gridCol w:w="939"/>
              <w:gridCol w:w="534"/>
              <w:gridCol w:w="561"/>
              <w:gridCol w:w="811"/>
            </w:tblGrid>
            <w:tr w14:paraId="3BE1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Align w:val="center"/>
                </w:tcPr>
                <w:p w14:paraId="364ADCB0">
                  <w:pPr>
                    <w:jc w:val="center"/>
                    <w:rPr>
                      <w:b/>
                      <w:bCs/>
                      <w:u w:val="single"/>
                    </w:rPr>
                  </w:pPr>
                  <w:r>
                    <w:rPr>
                      <w:b/>
                      <w:bCs/>
                      <w:u w:val="single"/>
                    </w:rPr>
                    <w:t>序号</w:t>
                  </w:r>
                </w:p>
              </w:tc>
              <w:tc>
                <w:tcPr>
                  <w:tcW w:w="988" w:type="dxa"/>
                  <w:gridSpan w:val="2"/>
                  <w:vAlign w:val="center"/>
                </w:tcPr>
                <w:p w14:paraId="71012852">
                  <w:pPr>
                    <w:jc w:val="center"/>
                    <w:rPr>
                      <w:b/>
                      <w:bCs/>
                      <w:u w:val="single"/>
                    </w:rPr>
                  </w:pPr>
                  <w:r>
                    <w:rPr>
                      <w:b/>
                      <w:bCs/>
                      <w:u w:val="single"/>
                    </w:rPr>
                    <w:t>危险废物名称</w:t>
                  </w:r>
                </w:p>
              </w:tc>
              <w:tc>
                <w:tcPr>
                  <w:tcW w:w="1026" w:type="dxa"/>
                  <w:shd w:val="clear" w:color="auto" w:fill="auto"/>
                  <w:vAlign w:val="center"/>
                </w:tcPr>
                <w:p w14:paraId="5474D091">
                  <w:pPr>
                    <w:jc w:val="center"/>
                    <w:rPr>
                      <w:b/>
                      <w:bCs/>
                      <w:u w:val="single"/>
                    </w:rPr>
                  </w:pPr>
                  <w:r>
                    <w:rPr>
                      <w:b/>
                      <w:bCs/>
                      <w:u w:val="single"/>
                    </w:rPr>
                    <w:t>危险废物类别</w:t>
                  </w:r>
                </w:p>
              </w:tc>
              <w:tc>
                <w:tcPr>
                  <w:tcW w:w="1134" w:type="dxa"/>
                  <w:shd w:val="clear" w:color="auto" w:fill="auto"/>
                  <w:vAlign w:val="center"/>
                </w:tcPr>
                <w:p w14:paraId="20723168">
                  <w:pPr>
                    <w:jc w:val="center"/>
                    <w:rPr>
                      <w:b/>
                      <w:bCs/>
                      <w:u w:val="single"/>
                    </w:rPr>
                  </w:pPr>
                  <w:r>
                    <w:rPr>
                      <w:b/>
                      <w:bCs/>
                      <w:u w:val="single"/>
                    </w:rPr>
                    <w:t>危险废物</w:t>
                  </w:r>
                </w:p>
                <w:p w14:paraId="57DE1761">
                  <w:pPr>
                    <w:jc w:val="center"/>
                    <w:rPr>
                      <w:b/>
                      <w:bCs/>
                      <w:u w:val="single"/>
                    </w:rPr>
                  </w:pPr>
                  <w:r>
                    <w:rPr>
                      <w:b/>
                      <w:bCs/>
                      <w:u w:val="single"/>
                    </w:rPr>
                    <w:t>代码</w:t>
                  </w:r>
                </w:p>
              </w:tc>
              <w:tc>
                <w:tcPr>
                  <w:tcW w:w="567" w:type="dxa"/>
                  <w:shd w:val="clear" w:color="auto" w:fill="auto"/>
                  <w:vAlign w:val="center"/>
                </w:tcPr>
                <w:p w14:paraId="7E33D1B4">
                  <w:pPr>
                    <w:jc w:val="center"/>
                    <w:rPr>
                      <w:b/>
                      <w:bCs/>
                      <w:u w:val="single"/>
                    </w:rPr>
                  </w:pPr>
                  <w:r>
                    <w:rPr>
                      <w:b/>
                      <w:bCs/>
                      <w:u w:val="single"/>
                    </w:rPr>
                    <w:t>产生量t/a</w:t>
                  </w:r>
                </w:p>
              </w:tc>
              <w:tc>
                <w:tcPr>
                  <w:tcW w:w="992" w:type="dxa"/>
                  <w:vAlign w:val="center"/>
                </w:tcPr>
                <w:p w14:paraId="2500F50E">
                  <w:pPr>
                    <w:jc w:val="center"/>
                    <w:rPr>
                      <w:b/>
                      <w:bCs/>
                      <w:u w:val="single"/>
                    </w:rPr>
                  </w:pPr>
                  <w:r>
                    <w:rPr>
                      <w:b/>
                      <w:bCs/>
                      <w:u w:val="single"/>
                    </w:rPr>
                    <w:t>产生工序及设备</w:t>
                  </w:r>
                </w:p>
              </w:tc>
              <w:tc>
                <w:tcPr>
                  <w:tcW w:w="567" w:type="dxa"/>
                  <w:vAlign w:val="center"/>
                </w:tcPr>
                <w:p w14:paraId="30C5EDEF">
                  <w:pPr>
                    <w:jc w:val="center"/>
                    <w:rPr>
                      <w:b/>
                      <w:bCs/>
                      <w:u w:val="single"/>
                    </w:rPr>
                  </w:pPr>
                  <w:r>
                    <w:rPr>
                      <w:b/>
                      <w:bCs/>
                      <w:u w:val="single"/>
                    </w:rPr>
                    <w:t>形态</w:t>
                  </w:r>
                </w:p>
              </w:tc>
              <w:tc>
                <w:tcPr>
                  <w:tcW w:w="993" w:type="dxa"/>
                  <w:vAlign w:val="center"/>
                </w:tcPr>
                <w:p w14:paraId="3445A71E">
                  <w:pPr>
                    <w:jc w:val="center"/>
                    <w:rPr>
                      <w:b/>
                      <w:bCs/>
                      <w:u w:val="single"/>
                    </w:rPr>
                  </w:pPr>
                  <w:r>
                    <w:rPr>
                      <w:b/>
                      <w:bCs/>
                      <w:u w:val="single"/>
                    </w:rPr>
                    <w:t>有害成分</w:t>
                  </w:r>
                </w:p>
              </w:tc>
              <w:tc>
                <w:tcPr>
                  <w:tcW w:w="567" w:type="dxa"/>
                  <w:vAlign w:val="center"/>
                </w:tcPr>
                <w:p w14:paraId="6F28F3B3">
                  <w:pPr>
                    <w:jc w:val="center"/>
                    <w:rPr>
                      <w:b/>
                      <w:bCs/>
                      <w:u w:val="single"/>
                    </w:rPr>
                  </w:pPr>
                  <w:r>
                    <w:rPr>
                      <w:b/>
                      <w:bCs/>
                      <w:u w:val="single"/>
                    </w:rPr>
                    <w:t>产废周期</w:t>
                  </w:r>
                </w:p>
              </w:tc>
              <w:tc>
                <w:tcPr>
                  <w:tcW w:w="567" w:type="dxa"/>
                  <w:vAlign w:val="center"/>
                </w:tcPr>
                <w:p w14:paraId="111A1703">
                  <w:pPr>
                    <w:jc w:val="center"/>
                    <w:rPr>
                      <w:b/>
                      <w:bCs/>
                      <w:u w:val="single"/>
                    </w:rPr>
                  </w:pPr>
                  <w:r>
                    <w:rPr>
                      <w:b/>
                      <w:bCs/>
                      <w:u w:val="single"/>
                    </w:rPr>
                    <w:t>危险特性</w:t>
                  </w:r>
                </w:p>
              </w:tc>
              <w:tc>
                <w:tcPr>
                  <w:tcW w:w="851" w:type="dxa"/>
                  <w:shd w:val="clear" w:color="auto" w:fill="auto"/>
                  <w:vAlign w:val="center"/>
                </w:tcPr>
                <w:p w14:paraId="30F180AB">
                  <w:pPr>
                    <w:jc w:val="center"/>
                    <w:rPr>
                      <w:b/>
                      <w:bCs/>
                      <w:u w:val="single"/>
                    </w:rPr>
                  </w:pPr>
                  <w:r>
                    <w:rPr>
                      <w:b/>
                      <w:bCs/>
                      <w:u w:val="single"/>
                    </w:rPr>
                    <w:t>污染防治措施</w:t>
                  </w:r>
                </w:p>
              </w:tc>
            </w:tr>
            <w:tr w14:paraId="53D1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Align w:val="center"/>
                </w:tcPr>
                <w:p w14:paraId="64FD5E08">
                  <w:pPr>
                    <w:jc w:val="center"/>
                    <w:rPr>
                      <w:b/>
                      <w:bCs/>
                      <w:u w:val="single"/>
                    </w:rPr>
                  </w:pPr>
                  <w:r>
                    <w:rPr>
                      <w:b/>
                      <w:bCs/>
                      <w:u w:val="single"/>
                    </w:rPr>
                    <w:t>1</w:t>
                  </w:r>
                </w:p>
              </w:tc>
              <w:tc>
                <w:tcPr>
                  <w:tcW w:w="988" w:type="dxa"/>
                  <w:gridSpan w:val="2"/>
                  <w:vAlign w:val="center"/>
                </w:tcPr>
                <w:p w14:paraId="670D48FF">
                  <w:pPr>
                    <w:jc w:val="center"/>
                    <w:rPr>
                      <w:b/>
                      <w:bCs/>
                      <w:u w:val="single"/>
                    </w:rPr>
                  </w:pPr>
                  <w:r>
                    <w:rPr>
                      <w:b/>
                      <w:bCs/>
                      <w:u w:val="single"/>
                    </w:rPr>
                    <w:t>废活性炭</w:t>
                  </w:r>
                </w:p>
              </w:tc>
              <w:tc>
                <w:tcPr>
                  <w:tcW w:w="1026" w:type="dxa"/>
                  <w:vAlign w:val="center"/>
                </w:tcPr>
                <w:p w14:paraId="03B654A7">
                  <w:pPr>
                    <w:jc w:val="center"/>
                    <w:rPr>
                      <w:b/>
                      <w:bCs/>
                      <w:u w:val="single"/>
                    </w:rPr>
                  </w:pPr>
                  <w:r>
                    <w:rPr>
                      <w:b/>
                      <w:bCs/>
                      <w:u w:val="single"/>
                    </w:rPr>
                    <w:t>HW49 其他废物</w:t>
                  </w:r>
                </w:p>
              </w:tc>
              <w:tc>
                <w:tcPr>
                  <w:tcW w:w="1134" w:type="dxa"/>
                  <w:vAlign w:val="center"/>
                </w:tcPr>
                <w:p w14:paraId="04DA415F">
                  <w:pPr>
                    <w:jc w:val="center"/>
                    <w:rPr>
                      <w:b/>
                      <w:bCs/>
                      <w:u w:val="single"/>
                    </w:rPr>
                  </w:pPr>
                  <w:r>
                    <w:rPr>
                      <w:b/>
                      <w:bCs/>
                      <w:u w:val="single"/>
                    </w:rPr>
                    <w:t>900-039-49</w:t>
                  </w:r>
                </w:p>
              </w:tc>
              <w:tc>
                <w:tcPr>
                  <w:tcW w:w="567" w:type="dxa"/>
                  <w:vAlign w:val="center"/>
                </w:tcPr>
                <w:p w14:paraId="440A7D8D">
                  <w:pPr>
                    <w:jc w:val="center"/>
                    <w:rPr>
                      <w:b/>
                      <w:bCs/>
                      <w:u w:val="single"/>
                    </w:rPr>
                  </w:pPr>
                  <w:r>
                    <w:rPr>
                      <w:b/>
                      <w:bCs/>
                      <w:u w:val="single"/>
                    </w:rPr>
                    <w:t>0.304</w:t>
                  </w:r>
                </w:p>
              </w:tc>
              <w:tc>
                <w:tcPr>
                  <w:tcW w:w="992" w:type="dxa"/>
                  <w:vAlign w:val="center"/>
                </w:tcPr>
                <w:p w14:paraId="617F7239">
                  <w:pPr>
                    <w:jc w:val="center"/>
                    <w:rPr>
                      <w:b/>
                      <w:bCs/>
                      <w:u w:val="single"/>
                    </w:rPr>
                  </w:pPr>
                  <w:r>
                    <w:rPr>
                      <w:b/>
                      <w:bCs/>
                      <w:u w:val="single"/>
                    </w:rPr>
                    <w:t>废气治理</w:t>
                  </w:r>
                </w:p>
              </w:tc>
              <w:tc>
                <w:tcPr>
                  <w:tcW w:w="567" w:type="dxa"/>
                  <w:vAlign w:val="center"/>
                </w:tcPr>
                <w:p w14:paraId="714DD30A">
                  <w:pPr>
                    <w:jc w:val="center"/>
                    <w:rPr>
                      <w:b/>
                      <w:bCs/>
                      <w:u w:val="single"/>
                    </w:rPr>
                  </w:pPr>
                  <w:r>
                    <w:rPr>
                      <w:b/>
                      <w:bCs/>
                      <w:u w:val="single"/>
                    </w:rPr>
                    <w:t>固态</w:t>
                  </w:r>
                </w:p>
              </w:tc>
              <w:tc>
                <w:tcPr>
                  <w:tcW w:w="993" w:type="dxa"/>
                  <w:vAlign w:val="center"/>
                </w:tcPr>
                <w:p w14:paraId="51A61AC5">
                  <w:pPr>
                    <w:jc w:val="center"/>
                    <w:rPr>
                      <w:b/>
                      <w:bCs/>
                      <w:u w:val="single"/>
                    </w:rPr>
                  </w:pPr>
                  <w:r>
                    <w:rPr>
                      <w:b/>
                      <w:bCs/>
                      <w:u w:val="single"/>
                    </w:rPr>
                    <w:t>非甲烷总烃</w:t>
                  </w:r>
                </w:p>
              </w:tc>
              <w:tc>
                <w:tcPr>
                  <w:tcW w:w="567" w:type="dxa"/>
                  <w:vAlign w:val="center"/>
                </w:tcPr>
                <w:p w14:paraId="6C5DE662">
                  <w:pPr>
                    <w:jc w:val="center"/>
                    <w:rPr>
                      <w:b/>
                      <w:bCs/>
                      <w:u w:val="single"/>
                    </w:rPr>
                  </w:pPr>
                  <w:r>
                    <w:rPr>
                      <w:b/>
                      <w:bCs/>
                      <w:u w:val="single"/>
                    </w:rPr>
                    <w:t>1年</w:t>
                  </w:r>
                </w:p>
              </w:tc>
              <w:tc>
                <w:tcPr>
                  <w:tcW w:w="567" w:type="dxa"/>
                  <w:vAlign w:val="center"/>
                </w:tcPr>
                <w:p w14:paraId="695C303D">
                  <w:pPr>
                    <w:jc w:val="center"/>
                    <w:rPr>
                      <w:b/>
                      <w:bCs/>
                      <w:u w:val="single"/>
                    </w:rPr>
                  </w:pPr>
                  <w:r>
                    <w:rPr>
                      <w:b/>
                      <w:bCs/>
                      <w:u w:val="single"/>
                    </w:rPr>
                    <w:t>T</w:t>
                  </w:r>
                </w:p>
              </w:tc>
              <w:tc>
                <w:tcPr>
                  <w:tcW w:w="851" w:type="dxa"/>
                  <w:vMerge w:val="restart"/>
                  <w:vAlign w:val="center"/>
                </w:tcPr>
                <w:p w14:paraId="10B39112">
                  <w:pPr>
                    <w:jc w:val="center"/>
                    <w:rPr>
                      <w:b/>
                      <w:bCs/>
                      <w:u w:val="single"/>
                    </w:rPr>
                  </w:pPr>
                  <w:r>
                    <w:rPr>
                      <w:b/>
                      <w:bCs/>
                      <w:u w:val="single"/>
                    </w:rPr>
                    <w:t>分区、分类暂存危废间，定期委托资质费单位进行处置</w:t>
                  </w:r>
                </w:p>
              </w:tc>
            </w:tr>
            <w:tr w14:paraId="1F71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Merge w:val="restart"/>
                  <w:vAlign w:val="center"/>
                </w:tcPr>
                <w:p w14:paraId="15A57FB5">
                  <w:pPr>
                    <w:jc w:val="center"/>
                    <w:rPr>
                      <w:b/>
                      <w:bCs/>
                      <w:u w:val="single"/>
                    </w:rPr>
                  </w:pPr>
                  <w:r>
                    <w:rPr>
                      <w:b/>
                      <w:bCs/>
                      <w:u w:val="single"/>
                    </w:rPr>
                    <w:t>2</w:t>
                  </w:r>
                </w:p>
              </w:tc>
              <w:tc>
                <w:tcPr>
                  <w:tcW w:w="493" w:type="dxa"/>
                  <w:vMerge w:val="restart"/>
                  <w:vAlign w:val="center"/>
                </w:tcPr>
                <w:p w14:paraId="09210080">
                  <w:pPr>
                    <w:jc w:val="center"/>
                    <w:rPr>
                      <w:b/>
                      <w:bCs/>
                      <w:u w:val="single"/>
                    </w:rPr>
                  </w:pPr>
                  <w:r>
                    <w:rPr>
                      <w:b/>
                      <w:bCs/>
                      <w:u w:val="single"/>
                    </w:rPr>
                    <w:t>废油液</w:t>
                  </w:r>
                </w:p>
              </w:tc>
              <w:tc>
                <w:tcPr>
                  <w:tcW w:w="495" w:type="dxa"/>
                  <w:vAlign w:val="center"/>
                </w:tcPr>
                <w:p w14:paraId="521CD563">
                  <w:pPr>
                    <w:jc w:val="center"/>
                    <w:rPr>
                      <w:b/>
                      <w:bCs/>
                      <w:u w:val="single"/>
                    </w:rPr>
                  </w:pPr>
                  <w:r>
                    <w:rPr>
                      <w:b/>
                      <w:bCs/>
                      <w:u w:val="single"/>
                    </w:rPr>
                    <w:t>残余燃油及其他矿物油</w:t>
                  </w:r>
                </w:p>
              </w:tc>
              <w:tc>
                <w:tcPr>
                  <w:tcW w:w="1026" w:type="dxa"/>
                  <w:vAlign w:val="center"/>
                </w:tcPr>
                <w:p w14:paraId="37331B38">
                  <w:pPr>
                    <w:jc w:val="center"/>
                    <w:rPr>
                      <w:b/>
                      <w:bCs/>
                      <w:u w:val="single"/>
                    </w:rPr>
                  </w:pPr>
                  <w:r>
                    <w:rPr>
                      <w:b/>
                      <w:bCs/>
                      <w:u w:val="single"/>
                    </w:rPr>
                    <w:t>HW08 废矿物油与含矿物油废物</w:t>
                  </w:r>
                </w:p>
              </w:tc>
              <w:tc>
                <w:tcPr>
                  <w:tcW w:w="1134" w:type="dxa"/>
                  <w:shd w:val="clear" w:color="auto" w:fill="auto"/>
                  <w:vAlign w:val="center"/>
                </w:tcPr>
                <w:p w14:paraId="3EA80E88">
                  <w:pPr>
                    <w:jc w:val="center"/>
                    <w:rPr>
                      <w:b/>
                      <w:bCs/>
                      <w:u w:val="single"/>
                    </w:rPr>
                  </w:pPr>
                  <w:r>
                    <w:rPr>
                      <w:b/>
                      <w:bCs/>
                      <w:szCs w:val="21"/>
                      <w:u w:val="single"/>
                    </w:rPr>
                    <w:t>900-199-08</w:t>
                  </w:r>
                </w:p>
              </w:tc>
              <w:tc>
                <w:tcPr>
                  <w:tcW w:w="567" w:type="dxa"/>
                  <w:vAlign w:val="center"/>
                </w:tcPr>
                <w:p w14:paraId="5042536B">
                  <w:pPr>
                    <w:jc w:val="center"/>
                    <w:rPr>
                      <w:b/>
                      <w:bCs/>
                      <w:u w:val="single"/>
                    </w:rPr>
                  </w:pPr>
                  <w:r>
                    <w:rPr>
                      <w:b/>
                      <w:bCs/>
                      <w:u w:val="single"/>
                    </w:rPr>
                    <w:t>0.25</w:t>
                  </w:r>
                </w:p>
              </w:tc>
              <w:tc>
                <w:tcPr>
                  <w:tcW w:w="992" w:type="dxa"/>
                  <w:vMerge w:val="restart"/>
                  <w:vAlign w:val="center"/>
                </w:tcPr>
                <w:p w14:paraId="1B870BD0">
                  <w:pPr>
                    <w:jc w:val="center"/>
                    <w:rPr>
                      <w:b/>
                      <w:bCs/>
                      <w:u w:val="single"/>
                    </w:rPr>
                  </w:pPr>
                  <w:r>
                    <w:rPr>
                      <w:b/>
                      <w:bCs/>
                      <w:u w:val="single"/>
                    </w:rPr>
                    <w:t>拆解过程</w:t>
                  </w:r>
                </w:p>
              </w:tc>
              <w:tc>
                <w:tcPr>
                  <w:tcW w:w="567" w:type="dxa"/>
                  <w:vAlign w:val="center"/>
                </w:tcPr>
                <w:p w14:paraId="26DCD92B">
                  <w:pPr>
                    <w:jc w:val="center"/>
                    <w:rPr>
                      <w:b/>
                      <w:bCs/>
                      <w:u w:val="single"/>
                    </w:rPr>
                  </w:pPr>
                  <w:r>
                    <w:rPr>
                      <w:b/>
                      <w:bCs/>
                      <w:u w:val="single"/>
                    </w:rPr>
                    <w:t>液态</w:t>
                  </w:r>
                </w:p>
              </w:tc>
              <w:tc>
                <w:tcPr>
                  <w:tcW w:w="993" w:type="dxa"/>
                  <w:vAlign w:val="center"/>
                </w:tcPr>
                <w:p w14:paraId="01841FB7">
                  <w:pPr>
                    <w:jc w:val="center"/>
                    <w:rPr>
                      <w:b/>
                      <w:bCs/>
                      <w:u w:val="single"/>
                    </w:rPr>
                  </w:pPr>
                  <w:r>
                    <w:rPr>
                      <w:b/>
                      <w:bCs/>
                      <w:u w:val="single"/>
                    </w:rPr>
                    <w:t>矿物油、石油烃等</w:t>
                  </w:r>
                </w:p>
              </w:tc>
              <w:tc>
                <w:tcPr>
                  <w:tcW w:w="567" w:type="dxa"/>
                  <w:vAlign w:val="center"/>
                </w:tcPr>
                <w:p w14:paraId="44C161D5">
                  <w:pPr>
                    <w:jc w:val="center"/>
                    <w:rPr>
                      <w:b/>
                      <w:bCs/>
                      <w:u w:val="single"/>
                    </w:rPr>
                  </w:pPr>
                  <w:r>
                    <w:rPr>
                      <w:b/>
                      <w:bCs/>
                      <w:u w:val="single"/>
                    </w:rPr>
                    <w:t>1天</w:t>
                  </w:r>
                </w:p>
              </w:tc>
              <w:tc>
                <w:tcPr>
                  <w:tcW w:w="567" w:type="dxa"/>
                  <w:vAlign w:val="center"/>
                </w:tcPr>
                <w:p w14:paraId="49D3049E">
                  <w:pPr>
                    <w:jc w:val="center"/>
                    <w:rPr>
                      <w:b/>
                      <w:bCs/>
                      <w:u w:val="single"/>
                    </w:rPr>
                  </w:pPr>
                  <w:r>
                    <w:rPr>
                      <w:b/>
                      <w:bCs/>
                      <w:u w:val="single"/>
                    </w:rPr>
                    <w:t>T/I</w:t>
                  </w:r>
                </w:p>
              </w:tc>
              <w:tc>
                <w:tcPr>
                  <w:tcW w:w="851" w:type="dxa"/>
                  <w:vMerge w:val="continue"/>
                  <w:vAlign w:val="center"/>
                </w:tcPr>
                <w:p w14:paraId="3F64F757">
                  <w:pPr>
                    <w:jc w:val="center"/>
                    <w:rPr>
                      <w:b/>
                      <w:bCs/>
                      <w:u w:val="single"/>
                    </w:rPr>
                  </w:pPr>
                </w:p>
              </w:tc>
            </w:tr>
            <w:tr w14:paraId="2DFB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Merge w:val="continue"/>
                  <w:vAlign w:val="center"/>
                </w:tcPr>
                <w:p w14:paraId="66CF5674">
                  <w:pPr>
                    <w:jc w:val="center"/>
                    <w:rPr>
                      <w:b/>
                      <w:bCs/>
                      <w:u w:val="single"/>
                    </w:rPr>
                  </w:pPr>
                </w:p>
              </w:tc>
              <w:tc>
                <w:tcPr>
                  <w:tcW w:w="493" w:type="dxa"/>
                  <w:vMerge w:val="continue"/>
                  <w:vAlign w:val="center"/>
                </w:tcPr>
                <w:p w14:paraId="3B348140">
                  <w:pPr>
                    <w:jc w:val="center"/>
                    <w:rPr>
                      <w:b/>
                      <w:bCs/>
                      <w:u w:val="single"/>
                    </w:rPr>
                  </w:pPr>
                </w:p>
              </w:tc>
              <w:tc>
                <w:tcPr>
                  <w:tcW w:w="495" w:type="dxa"/>
                  <w:vAlign w:val="center"/>
                </w:tcPr>
                <w:p w14:paraId="684F374F">
                  <w:pPr>
                    <w:jc w:val="center"/>
                    <w:rPr>
                      <w:b/>
                      <w:bCs/>
                      <w:u w:val="single"/>
                    </w:rPr>
                  </w:pPr>
                  <w:r>
                    <w:rPr>
                      <w:b/>
                      <w:bCs/>
                      <w:u w:val="single"/>
                    </w:rPr>
                    <w:t>废防冻液</w:t>
                  </w:r>
                </w:p>
              </w:tc>
              <w:tc>
                <w:tcPr>
                  <w:tcW w:w="1026" w:type="dxa"/>
                  <w:vAlign w:val="center"/>
                </w:tcPr>
                <w:p w14:paraId="4209C158">
                  <w:pPr>
                    <w:jc w:val="center"/>
                    <w:rPr>
                      <w:b/>
                      <w:bCs/>
                      <w:u w:val="single"/>
                    </w:rPr>
                  </w:pPr>
                  <w:r>
                    <w:rPr>
                      <w:b/>
                      <w:bCs/>
                      <w:u w:val="single"/>
                    </w:rPr>
                    <w:t>HW06 废有机溶剂与含有机溶剂废物</w:t>
                  </w:r>
                </w:p>
              </w:tc>
              <w:tc>
                <w:tcPr>
                  <w:tcW w:w="1134" w:type="dxa"/>
                  <w:shd w:val="clear" w:color="auto" w:fill="auto"/>
                  <w:vAlign w:val="center"/>
                </w:tcPr>
                <w:p w14:paraId="0B4B192D">
                  <w:pPr>
                    <w:jc w:val="center"/>
                    <w:rPr>
                      <w:b/>
                      <w:bCs/>
                      <w:u w:val="single"/>
                    </w:rPr>
                  </w:pPr>
                  <w:r>
                    <w:rPr>
                      <w:b/>
                      <w:bCs/>
                      <w:szCs w:val="21"/>
                      <w:u w:val="single"/>
                    </w:rPr>
                    <w:t>900-402-06</w:t>
                  </w:r>
                </w:p>
              </w:tc>
              <w:tc>
                <w:tcPr>
                  <w:tcW w:w="567" w:type="dxa"/>
                  <w:vAlign w:val="center"/>
                </w:tcPr>
                <w:p w14:paraId="5B117C68">
                  <w:pPr>
                    <w:jc w:val="center"/>
                    <w:rPr>
                      <w:b/>
                      <w:bCs/>
                      <w:u w:val="single"/>
                    </w:rPr>
                  </w:pPr>
                  <w:r>
                    <w:rPr>
                      <w:b/>
                      <w:bCs/>
                      <w:u w:val="single"/>
                    </w:rPr>
                    <w:t>0.5</w:t>
                  </w:r>
                </w:p>
              </w:tc>
              <w:tc>
                <w:tcPr>
                  <w:tcW w:w="992" w:type="dxa"/>
                  <w:vMerge w:val="continue"/>
                  <w:vAlign w:val="center"/>
                </w:tcPr>
                <w:p w14:paraId="48DE904D">
                  <w:pPr>
                    <w:jc w:val="center"/>
                    <w:rPr>
                      <w:b/>
                      <w:bCs/>
                      <w:u w:val="single"/>
                    </w:rPr>
                  </w:pPr>
                </w:p>
              </w:tc>
              <w:tc>
                <w:tcPr>
                  <w:tcW w:w="567" w:type="dxa"/>
                  <w:vAlign w:val="center"/>
                </w:tcPr>
                <w:p w14:paraId="1D52B0BE">
                  <w:pPr>
                    <w:jc w:val="center"/>
                    <w:rPr>
                      <w:b/>
                      <w:bCs/>
                      <w:u w:val="single"/>
                    </w:rPr>
                  </w:pPr>
                  <w:r>
                    <w:rPr>
                      <w:b/>
                      <w:bCs/>
                      <w:u w:val="single"/>
                    </w:rPr>
                    <w:t>液态</w:t>
                  </w:r>
                </w:p>
              </w:tc>
              <w:tc>
                <w:tcPr>
                  <w:tcW w:w="993" w:type="dxa"/>
                  <w:vAlign w:val="center"/>
                </w:tcPr>
                <w:p w14:paraId="0853298A">
                  <w:pPr>
                    <w:jc w:val="center"/>
                    <w:rPr>
                      <w:b/>
                      <w:bCs/>
                      <w:u w:val="single"/>
                    </w:rPr>
                  </w:pPr>
                  <w:r>
                    <w:rPr>
                      <w:b/>
                      <w:bCs/>
                      <w:u w:val="single"/>
                    </w:rPr>
                    <w:t>乙二醇等</w:t>
                  </w:r>
                </w:p>
              </w:tc>
              <w:tc>
                <w:tcPr>
                  <w:tcW w:w="567" w:type="dxa"/>
                  <w:vAlign w:val="center"/>
                </w:tcPr>
                <w:p w14:paraId="796D55AA">
                  <w:pPr>
                    <w:jc w:val="center"/>
                    <w:rPr>
                      <w:b/>
                      <w:bCs/>
                      <w:u w:val="single"/>
                    </w:rPr>
                  </w:pPr>
                  <w:r>
                    <w:rPr>
                      <w:b/>
                      <w:bCs/>
                      <w:u w:val="single"/>
                    </w:rPr>
                    <w:t>1天</w:t>
                  </w:r>
                </w:p>
              </w:tc>
              <w:tc>
                <w:tcPr>
                  <w:tcW w:w="567" w:type="dxa"/>
                  <w:vAlign w:val="center"/>
                </w:tcPr>
                <w:p w14:paraId="727C6659">
                  <w:pPr>
                    <w:jc w:val="center"/>
                    <w:rPr>
                      <w:b/>
                      <w:bCs/>
                      <w:u w:val="single"/>
                    </w:rPr>
                  </w:pPr>
                  <w:r>
                    <w:rPr>
                      <w:b/>
                      <w:bCs/>
                      <w:u w:val="single"/>
                    </w:rPr>
                    <w:t>T/I/R</w:t>
                  </w:r>
                </w:p>
              </w:tc>
              <w:tc>
                <w:tcPr>
                  <w:tcW w:w="851" w:type="dxa"/>
                  <w:vMerge w:val="continue"/>
                  <w:vAlign w:val="center"/>
                </w:tcPr>
                <w:p w14:paraId="296F4D75">
                  <w:pPr>
                    <w:jc w:val="center"/>
                    <w:rPr>
                      <w:b/>
                      <w:bCs/>
                      <w:u w:val="single"/>
                    </w:rPr>
                  </w:pPr>
                </w:p>
              </w:tc>
            </w:tr>
            <w:tr w14:paraId="236A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Merge w:val="continue"/>
                  <w:vAlign w:val="center"/>
                </w:tcPr>
                <w:p w14:paraId="1E061AFD">
                  <w:pPr>
                    <w:jc w:val="center"/>
                    <w:rPr>
                      <w:b/>
                      <w:bCs/>
                      <w:u w:val="single"/>
                    </w:rPr>
                  </w:pPr>
                </w:p>
              </w:tc>
              <w:tc>
                <w:tcPr>
                  <w:tcW w:w="493" w:type="dxa"/>
                  <w:vMerge w:val="continue"/>
                  <w:vAlign w:val="center"/>
                </w:tcPr>
                <w:p w14:paraId="6B4625B6">
                  <w:pPr>
                    <w:jc w:val="center"/>
                    <w:rPr>
                      <w:b/>
                      <w:bCs/>
                      <w:u w:val="single"/>
                    </w:rPr>
                  </w:pPr>
                </w:p>
              </w:tc>
              <w:tc>
                <w:tcPr>
                  <w:tcW w:w="495" w:type="dxa"/>
                  <w:vAlign w:val="center"/>
                </w:tcPr>
                <w:p w14:paraId="7D21B418">
                  <w:pPr>
                    <w:jc w:val="center"/>
                    <w:rPr>
                      <w:b/>
                      <w:bCs/>
                      <w:u w:val="single"/>
                    </w:rPr>
                  </w:pPr>
                  <w:r>
                    <w:rPr>
                      <w:b/>
                      <w:bCs/>
                      <w:u w:val="single"/>
                    </w:rPr>
                    <w:t>废液压油</w:t>
                  </w:r>
                </w:p>
              </w:tc>
              <w:tc>
                <w:tcPr>
                  <w:tcW w:w="1026" w:type="dxa"/>
                  <w:vAlign w:val="center"/>
                </w:tcPr>
                <w:p w14:paraId="1106FC06">
                  <w:pPr>
                    <w:jc w:val="center"/>
                    <w:rPr>
                      <w:b/>
                      <w:bCs/>
                      <w:u w:val="single"/>
                    </w:rPr>
                  </w:pPr>
                  <w:r>
                    <w:rPr>
                      <w:b/>
                      <w:bCs/>
                      <w:u w:val="single"/>
                    </w:rPr>
                    <w:t>HW08 废矿物油与含矿物油废物</w:t>
                  </w:r>
                </w:p>
              </w:tc>
              <w:tc>
                <w:tcPr>
                  <w:tcW w:w="1134" w:type="dxa"/>
                  <w:shd w:val="clear" w:color="auto" w:fill="auto"/>
                  <w:vAlign w:val="center"/>
                </w:tcPr>
                <w:p w14:paraId="53FF3D08">
                  <w:pPr>
                    <w:jc w:val="center"/>
                    <w:rPr>
                      <w:b/>
                      <w:bCs/>
                      <w:u w:val="single"/>
                    </w:rPr>
                  </w:pPr>
                  <w:r>
                    <w:rPr>
                      <w:b/>
                      <w:bCs/>
                      <w:szCs w:val="21"/>
                      <w:u w:val="single"/>
                    </w:rPr>
                    <w:t>900-218-08</w:t>
                  </w:r>
                </w:p>
              </w:tc>
              <w:tc>
                <w:tcPr>
                  <w:tcW w:w="567" w:type="dxa"/>
                  <w:vAlign w:val="center"/>
                </w:tcPr>
                <w:p w14:paraId="01D5475C">
                  <w:pPr>
                    <w:jc w:val="center"/>
                    <w:rPr>
                      <w:b/>
                      <w:bCs/>
                      <w:u w:val="single"/>
                    </w:rPr>
                  </w:pPr>
                  <w:r>
                    <w:rPr>
                      <w:b/>
                      <w:bCs/>
                      <w:u w:val="single"/>
                    </w:rPr>
                    <w:t>0.5</w:t>
                  </w:r>
                </w:p>
              </w:tc>
              <w:tc>
                <w:tcPr>
                  <w:tcW w:w="992" w:type="dxa"/>
                  <w:vMerge w:val="continue"/>
                  <w:vAlign w:val="center"/>
                </w:tcPr>
                <w:p w14:paraId="6E1F33AA">
                  <w:pPr>
                    <w:jc w:val="center"/>
                    <w:rPr>
                      <w:b/>
                      <w:bCs/>
                      <w:u w:val="single"/>
                    </w:rPr>
                  </w:pPr>
                </w:p>
              </w:tc>
              <w:tc>
                <w:tcPr>
                  <w:tcW w:w="567" w:type="dxa"/>
                  <w:vAlign w:val="center"/>
                </w:tcPr>
                <w:p w14:paraId="3E0DF726">
                  <w:pPr>
                    <w:jc w:val="center"/>
                    <w:rPr>
                      <w:b/>
                      <w:bCs/>
                      <w:u w:val="single"/>
                    </w:rPr>
                  </w:pPr>
                  <w:r>
                    <w:rPr>
                      <w:b/>
                      <w:bCs/>
                      <w:u w:val="single"/>
                    </w:rPr>
                    <w:t>液态</w:t>
                  </w:r>
                </w:p>
              </w:tc>
              <w:tc>
                <w:tcPr>
                  <w:tcW w:w="993" w:type="dxa"/>
                  <w:vAlign w:val="center"/>
                </w:tcPr>
                <w:p w14:paraId="38CF370F">
                  <w:pPr>
                    <w:jc w:val="center"/>
                    <w:rPr>
                      <w:b/>
                      <w:bCs/>
                      <w:u w:val="single"/>
                    </w:rPr>
                  </w:pPr>
                  <w:r>
                    <w:rPr>
                      <w:rFonts w:hint="eastAsia"/>
                      <w:b/>
                      <w:bCs/>
                      <w:u w:val="single"/>
                    </w:rPr>
                    <w:t>矿物油</w:t>
                  </w:r>
                  <w:r>
                    <w:rPr>
                      <w:b/>
                      <w:bCs/>
                      <w:u w:val="single"/>
                    </w:rPr>
                    <w:t>等</w:t>
                  </w:r>
                </w:p>
              </w:tc>
              <w:tc>
                <w:tcPr>
                  <w:tcW w:w="567" w:type="dxa"/>
                  <w:vAlign w:val="center"/>
                </w:tcPr>
                <w:p w14:paraId="00801484">
                  <w:pPr>
                    <w:jc w:val="center"/>
                    <w:rPr>
                      <w:b/>
                      <w:bCs/>
                      <w:u w:val="single"/>
                    </w:rPr>
                  </w:pPr>
                  <w:r>
                    <w:rPr>
                      <w:b/>
                      <w:bCs/>
                      <w:u w:val="single"/>
                    </w:rPr>
                    <w:t>1天</w:t>
                  </w:r>
                </w:p>
              </w:tc>
              <w:tc>
                <w:tcPr>
                  <w:tcW w:w="567" w:type="dxa"/>
                  <w:vAlign w:val="center"/>
                </w:tcPr>
                <w:p w14:paraId="4C9FCC2B">
                  <w:pPr>
                    <w:jc w:val="center"/>
                    <w:rPr>
                      <w:b/>
                      <w:bCs/>
                      <w:u w:val="single"/>
                    </w:rPr>
                  </w:pPr>
                  <w:r>
                    <w:rPr>
                      <w:b/>
                      <w:bCs/>
                      <w:u w:val="single"/>
                    </w:rPr>
                    <w:t>T/I</w:t>
                  </w:r>
                </w:p>
              </w:tc>
              <w:tc>
                <w:tcPr>
                  <w:tcW w:w="851" w:type="dxa"/>
                  <w:vMerge w:val="continue"/>
                  <w:vAlign w:val="center"/>
                </w:tcPr>
                <w:p w14:paraId="29685AA6">
                  <w:pPr>
                    <w:jc w:val="center"/>
                    <w:rPr>
                      <w:b/>
                      <w:bCs/>
                      <w:u w:val="single"/>
                    </w:rPr>
                  </w:pPr>
                </w:p>
              </w:tc>
            </w:tr>
            <w:tr w14:paraId="2531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Align w:val="center"/>
                </w:tcPr>
                <w:p w14:paraId="44E8F76F">
                  <w:pPr>
                    <w:jc w:val="center"/>
                    <w:rPr>
                      <w:b/>
                      <w:bCs/>
                      <w:u w:val="single"/>
                    </w:rPr>
                  </w:pPr>
                  <w:r>
                    <w:rPr>
                      <w:b/>
                      <w:bCs/>
                      <w:u w:val="single"/>
                    </w:rPr>
                    <w:t>3</w:t>
                  </w:r>
                </w:p>
              </w:tc>
              <w:tc>
                <w:tcPr>
                  <w:tcW w:w="988" w:type="dxa"/>
                  <w:gridSpan w:val="2"/>
                  <w:vAlign w:val="center"/>
                </w:tcPr>
                <w:p w14:paraId="38692781">
                  <w:pPr>
                    <w:jc w:val="center"/>
                    <w:rPr>
                      <w:b/>
                      <w:bCs/>
                      <w:u w:val="single"/>
                    </w:rPr>
                  </w:pPr>
                  <w:r>
                    <w:rPr>
                      <w:b/>
                      <w:bCs/>
                      <w:u w:val="single"/>
                    </w:rPr>
                    <w:t>废油箱</w:t>
                  </w:r>
                </w:p>
              </w:tc>
              <w:tc>
                <w:tcPr>
                  <w:tcW w:w="1026" w:type="dxa"/>
                  <w:vAlign w:val="center"/>
                </w:tcPr>
                <w:p w14:paraId="351D52F6">
                  <w:pPr>
                    <w:jc w:val="center"/>
                    <w:rPr>
                      <w:b/>
                      <w:bCs/>
                      <w:u w:val="single"/>
                    </w:rPr>
                  </w:pPr>
                  <w:r>
                    <w:rPr>
                      <w:b/>
                      <w:bCs/>
                      <w:szCs w:val="21"/>
                      <w:u w:val="single"/>
                    </w:rPr>
                    <w:t>HW08 废矿物油与含矿物油废物</w:t>
                  </w:r>
                </w:p>
              </w:tc>
              <w:tc>
                <w:tcPr>
                  <w:tcW w:w="1134" w:type="dxa"/>
                  <w:vAlign w:val="center"/>
                </w:tcPr>
                <w:p w14:paraId="41046BB4">
                  <w:pPr>
                    <w:jc w:val="center"/>
                    <w:rPr>
                      <w:b/>
                      <w:bCs/>
                      <w:u w:val="single"/>
                    </w:rPr>
                  </w:pPr>
                  <w:r>
                    <w:rPr>
                      <w:b/>
                      <w:bCs/>
                      <w:u w:val="single"/>
                    </w:rPr>
                    <w:t>900-249-08</w:t>
                  </w:r>
                </w:p>
              </w:tc>
              <w:tc>
                <w:tcPr>
                  <w:tcW w:w="567" w:type="dxa"/>
                  <w:vAlign w:val="center"/>
                </w:tcPr>
                <w:p w14:paraId="61A4A50A">
                  <w:pPr>
                    <w:jc w:val="center"/>
                    <w:rPr>
                      <w:b/>
                      <w:bCs/>
                      <w:u w:val="single"/>
                    </w:rPr>
                  </w:pPr>
                  <w:r>
                    <w:rPr>
                      <w:b/>
                      <w:bCs/>
                      <w:u w:val="single"/>
                    </w:rPr>
                    <w:t>2.4</w:t>
                  </w:r>
                </w:p>
              </w:tc>
              <w:tc>
                <w:tcPr>
                  <w:tcW w:w="992" w:type="dxa"/>
                  <w:vMerge w:val="continue"/>
                  <w:vAlign w:val="center"/>
                </w:tcPr>
                <w:p w14:paraId="045C69DF">
                  <w:pPr>
                    <w:jc w:val="center"/>
                    <w:rPr>
                      <w:b/>
                      <w:bCs/>
                      <w:u w:val="single"/>
                    </w:rPr>
                  </w:pPr>
                </w:p>
              </w:tc>
              <w:tc>
                <w:tcPr>
                  <w:tcW w:w="567" w:type="dxa"/>
                  <w:shd w:val="clear" w:color="auto" w:fill="auto"/>
                  <w:vAlign w:val="center"/>
                </w:tcPr>
                <w:p w14:paraId="68563F70">
                  <w:pPr>
                    <w:jc w:val="center"/>
                    <w:rPr>
                      <w:b/>
                      <w:bCs/>
                      <w:u w:val="single"/>
                    </w:rPr>
                  </w:pPr>
                  <w:r>
                    <w:rPr>
                      <w:b/>
                      <w:bCs/>
                      <w:u w:val="single"/>
                    </w:rPr>
                    <w:t>固态</w:t>
                  </w:r>
                </w:p>
              </w:tc>
              <w:tc>
                <w:tcPr>
                  <w:tcW w:w="993" w:type="dxa"/>
                  <w:vAlign w:val="center"/>
                </w:tcPr>
                <w:p w14:paraId="4FCCAB11">
                  <w:pPr>
                    <w:jc w:val="center"/>
                    <w:rPr>
                      <w:b/>
                      <w:bCs/>
                      <w:u w:val="single"/>
                    </w:rPr>
                  </w:pPr>
                  <w:r>
                    <w:rPr>
                      <w:b/>
                      <w:bCs/>
                      <w:u w:val="single"/>
                    </w:rPr>
                    <w:t>矿物油</w:t>
                  </w:r>
                </w:p>
              </w:tc>
              <w:tc>
                <w:tcPr>
                  <w:tcW w:w="567" w:type="dxa"/>
                  <w:shd w:val="clear" w:color="auto" w:fill="auto"/>
                  <w:vAlign w:val="center"/>
                </w:tcPr>
                <w:p w14:paraId="79CB7CEB">
                  <w:pPr>
                    <w:jc w:val="center"/>
                    <w:rPr>
                      <w:b/>
                      <w:bCs/>
                      <w:u w:val="single"/>
                    </w:rPr>
                  </w:pPr>
                  <w:r>
                    <w:rPr>
                      <w:b/>
                      <w:bCs/>
                      <w:u w:val="single"/>
                    </w:rPr>
                    <w:t>1天</w:t>
                  </w:r>
                </w:p>
              </w:tc>
              <w:tc>
                <w:tcPr>
                  <w:tcW w:w="567" w:type="dxa"/>
                  <w:vAlign w:val="center"/>
                </w:tcPr>
                <w:p w14:paraId="0E844A18">
                  <w:pPr>
                    <w:jc w:val="center"/>
                    <w:rPr>
                      <w:b/>
                      <w:bCs/>
                      <w:u w:val="single"/>
                    </w:rPr>
                  </w:pPr>
                  <w:r>
                    <w:rPr>
                      <w:b/>
                      <w:bCs/>
                      <w:u w:val="single"/>
                    </w:rPr>
                    <w:t>T/I</w:t>
                  </w:r>
                </w:p>
              </w:tc>
              <w:tc>
                <w:tcPr>
                  <w:tcW w:w="851" w:type="dxa"/>
                  <w:vMerge w:val="continue"/>
                  <w:vAlign w:val="center"/>
                </w:tcPr>
                <w:p w14:paraId="041B44FA">
                  <w:pPr>
                    <w:jc w:val="center"/>
                    <w:rPr>
                      <w:b/>
                      <w:bCs/>
                      <w:u w:val="single"/>
                    </w:rPr>
                  </w:pPr>
                </w:p>
              </w:tc>
            </w:tr>
            <w:tr w14:paraId="4536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Align w:val="center"/>
                </w:tcPr>
                <w:p w14:paraId="05327AE6">
                  <w:pPr>
                    <w:jc w:val="center"/>
                    <w:rPr>
                      <w:b/>
                      <w:bCs/>
                      <w:u w:val="single"/>
                    </w:rPr>
                  </w:pPr>
                  <w:r>
                    <w:rPr>
                      <w:b/>
                      <w:bCs/>
                      <w:u w:val="single"/>
                    </w:rPr>
                    <w:t>4</w:t>
                  </w:r>
                </w:p>
              </w:tc>
              <w:tc>
                <w:tcPr>
                  <w:tcW w:w="988" w:type="dxa"/>
                  <w:gridSpan w:val="2"/>
                  <w:vAlign w:val="center"/>
                </w:tcPr>
                <w:p w14:paraId="7CA17037">
                  <w:pPr>
                    <w:jc w:val="center"/>
                    <w:rPr>
                      <w:b/>
                      <w:bCs/>
                      <w:u w:val="single"/>
                    </w:rPr>
                  </w:pPr>
                  <w:r>
                    <w:rPr>
                      <w:b/>
                      <w:bCs/>
                      <w:u w:val="single"/>
                    </w:rPr>
                    <w:t>废尾气净化装置</w:t>
                  </w:r>
                </w:p>
              </w:tc>
              <w:tc>
                <w:tcPr>
                  <w:tcW w:w="1026" w:type="dxa"/>
                  <w:vAlign w:val="center"/>
                </w:tcPr>
                <w:p w14:paraId="585AE3B1">
                  <w:pPr>
                    <w:jc w:val="center"/>
                    <w:rPr>
                      <w:b/>
                      <w:bCs/>
                      <w:szCs w:val="21"/>
                      <w:u w:val="single"/>
                    </w:rPr>
                  </w:pPr>
                  <w:r>
                    <w:rPr>
                      <w:b/>
                      <w:bCs/>
                      <w:szCs w:val="21"/>
                      <w:u w:val="single"/>
                    </w:rPr>
                    <w:t>HW50废催化剂</w:t>
                  </w:r>
                </w:p>
              </w:tc>
              <w:tc>
                <w:tcPr>
                  <w:tcW w:w="1134" w:type="dxa"/>
                  <w:vAlign w:val="center"/>
                </w:tcPr>
                <w:p w14:paraId="31DDE4EE">
                  <w:pPr>
                    <w:jc w:val="center"/>
                    <w:rPr>
                      <w:b/>
                      <w:bCs/>
                      <w:szCs w:val="21"/>
                      <w:u w:val="single"/>
                    </w:rPr>
                  </w:pPr>
                  <w:r>
                    <w:rPr>
                      <w:b/>
                      <w:bCs/>
                      <w:szCs w:val="21"/>
                      <w:u w:val="single"/>
                    </w:rPr>
                    <w:t>900-049-50</w:t>
                  </w:r>
                </w:p>
              </w:tc>
              <w:tc>
                <w:tcPr>
                  <w:tcW w:w="567" w:type="dxa"/>
                  <w:vAlign w:val="center"/>
                </w:tcPr>
                <w:p w14:paraId="28A439F5">
                  <w:pPr>
                    <w:jc w:val="center"/>
                    <w:rPr>
                      <w:b/>
                      <w:bCs/>
                      <w:u w:val="single"/>
                    </w:rPr>
                  </w:pPr>
                  <w:r>
                    <w:rPr>
                      <w:b/>
                      <w:bCs/>
                      <w:u w:val="single"/>
                    </w:rPr>
                    <w:t>0.35</w:t>
                  </w:r>
                </w:p>
              </w:tc>
              <w:tc>
                <w:tcPr>
                  <w:tcW w:w="992" w:type="dxa"/>
                  <w:vMerge w:val="continue"/>
                  <w:vAlign w:val="center"/>
                </w:tcPr>
                <w:p w14:paraId="3F502806">
                  <w:pPr>
                    <w:jc w:val="center"/>
                    <w:rPr>
                      <w:b/>
                      <w:bCs/>
                      <w:u w:val="single"/>
                    </w:rPr>
                  </w:pPr>
                </w:p>
              </w:tc>
              <w:tc>
                <w:tcPr>
                  <w:tcW w:w="567" w:type="dxa"/>
                  <w:shd w:val="clear" w:color="auto" w:fill="auto"/>
                  <w:vAlign w:val="center"/>
                </w:tcPr>
                <w:p w14:paraId="011C349E">
                  <w:pPr>
                    <w:jc w:val="center"/>
                    <w:rPr>
                      <w:b/>
                      <w:bCs/>
                      <w:u w:val="single"/>
                    </w:rPr>
                  </w:pPr>
                  <w:r>
                    <w:rPr>
                      <w:b/>
                      <w:bCs/>
                      <w:u w:val="single"/>
                    </w:rPr>
                    <w:t>固态</w:t>
                  </w:r>
                </w:p>
              </w:tc>
              <w:tc>
                <w:tcPr>
                  <w:tcW w:w="993" w:type="dxa"/>
                  <w:vAlign w:val="center"/>
                </w:tcPr>
                <w:p w14:paraId="321B3AFC">
                  <w:pPr>
                    <w:jc w:val="center"/>
                    <w:rPr>
                      <w:b/>
                      <w:bCs/>
                      <w:u w:val="single"/>
                    </w:rPr>
                  </w:pPr>
                  <w:r>
                    <w:rPr>
                      <w:b/>
                      <w:bCs/>
                      <w:u w:val="single"/>
                    </w:rPr>
                    <w:t>废农用车</w:t>
                  </w:r>
                </w:p>
                <w:p w14:paraId="59B2A81E">
                  <w:pPr>
                    <w:jc w:val="center"/>
                    <w:rPr>
                      <w:b/>
                      <w:bCs/>
                      <w:u w:val="single"/>
                    </w:rPr>
                  </w:pPr>
                  <w:r>
                    <w:rPr>
                      <w:b/>
                      <w:bCs/>
                      <w:u w:val="single"/>
                    </w:rPr>
                    <w:t>尾气净化</w:t>
                  </w:r>
                </w:p>
                <w:p w14:paraId="35E872AF">
                  <w:pPr>
                    <w:jc w:val="center"/>
                    <w:rPr>
                      <w:b/>
                      <w:bCs/>
                      <w:u w:val="single"/>
                    </w:rPr>
                  </w:pPr>
                  <w:r>
                    <w:rPr>
                      <w:b/>
                      <w:bCs/>
                      <w:u w:val="single"/>
                    </w:rPr>
                    <w:t>催化剂</w:t>
                  </w:r>
                </w:p>
              </w:tc>
              <w:tc>
                <w:tcPr>
                  <w:tcW w:w="567" w:type="dxa"/>
                  <w:shd w:val="clear" w:color="auto" w:fill="auto"/>
                  <w:vAlign w:val="center"/>
                </w:tcPr>
                <w:p w14:paraId="31847566">
                  <w:pPr>
                    <w:jc w:val="center"/>
                    <w:rPr>
                      <w:b/>
                      <w:bCs/>
                      <w:u w:val="single"/>
                    </w:rPr>
                  </w:pPr>
                  <w:r>
                    <w:rPr>
                      <w:b/>
                      <w:bCs/>
                      <w:u w:val="single"/>
                    </w:rPr>
                    <w:t>1天</w:t>
                  </w:r>
                </w:p>
              </w:tc>
              <w:tc>
                <w:tcPr>
                  <w:tcW w:w="567" w:type="dxa"/>
                  <w:vAlign w:val="center"/>
                </w:tcPr>
                <w:p w14:paraId="41988B05">
                  <w:pPr>
                    <w:jc w:val="center"/>
                    <w:rPr>
                      <w:b/>
                      <w:bCs/>
                      <w:u w:val="single"/>
                    </w:rPr>
                  </w:pPr>
                  <w:r>
                    <w:rPr>
                      <w:b/>
                      <w:bCs/>
                      <w:u w:val="single"/>
                    </w:rPr>
                    <w:t>T</w:t>
                  </w:r>
                </w:p>
              </w:tc>
              <w:tc>
                <w:tcPr>
                  <w:tcW w:w="851" w:type="dxa"/>
                  <w:vMerge w:val="continue"/>
                  <w:vAlign w:val="center"/>
                </w:tcPr>
                <w:p w14:paraId="141A04CD">
                  <w:pPr>
                    <w:jc w:val="center"/>
                    <w:rPr>
                      <w:b/>
                      <w:bCs/>
                      <w:u w:val="single"/>
                    </w:rPr>
                  </w:pPr>
                </w:p>
              </w:tc>
            </w:tr>
            <w:tr w14:paraId="00EE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Align w:val="center"/>
                </w:tcPr>
                <w:p w14:paraId="68FA53C1">
                  <w:pPr>
                    <w:jc w:val="center"/>
                    <w:rPr>
                      <w:b/>
                      <w:bCs/>
                      <w:u w:val="single"/>
                    </w:rPr>
                  </w:pPr>
                  <w:r>
                    <w:rPr>
                      <w:b/>
                      <w:bCs/>
                      <w:u w:val="single"/>
                    </w:rPr>
                    <w:t>5</w:t>
                  </w:r>
                </w:p>
              </w:tc>
              <w:tc>
                <w:tcPr>
                  <w:tcW w:w="988" w:type="dxa"/>
                  <w:gridSpan w:val="2"/>
                  <w:vAlign w:val="center"/>
                </w:tcPr>
                <w:p w14:paraId="666BF125">
                  <w:pPr>
                    <w:jc w:val="center"/>
                    <w:rPr>
                      <w:b/>
                      <w:bCs/>
                      <w:u w:val="single"/>
                    </w:rPr>
                  </w:pPr>
                  <w:r>
                    <w:rPr>
                      <w:b/>
                      <w:bCs/>
                      <w:u w:val="single"/>
                    </w:rPr>
                    <w:t>废机油滤清器</w:t>
                  </w:r>
                </w:p>
              </w:tc>
              <w:tc>
                <w:tcPr>
                  <w:tcW w:w="1026" w:type="dxa"/>
                  <w:vAlign w:val="center"/>
                </w:tcPr>
                <w:p w14:paraId="560F1712">
                  <w:pPr>
                    <w:jc w:val="center"/>
                    <w:rPr>
                      <w:b/>
                      <w:bCs/>
                      <w:u w:val="single"/>
                    </w:rPr>
                  </w:pPr>
                  <w:r>
                    <w:rPr>
                      <w:b/>
                      <w:bCs/>
                      <w:u w:val="single"/>
                    </w:rPr>
                    <w:t>HW49 其他废物</w:t>
                  </w:r>
                </w:p>
              </w:tc>
              <w:tc>
                <w:tcPr>
                  <w:tcW w:w="1134" w:type="dxa"/>
                  <w:vAlign w:val="center"/>
                </w:tcPr>
                <w:p w14:paraId="1BF4E655">
                  <w:pPr>
                    <w:jc w:val="center"/>
                    <w:rPr>
                      <w:b/>
                      <w:bCs/>
                      <w:u w:val="single"/>
                    </w:rPr>
                  </w:pPr>
                  <w:r>
                    <w:rPr>
                      <w:b/>
                      <w:bCs/>
                      <w:u w:val="single"/>
                    </w:rPr>
                    <w:t>900-041-49</w:t>
                  </w:r>
                </w:p>
              </w:tc>
              <w:tc>
                <w:tcPr>
                  <w:tcW w:w="567" w:type="dxa"/>
                  <w:vAlign w:val="center"/>
                </w:tcPr>
                <w:p w14:paraId="1D3507B9">
                  <w:pPr>
                    <w:jc w:val="center"/>
                    <w:rPr>
                      <w:b/>
                      <w:bCs/>
                      <w:u w:val="single"/>
                    </w:rPr>
                  </w:pPr>
                  <w:r>
                    <w:rPr>
                      <w:b/>
                      <w:bCs/>
                      <w:u w:val="single"/>
                    </w:rPr>
                    <w:t>0.2</w:t>
                  </w:r>
                </w:p>
              </w:tc>
              <w:tc>
                <w:tcPr>
                  <w:tcW w:w="992" w:type="dxa"/>
                  <w:vMerge w:val="continue"/>
                  <w:vAlign w:val="center"/>
                </w:tcPr>
                <w:p w14:paraId="16760A91">
                  <w:pPr>
                    <w:jc w:val="center"/>
                    <w:rPr>
                      <w:b/>
                      <w:bCs/>
                      <w:u w:val="single"/>
                    </w:rPr>
                  </w:pPr>
                </w:p>
              </w:tc>
              <w:tc>
                <w:tcPr>
                  <w:tcW w:w="567" w:type="dxa"/>
                  <w:shd w:val="clear" w:color="auto" w:fill="auto"/>
                  <w:vAlign w:val="center"/>
                </w:tcPr>
                <w:p w14:paraId="498025A8">
                  <w:pPr>
                    <w:jc w:val="center"/>
                    <w:rPr>
                      <w:b/>
                      <w:bCs/>
                      <w:u w:val="single"/>
                    </w:rPr>
                  </w:pPr>
                  <w:r>
                    <w:rPr>
                      <w:b/>
                      <w:bCs/>
                      <w:u w:val="single"/>
                    </w:rPr>
                    <w:t>固态</w:t>
                  </w:r>
                </w:p>
              </w:tc>
              <w:tc>
                <w:tcPr>
                  <w:tcW w:w="993" w:type="dxa"/>
                  <w:vAlign w:val="center"/>
                </w:tcPr>
                <w:p w14:paraId="543174B9">
                  <w:pPr>
                    <w:jc w:val="center"/>
                    <w:rPr>
                      <w:b/>
                      <w:bCs/>
                      <w:u w:val="single"/>
                    </w:rPr>
                  </w:pPr>
                  <w:r>
                    <w:rPr>
                      <w:b/>
                      <w:bCs/>
                      <w:u w:val="single"/>
                    </w:rPr>
                    <w:t>矿物油</w:t>
                  </w:r>
                </w:p>
              </w:tc>
              <w:tc>
                <w:tcPr>
                  <w:tcW w:w="567" w:type="dxa"/>
                  <w:shd w:val="clear" w:color="auto" w:fill="auto"/>
                  <w:vAlign w:val="center"/>
                </w:tcPr>
                <w:p w14:paraId="0857BD1E">
                  <w:pPr>
                    <w:jc w:val="center"/>
                    <w:rPr>
                      <w:b/>
                      <w:bCs/>
                      <w:u w:val="single"/>
                    </w:rPr>
                  </w:pPr>
                  <w:r>
                    <w:rPr>
                      <w:b/>
                      <w:bCs/>
                      <w:u w:val="single"/>
                    </w:rPr>
                    <w:t>1天</w:t>
                  </w:r>
                </w:p>
              </w:tc>
              <w:tc>
                <w:tcPr>
                  <w:tcW w:w="567" w:type="dxa"/>
                  <w:vAlign w:val="center"/>
                </w:tcPr>
                <w:p w14:paraId="28FEEE8F">
                  <w:pPr>
                    <w:jc w:val="center"/>
                    <w:rPr>
                      <w:b/>
                      <w:bCs/>
                      <w:u w:val="single"/>
                    </w:rPr>
                  </w:pPr>
                  <w:r>
                    <w:rPr>
                      <w:b/>
                      <w:bCs/>
                      <w:u w:val="single"/>
                    </w:rPr>
                    <w:t>T/I</w:t>
                  </w:r>
                </w:p>
              </w:tc>
              <w:tc>
                <w:tcPr>
                  <w:tcW w:w="851" w:type="dxa"/>
                  <w:vMerge w:val="continue"/>
                  <w:vAlign w:val="center"/>
                </w:tcPr>
                <w:p w14:paraId="5712A270">
                  <w:pPr>
                    <w:jc w:val="center"/>
                    <w:rPr>
                      <w:b/>
                      <w:bCs/>
                      <w:u w:val="single"/>
                    </w:rPr>
                  </w:pPr>
                </w:p>
              </w:tc>
            </w:tr>
            <w:tr w14:paraId="4210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Align w:val="center"/>
                </w:tcPr>
                <w:p w14:paraId="5AFAB862">
                  <w:pPr>
                    <w:jc w:val="center"/>
                    <w:rPr>
                      <w:b/>
                      <w:bCs/>
                      <w:u w:val="single"/>
                    </w:rPr>
                  </w:pPr>
                  <w:r>
                    <w:rPr>
                      <w:b/>
                      <w:bCs/>
                      <w:u w:val="single"/>
                    </w:rPr>
                    <w:t>6</w:t>
                  </w:r>
                </w:p>
              </w:tc>
              <w:tc>
                <w:tcPr>
                  <w:tcW w:w="988" w:type="dxa"/>
                  <w:gridSpan w:val="2"/>
                  <w:vAlign w:val="center"/>
                </w:tcPr>
                <w:p w14:paraId="5F806689">
                  <w:pPr>
                    <w:jc w:val="center"/>
                    <w:rPr>
                      <w:b/>
                      <w:bCs/>
                      <w:u w:val="single"/>
                    </w:rPr>
                  </w:pPr>
                  <w:r>
                    <w:rPr>
                      <w:b/>
                      <w:bCs/>
                      <w:u w:val="single"/>
                    </w:rPr>
                    <w:t>废电子电器件</w:t>
                  </w:r>
                </w:p>
              </w:tc>
              <w:tc>
                <w:tcPr>
                  <w:tcW w:w="1026" w:type="dxa"/>
                  <w:vAlign w:val="center"/>
                </w:tcPr>
                <w:p w14:paraId="5BEA8064">
                  <w:pPr>
                    <w:jc w:val="center"/>
                    <w:rPr>
                      <w:b/>
                      <w:bCs/>
                      <w:u w:val="single"/>
                    </w:rPr>
                  </w:pPr>
                  <w:r>
                    <w:rPr>
                      <w:b/>
                      <w:bCs/>
                      <w:u w:val="single"/>
                    </w:rPr>
                    <w:t>HW49其他废物</w:t>
                  </w:r>
                </w:p>
              </w:tc>
              <w:tc>
                <w:tcPr>
                  <w:tcW w:w="1134" w:type="dxa"/>
                  <w:vAlign w:val="center"/>
                </w:tcPr>
                <w:p w14:paraId="4E4C6860">
                  <w:pPr>
                    <w:jc w:val="center"/>
                    <w:rPr>
                      <w:b/>
                      <w:bCs/>
                      <w:u w:val="single"/>
                    </w:rPr>
                  </w:pPr>
                  <w:r>
                    <w:rPr>
                      <w:b/>
                      <w:bCs/>
                      <w:u w:val="single"/>
                    </w:rPr>
                    <w:t>900-045-49</w:t>
                  </w:r>
                </w:p>
              </w:tc>
              <w:tc>
                <w:tcPr>
                  <w:tcW w:w="567" w:type="dxa"/>
                  <w:vAlign w:val="center"/>
                </w:tcPr>
                <w:p w14:paraId="644D01DD">
                  <w:pPr>
                    <w:jc w:val="center"/>
                    <w:rPr>
                      <w:b/>
                      <w:bCs/>
                      <w:u w:val="single"/>
                    </w:rPr>
                  </w:pPr>
                  <w:r>
                    <w:rPr>
                      <w:b/>
                      <w:bCs/>
                      <w:u w:val="single"/>
                    </w:rPr>
                    <w:t>0.5</w:t>
                  </w:r>
                </w:p>
              </w:tc>
              <w:tc>
                <w:tcPr>
                  <w:tcW w:w="992" w:type="dxa"/>
                  <w:vMerge w:val="continue"/>
                  <w:vAlign w:val="center"/>
                </w:tcPr>
                <w:p w14:paraId="794D7710">
                  <w:pPr>
                    <w:jc w:val="center"/>
                    <w:rPr>
                      <w:b/>
                      <w:bCs/>
                      <w:u w:val="single"/>
                    </w:rPr>
                  </w:pPr>
                </w:p>
              </w:tc>
              <w:tc>
                <w:tcPr>
                  <w:tcW w:w="567" w:type="dxa"/>
                  <w:vAlign w:val="center"/>
                </w:tcPr>
                <w:p w14:paraId="2BDDA3B7">
                  <w:pPr>
                    <w:jc w:val="center"/>
                    <w:rPr>
                      <w:b/>
                      <w:bCs/>
                      <w:u w:val="single"/>
                    </w:rPr>
                  </w:pPr>
                  <w:r>
                    <w:rPr>
                      <w:b/>
                      <w:bCs/>
                      <w:u w:val="single"/>
                    </w:rPr>
                    <w:t>固态</w:t>
                  </w:r>
                </w:p>
              </w:tc>
              <w:tc>
                <w:tcPr>
                  <w:tcW w:w="993" w:type="dxa"/>
                  <w:vAlign w:val="center"/>
                </w:tcPr>
                <w:p w14:paraId="70DE638B">
                  <w:pPr>
                    <w:jc w:val="center"/>
                    <w:rPr>
                      <w:b/>
                      <w:bCs/>
                      <w:u w:val="single"/>
                    </w:rPr>
                  </w:pPr>
                  <w:r>
                    <w:rPr>
                      <w:b/>
                      <w:bCs/>
                      <w:u w:val="single"/>
                    </w:rPr>
                    <w:t>铅、汞、六价铬等</w:t>
                  </w:r>
                </w:p>
              </w:tc>
              <w:tc>
                <w:tcPr>
                  <w:tcW w:w="567" w:type="dxa"/>
                  <w:vAlign w:val="center"/>
                </w:tcPr>
                <w:p w14:paraId="1E9DB0F4">
                  <w:pPr>
                    <w:jc w:val="center"/>
                    <w:rPr>
                      <w:b/>
                      <w:bCs/>
                      <w:u w:val="single"/>
                    </w:rPr>
                  </w:pPr>
                  <w:r>
                    <w:rPr>
                      <w:b/>
                      <w:bCs/>
                      <w:u w:val="single"/>
                    </w:rPr>
                    <w:t>1天</w:t>
                  </w:r>
                </w:p>
              </w:tc>
              <w:tc>
                <w:tcPr>
                  <w:tcW w:w="567" w:type="dxa"/>
                  <w:vAlign w:val="center"/>
                </w:tcPr>
                <w:p w14:paraId="229A3205">
                  <w:pPr>
                    <w:jc w:val="center"/>
                    <w:rPr>
                      <w:b/>
                      <w:bCs/>
                      <w:u w:val="single"/>
                    </w:rPr>
                  </w:pPr>
                  <w:r>
                    <w:rPr>
                      <w:b/>
                      <w:bCs/>
                      <w:u w:val="single"/>
                    </w:rPr>
                    <w:t>T</w:t>
                  </w:r>
                </w:p>
              </w:tc>
              <w:tc>
                <w:tcPr>
                  <w:tcW w:w="851" w:type="dxa"/>
                  <w:vMerge w:val="continue"/>
                  <w:vAlign w:val="center"/>
                </w:tcPr>
                <w:p w14:paraId="107DB832">
                  <w:pPr>
                    <w:jc w:val="center"/>
                    <w:rPr>
                      <w:b/>
                      <w:bCs/>
                      <w:u w:val="single"/>
                    </w:rPr>
                  </w:pPr>
                </w:p>
              </w:tc>
            </w:tr>
            <w:tr w14:paraId="6CBD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Align w:val="center"/>
                </w:tcPr>
                <w:p w14:paraId="7C48EA81">
                  <w:pPr>
                    <w:jc w:val="center"/>
                    <w:rPr>
                      <w:b/>
                      <w:bCs/>
                      <w:u w:val="single"/>
                    </w:rPr>
                  </w:pPr>
                  <w:r>
                    <w:rPr>
                      <w:rFonts w:hint="eastAsia"/>
                      <w:b/>
                      <w:bCs/>
                      <w:u w:val="single"/>
                    </w:rPr>
                    <w:t>7</w:t>
                  </w:r>
                </w:p>
              </w:tc>
              <w:tc>
                <w:tcPr>
                  <w:tcW w:w="988" w:type="dxa"/>
                  <w:gridSpan w:val="2"/>
                  <w:vAlign w:val="center"/>
                </w:tcPr>
                <w:p w14:paraId="14595EDC">
                  <w:pPr>
                    <w:jc w:val="center"/>
                    <w:rPr>
                      <w:b/>
                      <w:bCs/>
                      <w:u w:val="single"/>
                    </w:rPr>
                  </w:pPr>
                  <w:r>
                    <w:rPr>
                      <w:rFonts w:hint="eastAsia"/>
                      <w:b/>
                      <w:bCs/>
                      <w:szCs w:val="21"/>
                      <w:u w:val="single"/>
                    </w:rPr>
                    <w:t>废铅酸蓄电池</w:t>
                  </w:r>
                </w:p>
              </w:tc>
              <w:tc>
                <w:tcPr>
                  <w:tcW w:w="1026" w:type="dxa"/>
                  <w:vAlign w:val="center"/>
                </w:tcPr>
                <w:p w14:paraId="4398EB79">
                  <w:pPr>
                    <w:jc w:val="center"/>
                    <w:rPr>
                      <w:b/>
                      <w:bCs/>
                      <w:u w:val="single"/>
                    </w:rPr>
                  </w:pPr>
                  <w:r>
                    <w:rPr>
                      <w:rFonts w:hint="eastAsia"/>
                      <w:b/>
                      <w:bCs/>
                      <w:u w:val="single"/>
                    </w:rPr>
                    <w:t>HW31含铅废物</w:t>
                  </w:r>
                </w:p>
              </w:tc>
              <w:tc>
                <w:tcPr>
                  <w:tcW w:w="1134" w:type="dxa"/>
                  <w:vAlign w:val="center"/>
                </w:tcPr>
                <w:p w14:paraId="5C8E5AB8">
                  <w:pPr>
                    <w:jc w:val="center"/>
                    <w:rPr>
                      <w:b/>
                      <w:bCs/>
                      <w:u w:val="single"/>
                    </w:rPr>
                  </w:pPr>
                  <w:r>
                    <w:rPr>
                      <w:b/>
                      <w:bCs/>
                      <w:u w:val="single"/>
                    </w:rPr>
                    <w:t>900-052-31</w:t>
                  </w:r>
                </w:p>
              </w:tc>
              <w:tc>
                <w:tcPr>
                  <w:tcW w:w="567" w:type="dxa"/>
                  <w:vAlign w:val="center"/>
                </w:tcPr>
                <w:p w14:paraId="5C3B35E9">
                  <w:pPr>
                    <w:jc w:val="center"/>
                    <w:rPr>
                      <w:b/>
                      <w:bCs/>
                      <w:u w:val="single"/>
                    </w:rPr>
                  </w:pPr>
                  <w:r>
                    <w:rPr>
                      <w:rFonts w:hint="eastAsia"/>
                      <w:b/>
                      <w:bCs/>
                      <w:u w:val="single"/>
                    </w:rPr>
                    <w:t>0</w:t>
                  </w:r>
                  <w:r>
                    <w:rPr>
                      <w:b/>
                      <w:bCs/>
                      <w:u w:val="single"/>
                    </w:rPr>
                    <w:t>.2</w:t>
                  </w:r>
                </w:p>
              </w:tc>
              <w:tc>
                <w:tcPr>
                  <w:tcW w:w="992" w:type="dxa"/>
                  <w:vMerge w:val="continue"/>
                  <w:vAlign w:val="center"/>
                </w:tcPr>
                <w:p w14:paraId="66900927">
                  <w:pPr>
                    <w:jc w:val="center"/>
                    <w:rPr>
                      <w:b/>
                      <w:bCs/>
                      <w:u w:val="single"/>
                    </w:rPr>
                  </w:pPr>
                </w:p>
              </w:tc>
              <w:tc>
                <w:tcPr>
                  <w:tcW w:w="567" w:type="dxa"/>
                  <w:vAlign w:val="center"/>
                </w:tcPr>
                <w:p w14:paraId="3EBC1162">
                  <w:pPr>
                    <w:jc w:val="center"/>
                    <w:rPr>
                      <w:b/>
                      <w:bCs/>
                      <w:u w:val="single"/>
                    </w:rPr>
                  </w:pPr>
                  <w:r>
                    <w:rPr>
                      <w:b/>
                      <w:bCs/>
                      <w:u w:val="single"/>
                    </w:rPr>
                    <w:t>固态</w:t>
                  </w:r>
                </w:p>
              </w:tc>
              <w:tc>
                <w:tcPr>
                  <w:tcW w:w="993" w:type="dxa"/>
                  <w:vAlign w:val="center"/>
                </w:tcPr>
                <w:p w14:paraId="4FF3ABE0">
                  <w:pPr>
                    <w:jc w:val="center"/>
                    <w:rPr>
                      <w:b/>
                      <w:bCs/>
                      <w:u w:val="single"/>
                    </w:rPr>
                  </w:pPr>
                  <w:r>
                    <w:rPr>
                      <w:b/>
                      <w:bCs/>
                      <w:u w:val="single"/>
                    </w:rPr>
                    <w:t>铅等</w:t>
                  </w:r>
                </w:p>
              </w:tc>
              <w:tc>
                <w:tcPr>
                  <w:tcW w:w="567" w:type="dxa"/>
                  <w:vAlign w:val="center"/>
                </w:tcPr>
                <w:p w14:paraId="521590F5">
                  <w:pPr>
                    <w:jc w:val="center"/>
                    <w:rPr>
                      <w:b/>
                      <w:bCs/>
                      <w:u w:val="single"/>
                    </w:rPr>
                  </w:pPr>
                  <w:r>
                    <w:rPr>
                      <w:b/>
                      <w:bCs/>
                      <w:u w:val="single"/>
                    </w:rPr>
                    <w:t>1天</w:t>
                  </w:r>
                </w:p>
              </w:tc>
              <w:tc>
                <w:tcPr>
                  <w:tcW w:w="567" w:type="dxa"/>
                  <w:vAlign w:val="center"/>
                </w:tcPr>
                <w:p w14:paraId="2066E604">
                  <w:pPr>
                    <w:jc w:val="center"/>
                    <w:rPr>
                      <w:b/>
                      <w:bCs/>
                      <w:u w:val="single"/>
                    </w:rPr>
                  </w:pPr>
                  <w:r>
                    <w:rPr>
                      <w:b/>
                      <w:bCs/>
                      <w:u w:val="single"/>
                    </w:rPr>
                    <w:t>T/C</w:t>
                  </w:r>
                </w:p>
              </w:tc>
              <w:tc>
                <w:tcPr>
                  <w:tcW w:w="851" w:type="dxa"/>
                  <w:vMerge w:val="continue"/>
                  <w:vAlign w:val="center"/>
                </w:tcPr>
                <w:p w14:paraId="2692E738">
                  <w:pPr>
                    <w:jc w:val="center"/>
                    <w:rPr>
                      <w:b/>
                      <w:bCs/>
                      <w:u w:val="single"/>
                    </w:rPr>
                  </w:pPr>
                </w:p>
              </w:tc>
            </w:tr>
            <w:tr w14:paraId="1A12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523" w:type="dxa"/>
                  <w:vAlign w:val="center"/>
                </w:tcPr>
                <w:p w14:paraId="2D71FDD0">
                  <w:pPr>
                    <w:jc w:val="center"/>
                    <w:rPr>
                      <w:b/>
                      <w:bCs/>
                      <w:u w:val="single"/>
                    </w:rPr>
                  </w:pPr>
                  <w:r>
                    <w:rPr>
                      <w:b/>
                      <w:bCs/>
                      <w:u w:val="single"/>
                    </w:rPr>
                    <w:t>8</w:t>
                  </w:r>
                </w:p>
              </w:tc>
              <w:tc>
                <w:tcPr>
                  <w:tcW w:w="988" w:type="dxa"/>
                  <w:gridSpan w:val="2"/>
                  <w:vAlign w:val="center"/>
                </w:tcPr>
                <w:p w14:paraId="0922D395">
                  <w:pPr>
                    <w:jc w:val="center"/>
                    <w:rPr>
                      <w:b/>
                      <w:bCs/>
                      <w:u w:val="single"/>
                    </w:rPr>
                  </w:pPr>
                  <w:r>
                    <w:rPr>
                      <w:b/>
                      <w:bCs/>
                      <w:u w:val="single"/>
                    </w:rPr>
                    <w:t>含油抹布及手套</w:t>
                  </w:r>
                </w:p>
              </w:tc>
              <w:tc>
                <w:tcPr>
                  <w:tcW w:w="1026" w:type="dxa"/>
                  <w:vAlign w:val="center"/>
                </w:tcPr>
                <w:p w14:paraId="181BA564">
                  <w:pPr>
                    <w:jc w:val="center"/>
                    <w:rPr>
                      <w:b/>
                      <w:bCs/>
                      <w:u w:val="single"/>
                    </w:rPr>
                  </w:pPr>
                  <w:r>
                    <w:rPr>
                      <w:b/>
                      <w:bCs/>
                      <w:u w:val="single"/>
                    </w:rPr>
                    <w:t>HW49其他废物</w:t>
                  </w:r>
                </w:p>
              </w:tc>
              <w:tc>
                <w:tcPr>
                  <w:tcW w:w="1134" w:type="dxa"/>
                  <w:vAlign w:val="center"/>
                </w:tcPr>
                <w:p w14:paraId="77A4B1E2">
                  <w:pPr>
                    <w:jc w:val="center"/>
                    <w:rPr>
                      <w:b/>
                      <w:bCs/>
                      <w:u w:val="single"/>
                    </w:rPr>
                  </w:pPr>
                  <w:r>
                    <w:rPr>
                      <w:b/>
                      <w:bCs/>
                      <w:u w:val="single"/>
                    </w:rPr>
                    <w:t>900-041-49</w:t>
                  </w:r>
                </w:p>
              </w:tc>
              <w:tc>
                <w:tcPr>
                  <w:tcW w:w="567" w:type="dxa"/>
                  <w:vAlign w:val="center"/>
                </w:tcPr>
                <w:p w14:paraId="04493307">
                  <w:pPr>
                    <w:jc w:val="center"/>
                    <w:rPr>
                      <w:b/>
                      <w:bCs/>
                      <w:u w:val="single"/>
                    </w:rPr>
                  </w:pPr>
                  <w:r>
                    <w:rPr>
                      <w:b/>
                      <w:bCs/>
                      <w:u w:val="single"/>
                    </w:rPr>
                    <w:t>0.01</w:t>
                  </w:r>
                </w:p>
              </w:tc>
              <w:tc>
                <w:tcPr>
                  <w:tcW w:w="992" w:type="dxa"/>
                  <w:vMerge w:val="continue"/>
                  <w:vAlign w:val="center"/>
                </w:tcPr>
                <w:p w14:paraId="073733D7">
                  <w:pPr>
                    <w:jc w:val="center"/>
                    <w:rPr>
                      <w:b/>
                      <w:bCs/>
                      <w:u w:val="single"/>
                    </w:rPr>
                  </w:pPr>
                </w:p>
              </w:tc>
              <w:tc>
                <w:tcPr>
                  <w:tcW w:w="567" w:type="dxa"/>
                  <w:vAlign w:val="center"/>
                </w:tcPr>
                <w:p w14:paraId="6BCC7D98">
                  <w:pPr>
                    <w:jc w:val="center"/>
                    <w:rPr>
                      <w:b/>
                      <w:bCs/>
                      <w:u w:val="single"/>
                    </w:rPr>
                  </w:pPr>
                  <w:r>
                    <w:rPr>
                      <w:b/>
                      <w:bCs/>
                      <w:u w:val="single"/>
                    </w:rPr>
                    <w:t>固态</w:t>
                  </w:r>
                </w:p>
              </w:tc>
              <w:tc>
                <w:tcPr>
                  <w:tcW w:w="993" w:type="dxa"/>
                  <w:vAlign w:val="center"/>
                </w:tcPr>
                <w:p w14:paraId="1EFB1CCB">
                  <w:pPr>
                    <w:jc w:val="center"/>
                    <w:rPr>
                      <w:b/>
                      <w:bCs/>
                      <w:u w:val="single"/>
                    </w:rPr>
                  </w:pPr>
                  <w:r>
                    <w:rPr>
                      <w:b/>
                      <w:bCs/>
                      <w:u w:val="single"/>
                    </w:rPr>
                    <w:t>有机物</w:t>
                  </w:r>
                </w:p>
              </w:tc>
              <w:tc>
                <w:tcPr>
                  <w:tcW w:w="567" w:type="dxa"/>
                  <w:vAlign w:val="center"/>
                </w:tcPr>
                <w:p w14:paraId="228C52DE">
                  <w:pPr>
                    <w:jc w:val="center"/>
                    <w:rPr>
                      <w:b/>
                      <w:bCs/>
                      <w:u w:val="single"/>
                    </w:rPr>
                  </w:pPr>
                  <w:r>
                    <w:rPr>
                      <w:b/>
                      <w:bCs/>
                      <w:u w:val="single"/>
                    </w:rPr>
                    <w:t>1天</w:t>
                  </w:r>
                </w:p>
              </w:tc>
              <w:tc>
                <w:tcPr>
                  <w:tcW w:w="567" w:type="dxa"/>
                  <w:vAlign w:val="center"/>
                </w:tcPr>
                <w:p w14:paraId="7C53CE2F">
                  <w:pPr>
                    <w:jc w:val="center"/>
                    <w:rPr>
                      <w:b/>
                      <w:bCs/>
                      <w:u w:val="single"/>
                    </w:rPr>
                  </w:pPr>
                  <w:r>
                    <w:rPr>
                      <w:b/>
                      <w:bCs/>
                      <w:u w:val="single"/>
                    </w:rPr>
                    <w:t>T/I</w:t>
                  </w:r>
                </w:p>
              </w:tc>
              <w:tc>
                <w:tcPr>
                  <w:tcW w:w="851" w:type="dxa"/>
                  <w:vMerge w:val="continue"/>
                  <w:vAlign w:val="center"/>
                </w:tcPr>
                <w:p w14:paraId="3619E27A">
                  <w:pPr>
                    <w:jc w:val="center"/>
                    <w:rPr>
                      <w:b/>
                      <w:bCs/>
                      <w:u w:val="single"/>
                    </w:rPr>
                  </w:pPr>
                </w:p>
              </w:tc>
            </w:tr>
          </w:tbl>
          <w:p w14:paraId="46DA56BE">
            <w:pPr>
              <w:pStyle w:val="14"/>
              <w:spacing w:before="0" w:after="0" w:line="360" w:lineRule="auto"/>
              <w:ind w:right="0" w:firstLine="482" w:firstLineChars="200"/>
              <w:rPr>
                <w:szCs w:val="24"/>
              </w:rPr>
            </w:pPr>
            <w:r>
              <w:rPr>
                <w:b/>
                <w:bCs/>
              </w:rPr>
              <w:t>2、固废临时贮存措施</w:t>
            </w:r>
          </w:p>
          <w:p w14:paraId="413E871F">
            <w:pPr>
              <w:pStyle w:val="14"/>
              <w:spacing w:before="0" w:after="0" w:line="360" w:lineRule="auto"/>
              <w:ind w:right="0" w:firstLine="480" w:firstLineChars="200"/>
            </w:pPr>
            <w:r>
              <w:t>根据《报废农业机械回收拆解技术规范》（NY/T2900-2022），报废农业机械各类产物的储存、处置原则如下：</w:t>
            </w:r>
          </w:p>
          <w:p w14:paraId="16D290C6">
            <w:pPr>
              <w:pStyle w:val="14"/>
              <w:spacing w:before="0" w:after="0" w:line="360" w:lineRule="auto"/>
              <w:ind w:right="0" w:firstLine="480" w:firstLineChars="200"/>
            </w:pPr>
            <w:r>
              <w:t>（1）固体废物的储存应符合GB18599、GB18597和HJ2025的规定；一般工业固体废物储存设施及包装物应按照GB15562.2的规定进行标识，危险废物储存设施及包装物的标志应符合GB18597和HJ2025的规定；所有固体废物避免混合、混放。妥善处置固体废物，不应非法转移、倾倒、利用和处置；废弃电器储存场地不得有明火；容器和装置要防漏和防止洒溅，并对其进行日常性检查；对拆解后的所有固体废物分类储存和标识；报废农业机械主要固体废物的储存方法和注意事项见附录B。回用件储存应分类储存和标识，存放在封闭或半封闭的储存场地中；拆解后的电子元器件应分类储存。</w:t>
            </w:r>
          </w:p>
          <w:p w14:paraId="2708AD9C">
            <w:pPr>
              <w:pStyle w:val="32"/>
              <w:spacing w:line="360" w:lineRule="auto"/>
              <w:ind w:firstLine="480"/>
              <w:rPr>
                <w:sz w:val="24"/>
              </w:rPr>
            </w:pPr>
            <w:r>
              <w:rPr>
                <w:sz w:val="24"/>
              </w:rPr>
              <w:t>（2）废液应使用专用密闭容器存储，防漏、防洒溅、防挥发，并交由具有相应资质的废液回收处理企业处置。</w:t>
            </w:r>
          </w:p>
          <w:p w14:paraId="12F8FD8F">
            <w:pPr>
              <w:pStyle w:val="32"/>
              <w:spacing w:line="360" w:lineRule="auto"/>
              <w:ind w:firstLine="480"/>
              <w:rPr>
                <w:sz w:val="24"/>
              </w:rPr>
            </w:pPr>
            <w:r>
              <w:rPr>
                <w:sz w:val="24"/>
              </w:rPr>
              <w:t>（3）拆解后的所有的零部件、材料、废物，应按照《危险废物焚烧污染控制标准》（GB18484-2020）的规定分类存储和标识，废物不得焚烧、丢弃。</w:t>
            </w:r>
          </w:p>
          <w:p w14:paraId="75242027">
            <w:pPr>
              <w:pStyle w:val="32"/>
              <w:spacing w:line="360" w:lineRule="auto"/>
              <w:ind w:firstLine="480"/>
              <w:rPr>
                <w:sz w:val="24"/>
              </w:rPr>
            </w:pPr>
            <w:r>
              <w:rPr>
                <w:sz w:val="24"/>
              </w:rPr>
              <w:t>（4）拆解后有毒有害的危险废物的存储和处置应符合《危险废物贮存污染控制标准》（GB18597-2023）的规定，危险废物应交由具有相应资质的企业进行处置。</w:t>
            </w:r>
          </w:p>
          <w:p w14:paraId="05F263C5">
            <w:pPr>
              <w:pStyle w:val="14"/>
              <w:spacing w:before="0" w:after="0" w:line="360" w:lineRule="auto"/>
              <w:ind w:right="0" w:firstLine="480" w:firstLineChars="200"/>
            </w:pPr>
            <w:r>
              <w:t>本项目在拆解车间应设置拆解物暂存区（金属类拆解物暂存区、非金属类拆解物暂存区）、一般固体废物暂存间和危险废物暂存间，本项目产生金属类拆解物包括钢铁、有色金属；非金属类拆解物包括塑料、玻璃、橡胶和可回收零件等；无回收利用价值的固体废物包括碎玻璃、碎皮革、碎海绵、废油液、废尾气净化装置、废机油滤清器、废电子电器件等，其中碎玻璃、碎皮革等放置一般固废暂存间，废油液、废油箱、废尾气净化装置、废机油滤清器和废电子电器件分类存放在</w:t>
            </w:r>
            <w:r>
              <w:rPr>
                <w:rFonts w:hint="eastAsia"/>
              </w:rPr>
              <w:t>危废暂存间内</w:t>
            </w:r>
            <w:r>
              <w:t>。</w:t>
            </w:r>
          </w:p>
          <w:p w14:paraId="3EEA29C0">
            <w:pPr>
              <w:pStyle w:val="14"/>
              <w:spacing w:before="0" w:after="0" w:line="360" w:lineRule="auto"/>
              <w:ind w:right="0" w:firstLine="480" w:firstLineChars="200"/>
            </w:pPr>
            <w:r>
              <w:t>本项目一般固废暂存间的建设方案：按照《一般工业固体废物贮存和填埋污染控制标准》（GB18599-2020）要求设置暂存场所；不得露天堆放，防止雨水进入产生二次污染。一般固废间按照《一般工业固体废物贮存和填埋污染控制标准》（GB18599-2020）中的相关要求建设，地面基础及内墙采取防渗措施，使用防水混凝土。一般固体废物按照不同的类别和性质，分区堆放。规范设置一般固废间，建立完善的固体废物防范措施和管理制度。</w:t>
            </w:r>
          </w:p>
          <w:p w14:paraId="38507288">
            <w:pPr>
              <w:pStyle w:val="14"/>
              <w:spacing w:before="0" w:after="0" w:line="360" w:lineRule="auto"/>
              <w:ind w:right="0" w:firstLine="480" w:firstLineChars="200"/>
            </w:pPr>
            <w:r>
              <w:t>本项目危险废物暂存间的建设方案如下：</w:t>
            </w:r>
          </w:p>
          <w:p w14:paraId="0146A5B3">
            <w:pPr>
              <w:pStyle w:val="14"/>
              <w:spacing w:before="0" w:after="0" w:line="360" w:lineRule="auto"/>
              <w:ind w:right="0" w:firstLine="480" w:firstLineChars="200"/>
            </w:pPr>
            <w:r>
              <w:t>本次评价结合危废实际产排情况，项目在拆解车间内设置40m</w:t>
            </w:r>
            <w:r>
              <w:rPr>
                <w:vertAlign w:val="superscript"/>
              </w:rPr>
              <w:t>2</w:t>
            </w:r>
            <w:r>
              <w:t>危险废物暂存间，用于分区、分类存放废油液、废油箱、废尾气净化装置、废机油滤清器、废电子电器件、废活性炭、含油抹布及手套</w:t>
            </w:r>
            <w:r>
              <w:rPr>
                <w:rFonts w:hint="eastAsia"/>
              </w:rPr>
              <w:t>、废铅酸蓄电池</w:t>
            </w:r>
            <w:r>
              <w:t>等8类危险废物，各分区平均面积约占5m</w:t>
            </w:r>
            <w:r>
              <w:rPr>
                <w:vertAlign w:val="superscript"/>
              </w:rPr>
              <w:t>2</w:t>
            </w:r>
            <w:r>
              <w:t>，能够满足各类危险废物的储存需求。此外，考虑到与拆解车间、运输通道及事故池的距离，便于危险废物的收集和转运，同时应避免设置在易受洪水、地震等自然灾害影响的区域，将危险废物暂存间设在车间西南侧是可行性措施。危废定期转运，一年至少转运一次，危废暂存间应贴有危废标志，做好防雨措施，并对地面进行防渗处理，设置2毫米厚高密度聚乙烯防渗层，确保防渗层渗透系数≤10</w:t>
            </w:r>
            <w:r>
              <w:rPr>
                <w:vertAlign w:val="superscript"/>
              </w:rPr>
              <w:t>-10</w:t>
            </w:r>
            <w:r>
              <w:t>cm/s。项目危险废物定期交由有资质的单位进行处理。根据《危险废物贮存污染控制标准》（GB18597-2023）和《危险废物收集贮存运输技术规范》（HJ2025-2012）的要求，本项目危废贮存场所应按以下具体要求设置：</w:t>
            </w:r>
          </w:p>
          <w:p w14:paraId="0E4F72C9">
            <w:pPr>
              <w:pStyle w:val="14"/>
              <w:spacing w:before="0" w:after="0" w:line="360" w:lineRule="auto"/>
              <w:ind w:right="0" w:firstLine="480" w:firstLineChars="200"/>
            </w:pPr>
            <w:r>
              <w:rPr>
                <w:rFonts w:hint="eastAsia" w:ascii="宋体" w:hAnsi="宋体" w:cs="宋体"/>
              </w:rPr>
              <w:t>①</w:t>
            </w:r>
            <w:r>
              <w:t>产生危废的车间，必须使用专用储存设施，并将危险废物装入专用容器中，无法装入常用容器的危险废物可用防漏胶袋等盛装，盛装危险废物的容器和包装物应按HJ1276要求设置危险废物贮存设施或场所标志、危险废物贮存分区标志和危险废物标签等危险废物识别标志，防止造成二次污染。危险废物暂存时需有塑料内衬密封，并设有专用暂存区，不得混存，且须做好防淋防渗措施，以避免固废中的挥发物质对环境造成污染。</w:t>
            </w:r>
          </w:p>
          <w:p w14:paraId="18F349B0">
            <w:pPr>
              <w:pStyle w:val="14"/>
              <w:spacing w:before="0" w:after="0" w:line="360" w:lineRule="auto"/>
              <w:ind w:right="0" w:firstLine="480" w:firstLineChars="200"/>
            </w:pPr>
            <w:r>
              <w:rPr>
                <w:rFonts w:hint="eastAsia" w:ascii="宋体" w:hAnsi="宋体" w:cs="宋体"/>
              </w:rPr>
              <w:t>②</w:t>
            </w:r>
            <w:r>
              <w:t>危险废物贮存间必须要密闭建设，贮存设施应根据危险废物的形态、物理化学性质、包装形式和污染物迁移途径，采取必要的防风、防晒、防雨、防漏、防渗、防腐以及其他环境污染防治措施，不应露天堆放危险废物。存放危废为液体的必须有泄露液体收集装置（例如托盘、导流沟、收集池），危废的收集及贮存，应根据危险固废的成分，用符合国家标准的耐腐蚀、不易破损、变形和老化的容器贮存，并按规定在贮存危废容器上贴上标签，详细注明危废的名称、重量、成分、特性以及发生泄漏、扩散污染事故时的应急措施和补救办法。</w:t>
            </w:r>
          </w:p>
          <w:p w14:paraId="485E9A8C">
            <w:pPr>
              <w:pStyle w:val="14"/>
              <w:spacing w:before="0" w:after="0" w:line="360" w:lineRule="auto"/>
              <w:ind w:right="0" w:firstLine="480" w:firstLineChars="200"/>
            </w:pPr>
            <w:r>
              <w:rPr>
                <w:rFonts w:hint="eastAsia" w:ascii="宋体" w:hAnsi="宋体" w:cs="宋体"/>
              </w:rPr>
              <w:t>③</w:t>
            </w:r>
            <w:r>
              <w:t>危险废物的收集和转运过程中，应采取相应的安全防护和污染防治措施，包括防爆、防火、防中毒、防感染、防泄漏、防飞扬、防雨或其它防止污染环境的措施。</w:t>
            </w:r>
          </w:p>
          <w:p w14:paraId="705BD87E">
            <w:pPr>
              <w:pStyle w:val="14"/>
              <w:spacing w:before="0" w:after="0" w:line="360" w:lineRule="auto"/>
              <w:ind w:right="0" w:firstLine="480" w:firstLineChars="200"/>
            </w:pPr>
            <w:r>
              <w:rPr>
                <w:rFonts w:hint="eastAsia" w:ascii="宋体" w:hAnsi="宋体" w:cs="宋体"/>
              </w:rPr>
              <w:t>④</w:t>
            </w:r>
            <w:r>
              <w:t>危险废物贮存设施要符合国家危险固废贮存场所的建设要求，危险固废贮存设施要建有堵截泄漏的裙脚，地面与裙脚用坚固的防渗材料建造，并建有隔离设施和防风、防晒、防雨设施，基础防渗层用2mm的高密度聚乙烯材料组成，表面用耐腐蚀材料硬化。储存间内清理出来的泄漏物也属于危险废物，必须按照危险废物处理原则处理。</w:t>
            </w:r>
          </w:p>
          <w:p w14:paraId="0E8D4406">
            <w:pPr>
              <w:pStyle w:val="14"/>
              <w:spacing w:before="0" w:after="0" w:line="360" w:lineRule="auto"/>
              <w:ind w:right="0" w:firstLine="480" w:firstLineChars="200"/>
            </w:pPr>
            <w:r>
              <w:rPr>
                <w:rFonts w:hint="eastAsia" w:ascii="宋体" w:hAnsi="宋体" w:cs="宋体"/>
              </w:rPr>
              <w:t>⑤</w:t>
            </w:r>
            <w:r>
              <w:t>地面与墙角要用坚固、防渗、防腐的材料建造；危险废物存放间场地防渗处理后，渗透系统要小于1×10</w:t>
            </w:r>
            <w:r>
              <w:rPr>
                <w:vertAlign w:val="superscript"/>
              </w:rPr>
              <w:t>-10</w:t>
            </w:r>
            <w:r>
              <w:t>cm/s。</w:t>
            </w:r>
          </w:p>
          <w:p w14:paraId="5C776388">
            <w:pPr>
              <w:pStyle w:val="14"/>
              <w:spacing w:before="0" w:after="0" w:line="360" w:lineRule="auto"/>
              <w:ind w:right="0" w:firstLine="480" w:firstLineChars="200"/>
            </w:pPr>
            <w:r>
              <w:rPr>
                <w:rFonts w:hint="eastAsia" w:ascii="宋体" w:hAnsi="宋体" w:cs="宋体"/>
              </w:rPr>
              <w:t>⑥</w:t>
            </w:r>
            <w:r>
              <w:t>危险废物暂存间要有专人定期管理，贴上警示标签，禁止无关人员进入。</w:t>
            </w:r>
          </w:p>
          <w:p w14:paraId="6B3251F0">
            <w:pPr>
              <w:pStyle w:val="14"/>
              <w:spacing w:before="0" w:after="0" w:line="360" w:lineRule="auto"/>
              <w:ind w:right="0" w:firstLine="480" w:firstLineChars="200"/>
            </w:pPr>
            <w:r>
              <w:rPr>
                <w:rFonts w:hint="eastAsia" w:ascii="宋体" w:hAnsi="宋体" w:cs="宋体"/>
              </w:rPr>
              <w:t>⑦</w:t>
            </w:r>
            <w:r>
              <w:t>按月统计危险废物种类、产生量、暂存时间、交由处置时间等，除此之外，危险废物存放间还要记录危险废物的名称、来源、数量、特性和包装容器的类别、入库日期、存放库位、出库日期及接受单位名称。</w:t>
            </w:r>
          </w:p>
          <w:p w14:paraId="047E55DC">
            <w:pPr>
              <w:jc w:val="center"/>
              <w:rPr>
                <w:b/>
                <w:bCs/>
                <w:sz w:val="24"/>
              </w:rPr>
            </w:pPr>
            <w:r>
              <w:rPr>
                <w:b/>
                <w:bCs/>
                <w:sz w:val="24"/>
              </w:rPr>
              <w:t>表3</w:t>
            </w:r>
            <w:r>
              <w:rPr>
                <w:rFonts w:hint="eastAsia"/>
                <w:b/>
                <w:bCs/>
                <w:sz w:val="24"/>
              </w:rPr>
              <w:t>2</w:t>
            </w:r>
            <w:r>
              <w:rPr>
                <w:b/>
                <w:bCs/>
                <w:sz w:val="24"/>
              </w:rPr>
              <w:t xml:space="preserve">   危险废物贮存场所基本情况一览表</w:t>
            </w:r>
          </w:p>
          <w:tbl>
            <w:tblPr>
              <w:tblStyle w:val="24"/>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26"/>
              <w:gridCol w:w="403"/>
              <w:gridCol w:w="1274"/>
              <w:gridCol w:w="1415"/>
              <w:gridCol w:w="1376"/>
              <w:gridCol w:w="522"/>
              <w:gridCol w:w="883"/>
              <w:gridCol w:w="1172"/>
              <w:gridCol w:w="591"/>
            </w:tblGrid>
            <w:tr w14:paraId="7EEE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434" w:type="pct"/>
                  <w:vAlign w:val="center"/>
                </w:tcPr>
                <w:p w14:paraId="7DB07B29">
                  <w:pPr>
                    <w:jc w:val="center"/>
                    <w:rPr>
                      <w:szCs w:val="21"/>
                    </w:rPr>
                  </w:pPr>
                  <w:r>
                    <w:rPr>
                      <w:szCs w:val="21"/>
                    </w:rPr>
                    <w:t>贮存场所名称</w:t>
                  </w:r>
                </w:p>
              </w:tc>
              <w:tc>
                <w:tcPr>
                  <w:tcW w:w="1003" w:type="pct"/>
                  <w:gridSpan w:val="2"/>
                  <w:vAlign w:val="center"/>
                </w:tcPr>
                <w:p w14:paraId="7671D478">
                  <w:pPr>
                    <w:jc w:val="center"/>
                    <w:rPr>
                      <w:szCs w:val="21"/>
                    </w:rPr>
                  </w:pPr>
                  <w:r>
                    <w:rPr>
                      <w:szCs w:val="21"/>
                    </w:rPr>
                    <w:t>危险废物名称</w:t>
                  </w:r>
                </w:p>
              </w:tc>
              <w:tc>
                <w:tcPr>
                  <w:tcW w:w="846" w:type="pct"/>
                  <w:vAlign w:val="center"/>
                </w:tcPr>
                <w:p w14:paraId="07F0F41C">
                  <w:pPr>
                    <w:jc w:val="center"/>
                    <w:rPr>
                      <w:szCs w:val="21"/>
                    </w:rPr>
                  </w:pPr>
                  <w:r>
                    <w:rPr>
                      <w:szCs w:val="21"/>
                    </w:rPr>
                    <w:t>危险废物类别</w:t>
                  </w:r>
                </w:p>
              </w:tc>
              <w:tc>
                <w:tcPr>
                  <w:tcW w:w="823" w:type="pct"/>
                  <w:vAlign w:val="center"/>
                </w:tcPr>
                <w:p w14:paraId="41D19B08">
                  <w:pPr>
                    <w:jc w:val="center"/>
                    <w:rPr>
                      <w:szCs w:val="21"/>
                    </w:rPr>
                  </w:pPr>
                  <w:r>
                    <w:rPr>
                      <w:szCs w:val="21"/>
                    </w:rPr>
                    <w:t>危险废物代码</w:t>
                  </w:r>
                </w:p>
              </w:tc>
              <w:tc>
                <w:tcPr>
                  <w:tcW w:w="312" w:type="pct"/>
                  <w:vAlign w:val="center"/>
                </w:tcPr>
                <w:p w14:paraId="213558FA">
                  <w:pPr>
                    <w:jc w:val="center"/>
                    <w:rPr>
                      <w:szCs w:val="21"/>
                    </w:rPr>
                  </w:pPr>
                  <w:r>
                    <w:rPr>
                      <w:szCs w:val="21"/>
                    </w:rPr>
                    <w:t>位置</w:t>
                  </w:r>
                </w:p>
              </w:tc>
              <w:tc>
                <w:tcPr>
                  <w:tcW w:w="528" w:type="pct"/>
                  <w:vAlign w:val="center"/>
                </w:tcPr>
                <w:p w14:paraId="16A324D9">
                  <w:pPr>
                    <w:jc w:val="center"/>
                    <w:rPr>
                      <w:szCs w:val="21"/>
                    </w:rPr>
                  </w:pPr>
                  <w:r>
                    <w:rPr>
                      <w:szCs w:val="21"/>
                    </w:rPr>
                    <w:t>占地面积</w:t>
                  </w:r>
                </w:p>
              </w:tc>
              <w:tc>
                <w:tcPr>
                  <w:tcW w:w="701" w:type="pct"/>
                  <w:vAlign w:val="center"/>
                </w:tcPr>
                <w:p w14:paraId="0BC94AE3">
                  <w:pPr>
                    <w:jc w:val="center"/>
                    <w:rPr>
                      <w:szCs w:val="21"/>
                    </w:rPr>
                  </w:pPr>
                  <w:r>
                    <w:rPr>
                      <w:szCs w:val="21"/>
                    </w:rPr>
                    <w:t>贮存方式</w:t>
                  </w:r>
                </w:p>
              </w:tc>
              <w:tc>
                <w:tcPr>
                  <w:tcW w:w="353" w:type="pct"/>
                  <w:vAlign w:val="center"/>
                </w:tcPr>
                <w:p w14:paraId="444AA6D4">
                  <w:pPr>
                    <w:jc w:val="center"/>
                    <w:rPr>
                      <w:szCs w:val="21"/>
                    </w:rPr>
                  </w:pPr>
                  <w:r>
                    <w:rPr>
                      <w:szCs w:val="21"/>
                    </w:rPr>
                    <w:t>贮存周期</w:t>
                  </w:r>
                </w:p>
              </w:tc>
            </w:tr>
            <w:tr w14:paraId="7F03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434" w:type="pct"/>
                  <w:vMerge w:val="restart"/>
                  <w:vAlign w:val="center"/>
                </w:tcPr>
                <w:p w14:paraId="2F2C7D4B">
                  <w:pPr>
                    <w:jc w:val="center"/>
                    <w:rPr>
                      <w:szCs w:val="21"/>
                    </w:rPr>
                  </w:pPr>
                  <w:r>
                    <w:rPr>
                      <w:szCs w:val="21"/>
                    </w:rPr>
                    <w:t>危废暂存间</w:t>
                  </w:r>
                </w:p>
              </w:tc>
              <w:tc>
                <w:tcPr>
                  <w:tcW w:w="1003" w:type="pct"/>
                  <w:gridSpan w:val="2"/>
                  <w:vAlign w:val="center"/>
                </w:tcPr>
                <w:p w14:paraId="58CF6842">
                  <w:pPr>
                    <w:jc w:val="center"/>
                    <w:rPr>
                      <w:szCs w:val="21"/>
                    </w:rPr>
                  </w:pPr>
                  <w:r>
                    <w:rPr>
                      <w:szCs w:val="21"/>
                    </w:rPr>
                    <w:t>废活性炭</w:t>
                  </w:r>
                </w:p>
              </w:tc>
              <w:tc>
                <w:tcPr>
                  <w:tcW w:w="846" w:type="pct"/>
                  <w:vAlign w:val="center"/>
                </w:tcPr>
                <w:p w14:paraId="27DF86CB">
                  <w:pPr>
                    <w:jc w:val="center"/>
                    <w:rPr>
                      <w:szCs w:val="21"/>
                    </w:rPr>
                  </w:pPr>
                  <w:r>
                    <w:rPr>
                      <w:szCs w:val="21"/>
                    </w:rPr>
                    <w:t>HW49</w:t>
                  </w:r>
                </w:p>
              </w:tc>
              <w:tc>
                <w:tcPr>
                  <w:tcW w:w="823" w:type="pct"/>
                  <w:shd w:val="clear" w:color="auto" w:fill="auto"/>
                  <w:vAlign w:val="center"/>
                </w:tcPr>
                <w:p w14:paraId="4542D2EB">
                  <w:pPr>
                    <w:jc w:val="center"/>
                  </w:pPr>
                  <w:r>
                    <w:t>900-039-49</w:t>
                  </w:r>
                </w:p>
              </w:tc>
              <w:tc>
                <w:tcPr>
                  <w:tcW w:w="312" w:type="pct"/>
                  <w:vMerge w:val="restart"/>
                  <w:vAlign w:val="center"/>
                </w:tcPr>
                <w:p w14:paraId="2FA24B8D">
                  <w:pPr>
                    <w:jc w:val="center"/>
                    <w:rPr>
                      <w:szCs w:val="21"/>
                    </w:rPr>
                  </w:pPr>
                  <w:r>
                    <w:rPr>
                      <w:szCs w:val="21"/>
                    </w:rPr>
                    <w:t>厂区</w:t>
                  </w:r>
                </w:p>
              </w:tc>
              <w:tc>
                <w:tcPr>
                  <w:tcW w:w="528" w:type="pct"/>
                  <w:vMerge w:val="restart"/>
                  <w:vAlign w:val="center"/>
                </w:tcPr>
                <w:p w14:paraId="00393353">
                  <w:pPr>
                    <w:jc w:val="center"/>
                    <w:rPr>
                      <w:szCs w:val="21"/>
                    </w:rPr>
                  </w:pPr>
                  <w:r>
                    <w:rPr>
                      <w:szCs w:val="21"/>
                    </w:rPr>
                    <w:t>40m</w:t>
                  </w:r>
                  <w:r>
                    <w:rPr>
                      <w:szCs w:val="21"/>
                      <w:vertAlign w:val="superscript"/>
                    </w:rPr>
                    <w:t>2</w:t>
                  </w:r>
                </w:p>
              </w:tc>
              <w:tc>
                <w:tcPr>
                  <w:tcW w:w="701" w:type="pct"/>
                  <w:vAlign w:val="center"/>
                </w:tcPr>
                <w:p w14:paraId="2D729520">
                  <w:pPr>
                    <w:jc w:val="center"/>
                    <w:rPr>
                      <w:szCs w:val="21"/>
                    </w:rPr>
                  </w:pPr>
                  <w:r>
                    <w:rPr>
                      <w:szCs w:val="21"/>
                    </w:rPr>
                    <w:t>袋装</w:t>
                  </w:r>
                </w:p>
              </w:tc>
              <w:tc>
                <w:tcPr>
                  <w:tcW w:w="353" w:type="pct"/>
                  <w:vMerge w:val="restart"/>
                  <w:vAlign w:val="center"/>
                </w:tcPr>
                <w:p w14:paraId="1FCFB948">
                  <w:pPr>
                    <w:jc w:val="center"/>
                    <w:rPr>
                      <w:szCs w:val="21"/>
                    </w:rPr>
                  </w:pPr>
                  <w:r>
                    <w:rPr>
                      <w:szCs w:val="21"/>
                    </w:rPr>
                    <w:t>90天</w:t>
                  </w:r>
                </w:p>
              </w:tc>
            </w:tr>
            <w:tr w14:paraId="1722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 w:hRule="atLeast"/>
                <w:jc w:val="center"/>
              </w:trPr>
              <w:tc>
                <w:tcPr>
                  <w:tcW w:w="434" w:type="pct"/>
                  <w:vMerge w:val="continue"/>
                  <w:vAlign w:val="center"/>
                </w:tcPr>
                <w:p w14:paraId="4D0555B8">
                  <w:pPr>
                    <w:jc w:val="center"/>
                    <w:rPr>
                      <w:szCs w:val="21"/>
                    </w:rPr>
                  </w:pPr>
                </w:p>
              </w:tc>
              <w:tc>
                <w:tcPr>
                  <w:tcW w:w="241" w:type="pct"/>
                  <w:vMerge w:val="restart"/>
                  <w:vAlign w:val="center"/>
                </w:tcPr>
                <w:p w14:paraId="60B65B51">
                  <w:pPr>
                    <w:jc w:val="center"/>
                    <w:rPr>
                      <w:szCs w:val="21"/>
                    </w:rPr>
                  </w:pPr>
                  <w:r>
                    <w:rPr>
                      <w:szCs w:val="21"/>
                    </w:rPr>
                    <w:t>废油液</w:t>
                  </w:r>
                </w:p>
              </w:tc>
              <w:tc>
                <w:tcPr>
                  <w:tcW w:w="762" w:type="pct"/>
                  <w:vAlign w:val="center"/>
                </w:tcPr>
                <w:p w14:paraId="4EDA2CB5">
                  <w:pPr>
                    <w:jc w:val="center"/>
                    <w:rPr>
                      <w:szCs w:val="21"/>
                    </w:rPr>
                  </w:pPr>
                  <w:r>
                    <w:t>残余燃油及其他矿物油</w:t>
                  </w:r>
                </w:p>
              </w:tc>
              <w:tc>
                <w:tcPr>
                  <w:tcW w:w="846" w:type="pct"/>
                  <w:shd w:val="clear" w:color="auto" w:fill="auto"/>
                  <w:vAlign w:val="center"/>
                </w:tcPr>
                <w:p w14:paraId="22F20661">
                  <w:pPr>
                    <w:jc w:val="center"/>
                  </w:pPr>
                  <w:r>
                    <w:t>HW08</w:t>
                  </w:r>
                </w:p>
              </w:tc>
              <w:tc>
                <w:tcPr>
                  <w:tcW w:w="823" w:type="pct"/>
                  <w:shd w:val="clear" w:color="auto" w:fill="auto"/>
                  <w:vAlign w:val="center"/>
                </w:tcPr>
                <w:p w14:paraId="39EB7CEC">
                  <w:pPr>
                    <w:jc w:val="center"/>
                  </w:pPr>
                  <w:r>
                    <w:rPr>
                      <w:szCs w:val="21"/>
                    </w:rPr>
                    <w:t>900-199-08</w:t>
                  </w:r>
                </w:p>
              </w:tc>
              <w:tc>
                <w:tcPr>
                  <w:tcW w:w="312" w:type="pct"/>
                  <w:vMerge w:val="continue"/>
                  <w:vAlign w:val="center"/>
                </w:tcPr>
                <w:p w14:paraId="1A2440BB">
                  <w:pPr>
                    <w:jc w:val="center"/>
                    <w:rPr>
                      <w:szCs w:val="21"/>
                    </w:rPr>
                  </w:pPr>
                </w:p>
              </w:tc>
              <w:tc>
                <w:tcPr>
                  <w:tcW w:w="528" w:type="pct"/>
                  <w:vMerge w:val="continue"/>
                  <w:vAlign w:val="center"/>
                </w:tcPr>
                <w:p w14:paraId="7BD3F4FC">
                  <w:pPr>
                    <w:jc w:val="center"/>
                    <w:rPr>
                      <w:szCs w:val="21"/>
                    </w:rPr>
                  </w:pPr>
                </w:p>
              </w:tc>
              <w:tc>
                <w:tcPr>
                  <w:tcW w:w="701" w:type="pct"/>
                  <w:vAlign w:val="center"/>
                </w:tcPr>
                <w:p w14:paraId="0D6A6A73">
                  <w:pPr>
                    <w:jc w:val="center"/>
                    <w:rPr>
                      <w:szCs w:val="21"/>
                    </w:rPr>
                  </w:pPr>
                  <w:r>
                    <w:rPr>
                      <w:szCs w:val="21"/>
                    </w:rPr>
                    <w:t>密闭桶装</w:t>
                  </w:r>
                </w:p>
              </w:tc>
              <w:tc>
                <w:tcPr>
                  <w:tcW w:w="353" w:type="pct"/>
                  <w:vMerge w:val="continue"/>
                  <w:vAlign w:val="center"/>
                </w:tcPr>
                <w:p w14:paraId="46827DD7">
                  <w:pPr>
                    <w:jc w:val="center"/>
                    <w:rPr>
                      <w:szCs w:val="21"/>
                    </w:rPr>
                  </w:pPr>
                </w:p>
              </w:tc>
            </w:tr>
            <w:tr w14:paraId="582F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 w:hRule="atLeast"/>
                <w:jc w:val="center"/>
              </w:trPr>
              <w:tc>
                <w:tcPr>
                  <w:tcW w:w="434" w:type="pct"/>
                  <w:vMerge w:val="continue"/>
                  <w:vAlign w:val="center"/>
                </w:tcPr>
                <w:p w14:paraId="2290F38B">
                  <w:pPr>
                    <w:jc w:val="center"/>
                  </w:pPr>
                </w:p>
              </w:tc>
              <w:tc>
                <w:tcPr>
                  <w:tcW w:w="241" w:type="pct"/>
                  <w:vMerge w:val="continue"/>
                  <w:vAlign w:val="center"/>
                </w:tcPr>
                <w:p w14:paraId="2DDBDBF0">
                  <w:pPr>
                    <w:jc w:val="center"/>
                  </w:pPr>
                </w:p>
              </w:tc>
              <w:tc>
                <w:tcPr>
                  <w:tcW w:w="762" w:type="pct"/>
                  <w:vAlign w:val="center"/>
                </w:tcPr>
                <w:p w14:paraId="669141C1">
                  <w:pPr>
                    <w:jc w:val="center"/>
                    <w:rPr>
                      <w:szCs w:val="21"/>
                    </w:rPr>
                  </w:pPr>
                  <w:r>
                    <w:t>废防冻液</w:t>
                  </w:r>
                </w:p>
              </w:tc>
              <w:tc>
                <w:tcPr>
                  <w:tcW w:w="846" w:type="pct"/>
                  <w:shd w:val="clear" w:color="auto" w:fill="auto"/>
                  <w:vAlign w:val="center"/>
                </w:tcPr>
                <w:p w14:paraId="6D947276">
                  <w:pPr>
                    <w:jc w:val="center"/>
                  </w:pPr>
                  <w:r>
                    <w:t>HW06</w:t>
                  </w:r>
                </w:p>
              </w:tc>
              <w:tc>
                <w:tcPr>
                  <w:tcW w:w="823" w:type="pct"/>
                  <w:shd w:val="clear" w:color="auto" w:fill="auto"/>
                  <w:vAlign w:val="center"/>
                </w:tcPr>
                <w:p w14:paraId="72F8018A">
                  <w:pPr>
                    <w:jc w:val="center"/>
                  </w:pPr>
                  <w:r>
                    <w:rPr>
                      <w:szCs w:val="21"/>
                    </w:rPr>
                    <w:t>900-402-06</w:t>
                  </w:r>
                </w:p>
              </w:tc>
              <w:tc>
                <w:tcPr>
                  <w:tcW w:w="312" w:type="pct"/>
                  <w:vMerge w:val="continue"/>
                  <w:vAlign w:val="center"/>
                </w:tcPr>
                <w:p w14:paraId="2F6001E5">
                  <w:pPr>
                    <w:jc w:val="center"/>
                    <w:rPr>
                      <w:szCs w:val="21"/>
                    </w:rPr>
                  </w:pPr>
                </w:p>
              </w:tc>
              <w:tc>
                <w:tcPr>
                  <w:tcW w:w="528" w:type="pct"/>
                  <w:vMerge w:val="continue"/>
                  <w:vAlign w:val="center"/>
                </w:tcPr>
                <w:p w14:paraId="1135844A">
                  <w:pPr>
                    <w:jc w:val="center"/>
                    <w:rPr>
                      <w:szCs w:val="21"/>
                    </w:rPr>
                  </w:pPr>
                </w:p>
              </w:tc>
              <w:tc>
                <w:tcPr>
                  <w:tcW w:w="701" w:type="pct"/>
                  <w:vAlign w:val="center"/>
                </w:tcPr>
                <w:p w14:paraId="4D20B30B">
                  <w:pPr>
                    <w:jc w:val="center"/>
                    <w:rPr>
                      <w:szCs w:val="21"/>
                    </w:rPr>
                  </w:pPr>
                  <w:r>
                    <w:rPr>
                      <w:szCs w:val="21"/>
                    </w:rPr>
                    <w:t>密闭桶装</w:t>
                  </w:r>
                </w:p>
              </w:tc>
              <w:tc>
                <w:tcPr>
                  <w:tcW w:w="353" w:type="pct"/>
                  <w:vMerge w:val="continue"/>
                  <w:vAlign w:val="center"/>
                </w:tcPr>
                <w:p w14:paraId="7A81949E">
                  <w:pPr>
                    <w:jc w:val="center"/>
                    <w:rPr>
                      <w:szCs w:val="21"/>
                    </w:rPr>
                  </w:pPr>
                </w:p>
              </w:tc>
            </w:tr>
            <w:tr w14:paraId="465F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 w:hRule="atLeast"/>
                <w:jc w:val="center"/>
              </w:trPr>
              <w:tc>
                <w:tcPr>
                  <w:tcW w:w="434" w:type="pct"/>
                  <w:vMerge w:val="continue"/>
                  <w:vAlign w:val="center"/>
                </w:tcPr>
                <w:p w14:paraId="305984EE">
                  <w:pPr>
                    <w:jc w:val="center"/>
                    <w:rPr>
                      <w:szCs w:val="21"/>
                    </w:rPr>
                  </w:pPr>
                </w:p>
              </w:tc>
              <w:tc>
                <w:tcPr>
                  <w:tcW w:w="241" w:type="pct"/>
                  <w:vMerge w:val="continue"/>
                  <w:vAlign w:val="center"/>
                </w:tcPr>
                <w:p w14:paraId="754D72D4">
                  <w:pPr>
                    <w:jc w:val="center"/>
                    <w:rPr>
                      <w:szCs w:val="21"/>
                    </w:rPr>
                  </w:pPr>
                </w:p>
              </w:tc>
              <w:tc>
                <w:tcPr>
                  <w:tcW w:w="762" w:type="pct"/>
                  <w:vAlign w:val="center"/>
                </w:tcPr>
                <w:p w14:paraId="373B1D16">
                  <w:pPr>
                    <w:jc w:val="center"/>
                    <w:rPr>
                      <w:szCs w:val="21"/>
                    </w:rPr>
                  </w:pPr>
                  <w:r>
                    <w:rPr>
                      <w:szCs w:val="21"/>
                    </w:rPr>
                    <w:t>废液压油</w:t>
                  </w:r>
                </w:p>
              </w:tc>
              <w:tc>
                <w:tcPr>
                  <w:tcW w:w="846" w:type="pct"/>
                  <w:shd w:val="clear" w:color="auto" w:fill="auto"/>
                  <w:vAlign w:val="center"/>
                </w:tcPr>
                <w:p w14:paraId="71D7A862">
                  <w:pPr>
                    <w:jc w:val="center"/>
                  </w:pPr>
                  <w:r>
                    <w:t>HW08</w:t>
                  </w:r>
                </w:p>
              </w:tc>
              <w:tc>
                <w:tcPr>
                  <w:tcW w:w="823" w:type="pct"/>
                  <w:shd w:val="clear" w:color="auto" w:fill="auto"/>
                  <w:vAlign w:val="center"/>
                </w:tcPr>
                <w:p w14:paraId="7963BE2B">
                  <w:pPr>
                    <w:jc w:val="center"/>
                  </w:pPr>
                  <w:r>
                    <w:rPr>
                      <w:szCs w:val="21"/>
                    </w:rPr>
                    <w:t>900-218-08</w:t>
                  </w:r>
                </w:p>
              </w:tc>
              <w:tc>
                <w:tcPr>
                  <w:tcW w:w="312" w:type="pct"/>
                  <w:vMerge w:val="continue"/>
                  <w:vAlign w:val="center"/>
                </w:tcPr>
                <w:p w14:paraId="02838085">
                  <w:pPr>
                    <w:jc w:val="center"/>
                    <w:rPr>
                      <w:szCs w:val="21"/>
                    </w:rPr>
                  </w:pPr>
                </w:p>
              </w:tc>
              <w:tc>
                <w:tcPr>
                  <w:tcW w:w="528" w:type="pct"/>
                  <w:vMerge w:val="continue"/>
                  <w:vAlign w:val="center"/>
                </w:tcPr>
                <w:p w14:paraId="09E61C67">
                  <w:pPr>
                    <w:jc w:val="center"/>
                    <w:rPr>
                      <w:szCs w:val="21"/>
                    </w:rPr>
                  </w:pPr>
                </w:p>
              </w:tc>
              <w:tc>
                <w:tcPr>
                  <w:tcW w:w="701" w:type="pct"/>
                  <w:vAlign w:val="center"/>
                </w:tcPr>
                <w:p w14:paraId="5BDC43BB">
                  <w:pPr>
                    <w:jc w:val="center"/>
                    <w:rPr>
                      <w:szCs w:val="21"/>
                    </w:rPr>
                  </w:pPr>
                  <w:r>
                    <w:rPr>
                      <w:szCs w:val="21"/>
                    </w:rPr>
                    <w:t>密闭桶装</w:t>
                  </w:r>
                </w:p>
              </w:tc>
              <w:tc>
                <w:tcPr>
                  <w:tcW w:w="353" w:type="pct"/>
                  <w:vMerge w:val="continue"/>
                  <w:vAlign w:val="center"/>
                </w:tcPr>
                <w:p w14:paraId="2C1F4321">
                  <w:pPr>
                    <w:jc w:val="center"/>
                    <w:rPr>
                      <w:szCs w:val="21"/>
                    </w:rPr>
                  </w:pPr>
                </w:p>
              </w:tc>
            </w:tr>
            <w:tr w14:paraId="0D97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434" w:type="pct"/>
                  <w:vMerge w:val="continue"/>
                  <w:vAlign w:val="center"/>
                </w:tcPr>
                <w:p w14:paraId="47191B1B">
                  <w:pPr>
                    <w:jc w:val="center"/>
                    <w:rPr>
                      <w:szCs w:val="21"/>
                    </w:rPr>
                  </w:pPr>
                </w:p>
              </w:tc>
              <w:tc>
                <w:tcPr>
                  <w:tcW w:w="1003" w:type="pct"/>
                  <w:gridSpan w:val="2"/>
                  <w:vAlign w:val="center"/>
                </w:tcPr>
                <w:p w14:paraId="2931BD31">
                  <w:pPr>
                    <w:jc w:val="center"/>
                    <w:rPr>
                      <w:szCs w:val="21"/>
                    </w:rPr>
                  </w:pPr>
                  <w:r>
                    <w:rPr>
                      <w:szCs w:val="21"/>
                    </w:rPr>
                    <w:t>废油箱</w:t>
                  </w:r>
                </w:p>
              </w:tc>
              <w:tc>
                <w:tcPr>
                  <w:tcW w:w="846" w:type="pct"/>
                  <w:shd w:val="clear" w:color="auto" w:fill="auto"/>
                  <w:vAlign w:val="center"/>
                </w:tcPr>
                <w:p w14:paraId="7433C73B">
                  <w:pPr>
                    <w:jc w:val="center"/>
                  </w:pPr>
                  <w:r>
                    <w:rPr>
                      <w:szCs w:val="21"/>
                    </w:rPr>
                    <w:t>HW08</w:t>
                  </w:r>
                </w:p>
              </w:tc>
              <w:tc>
                <w:tcPr>
                  <w:tcW w:w="823" w:type="pct"/>
                  <w:shd w:val="clear" w:color="auto" w:fill="auto"/>
                  <w:vAlign w:val="center"/>
                </w:tcPr>
                <w:p w14:paraId="016F18C0">
                  <w:pPr>
                    <w:jc w:val="center"/>
                  </w:pPr>
                  <w:r>
                    <w:t>900-249-08</w:t>
                  </w:r>
                </w:p>
              </w:tc>
              <w:tc>
                <w:tcPr>
                  <w:tcW w:w="312" w:type="pct"/>
                  <w:vMerge w:val="continue"/>
                  <w:vAlign w:val="center"/>
                </w:tcPr>
                <w:p w14:paraId="1E152A09">
                  <w:pPr>
                    <w:jc w:val="center"/>
                    <w:rPr>
                      <w:szCs w:val="21"/>
                    </w:rPr>
                  </w:pPr>
                </w:p>
              </w:tc>
              <w:tc>
                <w:tcPr>
                  <w:tcW w:w="528" w:type="pct"/>
                  <w:vMerge w:val="continue"/>
                  <w:vAlign w:val="center"/>
                </w:tcPr>
                <w:p w14:paraId="2CFA5C29">
                  <w:pPr>
                    <w:jc w:val="center"/>
                    <w:rPr>
                      <w:szCs w:val="21"/>
                    </w:rPr>
                  </w:pPr>
                </w:p>
              </w:tc>
              <w:tc>
                <w:tcPr>
                  <w:tcW w:w="701" w:type="pct"/>
                  <w:shd w:val="clear" w:color="auto" w:fill="auto"/>
                  <w:vAlign w:val="center"/>
                </w:tcPr>
                <w:p w14:paraId="1BAE5B6A">
                  <w:pPr>
                    <w:jc w:val="center"/>
                    <w:rPr>
                      <w:szCs w:val="21"/>
                    </w:rPr>
                  </w:pPr>
                  <w:r>
                    <w:rPr>
                      <w:szCs w:val="21"/>
                    </w:rPr>
                    <w:t>密闭桶装</w:t>
                  </w:r>
                </w:p>
              </w:tc>
              <w:tc>
                <w:tcPr>
                  <w:tcW w:w="353" w:type="pct"/>
                  <w:vMerge w:val="continue"/>
                  <w:vAlign w:val="center"/>
                </w:tcPr>
                <w:p w14:paraId="0AF5AA6B">
                  <w:pPr>
                    <w:jc w:val="center"/>
                    <w:rPr>
                      <w:szCs w:val="21"/>
                    </w:rPr>
                  </w:pPr>
                </w:p>
              </w:tc>
            </w:tr>
            <w:tr w14:paraId="5EDD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434" w:type="pct"/>
                  <w:vMerge w:val="continue"/>
                  <w:vAlign w:val="center"/>
                </w:tcPr>
                <w:p w14:paraId="0A761FCF">
                  <w:pPr>
                    <w:jc w:val="center"/>
                    <w:rPr>
                      <w:szCs w:val="21"/>
                    </w:rPr>
                  </w:pPr>
                </w:p>
              </w:tc>
              <w:tc>
                <w:tcPr>
                  <w:tcW w:w="1003" w:type="pct"/>
                  <w:gridSpan w:val="2"/>
                  <w:vAlign w:val="center"/>
                </w:tcPr>
                <w:p w14:paraId="70AF0B38">
                  <w:pPr>
                    <w:jc w:val="center"/>
                    <w:rPr>
                      <w:szCs w:val="21"/>
                    </w:rPr>
                  </w:pPr>
                  <w:r>
                    <w:rPr>
                      <w:szCs w:val="21"/>
                    </w:rPr>
                    <w:t>废尾气净化装置</w:t>
                  </w:r>
                </w:p>
              </w:tc>
              <w:tc>
                <w:tcPr>
                  <w:tcW w:w="846" w:type="pct"/>
                  <w:shd w:val="clear" w:color="auto" w:fill="auto"/>
                  <w:vAlign w:val="center"/>
                </w:tcPr>
                <w:p w14:paraId="064E62B0">
                  <w:pPr>
                    <w:jc w:val="center"/>
                    <w:rPr>
                      <w:szCs w:val="21"/>
                    </w:rPr>
                  </w:pPr>
                  <w:r>
                    <w:rPr>
                      <w:szCs w:val="21"/>
                    </w:rPr>
                    <w:t>HW50</w:t>
                  </w:r>
                </w:p>
              </w:tc>
              <w:tc>
                <w:tcPr>
                  <w:tcW w:w="823" w:type="pct"/>
                  <w:shd w:val="clear" w:color="auto" w:fill="auto"/>
                  <w:vAlign w:val="center"/>
                </w:tcPr>
                <w:p w14:paraId="082CB50F">
                  <w:pPr>
                    <w:jc w:val="center"/>
                    <w:rPr>
                      <w:szCs w:val="21"/>
                    </w:rPr>
                  </w:pPr>
                  <w:r>
                    <w:rPr>
                      <w:szCs w:val="21"/>
                    </w:rPr>
                    <w:t>900-049-50</w:t>
                  </w:r>
                </w:p>
              </w:tc>
              <w:tc>
                <w:tcPr>
                  <w:tcW w:w="312" w:type="pct"/>
                  <w:vMerge w:val="continue"/>
                  <w:vAlign w:val="center"/>
                </w:tcPr>
                <w:p w14:paraId="362ABFFD">
                  <w:pPr>
                    <w:jc w:val="center"/>
                    <w:rPr>
                      <w:szCs w:val="21"/>
                    </w:rPr>
                  </w:pPr>
                </w:p>
              </w:tc>
              <w:tc>
                <w:tcPr>
                  <w:tcW w:w="528" w:type="pct"/>
                  <w:vMerge w:val="continue"/>
                  <w:vAlign w:val="center"/>
                </w:tcPr>
                <w:p w14:paraId="211427F3">
                  <w:pPr>
                    <w:jc w:val="center"/>
                    <w:rPr>
                      <w:szCs w:val="21"/>
                    </w:rPr>
                  </w:pPr>
                </w:p>
              </w:tc>
              <w:tc>
                <w:tcPr>
                  <w:tcW w:w="701" w:type="pct"/>
                  <w:shd w:val="clear" w:color="auto" w:fill="auto"/>
                  <w:vAlign w:val="center"/>
                </w:tcPr>
                <w:p w14:paraId="1D4D635B">
                  <w:pPr>
                    <w:jc w:val="center"/>
                    <w:rPr>
                      <w:szCs w:val="21"/>
                    </w:rPr>
                  </w:pPr>
                  <w:r>
                    <w:rPr>
                      <w:szCs w:val="21"/>
                    </w:rPr>
                    <w:t>密闭桶装</w:t>
                  </w:r>
                </w:p>
              </w:tc>
              <w:tc>
                <w:tcPr>
                  <w:tcW w:w="353" w:type="pct"/>
                  <w:vMerge w:val="continue"/>
                  <w:vAlign w:val="center"/>
                </w:tcPr>
                <w:p w14:paraId="3CE957E0">
                  <w:pPr>
                    <w:jc w:val="center"/>
                    <w:rPr>
                      <w:szCs w:val="21"/>
                    </w:rPr>
                  </w:pPr>
                </w:p>
              </w:tc>
            </w:tr>
            <w:tr w14:paraId="437F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434" w:type="pct"/>
                  <w:vMerge w:val="continue"/>
                  <w:vAlign w:val="center"/>
                </w:tcPr>
                <w:p w14:paraId="5F6CA75A">
                  <w:pPr>
                    <w:jc w:val="center"/>
                    <w:rPr>
                      <w:szCs w:val="21"/>
                    </w:rPr>
                  </w:pPr>
                </w:p>
              </w:tc>
              <w:tc>
                <w:tcPr>
                  <w:tcW w:w="1003" w:type="pct"/>
                  <w:gridSpan w:val="2"/>
                  <w:vAlign w:val="center"/>
                </w:tcPr>
                <w:p w14:paraId="665D0341">
                  <w:pPr>
                    <w:jc w:val="center"/>
                    <w:rPr>
                      <w:szCs w:val="21"/>
                    </w:rPr>
                  </w:pPr>
                  <w:r>
                    <w:rPr>
                      <w:szCs w:val="21"/>
                    </w:rPr>
                    <w:t>废机油滤清器</w:t>
                  </w:r>
                </w:p>
              </w:tc>
              <w:tc>
                <w:tcPr>
                  <w:tcW w:w="846" w:type="pct"/>
                  <w:shd w:val="clear" w:color="auto" w:fill="auto"/>
                  <w:vAlign w:val="center"/>
                </w:tcPr>
                <w:p w14:paraId="1952D378">
                  <w:pPr>
                    <w:jc w:val="center"/>
                  </w:pPr>
                  <w:r>
                    <w:t>HW49</w:t>
                  </w:r>
                </w:p>
              </w:tc>
              <w:tc>
                <w:tcPr>
                  <w:tcW w:w="823" w:type="pct"/>
                  <w:shd w:val="clear" w:color="auto" w:fill="auto"/>
                  <w:vAlign w:val="center"/>
                </w:tcPr>
                <w:p w14:paraId="198769EE">
                  <w:pPr>
                    <w:jc w:val="center"/>
                  </w:pPr>
                  <w:r>
                    <w:t>900-041-49</w:t>
                  </w:r>
                </w:p>
              </w:tc>
              <w:tc>
                <w:tcPr>
                  <w:tcW w:w="312" w:type="pct"/>
                  <w:vMerge w:val="continue"/>
                  <w:vAlign w:val="center"/>
                </w:tcPr>
                <w:p w14:paraId="7AF77FF0">
                  <w:pPr>
                    <w:jc w:val="center"/>
                    <w:rPr>
                      <w:szCs w:val="21"/>
                    </w:rPr>
                  </w:pPr>
                </w:p>
              </w:tc>
              <w:tc>
                <w:tcPr>
                  <w:tcW w:w="528" w:type="pct"/>
                  <w:vMerge w:val="continue"/>
                  <w:vAlign w:val="center"/>
                </w:tcPr>
                <w:p w14:paraId="03F40809">
                  <w:pPr>
                    <w:jc w:val="center"/>
                    <w:rPr>
                      <w:szCs w:val="21"/>
                    </w:rPr>
                  </w:pPr>
                </w:p>
              </w:tc>
              <w:tc>
                <w:tcPr>
                  <w:tcW w:w="701" w:type="pct"/>
                  <w:shd w:val="clear" w:color="auto" w:fill="auto"/>
                  <w:vAlign w:val="center"/>
                </w:tcPr>
                <w:p w14:paraId="43E4FFD6">
                  <w:pPr>
                    <w:jc w:val="center"/>
                    <w:rPr>
                      <w:szCs w:val="21"/>
                    </w:rPr>
                  </w:pPr>
                  <w:r>
                    <w:rPr>
                      <w:szCs w:val="21"/>
                    </w:rPr>
                    <w:t>密闭桶装</w:t>
                  </w:r>
                </w:p>
              </w:tc>
              <w:tc>
                <w:tcPr>
                  <w:tcW w:w="353" w:type="pct"/>
                  <w:vMerge w:val="continue"/>
                  <w:vAlign w:val="center"/>
                </w:tcPr>
                <w:p w14:paraId="433781EB">
                  <w:pPr>
                    <w:jc w:val="center"/>
                    <w:rPr>
                      <w:szCs w:val="21"/>
                    </w:rPr>
                  </w:pPr>
                </w:p>
              </w:tc>
            </w:tr>
            <w:tr w14:paraId="639C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434" w:type="pct"/>
                  <w:vMerge w:val="continue"/>
                  <w:vAlign w:val="center"/>
                </w:tcPr>
                <w:p w14:paraId="1E669958">
                  <w:pPr>
                    <w:jc w:val="center"/>
                    <w:rPr>
                      <w:szCs w:val="21"/>
                    </w:rPr>
                  </w:pPr>
                </w:p>
              </w:tc>
              <w:tc>
                <w:tcPr>
                  <w:tcW w:w="1003" w:type="pct"/>
                  <w:gridSpan w:val="2"/>
                  <w:vAlign w:val="center"/>
                </w:tcPr>
                <w:p w14:paraId="61157A3E">
                  <w:pPr>
                    <w:jc w:val="center"/>
                    <w:rPr>
                      <w:szCs w:val="21"/>
                    </w:rPr>
                  </w:pPr>
                  <w:r>
                    <w:rPr>
                      <w:szCs w:val="21"/>
                    </w:rPr>
                    <w:t>废电子电器件</w:t>
                  </w:r>
                </w:p>
              </w:tc>
              <w:tc>
                <w:tcPr>
                  <w:tcW w:w="846" w:type="pct"/>
                  <w:vAlign w:val="center"/>
                </w:tcPr>
                <w:p w14:paraId="0FFF7BFC">
                  <w:pPr>
                    <w:jc w:val="center"/>
                    <w:rPr>
                      <w:szCs w:val="21"/>
                    </w:rPr>
                  </w:pPr>
                  <w:r>
                    <w:t>HW49</w:t>
                  </w:r>
                </w:p>
              </w:tc>
              <w:tc>
                <w:tcPr>
                  <w:tcW w:w="823" w:type="pct"/>
                  <w:shd w:val="clear" w:color="auto" w:fill="auto"/>
                  <w:vAlign w:val="center"/>
                </w:tcPr>
                <w:p w14:paraId="574435C2">
                  <w:pPr>
                    <w:jc w:val="center"/>
                  </w:pPr>
                  <w:r>
                    <w:t>900-045-49</w:t>
                  </w:r>
                </w:p>
              </w:tc>
              <w:tc>
                <w:tcPr>
                  <w:tcW w:w="312" w:type="pct"/>
                  <w:vMerge w:val="continue"/>
                  <w:vAlign w:val="center"/>
                </w:tcPr>
                <w:p w14:paraId="6ECF2AB1">
                  <w:pPr>
                    <w:jc w:val="center"/>
                    <w:rPr>
                      <w:szCs w:val="21"/>
                    </w:rPr>
                  </w:pPr>
                </w:p>
              </w:tc>
              <w:tc>
                <w:tcPr>
                  <w:tcW w:w="528" w:type="pct"/>
                  <w:vMerge w:val="continue"/>
                  <w:vAlign w:val="center"/>
                </w:tcPr>
                <w:p w14:paraId="1CA5B2A0">
                  <w:pPr>
                    <w:jc w:val="center"/>
                    <w:rPr>
                      <w:szCs w:val="21"/>
                    </w:rPr>
                  </w:pPr>
                </w:p>
              </w:tc>
              <w:tc>
                <w:tcPr>
                  <w:tcW w:w="701" w:type="pct"/>
                  <w:vAlign w:val="center"/>
                </w:tcPr>
                <w:p w14:paraId="1BC27460">
                  <w:pPr>
                    <w:jc w:val="center"/>
                    <w:rPr>
                      <w:szCs w:val="21"/>
                    </w:rPr>
                  </w:pPr>
                  <w:r>
                    <w:rPr>
                      <w:szCs w:val="21"/>
                    </w:rPr>
                    <w:t>密闭贮存箱</w:t>
                  </w:r>
                </w:p>
              </w:tc>
              <w:tc>
                <w:tcPr>
                  <w:tcW w:w="353" w:type="pct"/>
                  <w:vMerge w:val="continue"/>
                  <w:vAlign w:val="center"/>
                </w:tcPr>
                <w:p w14:paraId="0DF74EF6">
                  <w:pPr>
                    <w:jc w:val="center"/>
                    <w:rPr>
                      <w:szCs w:val="21"/>
                    </w:rPr>
                  </w:pPr>
                </w:p>
              </w:tc>
            </w:tr>
            <w:tr w14:paraId="5B06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434" w:type="pct"/>
                  <w:vMerge w:val="continue"/>
                  <w:vAlign w:val="center"/>
                </w:tcPr>
                <w:p w14:paraId="13CF8F79">
                  <w:pPr>
                    <w:jc w:val="center"/>
                    <w:rPr>
                      <w:szCs w:val="21"/>
                    </w:rPr>
                  </w:pPr>
                </w:p>
              </w:tc>
              <w:tc>
                <w:tcPr>
                  <w:tcW w:w="1003" w:type="pct"/>
                  <w:gridSpan w:val="2"/>
                  <w:vAlign w:val="center"/>
                </w:tcPr>
                <w:p w14:paraId="1CBFD71F">
                  <w:pPr>
                    <w:jc w:val="center"/>
                    <w:rPr>
                      <w:szCs w:val="21"/>
                    </w:rPr>
                  </w:pPr>
                  <w:r>
                    <w:rPr>
                      <w:rFonts w:hint="eastAsia"/>
                      <w:szCs w:val="21"/>
                    </w:rPr>
                    <w:t>废铅酸蓄电池</w:t>
                  </w:r>
                </w:p>
              </w:tc>
              <w:tc>
                <w:tcPr>
                  <w:tcW w:w="846" w:type="pct"/>
                  <w:vAlign w:val="center"/>
                </w:tcPr>
                <w:p w14:paraId="06AC82A7">
                  <w:pPr>
                    <w:jc w:val="center"/>
                    <w:rPr>
                      <w:szCs w:val="21"/>
                    </w:rPr>
                  </w:pPr>
                  <w:r>
                    <w:rPr>
                      <w:szCs w:val="21"/>
                    </w:rPr>
                    <w:t>HW31</w:t>
                  </w:r>
                </w:p>
              </w:tc>
              <w:tc>
                <w:tcPr>
                  <w:tcW w:w="823" w:type="pct"/>
                  <w:shd w:val="clear" w:color="auto" w:fill="auto"/>
                  <w:vAlign w:val="center"/>
                </w:tcPr>
                <w:p w14:paraId="231CF199">
                  <w:pPr>
                    <w:jc w:val="center"/>
                  </w:pPr>
                  <w:r>
                    <w:t>900-052-31</w:t>
                  </w:r>
                </w:p>
              </w:tc>
              <w:tc>
                <w:tcPr>
                  <w:tcW w:w="312" w:type="pct"/>
                  <w:vMerge w:val="continue"/>
                  <w:vAlign w:val="center"/>
                </w:tcPr>
                <w:p w14:paraId="286D4583">
                  <w:pPr>
                    <w:jc w:val="center"/>
                    <w:rPr>
                      <w:szCs w:val="21"/>
                    </w:rPr>
                  </w:pPr>
                </w:p>
              </w:tc>
              <w:tc>
                <w:tcPr>
                  <w:tcW w:w="528" w:type="pct"/>
                  <w:vMerge w:val="continue"/>
                  <w:vAlign w:val="center"/>
                </w:tcPr>
                <w:p w14:paraId="03107EA5">
                  <w:pPr>
                    <w:jc w:val="center"/>
                    <w:rPr>
                      <w:szCs w:val="21"/>
                    </w:rPr>
                  </w:pPr>
                </w:p>
              </w:tc>
              <w:tc>
                <w:tcPr>
                  <w:tcW w:w="701" w:type="pct"/>
                  <w:vAlign w:val="center"/>
                </w:tcPr>
                <w:p w14:paraId="2AD7416E">
                  <w:pPr>
                    <w:jc w:val="center"/>
                    <w:rPr>
                      <w:szCs w:val="21"/>
                    </w:rPr>
                  </w:pPr>
                  <w:r>
                    <w:rPr>
                      <w:szCs w:val="21"/>
                    </w:rPr>
                    <w:t>密闭贮存箱</w:t>
                  </w:r>
                </w:p>
              </w:tc>
              <w:tc>
                <w:tcPr>
                  <w:tcW w:w="353" w:type="pct"/>
                  <w:vMerge w:val="continue"/>
                  <w:vAlign w:val="center"/>
                </w:tcPr>
                <w:p w14:paraId="1EF5E95D">
                  <w:pPr>
                    <w:jc w:val="center"/>
                    <w:rPr>
                      <w:szCs w:val="21"/>
                    </w:rPr>
                  </w:pPr>
                </w:p>
              </w:tc>
            </w:tr>
            <w:tr w14:paraId="6F04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434" w:type="pct"/>
                  <w:vMerge w:val="continue"/>
                  <w:vAlign w:val="center"/>
                </w:tcPr>
                <w:p w14:paraId="1DEEE2E8">
                  <w:pPr>
                    <w:jc w:val="center"/>
                    <w:rPr>
                      <w:szCs w:val="21"/>
                    </w:rPr>
                  </w:pPr>
                </w:p>
              </w:tc>
              <w:tc>
                <w:tcPr>
                  <w:tcW w:w="1003" w:type="pct"/>
                  <w:gridSpan w:val="2"/>
                  <w:vAlign w:val="center"/>
                </w:tcPr>
                <w:p w14:paraId="7083A47D">
                  <w:pPr>
                    <w:jc w:val="center"/>
                    <w:rPr>
                      <w:szCs w:val="21"/>
                    </w:rPr>
                  </w:pPr>
                  <w:r>
                    <w:rPr>
                      <w:szCs w:val="21"/>
                    </w:rPr>
                    <w:t>含油抹布及手套</w:t>
                  </w:r>
                </w:p>
              </w:tc>
              <w:tc>
                <w:tcPr>
                  <w:tcW w:w="846" w:type="pct"/>
                  <w:vAlign w:val="center"/>
                </w:tcPr>
                <w:p w14:paraId="054A30D2">
                  <w:pPr>
                    <w:jc w:val="center"/>
                    <w:rPr>
                      <w:szCs w:val="21"/>
                    </w:rPr>
                  </w:pPr>
                  <w:r>
                    <w:rPr>
                      <w:szCs w:val="21"/>
                    </w:rPr>
                    <w:t>HW49</w:t>
                  </w:r>
                </w:p>
              </w:tc>
              <w:tc>
                <w:tcPr>
                  <w:tcW w:w="823" w:type="pct"/>
                  <w:shd w:val="clear" w:color="auto" w:fill="auto"/>
                  <w:vAlign w:val="center"/>
                </w:tcPr>
                <w:p w14:paraId="0A3FA0DD">
                  <w:pPr>
                    <w:jc w:val="center"/>
                  </w:pPr>
                  <w:r>
                    <w:t>900-041-49</w:t>
                  </w:r>
                </w:p>
              </w:tc>
              <w:tc>
                <w:tcPr>
                  <w:tcW w:w="312" w:type="pct"/>
                  <w:vMerge w:val="continue"/>
                  <w:vAlign w:val="center"/>
                </w:tcPr>
                <w:p w14:paraId="460AF715">
                  <w:pPr>
                    <w:jc w:val="center"/>
                    <w:rPr>
                      <w:szCs w:val="21"/>
                    </w:rPr>
                  </w:pPr>
                </w:p>
              </w:tc>
              <w:tc>
                <w:tcPr>
                  <w:tcW w:w="528" w:type="pct"/>
                  <w:vMerge w:val="continue"/>
                  <w:vAlign w:val="center"/>
                </w:tcPr>
                <w:p w14:paraId="2DB5AE55">
                  <w:pPr>
                    <w:jc w:val="center"/>
                    <w:rPr>
                      <w:szCs w:val="21"/>
                    </w:rPr>
                  </w:pPr>
                </w:p>
              </w:tc>
              <w:tc>
                <w:tcPr>
                  <w:tcW w:w="701" w:type="pct"/>
                  <w:vAlign w:val="center"/>
                </w:tcPr>
                <w:p w14:paraId="2DEDB438">
                  <w:pPr>
                    <w:jc w:val="center"/>
                    <w:rPr>
                      <w:szCs w:val="21"/>
                    </w:rPr>
                  </w:pPr>
                  <w:r>
                    <w:rPr>
                      <w:szCs w:val="21"/>
                    </w:rPr>
                    <w:t>密闭桶装</w:t>
                  </w:r>
                </w:p>
              </w:tc>
              <w:tc>
                <w:tcPr>
                  <w:tcW w:w="353" w:type="pct"/>
                  <w:vMerge w:val="continue"/>
                  <w:vAlign w:val="center"/>
                </w:tcPr>
                <w:p w14:paraId="13278ACF">
                  <w:pPr>
                    <w:jc w:val="center"/>
                    <w:rPr>
                      <w:szCs w:val="21"/>
                    </w:rPr>
                  </w:pPr>
                </w:p>
              </w:tc>
            </w:tr>
          </w:tbl>
          <w:p w14:paraId="28EF88E4">
            <w:pPr>
              <w:pStyle w:val="14"/>
              <w:spacing w:before="0" w:after="0" w:line="360" w:lineRule="auto"/>
              <w:ind w:right="0" w:firstLine="482" w:firstLineChars="200"/>
              <w:rPr>
                <w:b/>
                <w:bCs/>
              </w:rPr>
            </w:pPr>
            <w:r>
              <w:rPr>
                <w:b/>
                <w:bCs/>
              </w:rPr>
              <w:t>3、危险废物转移及运输管理措施</w:t>
            </w:r>
          </w:p>
          <w:p w14:paraId="08635F55">
            <w:pPr>
              <w:pStyle w:val="14"/>
              <w:spacing w:before="0" w:after="0" w:line="360" w:lineRule="auto"/>
              <w:ind w:right="0" w:firstLine="480" w:firstLineChars="200"/>
            </w:pPr>
            <w:r>
              <w:rPr>
                <w:rFonts w:hint="eastAsia" w:ascii="宋体" w:hAnsi="宋体" w:cs="宋体"/>
              </w:rPr>
              <w:t>①</w:t>
            </w:r>
            <w:r>
              <w:t>应按照《道路危险货物运输管理规定》、《危险废物收集贮存运输技术规范》（HJ2025）等进行危险废物的运输，并按照《危险废物转移联单管理办法》的规定执行。</w:t>
            </w:r>
          </w:p>
          <w:p w14:paraId="674D04D0">
            <w:pPr>
              <w:pStyle w:val="14"/>
              <w:spacing w:before="0" w:after="0" w:line="360" w:lineRule="auto"/>
              <w:ind w:right="0" w:firstLine="480" w:firstLineChars="200"/>
            </w:pPr>
            <w:r>
              <w:rPr>
                <w:rFonts w:hint="eastAsia" w:ascii="宋体" w:hAnsi="宋体" w:cs="宋体"/>
              </w:rPr>
              <w:t>②</w:t>
            </w:r>
            <w:r>
              <w:t>随车携带文件，配置橡胶手套、工作手套、口罩、消毒水、急救药箱、灭火器、通讯工具、紧急应变手册及紧急处理工具等。</w:t>
            </w:r>
          </w:p>
          <w:p w14:paraId="10BE7D9A">
            <w:pPr>
              <w:pStyle w:val="14"/>
              <w:spacing w:before="0" w:after="0" w:line="360" w:lineRule="auto"/>
              <w:ind w:right="0" w:firstLine="480" w:firstLineChars="200"/>
            </w:pPr>
            <w:r>
              <w:rPr>
                <w:rFonts w:hint="eastAsia" w:ascii="宋体" w:hAnsi="宋体" w:cs="宋体"/>
              </w:rPr>
              <w:t>③</w:t>
            </w:r>
            <w:r>
              <w:t>在运输过程中，采取专车专用的方式，禁止将危险废物与旅客及其它货物同车运输。</w:t>
            </w:r>
          </w:p>
          <w:p w14:paraId="76E52ED8">
            <w:pPr>
              <w:pStyle w:val="14"/>
              <w:spacing w:before="0" w:after="0" w:line="360" w:lineRule="auto"/>
              <w:ind w:right="0" w:firstLine="480" w:firstLineChars="200"/>
            </w:pPr>
            <w:r>
              <w:rPr>
                <w:rFonts w:hint="eastAsia" w:ascii="宋体" w:hAnsi="宋体" w:cs="宋体"/>
              </w:rPr>
              <w:t>④</w:t>
            </w:r>
            <w:r>
              <w:t>在实际运输过程中，对每条运输路线所经过的江河、大桥入口处和距离路边较近的居民集中区和学校等敏感点进行标注，并对从事危险品运输的驾驶员进行提醒及监督。如有必要应尽量避免雨天运输。</w:t>
            </w:r>
          </w:p>
          <w:p w14:paraId="5143139F">
            <w:pPr>
              <w:pStyle w:val="14"/>
              <w:spacing w:before="0" w:after="0" w:line="360" w:lineRule="auto"/>
              <w:ind w:right="0" w:firstLine="480" w:firstLineChars="200"/>
            </w:pPr>
            <w:r>
              <w:rPr>
                <w:rFonts w:hint="eastAsia" w:ascii="宋体" w:hAnsi="宋体" w:cs="宋体"/>
              </w:rPr>
              <w:t>⑤</w:t>
            </w:r>
            <w:r>
              <w:t>危险废物运输途经城市时，应尽量绕城行驶，不得停留，不得穿越中心城区。</w:t>
            </w:r>
          </w:p>
          <w:p w14:paraId="15549E0B">
            <w:pPr>
              <w:pStyle w:val="14"/>
              <w:spacing w:before="0" w:after="0" w:line="360" w:lineRule="auto"/>
              <w:ind w:right="0" w:firstLine="480" w:firstLineChars="200"/>
            </w:pPr>
            <w:r>
              <w:rPr>
                <w:rFonts w:hint="eastAsia" w:ascii="宋体" w:hAnsi="宋体" w:cs="宋体"/>
              </w:rPr>
              <w:t>⑥</w:t>
            </w:r>
            <w:r>
              <w:t>对运输车进行严格管理，须备有车辆里程登记表并做好每日登记，做好车辆日常的维护。</w:t>
            </w:r>
          </w:p>
          <w:p w14:paraId="6A3FD952">
            <w:pPr>
              <w:pStyle w:val="14"/>
              <w:spacing w:before="0" w:after="0" w:line="360" w:lineRule="auto"/>
              <w:ind w:right="0" w:firstLine="480" w:firstLineChars="200"/>
            </w:pPr>
            <w:r>
              <w:rPr>
                <w:rFonts w:hint="eastAsia" w:ascii="宋体" w:hAnsi="宋体" w:cs="宋体"/>
              </w:rPr>
              <w:t>⑦</w:t>
            </w:r>
            <w:r>
              <w:t>从事危险废物运输的人员，应当定期进行排除危险品运输车辆交通事故的业务培训，增强忧患意识，经考核合格，方可从事该项工作；运输车辆须有特殊标志，以引起关注；危险废物运输车辆需持有危险废物运输通行证。</w:t>
            </w:r>
          </w:p>
          <w:p w14:paraId="2E810A03">
            <w:pPr>
              <w:pStyle w:val="14"/>
              <w:spacing w:before="0" w:after="0" w:line="360" w:lineRule="auto"/>
              <w:ind w:right="0" w:firstLine="480" w:firstLineChars="200"/>
            </w:pPr>
            <w:r>
              <w:rPr>
                <w:rFonts w:hint="eastAsia" w:ascii="宋体" w:hAnsi="宋体" w:cs="宋体"/>
              </w:rPr>
              <w:t>⑧</w:t>
            </w:r>
            <w:r>
              <w:t>加强汽车运输及装卸管理，做好运输工具的密封。不应超载（或物料装得过满）。车在厂区内行驶速度应小于10km/h。运输车辆应遵守交通规则，禁止超载、超速和酒后驾车，行驶过程中要避免急速转弯、紧急刹车和急速加速。</w:t>
            </w:r>
          </w:p>
          <w:p w14:paraId="2769EC29">
            <w:pPr>
              <w:pStyle w:val="14"/>
              <w:spacing w:before="0" w:after="0" w:line="360" w:lineRule="auto"/>
              <w:ind w:right="0" w:firstLine="480" w:firstLineChars="200"/>
            </w:pPr>
            <w:r>
              <w:rPr>
                <w:rFonts w:hint="eastAsia" w:ascii="宋体" w:hAnsi="宋体" w:cs="宋体"/>
              </w:rPr>
              <w:t>⑨</w:t>
            </w:r>
            <w:r>
              <w:t>运输前应检查危险废物转移联单，核对品名、数量和标志等。</w:t>
            </w:r>
          </w:p>
          <w:p w14:paraId="259596EB">
            <w:pPr>
              <w:jc w:val="center"/>
              <w:rPr>
                <w:b/>
                <w:bCs/>
                <w:sz w:val="24"/>
                <w:szCs w:val="32"/>
              </w:rPr>
            </w:pPr>
            <w:r>
              <w:rPr>
                <w:b/>
                <w:bCs/>
                <w:sz w:val="24"/>
                <w:szCs w:val="32"/>
              </w:rPr>
              <w:t>表3</w:t>
            </w:r>
            <w:r>
              <w:rPr>
                <w:rFonts w:hint="eastAsia"/>
                <w:b/>
                <w:bCs/>
                <w:sz w:val="24"/>
                <w:szCs w:val="32"/>
              </w:rPr>
              <w:t>3</w:t>
            </w:r>
            <w:r>
              <w:rPr>
                <w:b/>
                <w:bCs/>
                <w:sz w:val="24"/>
                <w:szCs w:val="32"/>
              </w:rPr>
              <w:t xml:space="preserve">   本项目固体废物汇总表</w:t>
            </w:r>
          </w:p>
          <w:tbl>
            <w:tblPr>
              <w:tblStyle w:val="24"/>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1"/>
              <w:gridCol w:w="862"/>
              <w:gridCol w:w="1673"/>
              <w:gridCol w:w="1415"/>
              <w:gridCol w:w="1279"/>
              <w:gridCol w:w="1968"/>
            </w:tblGrid>
            <w:tr w14:paraId="73AA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1151" w:type="dxa"/>
                  <w:vAlign w:val="center"/>
                </w:tcPr>
                <w:p w14:paraId="76CB8DC9">
                  <w:pPr>
                    <w:jc w:val="center"/>
                    <w:rPr>
                      <w:b/>
                      <w:bCs/>
                      <w:szCs w:val="21"/>
                      <w:u w:val="single"/>
                    </w:rPr>
                  </w:pPr>
                  <w:r>
                    <w:rPr>
                      <w:b/>
                      <w:bCs/>
                      <w:szCs w:val="21"/>
                      <w:u w:val="single"/>
                    </w:rPr>
                    <w:t>产生环节</w:t>
                  </w:r>
                </w:p>
              </w:tc>
              <w:tc>
                <w:tcPr>
                  <w:tcW w:w="2702" w:type="dxa"/>
                  <w:gridSpan w:val="2"/>
                  <w:vAlign w:val="center"/>
                </w:tcPr>
                <w:p w14:paraId="7A0B3EBE">
                  <w:pPr>
                    <w:jc w:val="center"/>
                    <w:rPr>
                      <w:b/>
                      <w:bCs/>
                      <w:szCs w:val="21"/>
                      <w:u w:val="single"/>
                    </w:rPr>
                  </w:pPr>
                  <w:r>
                    <w:rPr>
                      <w:b/>
                      <w:bCs/>
                      <w:szCs w:val="21"/>
                      <w:u w:val="single"/>
                    </w:rPr>
                    <w:t>名称</w:t>
                  </w:r>
                </w:p>
              </w:tc>
              <w:tc>
                <w:tcPr>
                  <w:tcW w:w="1511" w:type="dxa"/>
                  <w:shd w:val="clear" w:color="auto" w:fill="auto"/>
                  <w:vAlign w:val="center"/>
                </w:tcPr>
                <w:p w14:paraId="1C73006D">
                  <w:pPr>
                    <w:jc w:val="center"/>
                    <w:rPr>
                      <w:b/>
                      <w:bCs/>
                      <w:szCs w:val="21"/>
                      <w:u w:val="single"/>
                    </w:rPr>
                  </w:pPr>
                  <w:r>
                    <w:rPr>
                      <w:b/>
                      <w:bCs/>
                      <w:szCs w:val="21"/>
                      <w:u w:val="single"/>
                    </w:rPr>
                    <w:t>属性</w:t>
                  </w:r>
                </w:p>
              </w:tc>
              <w:tc>
                <w:tcPr>
                  <w:tcW w:w="1328" w:type="dxa"/>
                  <w:shd w:val="clear" w:color="auto" w:fill="auto"/>
                  <w:vAlign w:val="center"/>
                </w:tcPr>
                <w:p w14:paraId="02E423C0">
                  <w:pPr>
                    <w:jc w:val="center"/>
                    <w:rPr>
                      <w:b/>
                      <w:bCs/>
                      <w:szCs w:val="21"/>
                      <w:u w:val="single"/>
                    </w:rPr>
                  </w:pPr>
                  <w:r>
                    <w:rPr>
                      <w:b/>
                      <w:bCs/>
                      <w:szCs w:val="21"/>
                      <w:u w:val="single"/>
                    </w:rPr>
                    <w:t>产生量（t/a）</w:t>
                  </w:r>
                </w:p>
              </w:tc>
              <w:tc>
                <w:tcPr>
                  <w:tcW w:w="2091" w:type="dxa"/>
                  <w:vAlign w:val="center"/>
                </w:tcPr>
                <w:p w14:paraId="053C418A">
                  <w:pPr>
                    <w:jc w:val="center"/>
                    <w:rPr>
                      <w:b/>
                      <w:bCs/>
                      <w:szCs w:val="21"/>
                      <w:u w:val="single"/>
                    </w:rPr>
                  </w:pPr>
                  <w:r>
                    <w:rPr>
                      <w:b/>
                      <w:bCs/>
                      <w:szCs w:val="21"/>
                      <w:u w:val="single"/>
                    </w:rPr>
                    <w:t>处置去向</w:t>
                  </w:r>
                </w:p>
              </w:tc>
            </w:tr>
            <w:tr w14:paraId="60FC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Align w:val="center"/>
                </w:tcPr>
                <w:p w14:paraId="0080E027">
                  <w:pPr>
                    <w:jc w:val="center"/>
                    <w:rPr>
                      <w:b/>
                      <w:bCs/>
                      <w:szCs w:val="21"/>
                      <w:u w:val="single"/>
                    </w:rPr>
                  </w:pPr>
                  <w:r>
                    <w:rPr>
                      <w:b/>
                      <w:bCs/>
                      <w:szCs w:val="21"/>
                      <w:u w:val="single"/>
                    </w:rPr>
                    <w:t>职工生活</w:t>
                  </w:r>
                </w:p>
              </w:tc>
              <w:tc>
                <w:tcPr>
                  <w:tcW w:w="2702" w:type="dxa"/>
                  <w:gridSpan w:val="2"/>
                  <w:vAlign w:val="center"/>
                </w:tcPr>
                <w:p w14:paraId="6B23F7EE">
                  <w:pPr>
                    <w:jc w:val="center"/>
                    <w:rPr>
                      <w:b/>
                      <w:bCs/>
                      <w:szCs w:val="21"/>
                      <w:u w:val="single"/>
                    </w:rPr>
                  </w:pPr>
                  <w:r>
                    <w:rPr>
                      <w:b/>
                      <w:bCs/>
                      <w:szCs w:val="21"/>
                      <w:u w:val="single"/>
                    </w:rPr>
                    <w:t>生活垃圾</w:t>
                  </w:r>
                </w:p>
              </w:tc>
              <w:tc>
                <w:tcPr>
                  <w:tcW w:w="1511" w:type="dxa"/>
                  <w:vAlign w:val="center"/>
                </w:tcPr>
                <w:p w14:paraId="5DEB5567">
                  <w:pPr>
                    <w:jc w:val="center"/>
                    <w:rPr>
                      <w:b/>
                      <w:bCs/>
                      <w:szCs w:val="21"/>
                      <w:u w:val="single"/>
                    </w:rPr>
                  </w:pPr>
                  <w:r>
                    <w:rPr>
                      <w:b/>
                      <w:bCs/>
                      <w:szCs w:val="21"/>
                      <w:u w:val="single"/>
                    </w:rPr>
                    <w:t>一般固体废物</w:t>
                  </w:r>
                </w:p>
              </w:tc>
              <w:tc>
                <w:tcPr>
                  <w:tcW w:w="1328" w:type="dxa"/>
                  <w:vAlign w:val="center"/>
                </w:tcPr>
                <w:p w14:paraId="28384409">
                  <w:pPr>
                    <w:jc w:val="center"/>
                    <w:rPr>
                      <w:b/>
                      <w:bCs/>
                      <w:szCs w:val="21"/>
                      <w:u w:val="single"/>
                    </w:rPr>
                  </w:pPr>
                  <w:r>
                    <w:rPr>
                      <w:b/>
                      <w:bCs/>
                      <w:szCs w:val="21"/>
                      <w:u w:val="single"/>
                    </w:rPr>
                    <w:t>0.375</w:t>
                  </w:r>
                </w:p>
              </w:tc>
              <w:tc>
                <w:tcPr>
                  <w:tcW w:w="2091" w:type="dxa"/>
                  <w:vMerge w:val="restart"/>
                  <w:vAlign w:val="center"/>
                </w:tcPr>
                <w:p w14:paraId="1196CB2A">
                  <w:pPr>
                    <w:jc w:val="center"/>
                    <w:rPr>
                      <w:b/>
                      <w:bCs/>
                      <w:szCs w:val="21"/>
                      <w:u w:val="single"/>
                    </w:rPr>
                  </w:pPr>
                  <w:r>
                    <w:rPr>
                      <w:b/>
                      <w:bCs/>
                      <w:szCs w:val="21"/>
                      <w:u w:val="single"/>
                    </w:rPr>
                    <w:t>交由环卫部门统一清运</w:t>
                  </w:r>
                </w:p>
              </w:tc>
            </w:tr>
            <w:tr w14:paraId="08CB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restart"/>
                  <w:vAlign w:val="center"/>
                </w:tcPr>
                <w:p w14:paraId="5B3B64A4">
                  <w:pPr>
                    <w:jc w:val="center"/>
                    <w:rPr>
                      <w:b/>
                      <w:bCs/>
                      <w:szCs w:val="21"/>
                      <w:u w:val="single"/>
                    </w:rPr>
                  </w:pPr>
                  <w:r>
                    <w:rPr>
                      <w:b/>
                      <w:bCs/>
                      <w:szCs w:val="21"/>
                      <w:u w:val="single"/>
                    </w:rPr>
                    <w:t>拆解过程</w:t>
                  </w:r>
                </w:p>
              </w:tc>
              <w:tc>
                <w:tcPr>
                  <w:tcW w:w="2702" w:type="dxa"/>
                  <w:gridSpan w:val="2"/>
                  <w:vAlign w:val="center"/>
                </w:tcPr>
                <w:p w14:paraId="1090C385">
                  <w:pPr>
                    <w:jc w:val="center"/>
                    <w:rPr>
                      <w:b/>
                      <w:bCs/>
                      <w:szCs w:val="21"/>
                      <w:u w:val="single"/>
                    </w:rPr>
                  </w:pPr>
                  <w:r>
                    <w:rPr>
                      <w:b/>
                      <w:bCs/>
                      <w:szCs w:val="21"/>
                      <w:u w:val="single"/>
                    </w:rPr>
                    <w:t>碎玻璃、皮革等不可回收物</w:t>
                  </w:r>
                </w:p>
              </w:tc>
              <w:tc>
                <w:tcPr>
                  <w:tcW w:w="1511" w:type="dxa"/>
                  <w:vAlign w:val="center"/>
                </w:tcPr>
                <w:p w14:paraId="1CA973ED">
                  <w:pPr>
                    <w:jc w:val="center"/>
                    <w:rPr>
                      <w:b/>
                      <w:bCs/>
                      <w:szCs w:val="21"/>
                      <w:u w:val="single"/>
                    </w:rPr>
                  </w:pPr>
                  <w:r>
                    <w:rPr>
                      <w:b/>
                      <w:bCs/>
                      <w:szCs w:val="21"/>
                      <w:u w:val="single"/>
                    </w:rPr>
                    <w:t>一般固体废物</w:t>
                  </w:r>
                </w:p>
              </w:tc>
              <w:tc>
                <w:tcPr>
                  <w:tcW w:w="1328" w:type="dxa"/>
                  <w:vAlign w:val="center"/>
                </w:tcPr>
                <w:p w14:paraId="2BD0FDD3">
                  <w:pPr>
                    <w:jc w:val="center"/>
                    <w:rPr>
                      <w:b/>
                      <w:bCs/>
                      <w:szCs w:val="21"/>
                      <w:u w:val="single"/>
                    </w:rPr>
                  </w:pPr>
                  <w:r>
                    <w:rPr>
                      <w:b/>
                      <w:bCs/>
                      <w:szCs w:val="21"/>
                      <w:u w:val="single"/>
                    </w:rPr>
                    <w:t>1.5</w:t>
                  </w:r>
                </w:p>
              </w:tc>
              <w:tc>
                <w:tcPr>
                  <w:tcW w:w="2091" w:type="dxa"/>
                  <w:vMerge w:val="continue"/>
                  <w:vAlign w:val="center"/>
                </w:tcPr>
                <w:p w14:paraId="0BA6605F">
                  <w:pPr>
                    <w:jc w:val="center"/>
                    <w:rPr>
                      <w:b/>
                      <w:bCs/>
                      <w:szCs w:val="21"/>
                      <w:u w:val="single"/>
                    </w:rPr>
                  </w:pPr>
                </w:p>
              </w:tc>
            </w:tr>
            <w:tr w14:paraId="2DC3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0E52EA72">
                  <w:pPr>
                    <w:jc w:val="center"/>
                    <w:rPr>
                      <w:b/>
                      <w:bCs/>
                      <w:szCs w:val="21"/>
                      <w:u w:val="single"/>
                    </w:rPr>
                  </w:pPr>
                </w:p>
              </w:tc>
              <w:tc>
                <w:tcPr>
                  <w:tcW w:w="2702" w:type="dxa"/>
                  <w:gridSpan w:val="2"/>
                  <w:vAlign w:val="center"/>
                </w:tcPr>
                <w:p w14:paraId="1DF8E006">
                  <w:pPr>
                    <w:jc w:val="center"/>
                    <w:rPr>
                      <w:b/>
                      <w:bCs/>
                      <w:szCs w:val="21"/>
                      <w:u w:val="single"/>
                    </w:rPr>
                  </w:pPr>
                  <w:r>
                    <w:rPr>
                      <w:b/>
                      <w:bCs/>
                      <w:szCs w:val="21"/>
                      <w:u w:val="single"/>
                    </w:rPr>
                    <w:t>除尘器收尘</w:t>
                  </w:r>
                </w:p>
              </w:tc>
              <w:tc>
                <w:tcPr>
                  <w:tcW w:w="1511" w:type="dxa"/>
                  <w:vAlign w:val="center"/>
                </w:tcPr>
                <w:p w14:paraId="6FB6FA07">
                  <w:pPr>
                    <w:jc w:val="center"/>
                    <w:rPr>
                      <w:b/>
                      <w:bCs/>
                      <w:szCs w:val="21"/>
                      <w:u w:val="single"/>
                    </w:rPr>
                  </w:pPr>
                  <w:r>
                    <w:rPr>
                      <w:b/>
                      <w:bCs/>
                      <w:szCs w:val="21"/>
                      <w:u w:val="single"/>
                    </w:rPr>
                    <w:t>一般固体废物</w:t>
                  </w:r>
                </w:p>
              </w:tc>
              <w:tc>
                <w:tcPr>
                  <w:tcW w:w="1328" w:type="dxa"/>
                  <w:vAlign w:val="center"/>
                </w:tcPr>
                <w:p w14:paraId="59A2D30E">
                  <w:pPr>
                    <w:jc w:val="center"/>
                    <w:rPr>
                      <w:b/>
                      <w:bCs/>
                      <w:szCs w:val="21"/>
                      <w:u w:val="single"/>
                    </w:rPr>
                  </w:pPr>
                  <w:r>
                    <w:rPr>
                      <w:b/>
                      <w:bCs/>
                      <w:szCs w:val="21"/>
                      <w:u w:val="single"/>
                    </w:rPr>
                    <w:t>0.053</w:t>
                  </w:r>
                </w:p>
              </w:tc>
              <w:tc>
                <w:tcPr>
                  <w:tcW w:w="2091" w:type="dxa"/>
                  <w:vMerge w:val="continue"/>
                  <w:vAlign w:val="center"/>
                </w:tcPr>
                <w:p w14:paraId="5687AB4F">
                  <w:pPr>
                    <w:jc w:val="center"/>
                    <w:rPr>
                      <w:b/>
                      <w:bCs/>
                      <w:szCs w:val="21"/>
                      <w:u w:val="single"/>
                    </w:rPr>
                  </w:pPr>
                </w:p>
              </w:tc>
            </w:tr>
            <w:tr w14:paraId="2B8B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4B935797">
                  <w:pPr>
                    <w:jc w:val="center"/>
                    <w:rPr>
                      <w:b/>
                      <w:bCs/>
                      <w:szCs w:val="21"/>
                      <w:u w:val="single"/>
                    </w:rPr>
                  </w:pPr>
                </w:p>
              </w:tc>
              <w:tc>
                <w:tcPr>
                  <w:tcW w:w="2702" w:type="dxa"/>
                  <w:gridSpan w:val="2"/>
                  <w:shd w:val="clear" w:color="auto" w:fill="auto"/>
                  <w:vAlign w:val="center"/>
                </w:tcPr>
                <w:p w14:paraId="6E941445">
                  <w:pPr>
                    <w:jc w:val="center"/>
                    <w:rPr>
                      <w:b/>
                      <w:bCs/>
                      <w:szCs w:val="21"/>
                      <w:u w:val="single"/>
                    </w:rPr>
                  </w:pPr>
                  <w:r>
                    <w:rPr>
                      <w:b/>
                      <w:bCs/>
                      <w:u w:val="single"/>
                    </w:rPr>
                    <w:t>废活性炭</w:t>
                  </w:r>
                </w:p>
              </w:tc>
              <w:tc>
                <w:tcPr>
                  <w:tcW w:w="1511" w:type="dxa"/>
                  <w:vAlign w:val="center"/>
                </w:tcPr>
                <w:p w14:paraId="41DA81CB">
                  <w:pPr>
                    <w:jc w:val="center"/>
                    <w:rPr>
                      <w:b/>
                      <w:bCs/>
                      <w:szCs w:val="21"/>
                      <w:u w:val="single"/>
                    </w:rPr>
                  </w:pPr>
                  <w:r>
                    <w:rPr>
                      <w:b/>
                      <w:bCs/>
                      <w:szCs w:val="21"/>
                      <w:u w:val="single"/>
                    </w:rPr>
                    <w:t>危险废物</w:t>
                  </w:r>
                </w:p>
              </w:tc>
              <w:tc>
                <w:tcPr>
                  <w:tcW w:w="1328" w:type="dxa"/>
                  <w:vAlign w:val="center"/>
                </w:tcPr>
                <w:p w14:paraId="76B223C8">
                  <w:pPr>
                    <w:jc w:val="center"/>
                    <w:rPr>
                      <w:b/>
                      <w:bCs/>
                      <w:szCs w:val="21"/>
                      <w:u w:val="single"/>
                    </w:rPr>
                  </w:pPr>
                  <w:r>
                    <w:rPr>
                      <w:b/>
                      <w:bCs/>
                      <w:szCs w:val="21"/>
                      <w:u w:val="single"/>
                    </w:rPr>
                    <w:t>0.304</w:t>
                  </w:r>
                </w:p>
              </w:tc>
              <w:tc>
                <w:tcPr>
                  <w:tcW w:w="2091" w:type="dxa"/>
                  <w:vMerge w:val="restart"/>
                  <w:vAlign w:val="center"/>
                </w:tcPr>
                <w:p w14:paraId="2B13A419">
                  <w:pPr>
                    <w:jc w:val="center"/>
                    <w:rPr>
                      <w:b/>
                      <w:bCs/>
                      <w:szCs w:val="21"/>
                      <w:u w:val="single"/>
                    </w:rPr>
                  </w:pPr>
                  <w:r>
                    <w:rPr>
                      <w:b/>
                      <w:bCs/>
                      <w:u w:val="single"/>
                    </w:rPr>
                    <w:t>分区、分类暂存危废间，定期委托有资质单位进行处置</w:t>
                  </w:r>
                </w:p>
              </w:tc>
            </w:tr>
            <w:tr w14:paraId="0E70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1119DB85">
                  <w:pPr>
                    <w:jc w:val="center"/>
                    <w:rPr>
                      <w:b/>
                      <w:bCs/>
                      <w:szCs w:val="21"/>
                      <w:u w:val="single"/>
                    </w:rPr>
                  </w:pPr>
                </w:p>
              </w:tc>
              <w:tc>
                <w:tcPr>
                  <w:tcW w:w="913" w:type="dxa"/>
                  <w:vMerge w:val="restart"/>
                  <w:shd w:val="clear" w:color="auto" w:fill="auto"/>
                  <w:vAlign w:val="center"/>
                </w:tcPr>
                <w:p w14:paraId="28072ED9">
                  <w:pPr>
                    <w:jc w:val="center"/>
                    <w:rPr>
                      <w:b/>
                      <w:bCs/>
                      <w:u w:val="single"/>
                    </w:rPr>
                  </w:pPr>
                  <w:r>
                    <w:rPr>
                      <w:b/>
                      <w:bCs/>
                      <w:u w:val="single"/>
                    </w:rPr>
                    <w:t>废油液</w:t>
                  </w:r>
                </w:p>
              </w:tc>
              <w:tc>
                <w:tcPr>
                  <w:tcW w:w="1789" w:type="dxa"/>
                  <w:shd w:val="clear" w:color="auto" w:fill="auto"/>
                  <w:vAlign w:val="center"/>
                </w:tcPr>
                <w:p w14:paraId="369CF0C8">
                  <w:pPr>
                    <w:jc w:val="center"/>
                    <w:rPr>
                      <w:b/>
                      <w:bCs/>
                      <w:u w:val="single"/>
                    </w:rPr>
                  </w:pPr>
                  <w:r>
                    <w:rPr>
                      <w:b/>
                      <w:bCs/>
                      <w:u w:val="single"/>
                    </w:rPr>
                    <w:t>残余燃油及其他矿物油</w:t>
                  </w:r>
                </w:p>
              </w:tc>
              <w:tc>
                <w:tcPr>
                  <w:tcW w:w="1511" w:type="dxa"/>
                  <w:vAlign w:val="center"/>
                </w:tcPr>
                <w:p w14:paraId="3DCDFA1B">
                  <w:pPr>
                    <w:jc w:val="center"/>
                    <w:rPr>
                      <w:b/>
                      <w:bCs/>
                      <w:szCs w:val="21"/>
                      <w:u w:val="single"/>
                    </w:rPr>
                  </w:pPr>
                  <w:r>
                    <w:rPr>
                      <w:b/>
                      <w:bCs/>
                      <w:szCs w:val="21"/>
                      <w:u w:val="single"/>
                    </w:rPr>
                    <w:t>危险废物</w:t>
                  </w:r>
                </w:p>
              </w:tc>
              <w:tc>
                <w:tcPr>
                  <w:tcW w:w="1328" w:type="dxa"/>
                  <w:vAlign w:val="center"/>
                </w:tcPr>
                <w:p w14:paraId="2200A24C">
                  <w:pPr>
                    <w:jc w:val="center"/>
                    <w:rPr>
                      <w:b/>
                      <w:bCs/>
                      <w:szCs w:val="21"/>
                      <w:u w:val="single"/>
                    </w:rPr>
                  </w:pPr>
                  <w:r>
                    <w:rPr>
                      <w:b/>
                      <w:bCs/>
                      <w:szCs w:val="21"/>
                      <w:u w:val="single"/>
                    </w:rPr>
                    <w:t>0.25</w:t>
                  </w:r>
                </w:p>
              </w:tc>
              <w:tc>
                <w:tcPr>
                  <w:tcW w:w="2091" w:type="dxa"/>
                  <w:vMerge w:val="continue"/>
                  <w:vAlign w:val="center"/>
                </w:tcPr>
                <w:p w14:paraId="0D5EF1D6">
                  <w:pPr>
                    <w:jc w:val="center"/>
                    <w:rPr>
                      <w:b/>
                      <w:bCs/>
                      <w:szCs w:val="21"/>
                      <w:u w:val="single"/>
                    </w:rPr>
                  </w:pPr>
                </w:p>
              </w:tc>
            </w:tr>
            <w:tr w14:paraId="6071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0987380F">
                  <w:pPr>
                    <w:jc w:val="center"/>
                    <w:rPr>
                      <w:b/>
                      <w:bCs/>
                      <w:szCs w:val="21"/>
                      <w:u w:val="single"/>
                    </w:rPr>
                  </w:pPr>
                </w:p>
              </w:tc>
              <w:tc>
                <w:tcPr>
                  <w:tcW w:w="913" w:type="dxa"/>
                  <w:vMerge w:val="continue"/>
                  <w:vAlign w:val="center"/>
                </w:tcPr>
                <w:p w14:paraId="237E430F">
                  <w:pPr>
                    <w:jc w:val="center"/>
                    <w:rPr>
                      <w:b/>
                      <w:bCs/>
                      <w:szCs w:val="21"/>
                      <w:u w:val="single"/>
                    </w:rPr>
                  </w:pPr>
                </w:p>
              </w:tc>
              <w:tc>
                <w:tcPr>
                  <w:tcW w:w="1789" w:type="dxa"/>
                  <w:shd w:val="clear" w:color="auto" w:fill="auto"/>
                  <w:vAlign w:val="center"/>
                </w:tcPr>
                <w:p w14:paraId="3DDF6559">
                  <w:pPr>
                    <w:jc w:val="center"/>
                    <w:rPr>
                      <w:b/>
                      <w:bCs/>
                      <w:u w:val="single"/>
                    </w:rPr>
                  </w:pPr>
                  <w:r>
                    <w:rPr>
                      <w:b/>
                      <w:bCs/>
                      <w:u w:val="single"/>
                    </w:rPr>
                    <w:t>废防冻液</w:t>
                  </w:r>
                </w:p>
              </w:tc>
              <w:tc>
                <w:tcPr>
                  <w:tcW w:w="1511" w:type="dxa"/>
                  <w:shd w:val="clear" w:color="auto" w:fill="auto"/>
                  <w:vAlign w:val="center"/>
                </w:tcPr>
                <w:p w14:paraId="3E3FEB70">
                  <w:pPr>
                    <w:jc w:val="center"/>
                    <w:rPr>
                      <w:b/>
                      <w:bCs/>
                      <w:szCs w:val="21"/>
                      <w:u w:val="single"/>
                    </w:rPr>
                  </w:pPr>
                  <w:r>
                    <w:rPr>
                      <w:b/>
                      <w:bCs/>
                      <w:szCs w:val="21"/>
                      <w:u w:val="single"/>
                    </w:rPr>
                    <w:t>危险废物</w:t>
                  </w:r>
                </w:p>
              </w:tc>
              <w:tc>
                <w:tcPr>
                  <w:tcW w:w="1328" w:type="dxa"/>
                  <w:vAlign w:val="center"/>
                </w:tcPr>
                <w:p w14:paraId="3537F4F1">
                  <w:pPr>
                    <w:jc w:val="center"/>
                    <w:rPr>
                      <w:b/>
                      <w:bCs/>
                      <w:szCs w:val="21"/>
                      <w:u w:val="single"/>
                    </w:rPr>
                  </w:pPr>
                  <w:r>
                    <w:rPr>
                      <w:b/>
                      <w:bCs/>
                      <w:szCs w:val="21"/>
                      <w:u w:val="single"/>
                    </w:rPr>
                    <w:t>0.5</w:t>
                  </w:r>
                </w:p>
              </w:tc>
              <w:tc>
                <w:tcPr>
                  <w:tcW w:w="2091" w:type="dxa"/>
                  <w:vMerge w:val="continue"/>
                  <w:vAlign w:val="center"/>
                </w:tcPr>
                <w:p w14:paraId="3EBC7F71">
                  <w:pPr>
                    <w:jc w:val="center"/>
                    <w:rPr>
                      <w:b/>
                      <w:bCs/>
                      <w:szCs w:val="21"/>
                      <w:u w:val="single"/>
                    </w:rPr>
                  </w:pPr>
                </w:p>
              </w:tc>
            </w:tr>
            <w:tr w14:paraId="282E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0DA7192D">
                  <w:pPr>
                    <w:jc w:val="center"/>
                    <w:rPr>
                      <w:b/>
                      <w:bCs/>
                      <w:szCs w:val="21"/>
                      <w:u w:val="single"/>
                    </w:rPr>
                  </w:pPr>
                </w:p>
              </w:tc>
              <w:tc>
                <w:tcPr>
                  <w:tcW w:w="913" w:type="dxa"/>
                  <w:vMerge w:val="continue"/>
                  <w:shd w:val="clear" w:color="auto" w:fill="auto"/>
                  <w:vAlign w:val="center"/>
                </w:tcPr>
                <w:p w14:paraId="5E7D88EB">
                  <w:pPr>
                    <w:jc w:val="center"/>
                    <w:rPr>
                      <w:b/>
                      <w:bCs/>
                      <w:u w:val="single"/>
                    </w:rPr>
                  </w:pPr>
                </w:p>
              </w:tc>
              <w:tc>
                <w:tcPr>
                  <w:tcW w:w="1789" w:type="dxa"/>
                  <w:shd w:val="clear" w:color="auto" w:fill="auto"/>
                  <w:vAlign w:val="center"/>
                </w:tcPr>
                <w:p w14:paraId="10FA9AB5">
                  <w:pPr>
                    <w:jc w:val="center"/>
                    <w:rPr>
                      <w:b/>
                      <w:bCs/>
                      <w:u w:val="single"/>
                    </w:rPr>
                  </w:pPr>
                  <w:r>
                    <w:rPr>
                      <w:b/>
                      <w:bCs/>
                      <w:u w:val="single"/>
                    </w:rPr>
                    <w:t>废液压油</w:t>
                  </w:r>
                </w:p>
              </w:tc>
              <w:tc>
                <w:tcPr>
                  <w:tcW w:w="1511" w:type="dxa"/>
                  <w:shd w:val="clear" w:color="auto" w:fill="auto"/>
                  <w:vAlign w:val="center"/>
                </w:tcPr>
                <w:p w14:paraId="790DC47A">
                  <w:pPr>
                    <w:jc w:val="center"/>
                    <w:rPr>
                      <w:b/>
                      <w:bCs/>
                      <w:szCs w:val="21"/>
                      <w:u w:val="single"/>
                    </w:rPr>
                  </w:pPr>
                  <w:r>
                    <w:rPr>
                      <w:b/>
                      <w:bCs/>
                      <w:szCs w:val="21"/>
                      <w:u w:val="single"/>
                    </w:rPr>
                    <w:t>危险废物</w:t>
                  </w:r>
                </w:p>
              </w:tc>
              <w:tc>
                <w:tcPr>
                  <w:tcW w:w="1328" w:type="dxa"/>
                  <w:vAlign w:val="center"/>
                </w:tcPr>
                <w:p w14:paraId="20377B67">
                  <w:pPr>
                    <w:jc w:val="center"/>
                    <w:rPr>
                      <w:b/>
                      <w:bCs/>
                      <w:szCs w:val="21"/>
                      <w:u w:val="single"/>
                    </w:rPr>
                  </w:pPr>
                  <w:r>
                    <w:rPr>
                      <w:b/>
                      <w:bCs/>
                      <w:szCs w:val="21"/>
                      <w:u w:val="single"/>
                    </w:rPr>
                    <w:t>0.5</w:t>
                  </w:r>
                </w:p>
              </w:tc>
              <w:tc>
                <w:tcPr>
                  <w:tcW w:w="2091" w:type="dxa"/>
                  <w:vMerge w:val="continue"/>
                  <w:vAlign w:val="center"/>
                </w:tcPr>
                <w:p w14:paraId="0B85D44C">
                  <w:pPr>
                    <w:jc w:val="center"/>
                    <w:rPr>
                      <w:b/>
                      <w:bCs/>
                      <w:szCs w:val="21"/>
                      <w:u w:val="single"/>
                    </w:rPr>
                  </w:pPr>
                </w:p>
              </w:tc>
            </w:tr>
            <w:tr w14:paraId="1925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0984A72E">
                  <w:pPr>
                    <w:jc w:val="center"/>
                    <w:rPr>
                      <w:b/>
                      <w:bCs/>
                      <w:szCs w:val="21"/>
                      <w:u w:val="single"/>
                    </w:rPr>
                  </w:pPr>
                </w:p>
              </w:tc>
              <w:tc>
                <w:tcPr>
                  <w:tcW w:w="2702" w:type="dxa"/>
                  <w:gridSpan w:val="2"/>
                  <w:shd w:val="clear" w:color="auto" w:fill="auto"/>
                  <w:vAlign w:val="center"/>
                </w:tcPr>
                <w:p w14:paraId="410E4390">
                  <w:pPr>
                    <w:jc w:val="center"/>
                    <w:rPr>
                      <w:b/>
                      <w:bCs/>
                      <w:u w:val="single"/>
                    </w:rPr>
                  </w:pPr>
                  <w:r>
                    <w:rPr>
                      <w:b/>
                      <w:bCs/>
                      <w:u w:val="single"/>
                    </w:rPr>
                    <w:t>废油箱</w:t>
                  </w:r>
                </w:p>
              </w:tc>
              <w:tc>
                <w:tcPr>
                  <w:tcW w:w="1511" w:type="dxa"/>
                  <w:shd w:val="clear" w:color="auto" w:fill="auto"/>
                  <w:vAlign w:val="center"/>
                </w:tcPr>
                <w:p w14:paraId="5B42B976">
                  <w:pPr>
                    <w:jc w:val="center"/>
                    <w:rPr>
                      <w:b/>
                      <w:bCs/>
                      <w:szCs w:val="21"/>
                      <w:u w:val="single"/>
                    </w:rPr>
                  </w:pPr>
                  <w:r>
                    <w:rPr>
                      <w:b/>
                      <w:bCs/>
                      <w:szCs w:val="21"/>
                      <w:u w:val="single"/>
                    </w:rPr>
                    <w:t>危险废物</w:t>
                  </w:r>
                </w:p>
              </w:tc>
              <w:tc>
                <w:tcPr>
                  <w:tcW w:w="1328" w:type="dxa"/>
                  <w:shd w:val="clear" w:color="auto" w:fill="auto"/>
                  <w:vAlign w:val="center"/>
                </w:tcPr>
                <w:p w14:paraId="29D1CF04">
                  <w:pPr>
                    <w:jc w:val="center"/>
                    <w:rPr>
                      <w:b/>
                      <w:bCs/>
                      <w:szCs w:val="21"/>
                      <w:u w:val="single"/>
                    </w:rPr>
                  </w:pPr>
                  <w:r>
                    <w:rPr>
                      <w:b/>
                      <w:bCs/>
                      <w:szCs w:val="21"/>
                      <w:u w:val="single"/>
                    </w:rPr>
                    <w:t>2.4</w:t>
                  </w:r>
                </w:p>
              </w:tc>
              <w:tc>
                <w:tcPr>
                  <w:tcW w:w="2091" w:type="dxa"/>
                  <w:vMerge w:val="continue"/>
                  <w:vAlign w:val="center"/>
                </w:tcPr>
                <w:p w14:paraId="70FF9C8C">
                  <w:pPr>
                    <w:jc w:val="center"/>
                    <w:rPr>
                      <w:b/>
                      <w:bCs/>
                      <w:szCs w:val="21"/>
                      <w:u w:val="single"/>
                    </w:rPr>
                  </w:pPr>
                </w:p>
              </w:tc>
            </w:tr>
            <w:tr w14:paraId="0DC4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5586B6F9">
                  <w:pPr>
                    <w:jc w:val="center"/>
                    <w:rPr>
                      <w:b/>
                      <w:bCs/>
                      <w:szCs w:val="21"/>
                      <w:u w:val="single"/>
                    </w:rPr>
                  </w:pPr>
                </w:p>
              </w:tc>
              <w:tc>
                <w:tcPr>
                  <w:tcW w:w="2702" w:type="dxa"/>
                  <w:gridSpan w:val="2"/>
                  <w:shd w:val="clear" w:color="auto" w:fill="auto"/>
                  <w:vAlign w:val="center"/>
                </w:tcPr>
                <w:p w14:paraId="2C2658B5">
                  <w:pPr>
                    <w:jc w:val="center"/>
                    <w:rPr>
                      <w:b/>
                      <w:bCs/>
                      <w:u w:val="single"/>
                    </w:rPr>
                  </w:pPr>
                  <w:r>
                    <w:rPr>
                      <w:b/>
                      <w:bCs/>
                      <w:u w:val="single"/>
                    </w:rPr>
                    <w:t>废尾气净化装置</w:t>
                  </w:r>
                </w:p>
              </w:tc>
              <w:tc>
                <w:tcPr>
                  <w:tcW w:w="1511" w:type="dxa"/>
                  <w:shd w:val="clear" w:color="auto" w:fill="auto"/>
                  <w:vAlign w:val="center"/>
                </w:tcPr>
                <w:p w14:paraId="5625E0F5">
                  <w:pPr>
                    <w:jc w:val="center"/>
                    <w:rPr>
                      <w:b/>
                      <w:bCs/>
                      <w:szCs w:val="21"/>
                      <w:u w:val="single"/>
                    </w:rPr>
                  </w:pPr>
                  <w:r>
                    <w:rPr>
                      <w:b/>
                      <w:bCs/>
                      <w:szCs w:val="21"/>
                      <w:u w:val="single"/>
                    </w:rPr>
                    <w:t>危险废物</w:t>
                  </w:r>
                </w:p>
              </w:tc>
              <w:tc>
                <w:tcPr>
                  <w:tcW w:w="1328" w:type="dxa"/>
                  <w:shd w:val="clear" w:color="auto" w:fill="auto"/>
                  <w:vAlign w:val="center"/>
                </w:tcPr>
                <w:p w14:paraId="0634029B">
                  <w:pPr>
                    <w:jc w:val="center"/>
                    <w:rPr>
                      <w:b/>
                      <w:bCs/>
                      <w:szCs w:val="21"/>
                      <w:u w:val="single"/>
                    </w:rPr>
                  </w:pPr>
                  <w:r>
                    <w:rPr>
                      <w:b/>
                      <w:bCs/>
                      <w:szCs w:val="21"/>
                      <w:u w:val="single"/>
                    </w:rPr>
                    <w:t>0.35</w:t>
                  </w:r>
                </w:p>
              </w:tc>
              <w:tc>
                <w:tcPr>
                  <w:tcW w:w="2091" w:type="dxa"/>
                  <w:vMerge w:val="continue"/>
                  <w:vAlign w:val="center"/>
                </w:tcPr>
                <w:p w14:paraId="1454A17E">
                  <w:pPr>
                    <w:jc w:val="center"/>
                    <w:rPr>
                      <w:b/>
                      <w:bCs/>
                      <w:szCs w:val="21"/>
                      <w:u w:val="single"/>
                    </w:rPr>
                  </w:pPr>
                </w:p>
              </w:tc>
            </w:tr>
            <w:tr w14:paraId="1ABC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3907EFE0">
                  <w:pPr>
                    <w:jc w:val="center"/>
                    <w:rPr>
                      <w:b/>
                      <w:bCs/>
                      <w:szCs w:val="21"/>
                      <w:u w:val="single"/>
                    </w:rPr>
                  </w:pPr>
                </w:p>
              </w:tc>
              <w:tc>
                <w:tcPr>
                  <w:tcW w:w="2702" w:type="dxa"/>
                  <w:gridSpan w:val="2"/>
                  <w:shd w:val="clear" w:color="auto" w:fill="auto"/>
                  <w:vAlign w:val="center"/>
                </w:tcPr>
                <w:p w14:paraId="008A397F">
                  <w:pPr>
                    <w:jc w:val="center"/>
                    <w:rPr>
                      <w:b/>
                      <w:bCs/>
                      <w:u w:val="single"/>
                    </w:rPr>
                  </w:pPr>
                  <w:r>
                    <w:rPr>
                      <w:b/>
                      <w:bCs/>
                      <w:u w:val="single"/>
                    </w:rPr>
                    <w:t>废机油滤清器</w:t>
                  </w:r>
                </w:p>
              </w:tc>
              <w:tc>
                <w:tcPr>
                  <w:tcW w:w="1511" w:type="dxa"/>
                  <w:shd w:val="clear" w:color="auto" w:fill="auto"/>
                  <w:vAlign w:val="center"/>
                </w:tcPr>
                <w:p w14:paraId="51CC7DCD">
                  <w:pPr>
                    <w:jc w:val="center"/>
                    <w:rPr>
                      <w:b/>
                      <w:bCs/>
                      <w:szCs w:val="21"/>
                      <w:u w:val="single"/>
                    </w:rPr>
                  </w:pPr>
                  <w:r>
                    <w:rPr>
                      <w:b/>
                      <w:bCs/>
                      <w:szCs w:val="21"/>
                      <w:u w:val="single"/>
                    </w:rPr>
                    <w:t>危险废物</w:t>
                  </w:r>
                </w:p>
              </w:tc>
              <w:tc>
                <w:tcPr>
                  <w:tcW w:w="1328" w:type="dxa"/>
                  <w:shd w:val="clear" w:color="auto" w:fill="auto"/>
                  <w:vAlign w:val="center"/>
                </w:tcPr>
                <w:p w14:paraId="2D02F1F3">
                  <w:pPr>
                    <w:jc w:val="center"/>
                    <w:rPr>
                      <w:b/>
                      <w:bCs/>
                      <w:szCs w:val="21"/>
                      <w:u w:val="single"/>
                    </w:rPr>
                  </w:pPr>
                  <w:r>
                    <w:rPr>
                      <w:b/>
                      <w:bCs/>
                      <w:szCs w:val="21"/>
                      <w:u w:val="single"/>
                    </w:rPr>
                    <w:t>0.2</w:t>
                  </w:r>
                </w:p>
              </w:tc>
              <w:tc>
                <w:tcPr>
                  <w:tcW w:w="2091" w:type="dxa"/>
                  <w:vMerge w:val="continue"/>
                  <w:vAlign w:val="center"/>
                </w:tcPr>
                <w:p w14:paraId="6508B95D">
                  <w:pPr>
                    <w:jc w:val="center"/>
                    <w:rPr>
                      <w:b/>
                      <w:bCs/>
                      <w:szCs w:val="21"/>
                      <w:u w:val="single"/>
                    </w:rPr>
                  </w:pPr>
                </w:p>
              </w:tc>
            </w:tr>
            <w:tr w14:paraId="46CB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3A54C417">
                  <w:pPr>
                    <w:jc w:val="center"/>
                    <w:rPr>
                      <w:b/>
                      <w:bCs/>
                      <w:szCs w:val="21"/>
                      <w:u w:val="single"/>
                    </w:rPr>
                  </w:pPr>
                </w:p>
              </w:tc>
              <w:tc>
                <w:tcPr>
                  <w:tcW w:w="2702" w:type="dxa"/>
                  <w:gridSpan w:val="2"/>
                  <w:shd w:val="clear" w:color="auto" w:fill="auto"/>
                  <w:vAlign w:val="center"/>
                </w:tcPr>
                <w:p w14:paraId="60F370E8">
                  <w:pPr>
                    <w:jc w:val="center"/>
                    <w:rPr>
                      <w:b/>
                      <w:bCs/>
                      <w:szCs w:val="21"/>
                      <w:u w:val="single"/>
                    </w:rPr>
                  </w:pPr>
                  <w:r>
                    <w:rPr>
                      <w:b/>
                      <w:bCs/>
                      <w:u w:val="single"/>
                    </w:rPr>
                    <w:t>废电子电器件</w:t>
                  </w:r>
                </w:p>
              </w:tc>
              <w:tc>
                <w:tcPr>
                  <w:tcW w:w="1511" w:type="dxa"/>
                  <w:vAlign w:val="center"/>
                </w:tcPr>
                <w:p w14:paraId="763F6A37">
                  <w:pPr>
                    <w:jc w:val="center"/>
                    <w:rPr>
                      <w:b/>
                      <w:bCs/>
                      <w:szCs w:val="21"/>
                      <w:u w:val="single"/>
                    </w:rPr>
                  </w:pPr>
                  <w:r>
                    <w:rPr>
                      <w:b/>
                      <w:bCs/>
                      <w:szCs w:val="21"/>
                      <w:u w:val="single"/>
                    </w:rPr>
                    <w:t>危险废物</w:t>
                  </w:r>
                </w:p>
              </w:tc>
              <w:tc>
                <w:tcPr>
                  <w:tcW w:w="1328" w:type="dxa"/>
                  <w:shd w:val="clear" w:color="auto" w:fill="auto"/>
                  <w:vAlign w:val="center"/>
                </w:tcPr>
                <w:p w14:paraId="79DABC6F">
                  <w:pPr>
                    <w:jc w:val="center"/>
                    <w:rPr>
                      <w:b/>
                      <w:bCs/>
                      <w:szCs w:val="21"/>
                      <w:u w:val="single"/>
                    </w:rPr>
                  </w:pPr>
                  <w:r>
                    <w:rPr>
                      <w:b/>
                      <w:bCs/>
                      <w:szCs w:val="21"/>
                      <w:u w:val="single"/>
                    </w:rPr>
                    <w:t>0.5</w:t>
                  </w:r>
                </w:p>
              </w:tc>
              <w:tc>
                <w:tcPr>
                  <w:tcW w:w="2091" w:type="dxa"/>
                  <w:vMerge w:val="continue"/>
                  <w:vAlign w:val="center"/>
                </w:tcPr>
                <w:p w14:paraId="577BE349">
                  <w:pPr>
                    <w:jc w:val="center"/>
                    <w:rPr>
                      <w:b/>
                      <w:bCs/>
                      <w:szCs w:val="21"/>
                      <w:u w:val="single"/>
                    </w:rPr>
                  </w:pPr>
                </w:p>
              </w:tc>
            </w:tr>
            <w:tr w14:paraId="668C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01B65425">
                  <w:pPr>
                    <w:jc w:val="center"/>
                    <w:rPr>
                      <w:b/>
                      <w:bCs/>
                      <w:szCs w:val="21"/>
                      <w:u w:val="single"/>
                    </w:rPr>
                  </w:pPr>
                </w:p>
              </w:tc>
              <w:tc>
                <w:tcPr>
                  <w:tcW w:w="2702" w:type="dxa"/>
                  <w:gridSpan w:val="2"/>
                  <w:shd w:val="clear" w:color="auto" w:fill="auto"/>
                  <w:vAlign w:val="center"/>
                </w:tcPr>
                <w:p w14:paraId="4AC6C7B6">
                  <w:pPr>
                    <w:jc w:val="center"/>
                    <w:rPr>
                      <w:b/>
                      <w:bCs/>
                      <w:u w:val="single"/>
                    </w:rPr>
                  </w:pPr>
                  <w:r>
                    <w:rPr>
                      <w:rFonts w:hint="eastAsia"/>
                      <w:b/>
                      <w:bCs/>
                      <w:u w:val="single"/>
                    </w:rPr>
                    <w:t>废铅酸蓄电池</w:t>
                  </w:r>
                </w:p>
              </w:tc>
              <w:tc>
                <w:tcPr>
                  <w:tcW w:w="1511" w:type="dxa"/>
                  <w:vAlign w:val="center"/>
                </w:tcPr>
                <w:p w14:paraId="46E87AC5">
                  <w:pPr>
                    <w:jc w:val="center"/>
                    <w:rPr>
                      <w:b/>
                      <w:bCs/>
                      <w:szCs w:val="21"/>
                      <w:u w:val="single"/>
                    </w:rPr>
                  </w:pPr>
                  <w:r>
                    <w:rPr>
                      <w:b/>
                      <w:bCs/>
                      <w:szCs w:val="21"/>
                      <w:u w:val="single"/>
                    </w:rPr>
                    <w:t>危险废物</w:t>
                  </w:r>
                </w:p>
              </w:tc>
              <w:tc>
                <w:tcPr>
                  <w:tcW w:w="1328" w:type="dxa"/>
                  <w:shd w:val="clear" w:color="auto" w:fill="auto"/>
                  <w:vAlign w:val="center"/>
                </w:tcPr>
                <w:p w14:paraId="5FBAA664">
                  <w:pPr>
                    <w:jc w:val="center"/>
                    <w:rPr>
                      <w:b/>
                      <w:bCs/>
                      <w:szCs w:val="21"/>
                      <w:u w:val="single"/>
                    </w:rPr>
                  </w:pPr>
                  <w:r>
                    <w:rPr>
                      <w:rFonts w:hint="eastAsia"/>
                      <w:b/>
                      <w:bCs/>
                      <w:szCs w:val="21"/>
                      <w:u w:val="single"/>
                    </w:rPr>
                    <w:t>0</w:t>
                  </w:r>
                  <w:r>
                    <w:rPr>
                      <w:b/>
                      <w:bCs/>
                      <w:szCs w:val="21"/>
                      <w:u w:val="single"/>
                    </w:rPr>
                    <w:t>.2</w:t>
                  </w:r>
                </w:p>
              </w:tc>
              <w:tc>
                <w:tcPr>
                  <w:tcW w:w="2091" w:type="dxa"/>
                  <w:vMerge w:val="continue"/>
                  <w:vAlign w:val="center"/>
                </w:tcPr>
                <w:p w14:paraId="168E2778">
                  <w:pPr>
                    <w:jc w:val="center"/>
                    <w:rPr>
                      <w:b/>
                      <w:bCs/>
                      <w:szCs w:val="21"/>
                      <w:u w:val="single"/>
                    </w:rPr>
                  </w:pPr>
                </w:p>
              </w:tc>
            </w:tr>
            <w:tr w14:paraId="6FF4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51" w:type="dxa"/>
                  <w:vMerge w:val="continue"/>
                  <w:vAlign w:val="center"/>
                </w:tcPr>
                <w:p w14:paraId="4351E4D3">
                  <w:pPr>
                    <w:jc w:val="center"/>
                    <w:rPr>
                      <w:b/>
                      <w:bCs/>
                      <w:szCs w:val="21"/>
                      <w:u w:val="single"/>
                    </w:rPr>
                  </w:pPr>
                </w:p>
              </w:tc>
              <w:tc>
                <w:tcPr>
                  <w:tcW w:w="2702" w:type="dxa"/>
                  <w:gridSpan w:val="2"/>
                  <w:shd w:val="clear" w:color="auto" w:fill="auto"/>
                  <w:vAlign w:val="center"/>
                </w:tcPr>
                <w:p w14:paraId="37C4515D">
                  <w:pPr>
                    <w:jc w:val="center"/>
                    <w:rPr>
                      <w:b/>
                      <w:bCs/>
                      <w:szCs w:val="21"/>
                      <w:u w:val="single"/>
                    </w:rPr>
                  </w:pPr>
                  <w:r>
                    <w:rPr>
                      <w:b/>
                      <w:bCs/>
                      <w:u w:val="single"/>
                    </w:rPr>
                    <w:t>含油抹布及手套</w:t>
                  </w:r>
                </w:p>
              </w:tc>
              <w:tc>
                <w:tcPr>
                  <w:tcW w:w="1511" w:type="dxa"/>
                  <w:vAlign w:val="center"/>
                </w:tcPr>
                <w:p w14:paraId="0172270B">
                  <w:pPr>
                    <w:jc w:val="center"/>
                    <w:rPr>
                      <w:b/>
                      <w:bCs/>
                      <w:szCs w:val="21"/>
                      <w:u w:val="single"/>
                    </w:rPr>
                  </w:pPr>
                  <w:r>
                    <w:rPr>
                      <w:b/>
                      <w:bCs/>
                      <w:szCs w:val="21"/>
                      <w:u w:val="single"/>
                    </w:rPr>
                    <w:t>危险废物</w:t>
                  </w:r>
                </w:p>
              </w:tc>
              <w:tc>
                <w:tcPr>
                  <w:tcW w:w="1328" w:type="dxa"/>
                  <w:vAlign w:val="center"/>
                </w:tcPr>
                <w:p w14:paraId="135084B3">
                  <w:pPr>
                    <w:jc w:val="center"/>
                    <w:rPr>
                      <w:b/>
                      <w:bCs/>
                      <w:szCs w:val="21"/>
                      <w:u w:val="single"/>
                    </w:rPr>
                  </w:pPr>
                  <w:r>
                    <w:rPr>
                      <w:b/>
                      <w:bCs/>
                      <w:szCs w:val="21"/>
                      <w:u w:val="single"/>
                    </w:rPr>
                    <w:t>0.01</w:t>
                  </w:r>
                </w:p>
              </w:tc>
              <w:tc>
                <w:tcPr>
                  <w:tcW w:w="2091" w:type="dxa"/>
                  <w:vMerge w:val="continue"/>
                  <w:vAlign w:val="center"/>
                </w:tcPr>
                <w:p w14:paraId="12FF873F">
                  <w:pPr>
                    <w:jc w:val="center"/>
                    <w:rPr>
                      <w:b/>
                      <w:bCs/>
                      <w:szCs w:val="21"/>
                      <w:u w:val="single"/>
                    </w:rPr>
                  </w:pPr>
                </w:p>
              </w:tc>
            </w:tr>
          </w:tbl>
          <w:p w14:paraId="059786B9">
            <w:pPr>
              <w:pStyle w:val="14"/>
              <w:spacing w:before="0" w:after="0" w:line="360" w:lineRule="auto"/>
              <w:ind w:right="0" w:firstLine="480" w:firstLineChars="200"/>
            </w:pPr>
            <w:r>
              <w:t>综上，本项目固废均得到合理处置，对周围环境影响较小。</w:t>
            </w:r>
          </w:p>
          <w:p w14:paraId="211828EC">
            <w:pPr>
              <w:pStyle w:val="14"/>
              <w:numPr>
                <w:ilvl w:val="0"/>
                <w:numId w:val="19"/>
              </w:numPr>
              <w:spacing w:before="0" w:after="0" w:line="360" w:lineRule="auto"/>
              <w:ind w:right="0" w:firstLine="482" w:firstLineChars="200"/>
              <w:rPr>
                <w:b/>
                <w:bCs/>
              </w:rPr>
            </w:pPr>
            <w:r>
              <w:rPr>
                <w:b/>
                <w:bCs/>
              </w:rPr>
              <w:t>土壤、地下水环境影响分析</w:t>
            </w:r>
          </w:p>
          <w:p w14:paraId="36E6A4AD">
            <w:pPr>
              <w:adjustRightInd w:val="0"/>
              <w:snapToGrid w:val="0"/>
              <w:spacing w:line="360" w:lineRule="auto"/>
              <w:ind w:left="480"/>
              <w:jc w:val="left"/>
              <w:rPr>
                <w:b/>
                <w:bCs/>
                <w:sz w:val="24"/>
              </w:rPr>
            </w:pPr>
            <w:r>
              <w:rPr>
                <w:b/>
                <w:bCs/>
                <w:sz w:val="24"/>
              </w:rPr>
              <w:t>1、污染源分析及污染途径</w:t>
            </w:r>
          </w:p>
          <w:p w14:paraId="49484A80">
            <w:pPr>
              <w:adjustRightInd w:val="0"/>
              <w:snapToGrid w:val="0"/>
              <w:spacing w:line="360" w:lineRule="auto"/>
              <w:ind w:firstLine="480" w:firstLineChars="200"/>
              <w:jc w:val="left"/>
              <w:rPr>
                <w:sz w:val="24"/>
              </w:rPr>
            </w:pPr>
            <w:r>
              <w:rPr>
                <w:sz w:val="24"/>
              </w:rPr>
              <w:t>本项目土壤、地下水环境主要污染源为拆解车间、危险废物暂存间存储的危险废物。污染物主要包括石油烃等污染物。</w:t>
            </w:r>
          </w:p>
          <w:p w14:paraId="755EFF8A">
            <w:pPr>
              <w:adjustRightInd w:val="0"/>
              <w:snapToGrid w:val="0"/>
              <w:spacing w:line="360" w:lineRule="auto"/>
              <w:ind w:firstLine="480" w:firstLineChars="200"/>
              <w:jc w:val="left"/>
              <w:rPr>
                <w:sz w:val="24"/>
              </w:rPr>
            </w:pPr>
            <w:r>
              <w:rPr>
                <w:sz w:val="24"/>
              </w:rPr>
              <w:t>本项目地下水及土壤主要污染途径为地面径流、垂直入渗。本项目危险废物暂存间内的危险废物（废油液等）如果发生泄漏，会造成一定程度的环境污染。</w:t>
            </w:r>
          </w:p>
          <w:p w14:paraId="587E58AD">
            <w:pPr>
              <w:pStyle w:val="14"/>
              <w:spacing w:before="0" w:after="0" w:line="360" w:lineRule="auto"/>
              <w:ind w:left="480" w:right="0"/>
              <w:rPr>
                <w:b/>
                <w:bCs/>
              </w:rPr>
            </w:pPr>
            <w:r>
              <w:rPr>
                <w:b/>
                <w:bCs/>
              </w:rPr>
              <w:t>2、污染防治措施</w:t>
            </w:r>
          </w:p>
          <w:p w14:paraId="021CD552">
            <w:pPr>
              <w:pStyle w:val="14"/>
              <w:spacing w:before="0" w:after="0" w:line="360" w:lineRule="auto"/>
              <w:ind w:right="0" w:firstLine="480" w:firstLineChars="200"/>
            </w:pPr>
            <w:r>
              <w:t>项目生产过程中会产生废油液等危险废物，若贮存、运输过程中保存不当发生泄漏，下渗至土壤，导致地下水污染。为了防止污染浅层地下水，环评建议应采取正确有效的地下水污染防范措施。</w:t>
            </w:r>
          </w:p>
          <w:p w14:paraId="2730508E">
            <w:pPr>
              <w:pStyle w:val="14"/>
              <w:spacing w:before="0" w:after="0" w:line="360" w:lineRule="auto"/>
              <w:ind w:right="0" w:firstLine="480" w:firstLineChars="200"/>
            </w:pPr>
            <w:r>
              <w:t>（1）源头控制措施</w:t>
            </w:r>
          </w:p>
          <w:p w14:paraId="038F200C">
            <w:pPr>
              <w:pStyle w:val="14"/>
              <w:spacing w:before="0" w:after="0" w:line="360" w:lineRule="auto"/>
              <w:ind w:right="0" w:firstLine="480" w:firstLineChars="200"/>
            </w:pPr>
            <w:r>
              <w:t>根据《报废农业机械回收拆解技术规范》（NY/T2900-2022），容器和装置要防漏和防止洒溅，并对其进行日常性检查；不能将废油与冷却液、溶剂、汽油、去污剂、油漆或者其他物质混合。对拆解过程中产生的各类危废进行检查，防止有跑、冒、滴、漏的拆解物进入暂存间；加强各巡视，从源头控制污染物的产生和排放，降低生产过程和末端治理的成本。危险废物暂存间、拆解车间等均要严格按照国家相关规范要求，采取防泄漏、防溢流、防腐蚀等措施。</w:t>
            </w:r>
          </w:p>
          <w:p w14:paraId="24CD2947">
            <w:pPr>
              <w:pStyle w:val="14"/>
              <w:spacing w:before="0" w:after="0" w:line="360" w:lineRule="auto"/>
              <w:ind w:right="0" w:firstLine="480" w:firstLineChars="200"/>
            </w:pPr>
            <w:r>
              <w:t>（2）分区防渗措施</w:t>
            </w:r>
          </w:p>
          <w:p w14:paraId="6DB5561E">
            <w:pPr>
              <w:pStyle w:val="14"/>
              <w:spacing w:before="0" w:after="0" w:line="360" w:lineRule="auto"/>
              <w:ind w:right="0" w:firstLine="480" w:firstLineChars="200"/>
              <w:rPr>
                <w:b/>
                <w:bCs/>
                <w:u w:val="single"/>
              </w:rPr>
            </w:pPr>
            <w:r>
              <w:t>本项目液态危险废物均置于专用密闭桶内存放，危废暂存间按照要求采取防风、防晒、防雨、防漏、防渗、防腐等“六防”工作，在根据《环境影响评价技术导则 地下水环境》（HJ610-2016）地下水污染防渗分区要求进行防渗工作后，项目建设对地下水影响较小。本项目地下水防渗要求见下表。</w:t>
            </w:r>
          </w:p>
          <w:p w14:paraId="60B5A81F">
            <w:pPr>
              <w:pStyle w:val="14"/>
              <w:spacing w:before="0" w:after="0" w:line="240" w:lineRule="auto"/>
              <w:ind w:right="0"/>
              <w:jc w:val="center"/>
              <w:rPr>
                <w:b/>
                <w:bCs/>
                <w:szCs w:val="24"/>
              </w:rPr>
            </w:pPr>
            <w:r>
              <w:rPr>
                <w:b/>
                <w:bCs/>
                <w:szCs w:val="24"/>
              </w:rPr>
              <w:t>表</w:t>
            </w:r>
            <w:r>
              <w:rPr>
                <w:rFonts w:hint="eastAsia"/>
                <w:b/>
                <w:bCs/>
                <w:szCs w:val="24"/>
              </w:rPr>
              <w:t>34</w:t>
            </w:r>
            <w:r>
              <w:rPr>
                <w:b/>
                <w:bCs/>
                <w:szCs w:val="24"/>
              </w:rPr>
              <w:t xml:space="preserve">   项目防渗分区要求一览表</w:t>
            </w:r>
          </w:p>
          <w:tbl>
            <w:tblPr>
              <w:tblStyle w:val="24"/>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5"/>
              <w:gridCol w:w="1807"/>
              <w:gridCol w:w="1355"/>
              <w:gridCol w:w="1613"/>
              <w:gridCol w:w="2768"/>
            </w:tblGrid>
            <w:tr w14:paraId="55B4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33FF8468">
                  <w:pPr>
                    <w:pStyle w:val="14"/>
                    <w:spacing w:before="0" w:after="0" w:line="240" w:lineRule="auto"/>
                    <w:ind w:right="0"/>
                    <w:jc w:val="center"/>
                    <w:rPr>
                      <w:sz w:val="21"/>
                    </w:rPr>
                  </w:pPr>
                  <w:r>
                    <w:rPr>
                      <w:sz w:val="21"/>
                    </w:rPr>
                    <w:t>序号</w:t>
                  </w:r>
                </w:p>
              </w:tc>
              <w:tc>
                <w:tcPr>
                  <w:tcW w:w="1175" w:type="dxa"/>
                  <w:vAlign w:val="center"/>
                </w:tcPr>
                <w:p w14:paraId="6C8746C5">
                  <w:pPr>
                    <w:pStyle w:val="14"/>
                    <w:spacing w:before="0" w:after="0" w:line="240" w:lineRule="auto"/>
                    <w:ind w:right="0"/>
                    <w:jc w:val="center"/>
                    <w:rPr>
                      <w:sz w:val="21"/>
                    </w:rPr>
                  </w:pPr>
                  <w:r>
                    <w:rPr>
                      <w:sz w:val="21"/>
                    </w:rPr>
                    <w:t>区域名称</w:t>
                  </w:r>
                </w:p>
              </w:tc>
              <w:tc>
                <w:tcPr>
                  <w:tcW w:w="881" w:type="dxa"/>
                  <w:vAlign w:val="center"/>
                </w:tcPr>
                <w:p w14:paraId="1CB2EE3A">
                  <w:pPr>
                    <w:pStyle w:val="14"/>
                    <w:spacing w:before="0" w:after="0" w:line="240" w:lineRule="auto"/>
                    <w:ind w:right="0"/>
                    <w:jc w:val="center"/>
                    <w:rPr>
                      <w:sz w:val="21"/>
                    </w:rPr>
                  </w:pPr>
                  <w:r>
                    <w:rPr>
                      <w:sz w:val="21"/>
                    </w:rPr>
                    <w:t>区域划分</w:t>
                  </w:r>
                </w:p>
              </w:tc>
              <w:tc>
                <w:tcPr>
                  <w:tcW w:w="1049" w:type="dxa"/>
                  <w:vAlign w:val="center"/>
                </w:tcPr>
                <w:p w14:paraId="1769E7E3">
                  <w:pPr>
                    <w:pStyle w:val="14"/>
                    <w:spacing w:before="0" w:after="0" w:line="240" w:lineRule="auto"/>
                    <w:ind w:right="0"/>
                    <w:jc w:val="center"/>
                    <w:rPr>
                      <w:sz w:val="21"/>
                    </w:rPr>
                  </w:pPr>
                  <w:r>
                    <w:rPr>
                      <w:sz w:val="21"/>
                    </w:rPr>
                    <w:t>防渗等级</w:t>
                  </w:r>
                </w:p>
              </w:tc>
              <w:tc>
                <w:tcPr>
                  <w:tcW w:w="1800" w:type="dxa"/>
                  <w:vAlign w:val="center"/>
                </w:tcPr>
                <w:p w14:paraId="54F1A783">
                  <w:pPr>
                    <w:pStyle w:val="14"/>
                    <w:spacing w:before="0" w:after="0" w:line="240" w:lineRule="auto"/>
                    <w:ind w:right="0"/>
                    <w:jc w:val="center"/>
                    <w:rPr>
                      <w:sz w:val="21"/>
                    </w:rPr>
                  </w:pPr>
                  <w:r>
                    <w:rPr>
                      <w:sz w:val="21"/>
                    </w:rPr>
                    <w:t>防渗技术要求</w:t>
                  </w:r>
                </w:p>
              </w:tc>
            </w:tr>
            <w:tr w14:paraId="5A93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7A6FA46C">
                  <w:pPr>
                    <w:pStyle w:val="14"/>
                    <w:spacing w:before="0" w:after="0" w:line="240" w:lineRule="auto"/>
                    <w:ind w:right="0"/>
                    <w:jc w:val="center"/>
                    <w:rPr>
                      <w:sz w:val="21"/>
                    </w:rPr>
                  </w:pPr>
                  <w:r>
                    <w:rPr>
                      <w:sz w:val="21"/>
                    </w:rPr>
                    <w:t>1</w:t>
                  </w:r>
                </w:p>
              </w:tc>
              <w:tc>
                <w:tcPr>
                  <w:tcW w:w="1175" w:type="dxa"/>
                  <w:vAlign w:val="center"/>
                </w:tcPr>
                <w:p w14:paraId="2803CEAD">
                  <w:pPr>
                    <w:pStyle w:val="14"/>
                    <w:spacing w:before="0" w:after="0" w:line="240" w:lineRule="auto"/>
                    <w:ind w:right="0"/>
                    <w:jc w:val="center"/>
                    <w:rPr>
                      <w:sz w:val="21"/>
                    </w:rPr>
                  </w:pPr>
                  <w:r>
                    <w:rPr>
                      <w:sz w:val="21"/>
                    </w:rPr>
                    <w:t>办公楼、道路</w:t>
                  </w:r>
                </w:p>
              </w:tc>
              <w:tc>
                <w:tcPr>
                  <w:tcW w:w="881" w:type="dxa"/>
                  <w:vAlign w:val="center"/>
                </w:tcPr>
                <w:p w14:paraId="351C9E09">
                  <w:pPr>
                    <w:pStyle w:val="14"/>
                    <w:spacing w:before="0" w:after="0" w:line="240" w:lineRule="auto"/>
                    <w:ind w:right="0"/>
                    <w:jc w:val="center"/>
                    <w:rPr>
                      <w:sz w:val="21"/>
                    </w:rPr>
                  </w:pPr>
                  <w:r>
                    <w:rPr>
                      <w:sz w:val="21"/>
                    </w:rPr>
                    <w:t>非污染区</w:t>
                  </w:r>
                </w:p>
              </w:tc>
              <w:tc>
                <w:tcPr>
                  <w:tcW w:w="1049" w:type="dxa"/>
                  <w:vAlign w:val="center"/>
                </w:tcPr>
                <w:p w14:paraId="25E79B49">
                  <w:pPr>
                    <w:pStyle w:val="14"/>
                    <w:spacing w:before="0" w:after="0" w:line="240" w:lineRule="auto"/>
                    <w:ind w:right="0"/>
                    <w:jc w:val="center"/>
                    <w:rPr>
                      <w:sz w:val="21"/>
                    </w:rPr>
                  </w:pPr>
                  <w:r>
                    <w:rPr>
                      <w:sz w:val="21"/>
                    </w:rPr>
                    <w:t>简单防渗</w:t>
                  </w:r>
                </w:p>
              </w:tc>
              <w:tc>
                <w:tcPr>
                  <w:tcW w:w="1800" w:type="dxa"/>
                  <w:vAlign w:val="center"/>
                </w:tcPr>
                <w:p w14:paraId="413CF518">
                  <w:pPr>
                    <w:pStyle w:val="14"/>
                    <w:spacing w:before="0" w:after="0" w:line="240" w:lineRule="auto"/>
                    <w:ind w:right="0"/>
                    <w:jc w:val="center"/>
                    <w:rPr>
                      <w:sz w:val="21"/>
                    </w:rPr>
                  </w:pPr>
                  <w:r>
                    <w:rPr>
                      <w:sz w:val="21"/>
                    </w:rPr>
                    <w:t>一般地面硬化</w:t>
                  </w:r>
                </w:p>
              </w:tc>
            </w:tr>
            <w:tr w14:paraId="0F23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650A2F06">
                  <w:pPr>
                    <w:pStyle w:val="14"/>
                    <w:spacing w:before="0" w:after="0" w:line="240" w:lineRule="auto"/>
                    <w:ind w:right="0"/>
                    <w:jc w:val="center"/>
                    <w:rPr>
                      <w:sz w:val="21"/>
                    </w:rPr>
                  </w:pPr>
                  <w:r>
                    <w:rPr>
                      <w:sz w:val="21"/>
                    </w:rPr>
                    <w:t>2</w:t>
                  </w:r>
                </w:p>
              </w:tc>
              <w:tc>
                <w:tcPr>
                  <w:tcW w:w="1175" w:type="dxa"/>
                  <w:vAlign w:val="center"/>
                </w:tcPr>
                <w:p w14:paraId="52BAF842">
                  <w:pPr>
                    <w:pStyle w:val="14"/>
                    <w:spacing w:before="0" w:after="0" w:line="240" w:lineRule="auto"/>
                    <w:ind w:right="0"/>
                    <w:jc w:val="center"/>
                    <w:rPr>
                      <w:sz w:val="21"/>
                    </w:rPr>
                  </w:pPr>
                  <w:r>
                    <w:rPr>
                      <w:sz w:val="21"/>
                    </w:rPr>
                    <w:t>废旧农机停放区</w:t>
                  </w:r>
                </w:p>
              </w:tc>
              <w:tc>
                <w:tcPr>
                  <w:tcW w:w="881" w:type="dxa"/>
                  <w:vMerge w:val="restart"/>
                  <w:vAlign w:val="center"/>
                </w:tcPr>
                <w:p w14:paraId="69D2D836">
                  <w:pPr>
                    <w:pStyle w:val="14"/>
                    <w:spacing w:before="0" w:after="0" w:line="240" w:lineRule="auto"/>
                    <w:ind w:right="0"/>
                    <w:jc w:val="center"/>
                    <w:rPr>
                      <w:sz w:val="21"/>
                    </w:rPr>
                  </w:pPr>
                  <w:r>
                    <w:rPr>
                      <w:sz w:val="21"/>
                    </w:rPr>
                    <w:t>一般污染区</w:t>
                  </w:r>
                </w:p>
              </w:tc>
              <w:tc>
                <w:tcPr>
                  <w:tcW w:w="1049" w:type="dxa"/>
                  <w:vMerge w:val="restart"/>
                  <w:vAlign w:val="center"/>
                </w:tcPr>
                <w:p w14:paraId="58BD8075">
                  <w:pPr>
                    <w:pStyle w:val="14"/>
                    <w:spacing w:before="0" w:after="0" w:line="240" w:lineRule="auto"/>
                    <w:ind w:right="0"/>
                    <w:jc w:val="center"/>
                    <w:rPr>
                      <w:sz w:val="21"/>
                    </w:rPr>
                  </w:pPr>
                  <w:r>
                    <w:rPr>
                      <w:sz w:val="21"/>
                    </w:rPr>
                    <w:t>一般防渗区</w:t>
                  </w:r>
                </w:p>
              </w:tc>
              <w:tc>
                <w:tcPr>
                  <w:tcW w:w="1800" w:type="dxa"/>
                  <w:vMerge w:val="restart"/>
                  <w:vAlign w:val="center"/>
                </w:tcPr>
                <w:p w14:paraId="78F5F778">
                  <w:pPr>
                    <w:pStyle w:val="14"/>
                    <w:spacing w:before="0" w:after="0" w:line="240" w:lineRule="auto"/>
                    <w:ind w:right="0"/>
                    <w:jc w:val="center"/>
                    <w:rPr>
                      <w:sz w:val="21"/>
                    </w:rPr>
                  </w:pPr>
                  <w:r>
                    <w:rPr>
                      <w:sz w:val="21"/>
                    </w:rPr>
                    <w:t>等效粘土防渗层Mb≥1.5m，K≤1×10</w:t>
                  </w:r>
                  <w:r>
                    <w:rPr>
                      <w:sz w:val="21"/>
                      <w:vertAlign w:val="superscript"/>
                    </w:rPr>
                    <w:t>-7</w:t>
                  </w:r>
                  <w:r>
                    <w:rPr>
                      <w:sz w:val="21"/>
                    </w:rPr>
                    <w:t>cm/s；或参照GB16889执行</w:t>
                  </w:r>
                </w:p>
              </w:tc>
            </w:tr>
            <w:tr w14:paraId="1A39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6836E122">
                  <w:pPr>
                    <w:pStyle w:val="14"/>
                    <w:spacing w:before="0" w:after="0" w:line="240" w:lineRule="auto"/>
                    <w:ind w:right="0"/>
                    <w:jc w:val="center"/>
                    <w:rPr>
                      <w:sz w:val="21"/>
                    </w:rPr>
                  </w:pPr>
                  <w:r>
                    <w:rPr>
                      <w:sz w:val="21"/>
                    </w:rPr>
                    <w:t>3</w:t>
                  </w:r>
                </w:p>
              </w:tc>
              <w:tc>
                <w:tcPr>
                  <w:tcW w:w="1175" w:type="dxa"/>
                  <w:vAlign w:val="center"/>
                </w:tcPr>
                <w:p w14:paraId="1C67C080">
                  <w:pPr>
                    <w:pStyle w:val="14"/>
                    <w:spacing w:before="0" w:after="0" w:line="240" w:lineRule="auto"/>
                    <w:ind w:right="0"/>
                    <w:jc w:val="center"/>
                    <w:rPr>
                      <w:sz w:val="21"/>
                    </w:rPr>
                  </w:pPr>
                  <w:r>
                    <w:rPr>
                      <w:sz w:val="21"/>
                    </w:rPr>
                    <w:t>一般固废间</w:t>
                  </w:r>
                </w:p>
              </w:tc>
              <w:tc>
                <w:tcPr>
                  <w:tcW w:w="881" w:type="dxa"/>
                  <w:vMerge w:val="continue"/>
                  <w:vAlign w:val="center"/>
                </w:tcPr>
                <w:p w14:paraId="5350BE99">
                  <w:pPr>
                    <w:pStyle w:val="14"/>
                    <w:spacing w:before="0" w:after="0" w:line="240" w:lineRule="auto"/>
                    <w:ind w:right="0"/>
                    <w:jc w:val="center"/>
                    <w:rPr>
                      <w:sz w:val="21"/>
                    </w:rPr>
                  </w:pPr>
                </w:p>
              </w:tc>
              <w:tc>
                <w:tcPr>
                  <w:tcW w:w="1049" w:type="dxa"/>
                  <w:vMerge w:val="continue"/>
                  <w:vAlign w:val="center"/>
                </w:tcPr>
                <w:p w14:paraId="5BACD417">
                  <w:pPr>
                    <w:pStyle w:val="14"/>
                    <w:spacing w:before="0" w:after="0" w:line="240" w:lineRule="auto"/>
                    <w:ind w:right="0"/>
                    <w:jc w:val="center"/>
                    <w:rPr>
                      <w:sz w:val="21"/>
                    </w:rPr>
                  </w:pPr>
                </w:p>
              </w:tc>
              <w:tc>
                <w:tcPr>
                  <w:tcW w:w="1800" w:type="dxa"/>
                  <w:vMerge w:val="continue"/>
                  <w:vAlign w:val="center"/>
                </w:tcPr>
                <w:p w14:paraId="10514E66">
                  <w:pPr>
                    <w:pStyle w:val="14"/>
                    <w:spacing w:before="0" w:after="0" w:line="240" w:lineRule="auto"/>
                    <w:ind w:right="0"/>
                    <w:jc w:val="center"/>
                    <w:rPr>
                      <w:sz w:val="21"/>
                    </w:rPr>
                  </w:pPr>
                </w:p>
              </w:tc>
            </w:tr>
            <w:tr w14:paraId="59E2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269580C2">
                  <w:pPr>
                    <w:pStyle w:val="14"/>
                    <w:spacing w:before="0" w:after="0" w:line="240" w:lineRule="auto"/>
                    <w:ind w:right="0"/>
                    <w:jc w:val="center"/>
                    <w:rPr>
                      <w:sz w:val="21"/>
                    </w:rPr>
                  </w:pPr>
                  <w:r>
                    <w:rPr>
                      <w:sz w:val="21"/>
                    </w:rPr>
                    <w:t>4</w:t>
                  </w:r>
                </w:p>
              </w:tc>
              <w:tc>
                <w:tcPr>
                  <w:tcW w:w="1175" w:type="dxa"/>
                  <w:vAlign w:val="center"/>
                </w:tcPr>
                <w:p w14:paraId="507957B6">
                  <w:pPr>
                    <w:pStyle w:val="14"/>
                    <w:spacing w:before="0" w:after="0" w:line="240" w:lineRule="auto"/>
                    <w:ind w:right="0"/>
                    <w:jc w:val="center"/>
                    <w:rPr>
                      <w:sz w:val="21"/>
                    </w:rPr>
                  </w:pPr>
                  <w:r>
                    <w:rPr>
                      <w:sz w:val="21"/>
                    </w:rPr>
                    <w:t>初期雨水池</w:t>
                  </w:r>
                </w:p>
              </w:tc>
              <w:tc>
                <w:tcPr>
                  <w:tcW w:w="881" w:type="dxa"/>
                  <w:vMerge w:val="continue"/>
                  <w:vAlign w:val="center"/>
                </w:tcPr>
                <w:p w14:paraId="5A26B4A9">
                  <w:pPr>
                    <w:pStyle w:val="14"/>
                    <w:spacing w:before="0" w:after="0" w:line="240" w:lineRule="auto"/>
                    <w:ind w:right="0"/>
                    <w:jc w:val="center"/>
                    <w:rPr>
                      <w:sz w:val="21"/>
                    </w:rPr>
                  </w:pPr>
                </w:p>
              </w:tc>
              <w:tc>
                <w:tcPr>
                  <w:tcW w:w="1049" w:type="dxa"/>
                  <w:vMerge w:val="continue"/>
                  <w:vAlign w:val="center"/>
                </w:tcPr>
                <w:p w14:paraId="19EDA58B">
                  <w:pPr>
                    <w:pStyle w:val="14"/>
                    <w:spacing w:before="0" w:after="0" w:line="240" w:lineRule="auto"/>
                    <w:ind w:right="0"/>
                    <w:jc w:val="center"/>
                    <w:rPr>
                      <w:sz w:val="21"/>
                    </w:rPr>
                  </w:pPr>
                </w:p>
              </w:tc>
              <w:tc>
                <w:tcPr>
                  <w:tcW w:w="1800" w:type="dxa"/>
                  <w:vMerge w:val="continue"/>
                  <w:vAlign w:val="center"/>
                </w:tcPr>
                <w:p w14:paraId="4CF4796C">
                  <w:pPr>
                    <w:pStyle w:val="14"/>
                    <w:spacing w:before="0" w:after="0" w:line="240" w:lineRule="auto"/>
                    <w:ind w:right="0"/>
                    <w:jc w:val="center"/>
                    <w:rPr>
                      <w:sz w:val="21"/>
                    </w:rPr>
                  </w:pPr>
                </w:p>
              </w:tc>
            </w:tr>
            <w:tr w14:paraId="41CF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7384D8B8">
                  <w:pPr>
                    <w:pStyle w:val="14"/>
                    <w:spacing w:before="0" w:after="0" w:line="240" w:lineRule="auto"/>
                    <w:ind w:right="0"/>
                    <w:jc w:val="center"/>
                    <w:rPr>
                      <w:sz w:val="21"/>
                    </w:rPr>
                  </w:pPr>
                  <w:r>
                    <w:rPr>
                      <w:sz w:val="21"/>
                    </w:rPr>
                    <w:t>5</w:t>
                  </w:r>
                </w:p>
              </w:tc>
              <w:tc>
                <w:tcPr>
                  <w:tcW w:w="1175" w:type="dxa"/>
                  <w:vAlign w:val="center"/>
                </w:tcPr>
                <w:p w14:paraId="4A7B01AE">
                  <w:pPr>
                    <w:pStyle w:val="14"/>
                    <w:spacing w:before="0" w:after="0" w:line="240" w:lineRule="auto"/>
                    <w:ind w:right="0"/>
                    <w:jc w:val="center"/>
                    <w:rPr>
                      <w:sz w:val="21"/>
                    </w:rPr>
                  </w:pPr>
                  <w:r>
                    <w:rPr>
                      <w:sz w:val="21"/>
                    </w:rPr>
                    <w:t>总成拆解区</w:t>
                  </w:r>
                </w:p>
              </w:tc>
              <w:tc>
                <w:tcPr>
                  <w:tcW w:w="881" w:type="dxa"/>
                  <w:vMerge w:val="continue"/>
                  <w:vAlign w:val="center"/>
                </w:tcPr>
                <w:p w14:paraId="6BFC4D58">
                  <w:pPr>
                    <w:pStyle w:val="14"/>
                    <w:spacing w:before="0" w:after="0" w:line="240" w:lineRule="auto"/>
                    <w:ind w:right="0"/>
                    <w:jc w:val="center"/>
                    <w:rPr>
                      <w:sz w:val="21"/>
                    </w:rPr>
                  </w:pPr>
                </w:p>
              </w:tc>
              <w:tc>
                <w:tcPr>
                  <w:tcW w:w="1049" w:type="dxa"/>
                  <w:vMerge w:val="continue"/>
                  <w:vAlign w:val="center"/>
                </w:tcPr>
                <w:p w14:paraId="493020B4">
                  <w:pPr>
                    <w:pStyle w:val="14"/>
                    <w:spacing w:before="0" w:after="0" w:line="240" w:lineRule="auto"/>
                    <w:ind w:right="0"/>
                    <w:jc w:val="center"/>
                    <w:rPr>
                      <w:sz w:val="21"/>
                    </w:rPr>
                  </w:pPr>
                </w:p>
              </w:tc>
              <w:tc>
                <w:tcPr>
                  <w:tcW w:w="1800" w:type="dxa"/>
                  <w:vMerge w:val="continue"/>
                  <w:vAlign w:val="center"/>
                </w:tcPr>
                <w:p w14:paraId="56637D6B">
                  <w:pPr>
                    <w:pStyle w:val="14"/>
                    <w:spacing w:before="0" w:after="0" w:line="240" w:lineRule="auto"/>
                    <w:ind w:right="0"/>
                    <w:jc w:val="center"/>
                    <w:rPr>
                      <w:sz w:val="21"/>
                    </w:rPr>
                  </w:pPr>
                </w:p>
              </w:tc>
            </w:tr>
            <w:tr w14:paraId="117B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4B69D654">
                  <w:pPr>
                    <w:pStyle w:val="14"/>
                    <w:spacing w:before="0" w:after="0" w:line="240" w:lineRule="auto"/>
                    <w:ind w:right="0"/>
                    <w:jc w:val="center"/>
                    <w:rPr>
                      <w:sz w:val="21"/>
                    </w:rPr>
                  </w:pPr>
                  <w:r>
                    <w:rPr>
                      <w:sz w:val="21"/>
                    </w:rPr>
                    <w:t>6</w:t>
                  </w:r>
                </w:p>
              </w:tc>
              <w:tc>
                <w:tcPr>
                  <w:tcW w:w="1175" w:type="dxa"/>
                  <w:vAlign w:val="center"/>
                </w:tcPr>
                <w:p w14:paraId="36502F54">
                  <w:pPr>
                    <w:pStyle w:val="14"/>
                    <w:spacing w:before="0" w:after="0" w:line="240" w:lineRule="auto"/>
                    <w:ind w:right="0"/>
                    <w:jc w:val="center"/>
                    <w:rPr>
                      <w:sz w:val="21"/>
                    </w:rPr>
                  </w:pPr>
                  <w:r>
                    <w:rPr>
                      <w:sz w:val="21"/>
                    </w:rPr>
                    <w:t>预拆解区</w:t>
                  </w:r>
                </w:p>
              </w:tc>
              <w:tc>
                <w:tcPr>
                  <w:tcW w:w="881" w:type="dxa"/>
                  <w:vMerge w:val="restart"/>
                  <w:vAlign w:val="center"/>
                </w:tcPr>
                <w:p w14:paraId="3D34890D">
                  <w:pPr>
                    <w:pStyle w:val="14"/>
                    <w:spacing w:before="0" w:after="0" w:line="240" w:lineRule="auto"/>
                    <w:ind w:right="0"/>
                    <w:jc w:val="center"/>
                    <w:rPr>
                      <w:sz w:val="21"/>
                    </w:rPr>
                  </w:pPr>
                  <w:r>
                    <w:rPr>
                      <w:sz w:val="21"/>
                    </w:rPr>
                    <w:t>重点污染区</w:t>
                  </w:r>
                </w:p>
              </w:tc>
              <w:tc>
                <w:tcPr>
                  <w:tcW w:w="1049" w:type="dxa"/>
                  <w:vMerge w:val="restart"/>
                  <w:vAlign w:val="center"/>
                </w:tcPr>
                <w:p w14:paraId="237A81E7">
                  <w:pPr>
                    <w:pStyle w:val="14"/>
                    <w:spacing w:before="0" w:after="0" w:line="240" w:lineRule="auto"/>
                    <w:ind w:right="0"/>
                    <w:jc w:val="center"/>
                    <w:rPr>
                      <w:sz w:val="21"/>
                    </w:rPr>
                  </w:pPr>
                  <w:r>
                    <w:rPr>
                      <w:sz w:val="21"/>
                    </w:rPr>
                    <w:t>重点防渗区</w:t>
                  </w:r>
                </w:p>
              </w:tc>
              <w:tc>
                <w:tcPr>
                  <w:tcW w:w="1800" w:type="dxa"/>
                  <w:vMerge w:val="restart"/>
                  <w:vAlign w:val="center"/>
                </w:tcPr>
                <w:p w14:paraId="2DD64E04">
                  <w:pPr>
                    <w:pStyle w:val="14"/>
                    <w:spacing w:before="0" w:after="0" w:line="240" w:lineRule="auto"/>
                    <w:ind w:right="0"/>
                    <w:jc w:val="center"/>
                    <w:rPr>
                      <w:sz w:val="21"/>
                    </w:rPr>
                  </w:pPr>
                  <w:r>
                    <w:rPr>
                      <w:sz w:val="21"/>
                    </w:rPr>
                    <w:t>等效粘土防渗层Mb≥6.0m，K≤1×10</w:t>
                  </w:r>
                  <w:r>
                    <w:rPr>
                      <w:sz w:val="21"/>
                      <w:vertAlign w:val="superscript"/>
                    </w:rPr>
                    <w:t>-7</w:t>
                  </w:r>
                  <w:r>
                    <w:rPr>
                      <w:sz w:val="21"/>
                    </w:rPr>
                    <w:t>cm/s；或参照GB18598执行</w:t>
                  </w:r>
                </w:p>
              </w:tc>
            </w:tr>
            <w:tr w14:paraId="3E70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51AD1909">
                  <w:pPr>
                    <w:pStyle w:val="14"/>
                    <w:spacing w:before="0" w:after="0" w:line="240" w:lineRule="auto"/>
                    <w:ind w:right="0"/>
                    <w:jc w:val="center"/>
                    <w:rPr>
                      <w:sz w:val="21"/>
                    </w:rPr>
                  </w:pPr>
                  <w:r>
                    <w:rPr>
                      <w:sz w:val="21"/>
                    </w:rPr>
                    <w:t>7</w:t>
                  </w:r>
                </w:p>
              </w:tc>
              <w:tc>
                <w:tcPr>
                  <w:tcW w:w="1175" w:type="dxa"/>
                  <w:vAlign w:val="center"/>
                </w:tcPr>
                <w:p w14:paraId="78A64123">
                  <w:pPr>
                    <w:pStyle w:val="14"/>
                    <w:spacing w:before="0" w:after="0" w:line="240" w:lineRule="auto"/>
                    <w:ind w:right="0"/>
                    <w:jc w:val="center"/>
                    <w:rPr>
                      <w:sz w:val="21"/>
                    </w:rPr>
                  </w:pPr>
                  <w:r>
                    <w:rPr>
                      <w:sz w:val="21"/>
                    </w:rPr>
                    <w:t>危废暂存间</w:t>
                  </w:r>
                </w:p>
              </w:tc>
              <w:tc>
                <w:tcPr>
                  <w:tcW w:w="881" w:type="dxa"/>
                  <w:vMerge w:val="continue"/>
                  <w:vAlign w:val="center"/>
                </w:tcPr>
                <w:p w14:paraId="1D1DD7E0">
                  <w:pPr>
                    <w:pStyle w:val="14"/>
                    <w:spacing w:before="0" w:after="0" w:line="240" w:lineRule="auto"/>
                    <w:ind w:right="0"/>
                    <w:jc w:val="center"/>
                    <w:rPr>
                      <w:sz w:val="21"/>
                    </w:rPr>
                  </w:pPr>
                </w:p>
              </w:tc>
              <w:tc>
                <w:tcPr>
                  <w:tcW w:w="1049" w:type="dxa"/>
                  <w:vMerge w:val="continue"/>
                  <w:vAlign w:val="center"/>
                </w:tcPr>
                <w:p w14:paraId="1CEF5F1B">
                  <w:pPr>
                    <w:pStyle w:val="14"/>
                    <w:spacing w:before="0" w:after="0" w:line="240" w:lineRule="auto"/>
                    <w:ind w:right="0"/>
                    <w:jc w:val="center"/>
                    <w:rPr>
                      <w:sz w:val="21"/>
                    </w:rPr>
                  </w:pPr>
                </w:p>
              </w:tc>
              <w:tc>
                <w:tcPr>
                  <w:tcW w:w="1800" w:type="dxa"/>
                  <w:vMerge w:val="continue"/>
                  <w:vAlign w:val="center"/>
                </w:tcPr>
                <w:p w14:paraId="2620412A">
                  <w:pPr>
                    <w:pStyle w:val="14"/>
                    <w:spacing w:before="0" w:after="0" w:line="240" w:lineRule="auto"/>
                    <w:ind w:right="0"/>
                    <w:jc w:val="center"/>
                    <w:rPr>
                      <w:sz w:val="21"/>
                    </w:rPr>
                  </w:pPr>
                </w:p>
              </w:tc>
            </w:tr>
            <w:tr w14:paraId="7DD7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79" w:type="dxa"/>
                  <w:vAlign w:val="center"/>
                </w:tcPr>
                <w:p w14:paraId="016F48D6">
                  <w:pPr>
                    <w:pStyle w:val="14"/>
                    <w:spacing w:before="0" w:after="0" w:line="240" w:lineRule="auto"/>
                    <w:ind w:right="0"/>
                    <w:jc w:val="center"/>
                    <w:rPr>
                      <w:sz w:val="21"/>
                    </w:rPr>
                  </w:pPr>
                  <w:r>
                    <w:rPr>
                      <w:sz w:val="21"/>
                    </w:rPr>
                    <w:t>8</w:t>
                  </w:r>
                </w:p>
              </w:tc>
              <w:tc>
                <w:tcPr>
                  <w:tcW w:w="1175" w:type="dxa"/>
                  <w:vAlign w:val="center"/>
                </w:tcPr>
                <w:p w14:paraId="2549DBFD">
                  <w:pPr>
                    <w:pStyle w:val="14"/>
                    <w:spacing w:before="0" w:after="0" w:line="240" w:lineRule="auto"/>
                    <w:ind w:right="0"/>
                    <w:jc w:val="center"/>
                    <w:rPr>
                      <w:sz w:val="21"/>
                    </w:rPr>
                  </w:pPr>
                  <w:r>
                    <w:rPr>
                      <w:sz w:val="21"/>
                    </w:rPr>
                    <w:t>应急事故池</w:t>
                  </w:r>
                </w:p>
              </w:tc>
              <w:tc>
                <w:tcPr>
                  <w:tcW w:w="881" w:type="dxa"/>
                  <w:vMerge w:val="continue"/>
                  <w:vAlign w:val="center"/>
                </w:tcPr>
                <w:p w14:paraId="1D892CC4">
                  <w:pPr>
                    <w:pStyle w:val="14"/>
                    <w:spacing w:before="0" w:after="0" w:line="240" w:lineRule="auto"/>
                    <w:ind w:right="0"/>
                    <w:jc w:val="center"/>
                    <w:rPr>
                      <w:sz w:val="21"/>
                    </w:rPr>
                  </w:pPr>
                </w:p>
              </w:tc>
              <w:tc>
                <w:tcPr>
                  <w:tcW w:w="1049" w:type="dxa"/>
                  <w:vMerge w:val="continue"/>
                  <w:vAlign w:val="center"/>
                </w:tcPr>
                <w:p w14:paraId="32870E7E">
                  <w:pPr>
                    <w:pStyle w:val="14"/>
                    <w:spacing w:before="0" w:after="0" w:line="240" w:lineRule="auto"/>
                    <w:ind w:right="0"/>
                    <w:jc w:val="center"/>
                    <w:rPr>
                      <w:sz w:val="21"/>
                    </w:rPr>
                  </w:pPr>
                </w:p>
              </w:tc>
              <w:tc>
                <w:tcPr>
                  <w:tcW w:w="1800" w:type="dxa"/>
                  <w:vMerge w:val="continue"/>
                  <w:vAlign w:val="center"/>
                </w:tcPr>
                <w:p w14:paraId="0243CB36">
                  <w:pPr>
                    <w:pStyle w:val="14"/>
                    <w:spacing w:before="0" w:after="0" w:line="240" w:lineRule="auto"/>
                    <w:ind w:right="0"/>
                    <w:jc w:val="center"/>
                    <w:rPr>
                      <w:sz w:val="21"/>
                    </w:rPr>
                  </w:pPr>
                </w:p>
              </w:tc>
            </w:tr>
          </w:tbl>
          <w:p w14:paraId="4F73AC7E">
            <w:pPr>
              <w:adjustRightInd w:val="0"/>
              <w:snapToGrid w:val="0"/>
              <w:spacing w:line="360" w:lineRule="auto"/>
              <w:ind w:firstLine="456" w:firstLineChars="200"/>
              <w:rPr>
                <w:sz w:val="24"/>
              </w:rPr>
            </w:pPr>
            <w:r>
              <w:rPr>
                <w:spacing w:val="-6"/>
                <w:sz w:val="24"/>
              </w:rPr>
              <w:t>经过上述措施处理后，各防渗区满足相关要求，项目运行后基本不会对区域地下水、土壤环境造成影响。</w:t>
            </w:r>
          </w:p>
          <w:p w14:paraId="23AD4973">
            <w:pPr>
              <w:adjustRightInd w:val="0"/>
              <w:snapToGrid w:val="0"/>
              <w:spacing w:line="360" w:lineRule="auto"/>
              <w:ind w:firstLine="482" w:firstLineChars="200"/>
              <w:rPr>
                <w:b/>
                <w:bCs/>
                <w:sz w:val="24"/>
              </w:rPr>
            </w:pPr>
            <w:r>
              <w:rPr>
                <w:b/>
                <w:bCs/>
                <w:sz w:val="24"/>
              </w:rPr>
              <w:t>3、环境影响分析</w:t>
            </w:r>
          </w:p>
          <w:p w14:paraId="49E774ED">
            <w:pPr>
              <w:adjustRightInd w:val="0"/>
              <w:snapToGrid w:val="0"/>
              <w:spacing w:line="360" w:lineRule="auto"/>
              <w:ind w:firstLine="480" w:firstLineChars="200"/>
              <w:rPr>
                <w:sz w:val="24"/>
              </w:rPr>
            </w:pPr>
            <w:r>
              <w:rPr>
                <w:sz w:val="24"/>
              </w:rPr>
              <w:t>本项目根据污染源及污染途径分布情况，采取较为合理的分区防控措施，</w:t>
            </w:r>
            <w:r>
              <w:rPr>
                <w:spacing w:val="-6"/>
                <w:sz w:val="24"/>
              </w:rPr>
              <w:t>污染防治措施较为完善，正常情况下，基本不会对土壤、地下水造成环境影响。</w:t>
            </w:r>
          </w:p>
          <w:p w14:paraId="4F7D921F">
            <w:pPr>
              <w:adjustRightInd w:val="0"/>
              <w:snapToGrid w:val="0"/>
              <w:spacing w:line="360" w:lineRule="auto"/>
              <w:ind w:firstLine="482" w:firstLineChars="200"/>
              <w:rPr>
                <w:b/>
                <w:bCs/>
                <w:sz w:val="24"/>
              </w:rPr>
            </w:pPr>
            <w:r>
              <w:rPr>
                <w:b/>
                <w:bCs/>
                <w:sz w:val="24"/>
              </w:rPr>
              <w:t>4、跟踪监测要求</w:t>
            </w:r>
          </w:p>
          <w:p w14:paraId="1F5B89ED">
            <w:pPr>
              <w:widowControl/>
              <w:spacing w:line="360" w:lineRule="auto"/>
              <w:ind w:firstLine="480" w:firstLineChars="200"/>
              <w:jc w:val="left"/>
              <w:rPr>
                <w:sz w:val="24"/>
              </w:rPr>
            </w:pPr>
            <w:r>
              <w:rPr>
                <w:sz w:val="24"/>
              </w:rPr>
              <w:t>参照《建设项目环境影响报告表编制技术指南（污染影响类）（试行）》、《环境影响评价技术导则 土壤环境（试行）》（HJ964—2018）跟踪监测相关内容以及本项目污染物、污染途径及保护目标分布情况，本项目土壤环境跟踪监测要求如下：</w:t>
            </w:r>
          </w:p>
          <w:p w14:paraId="15C71AB3">
            <w:pPr>
              <w:pStyle w:val="14"/>
              <w:spacing w:before="0" w:after="0" w:line="240" w:lineRule="auto"/>
              <w:ind w:right="0"/>
              <w:jc w:val="center"/>
              <w:rPr>
                <w:b/>
                <w:bCs/>
                <w:szCs w:val="24"/>
              </w:rPr>
            </w:pPr>
            <w:r>
              <w:rPr>
                <w:b/>
                <w:bCs/>
                <w:szCs w:val="24"/>
              </w:rPr>
              <w:t>表3</w:t>
            </w:r>
            <w:r>
              <w:rPr>
                <w:rFonts w:hint="eastAsia"/>
                <w:b/>
                <w:bCs/>
                <w:szCs w:val="24"/>
              </w:rPr>
              <w:t xml:space="preserve">5 </w:t>
            </w:r>
            <w:r>
              <w:rPr>
                <w:b/>
                <w:bCs/>
                <w:szCs w:val="24"/>
              </w:rPr>
              <w:t xml:space="preserve">  土壤环境跟踪监测要求</w:t>
            </w:r>
          </w:p>
          <w:tbl>
            <w:tblPr>
              <w:tblStyle w:val="24"/>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1107"/>
              <w:gridCol w:w="1101"/>
              <w:gridCol w:w="4984"/>
            </w:tblGrid>
            <w:tr w14:paraId="578E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257F117">
                  <w:pPr>
                    <w:jc w:val="center"/>
                  </w:pPr>
                  <w:r>
                    <w:t>监测点位</w:t>
                  </w:r>
                </w:p>
              </w:tc>
              <w:tc>
                <w:tcPr>
                  <w:tcW w:w="1107" w:type="dxa"/>
                  <w:vAlign w:val="center"/>
                </w:tcPr>
                <w:p w14:paraId="52C8AB56">
                  <w:pPr>
                    <w:jc w:val="center"/>
                  </w:pPr>
                  <w:r>
                    <w:t>监测因子</w:t>
                  </w:r>
                </w:p>
              </w:tc>
              <w:tc>
                <w:tcPr>
                  <w:tcW w:w="1101" w:type="dxa"/>
                  <w:vAlign w:val="center"/>
                </w:tcPr>
                <w:p w14:paraId="7761F3FB">
                  <w:pPr>
                    <w:jc w:val="center"/>
                  </w:pPr>
                  <w:r>
                    <w:t>监测频次</w:t>
                  </w:r>
                </w:p>
              </w:tc>
              <w:tc>
                <w:tcPr>
                  <w:tcW w:w="4984" w:type="dxa"/>
                  <w:vAlign w:val="center"/>
                </w:tcPr>
                <w:p w14:paraId="03D9DA0D">
                  <w:pPr>
                    <w:jc w:val="center"/>
                  </w:pPr>
                  <w:r>
                    <w:t>执行标准</w:t>
                  </w:r>
                </w:p>
              </w:tc>
            </w:tr>
            <w:tr w14:paraId="1050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C70C091">
                  <w:pPr>
                    <w:jc w:val="center"/>
                  </w:pPr>
                  <w:r>
                    <w:t>项目场地外空地</w:t>
                  </w:r>
                </w:p>
              </w:tc>
              <w:tc>
                <w:tcPr>
                  <w:tcW w:w="1107" w:type="dxa"/>
                  <w:vAlign w:val="center"/>
                </w:tcPr>
                <w:p w14:paraId="2C983772">
                  <w:pPr>
                    <w:jc w:val="center"/>
                  </w:pPr>
                  <w:r>
                    <w:t>石油烃</w:t>
                  </w:r>
                </w:p>
              </w:tc>
              <w:tc>
                <w:tcPr>
                  <w:tcW w:w="1101" w:type="dxa"/>
                  <w:vAlign w:val="center"/>
                </w:tcPr>
                <w:p w14:paraId="6693CFCD">
                  <w:pPr>
                    <w:jc w:val="center"/>
                  </w:pPr>
                  <w:r>
                    <w:t>每5年1次</w:t>
                  </w:r>
                </w:p>
              </w:tc>
              <w:tc>
                <w:tcPr>
                  <w:tcW w:w="4984" w:type="dxa"/>
                  <w:vAlign w:val="center"/>
                </w:tcPr>
                <w:p w14:paraId="4F97DEF0">
                  <w:pPr>
                    <w:jc w:val="center"/>
                  </w:pPr>
                  <w:r>
                    <w:t>《土壤环境质量 建设用地土壤污染风险管控标准（试行）》（GB36600-2018）</w:t>
                  </w:r>
                </w:p>
              </w:tc>
            </w:tr>
          </w:tbl>
          <w:p w14:paraId="796BFF4A">
            <w:pPr>
              <w:pStyle w:val="14"/>
              <w:spacing w:before="0" w:after="0" w:line="360" w:lineRule="auto"/>
              <w:ind w:right="0" w:firstLine="480" w:firstLineChars="200"/>
              <w:rPr>
                <w:szCs w:val="24"/>
              </w:rPr>
            </w:pPr>
            <w:r>
              <w:rPr>
                <w:szCs w:val="24"/>
              </w:rPr>
              <w:t>根据本项目污染物、污染途径及保护目标分布情况，本项目地下水环境跟踪监测要求如下：</w:t>
            </w:r>
          </w:p>
          <w:p w14:paraId="3F2DBB82">
            <w:pPr>
              <w:jc w:val="center"/>
              <w:rPr>
                <w:b/>
                <w:bCs/>
                <w:sz w:val="24"/>
                <w:szCs w:val="32"/>
              </w:rPr>
            </w:pPr>
            <w:r>
              <w:rPr>
                <w:b/>
                <w:bCs/>
                <w:sz w:val="24"/>
                <w:szCs w:val="32"/>
              </w:rPr>
              <w:t>表3</w:t>
            </w:r>
            <w:r>
              <w:rPr>
                <w:rFonts w:hint="eastAsia"/>
                <w:b/>
                <w:bCs/>
                <w:sz w:val="24"/>
                <w:szCs w:val="32"/>
              </w:rPr>
              <w:t xml:space="preserve">6 </w:t>
            </w:r>
            <w:r>
              <w:rPr>
                <w:b/>
                <w:bCs/>
                <w:sz w:val="24"/>
                <w:szCs w:val="32"/>
              </w:rPr>
              <w:t xml:space="preserve">  地下水环境跟踪监测要求</w:t>
            </w:r>
          </w:p>
          <w:tbl>
            <w:tblPr>
              <w:tblStyle w:val="24"/>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2"/>
              <w:gridCol w:w="1110"/>
              <w:gridCol w:w="1524"/>
              <w:gridCol w:w="3932"/>
            </w:tblGrid>
            <w:tr w14:paraId="6D260954">
              <w:trPr>
                <w:jc w:val="center"/>
              </w:trPr>
              <w:tc>
                <w:tcPr>
                  <w:tcW w:w="1826" w:type="dxa"/>
                  <w:vAlign w:val="center"/>
                </w:tcPr>
                <w:p w14:paraId="587F4D5B">
                  <w:pPr>
                    <w:jc w:val="center"/>
                  </w:pPr>
                  <w:r>
                    <w:t>监测点位</w:t>
                  </w:r>
                </w:p>
              </w:tc>
              <w:tc>
                <w:tcPr>
                  <w:tcW w:w="1170" w:type="dxa"/>
                  <w:vAlign w:val="center"/>
                </w:tcPr>
                <w:p w14:paraId="26C781D0">
                  <w:pPr>
                    <w:jc w:val="center"/>
                  </w:pPr>
                  <w:r>
                    <w:t>监测因子</w:t>
                  </w:r>
                </w:p>
              </w:tc>
              <w:tc>
                <w:tcPr>
                  <w:tcW w:w="1620" w:type="dxa"/>
                  <w:vAlign w:val="center"/>
                </w:tcPr>
                <w:p w14:paraId="4ECBD5AA">
                  <w:pPr>
                    <w:jc w:val="center"/>
                  </w:pPr>
                  <w:r>
                    <w:t>监测频次</w:t>
                  </w:r>
                </w:p>
              </w:tc>
              <w:tc>
                <w:tcPr>
                  <w:tcW w:w="4090" w:type="dxa"/>
                  <w:vAlign w:val="center"/>
                </w:tcPr>
                <w:p w14:paraId="7CD0B112">
                  <w:pPr>
                    <w:jc w:val="center"/>
                  </w:pPr>
                  <w:r>
                    <w:t>执行标准</w:t>
                  </w:r>
                </w:p>
              </w:tc>
            </w:tr>
            <w:tr w14:paraId="1F8BDB94">
              <w:tblPrEx>
                <w:tblCellMar>
                  <w:top w:w="0" w:type="dxa"/>
                  <w:left w:w="108" w:type="dxa"/>
                  <w:bottom w:w="0" w:type="dxa"/>
                  <w:right w:w="108" w:type="dxa"/>
                </w:tblCellMar>
              </w:tblPrEx>
              <w:trPr>
                <w:jc w:val="center"/>
              </w:trPr>
              <w:tc>
                <w:tcPr>
                  <w:tcW w:w="1826" w:type="dxa"/>
                  <w:vAlign w:val="center"/>
                </w:tcPr>
                <w:p w14:paraId="6740DD37">
                  <w:pPr>
                    <w:jc w:val="center"/>
                  </w:pPr>
                  <w:r>
                    <w:t>地下水水井</w:t>
                  </w:r>
                </w:p>
              </w:tc>
              <w:tc>
                <w:tcPr>
                  <w:tcW w:w="1170" w:type="dxa"/>
                  <w:vAlign w:val="center"/>
                </w:tcPr>
                <w:p w14:paraId="3E737101">
                  <w:pPr>
                    <w:jc w:val="center"/>
                  </w:pPr>
                  <w:r>
                    <w:t>石油烃</w:t>
                  </w:r>
                </w:p>
              </w:tc>
              <w:tc>
                <w:tcPr>
                  <w:tcW w:w="1620" w:type="dxa"/>
                  <w:vAlign w:val="center"/>
                </w:tcPr>
                <w:p w14:paraId="6DC30E06">
                  <w:pPr>
                    <w:jc w:val="center"/>
                  </w:pPr>
                  <w:r>
                    <w:t>1次/年</w:t>
                  </w:r>
                </w:p>
              </w:tc>
              <w:tc>
                <w:tcPr>
                  <w:tcW w:w="4090" w:type="dxa"/>
                  <w:vAlign w:val="center"/>
                </w:tcPr>
                <w:p w14:paraId="6EFDF423">
                  <w:pPr>
                    <w:jc w:val="center"/>
                  </w:pPr>
                  <w:r>
                    <w:t>《地下水质量标准》（GB/T14848-2017）</w:t>
                  </w:r>
                </w:p>
              </w:tc>
            </w:tr>
          </w:tbl>
          <w:p w14:paraId="53736FCA">
            <w:pPr>
              <w:pStyle w:val="14"/>
              <w:spacing w:before="0" w:after="0" w:line="360" w:lineRule="auto"/>
              <w:ind w:right="0" w:firstLine="482" w:firstLineChars="200"/>
              <w:rPr>
                <w:b/>
                <w:bCs/>
              </w:rPr>
            </w:pPr>
            <w:r>
              <w:rPr>
                <w:b/>
                <w:bCs/>
                <w:szCs w:val="24"/>
              </w:rPr>
              <w:t>六、环境风险分析</w:t>
            </w:r>
          </w:p>
          <w:p w14:paraId="0E948CF9">
            <w:pPr>
              <w:pStyle w:val="14"/>
              <w:spacing w:before="0" w:after="0" w:line="360" w:lineRule="auto"/>
              <w:ind w:right="0" w:firstLine="482" w:firstLineChars="200"/>
              <w:rPr>
                <w:b/>
                <w:bCs/>
                <w:szCs w:val="24"/>
              </w:rPr>
            </w:pPr>
            <w:r>
              <w:rPr>
                <w:b/>
                <w:bCs/>
                <w:szCs w:val="24"/>
              </w:rPr>
              <w:t>1、风险源调查</w:t>
            </w:r>
          </w:p>
          <w:p w14:paraId="73F0F835">
            <w:pPr>
              <w:pStyle w:val="14"/>
              <w:spacing w:before="0" w:after="0" w:line="360" w:lineRule="auto"/>
              <w:ind w:right="0" w:firstLine="480" w:firstLineChars="200"/>
              <w:rPr>
                <w:szCs w:val="24"/>
              </w:rPr>
            </w:pPr>
            <w:r>
              <w:rPr>
                <w:szCs w:val="24"/>
              </w:rPr>
              <w:t>根据《建设项目环境风险评价技术导则》（HJ169-2018）中附录B确定本项目原辅材料、生产工艺、贮存、运输、“三废”处理过程中涉及风险物质为废油液和切割使用的乙炔。</w:t>
            </w:r>
          </w:p>
          <w:p w14:paraId="7E6EFB97">
            <w:pPr>
              <w:pStyle w:val="12"/>
              <w:spacing w:line="360" w:lineRule="auto"/>
              <w:ind w:left="420" w:leftChars="200" w:firstLine="0"/>
              <w:rPr>
                <w:b/>
                <w:bCs/>
                <w:sz w:val="24"/>
              </w:rPr>
            </w:pPr>
            <w:r>
              <w:rPr>
                <w:b/>
                <w:bCs/>
                <w:sz w:val="24"/>
              </w:rPr>
              <w:t>2、环境风险潜势初判</w:t>
            </w:r>
          </w:p>
          <w:p w14:paraId="02B6D741">
            <w:pPr>
              <w:pStyle w:val="12"/>
              <w:spacing w:line="360" w:lineRule="auto"/>
              <w:ind w:firstLine="480" w:firstLineChars="200"/>
              <w:rPr>
                <w:sz w:val="24"/>
              </w:rPr>
            </w:pPr>
            <w:r>
              <w:rPr>
                <w:sz w:val="24"/>
              </w:rPr>
              <w:t>依据《建设项目环境风险评价技术导则》（HJ/T169-2018）附录B和C，计算项目所涉及的每种环境风险物质在厂界内的最大存在总量与其在附录B中对应的临界量的比值Q，在不同厂区的同一种物质，按其在厂界内的最大存在总量计算。</w:t>
            </w:r>
          </w:p>
          <w:p w14:paraId="3B6C94C8">
            <w:pPr>
              <w:pStyle w:val="12"/>
              <w:spacing w:line="360" w:lineRule="auto"/>
              <w:ind w:firstLine="480" w:firstLineChars="200"/>
              <w:rPr>
                <w:sz w:val="24"/>
              </w:rPr>
            </w:pPr>
            <w:r>
              <w:rPr>
                <w:rFonts w:hint="eastAsia" w:ascii="宋体" w:hAnsi="宋体" w:cs="宋体"/>
                <w:sz w:val="24"/>
              </w:rPr>
              <w:t>①</w:t>
            </w:r>
            <w:r>
              <w:rPr>
                <w:sz w:val="24"/>
              </w:rPr>
              <w:t>当只涉及一种危险物质时，计算该物质的总量与其临界量的比值，即为Q。</w:t>
            </w:r>
          </w:p>
          <w:p w14:paraId="4F949107">
            <w:pPr>
              <w:pStyle w:val="12"/>
              <w:spacing w:line="360" w:lineRule="auto"/>
              <w:ind w:firstLine="480" w:firstLineChars="200"/>
              <w:rPr>
                <w:sz w:val="24"/>
              </w:rPr>
            </w:pPr>
            <w:r>
              <w:rPr>
                <w:rFonts w:hint="eastAsia" w:ascii="宋体" w:hAnsi="宋体" w:cs="宋体"/>
                <w:sz w:val="24"/>
              </w:rPr>
              <w:t>②</w:t>
            </w:r>
            <w:r>
              <w:rPr>
                <w:sz w:val="24"/>
              </w:rPr>
              <w:t>当存在多种危险物质时，则按下式计算物质数量与临界量比值（Q）：</w:t>
            </w:r>
          </w:p>
          <w:p w14:paraId="118C9841">
            <w:pPr>
              <w:pStyle w:val="14"/>
              <w:jc w:val="center"/>
            </w:pPr>
            <w:r>
              <w:drawing>
                <wp:inline distT="0" distB="0" distL="114300" distR="114300">
                  <wp:extent cx="1619250" cy="436245"/>
                  <wp:effectExtent l="0" t="0" r="0" b="1905"/>
                  <wp:docPr id="2" name="图片 2" descr="0d9d9e87b16980391e76dca6a3d4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d9d9e87b16980391e76dca6a3d4afe"/>
                          <pic:cNvPicPr>
                            <a:picLocks noChangeAspect="1"/>
                          </pic:cNvPicPr>
                        </pic:nvPicPr>
                        <pic:blipFill>
                          <a:blip r:embed="rId21" cstate="print">
                            <a:lum contrast="24000"/>
                          </a:blip>
                          <a:stretch>
                            <a:fillRect/>
                          </a:stretch>
                        </pic:blipFill>
                        <pic:spPr>
                          <a:xfrm>
                            <a:off x="0" y="0"/>
                            <a:ext cx="1619250" cy="436245"/>
                          </a:xfrm>
                          <a:prstGeom prst="rect">
                            <a:avLst/>
                          </a:prstGeom>
                        </pic:spPr>
                      </pic:pic>
                    </a:graphicData>
                  </a:graphic>
                </wp:inline>
              </w:drawing>
            </w:r>
          </w:p>
          <w:p w14:paraId="59B9BFDE">
            <w:pPr>
              <w:spacing w:line="360" w:lineRule="auto"/>
              <w:ind w:firstLine="480" w:firstLineChars="200"/>
              <w:rPr>
                <w:sz w:val="24"/>
              </w:rPr>
            </w:pPr>
            <w:r>
              <w:rPr>
                <w:sz w:val="24"/>
              </w:rPr>
              <w:t>式中：q</w:t>
            </w:r>
            <w:r>
              <w:rPr>
                <w:sz w:val="24"/>
                <w:vertAlign w:val="subscript"/>
              </w:rPr>
              <w:t>1</w:t>
            </w:r>
            <w:r>
              <w:rPr>
                <w:sz w:val="24"/>
              </w:rPr>
              <w:t>，q</w:t>
            </w:r>
            <w:r>
              <w:rPr>
                <w:sz w:val="24"/>
                <w:vertAlign w:val="subscript"/>
              </w:rPr>
              <w:t>2</w:t>
            </w:r>
            <w:r>
              <w:rPr>
                <w:sz w:val="24"/>
              </w:rPr>
              <w:t>，…，q</w:t>
            </w:r>
            <w:r>
              <w:rPr>
                <w:sz w:val="24"/>
                <w:vertAlign w:val="subscript"/>
              </w:rPr>
              <w:t>n</w:t>
            </w:r>
            <w:r>
              <w:rPr>
                <w:sz w:val="24"/>
              </w:rPr>
              <w:t>—每种危险物质的最大存在总量，t；</w:t>
            </w:r>
          </w:p>
          <w:p w14:paraId="460281B6">
            <w:pPr>
              <w:spacing w:line="360" w:lineRule="auto"/>
              <w:ind w:firstLine="480" w:firstLineChars="200"/>
              <w:rPr>
                <w:sz w:val="24"/>
              </w:rPr>
            </w:pPr>
            <w:r>
              <w:rPr>
                <w:sz w:val="24"/>
              </w:rPr>
              <w:t>Q</w:t>
            </w:r>
            <w:r>
              <w:rPr>
                <w:sz w:val="24"/>
                <w:vertAlign w:val="subscript"/>
              </w:rPr>
              <w:t>1</w:t>
            </w:r>
            <w:r>
              <w:rPr>
                <w:sz w:val="24"/>
              </w:rPr>
              <w:t>，Q</w:t>
            </w:r>
            <w:r>
              <w:rPr>
                <w:sz w:val="24"/>
                <w:vertAlign w:val="subscript"/>
              </w:rPr>
              <w:t>2</w:t>
            </w:r>
            <w:r>
              <w:rPr>
                <w:sz w:val="24"/>
              </w:rPr>
              <w:t>，…，Q</w:t>
            </w:r>
            <w:r>
              <w:rPr>
                <w:sz w:val="24"/>
                <w:vertAlign w:val="subscript"/>
              </w:rPr>
              <w:t>n</w:t>
            </w:r>
            <w:r>
              <w:rPr>
                <w:sz w:val="24"/>
              </w:rPr>
              <w:t>——每种危险物质的临界量，t。</w:t>
            </w:r>
          </w:p>
          <w:p w14:paraId="693709B1">
            <w:pPr>
              <w:spacing w:line="360" w:lineRule="auto"/>
              <w:ind w:firstLine="480" w:firstLineChars="200"/>
              <w:rPr>
                <w:sz w:val="24"/>
              </w:rPr>
            </w:pPr>
            <w:r>
              <w:rPr>
                <w:sz w:val="24"/>
              </w:rPr>
              <w:t>当Q&lt;1时，该项目环境风险潜势为I。</w:t>
            </w:r>
          </w:p>
          <w:p w14:paraId="7F7BBEB0">
            <w:pPr>
              <w:spacing w:line="360" w:lineRule="auto"/>
              <w:ind w:firstLine="480" w:firstLineChars="200"/>
              <w:rPr>
                <w:sz w:val="24"/>
              </w:rPr>
            </w:pPr>
            <w:r>
              <w:rPr>
                <w:sz w:val="24"/>
              </w:rPr>
              <w:t>当Q≥1时，将Q值划分为：（1）1≤Q&lt;10；（2）10≤Q&lt;100；（3）Q≥100。</w:t>
            </w:r>
          </w:p>
          <w:p w14:paraId="494F5BA6">
            <w:pPr>
              <w:pStyle w:val="12"/>
              <w:spacing w:line="360" w:lineRule="auto"/>
              <w:ind w:firstLine="480" w:firstLineChars="200"/>
            </w:pPr>
            <w:r>
              <w:rPr>
                <w:sz w:val="24"/>
              </w:rPr>
              <w:t>根据《建设项目环境风险评价技术导则》（HJ169-2018）中爆炸性物质、易燃物质和有毒物质名称及临界表，对项目的危险化学品进行识别，该项目所涉及的危险物质为油类物质和乙炔。</w:t>
            </w:r>
          </w:p>
          <w:p w14:paraId="047BD6EF">
            <w:pPr>
              <w:pStyle w:val="14"/>
              <w:spacing w:before="0" w:after="0" w:line="240" w:lineRule="auto"/>
              <w:ind w:right="0"/>
              <w:jc w:val="center"/>
              <w:rPr>
                <w:b/>
                <w:bCs/>
                <w:szCs w:val="24"/>
              </w:rPr>
            </w:pPr>
            <w:r>
              <w:rPr>
                <w:b/>
                <w:bCs/>
                <w:szCs w:val="24"/>
              </w:rPr>
              <w:t>表3</w:t>
            </w:r>
            <w:r>
              <w:rPr>
                <w:rFonts w:hint="eastAsia"/>
                <w:b/>
                <w:bCs/>
                <w:szCs w:val="24"/>
              </w:rPr>
              <w:t>7</w:t>
            </w:r>
            <w:r>
              <w:rPr>
                <w:b/>
                <w:bCs/>
                <w:szCs w:val="24"/>
              </w:rPr>
              <w:t xml:space="preserve">   项目厂区危险化学品储存情况一览表</w:t>
            </w:r>
          </w:p>
          <w:tbl>
            <w:tblPr>
              <w:tblStyle w:val="24"/>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1"/>
              <w:gridCol w:w="1060"/>
              <w:gridCol w:w="1778"/>
              <w:gridCol w:w="1234"/>
              <w:gridCol w:w="1975"/>
            </w:tblGrid>
            <w:tr w14:paraId="227AD948">
              <w:tblPrEx>
                <w:tblCellMar>
                  <w:top w:w="0" w:type="dxa"/>
                  <w:left w:w="108" w:type="dxa"/>
                  <w:bottom w:w="0" w:type="dxa"/>
                  <w:right w:w="108" w:type="dxa"/>
                </w:tblCellMar>
              </w:tblPrEx>
              <w:trPr>
                <w:trHeight w:val="57" w:hRule="atLeast"/>
                <w:jc w:val="center"/>
              </w:trPr>
              <w:tc>
                <w:tcPr>
                  <w:tcW w:w="2231" w:type="dxa"/>
                  <w:vAlign w:val="center"/>
                </w:tcPr>
                <w:p w14:paraId="1DF14A52">
                  <w:pPr>
                    <w:pStyle w:val="14"/>
                    <w:spacing w:before="0" w:after="0" w:line="240" w:lineRule="auto"/>
                    <w:ind w:right="0"/>
                    <w:jc w:val="center"/>
                    <w:rPr>
                      <w:sz w:val="21"/>
                    </w:rPr>
                  </w:pPr>
                  <w:r>
                    <w:rPr>
                      <w:sz w:val="21"/>
                    </w:rPr>
                    <w:t>危险物质名称</w:t>
                  </w:r>
                </w:p>
              </w:tc>
              <w:tc>
                <w:tcPr>
                  <w:tcW w:w="1060" w:type="dxa"/>
                  <w:vAlign w:val="center"/>
                </w:tcPr>
                <w:p w14:paraId="4CBCE7CE">
                  <w:pPr>
                    <w:pStyle w:val="14"/>
                    <w:spacing w:before="0" w:after="0" w:line="240" w:lineRule="auto"/>
                    <w:ind w:right="0"/>
                    <w:jc w:val="center"/>
                    <w:rPr>
                      <w:sz w:val="21"/>
                    </w:rPr>
                  </w:pPr>
                  <w:r>
                    <w:rPr>
                      <w:sz w:val="21"/>
                    </w:rPr>
                    <w:t>CAS号</w:t>
                  </w:r>
                </w:p>
              </w:tc>
              <w:tc>
                <w:tcPr>
                  <w:tcW w:w="1778" w:type="dxa"/>
                  <w:vAlign w:val="center"/>
                </w:tcPr>
                <w:p w14:paraId="0615B6A3">
                  <w:pPr>
                    <w:pStyle w:val="14"/>
                    <w:spacing w:before="0" w:after="0" w:line="240" w:lineRule="auto"/>
                    <w:ind w:right="0"/>
                    <w:jc w:val="center"/>
                    <w:rPr>
                      <w:sz w:val="21"/>
                    </w:rPr>
                  </w:pPr>
                  <w:r>
                    <w:rPr>
                      <w:sz w:val="21"/>
                    </w:rPr>
                    <w:t>最大存在量（t）</w:t>
                  </w:r>
                </w:p>
              </w:tc>
              <w:tc>
                <w:tcPr>
                  <w:tcW w:w="1234" w:type="dxa"/>
                  <w:vAlign w:val="center"/>
                </w:tcPr>
                <w:p w14:paraId="0A0C34CE">
                  <w:pPr>
                    <w:pStyle w:val="14"/>
                    <w:spacing w:before="0" w:after="0" w:line="240" w:lineRule="auto"/>
                    <w:ind w:right="0"/>
                    <w:jc w:val="center"/>
                    <w:rPr>
                      <w:sz w:val="21"/>
                    </w:rPr>
                  </w:pPr>
                  <w:r>
                    <w:rPr>
                      <w:sz w:val="21"/>
                    </w:rPr>
                    <w:t>临界量（t）</w:t>
                  </w:r>
                </w:p>
              </w:tc>
              <w:tc>
                <w:tcPr>
                  <w:tcW w:w="1975" w:type="dxa"/>
                  <w:vAlign w:val="center"/>
                </w:tcPr>
                <w:p w14:paraId="11526F0C">
                  <w:pPr>
                    <w:pStyle w:val="14"/>
                    <w:spacing w:before="0" w:after="0" w:line="240" w:lineRule="auto"/>
                    <w:ind w:right="0"/>
                    <w:jc w:val="center"/>
                    <w:rPr>
                      <w:sz w:val="21"/>
                    </w:rPr>
                  </w:pPr>
                  <w:r>
                    <w:rPr>
                      <w:sz w:val="21"/>
                    </w:rPr>
                    <w:t>该种危险物质Q值</w:t>
                  </w:r>
                </w:p>
              </w:tc>
            </w:tr>
            <w:tr w14:paraId="3F46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231" w:type="dxa"/>
                  <w:vAlign w:val="center"/>
                </w:tcPr>
                <w:p w14:paraId="5DEE624A">
                  <w:pPr>
                    <w:pStyle w:val="14"/>
                    <w:spacing w:before="0" w:after="0" w:line="240" w:lineRule="auto"/>
                    <w:ind w:right="0"/>
                    <w:jc w:val="center"/>
                    <w:rPr>
                      <w:sz w:val="21"/>
                    </w:rPr>
                  </w:pPr>
                  <w:r>
                    <w:rPr>
                      <w:sz w:val="21"/>
                    </w:rPr>
                    <w:t>废油液</w:t>
                  </w:r>
                </w:p>
              </w:tc>
              <w:tc>
                <w:tcPr>
                  <w:tcW w:w="1060" w:type="dxa"/>
                  <w:vAlign w:val="center"/>
                </w:tcPr>
                <w:p w14:paraId="1D3DA77F">
                  <w:pPr>
                    <w:pStyle w:val="14"/>
                    <w:spacing w:before="0" w:after="0" w:line="240" w:lineRule="auto"/>
                    <w:ind w:right="0"/>
                    <w:jc w:val="center"/>
                    <w:rPr>
                      <w:sz w:val="21"/>
                    </w:rPr>
                  </w:pPr>
                  <w:r>
                    <w:rPr>
                      <w:sz w:val="21"/>
                    </w:rPr>
                    <w:t>/</w:t>
                  </w:r>
                </w:p>
              </w:tc>
              <w:tc>
                <w:tcPr>
                  <w:tcW w:w="1778" w:type="dxa"/>
                  <w:vAlign w:val="center"/>
                </w:tcPr>
                <w:p w14:paraId="614F7B37">
                  <w:pPr>
                    <w:pStyle w:val="14"/>
                    <w:spacing w:before="0" w:after="0" w:line="240" w:lineRule="auto"/>
                    <w:ind w:right="0"/>
                    <w:jc w:val="center"/>
                    <w:rPr>
                      <w:sz w:val="21"/>
                    </w:rPr>
                  </w:pPr>
                  <w:r>
                    <w:rPr>
                      <w:sz w:val="21"/>
                    </w:rPr>
                    <w:t>0.5</w:t>
                  </w:r>
                </w:p>
              </w:tc>
              <w:tc>
                <w:tcPr>
                  <w:tcW w:w="1234" w:type="dxa"/>
                  <w:vAlign w:val="center"/>
                </w:tcPr>
                <w:p w14:paraId="4136E325">
                  <w:pPr>
                    <w:pStyle w:val="14"/>
                    <w:spacing w:before="0" w:after="0" w:line="240" w:lineRule="auto"/>
                    <w:ind w:right="0"/>
                    <w:jc w:val="center"/>
                    <w:rPr>
                      <w:sz w:val="21"/>
                    </w:rPr>
                  </w:pPr>
                  <w:r>
                    <w:rPr>
                      <w:sz w:val="21"/>
                    </w:rPr>
                    <w:t>2500</w:t>
                  </w:r>
                </w:p>
              </w:tc>
              <w:tc>
                <w:tcPr>
                  <w:tcW w:w="1975" w:type="dxa"/>
                  <w:vAlign w:val="center"/>
                </w:tcPr>
                <w:p w14:paraId="71B4C713">
                  <w:pPr>
                    <w:pStyle w:val="14"/>
                    <w:spacing w:before="0" w:after="0" w:line="240" w:lineRule="auto"/>
                    <w:ind w:right="0"/>
                    <w:jc w:val="center"/>
                    <w:rPr>
                      <w:sz w:val="21"/>
                    </w:rPr>
                  </w:pPr>
                  <w:r>
                    <w:rPr>
                      <w:sz w:val="21"/>
                    </w:rPr>
                    <w:t>0.0002</w:t>
                  </w:r>
                </w:p>
              </w:tc>
            </w:tr>
            <w:tr w14:paraId="7E6B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231" w:type="dxa"/>
                  <w:vAlign w:val="center"/>
                </w:tcPr>
                <w:p w14:paraId="7D579A6B">
                  <w:pPr>
                    <w:pStyle w:val="14"/>
                    <w:spacing w:before="0" w:after="0" w:line="240" w:lineRule="auto"/>
                    <w:ind w:right="0"/>
                    <w:jc w:val="center"/>
                    <w:rPr>
                      <w:sz w:val="21"/>
                    </w:rPr>
                  </w:pPr>
                  <w:r>
                    <w:rPr>
                      <w:sz w:val="21"/>
                    </w:rPr>
                    <w:t>乙炔</w:t>
                  </w:r>
                </w:p>
              </w:tc>
              <w:tc>
                <w:tcPr>
                  <w:tcW w:w="1060" w:type="dxa"/>
                  <w:vAlign w:val="center"/>
                </w:tcPr>
                <w:p w14:paraId="24CBFF7F">
                  <w:pPr>
                    <w:pStyle w:val="14"/>
                    <w:spacing w:before="0" w:after="0" w:line="240" w:lineRule="auto"/>
                    <w:ind w:right="0"/>
                    <w:jc w:val="center"/>
                    <w:rPr>
                      <w:sz w:val="21"/>
                    </w:rPr>
                  </w:pPr>
                  <w:r>
                    <w:rPr>
                      <w:sz w:val="21"/>
                    </w:rPr>
                    <w:t>74-86-2</w:t>
                  </w:r>
                </w:p>
              </w:tc>
              <w:tc>
                <w:tcPr>
                  <w:tcW w:w="1778" w:type="dxa"/>
                  <w:vAlign w:val="center"/>
                </w:tcPr>
                <w:p w14:paraId="41157218">
                  <w:pPr>
                    <w:pStyle w:val="14"/>
                    <w:spacing w:before="0" w:after="0" w:line="240" w:lineRule="auto"/>
                    <w:ind w:right="0"/>
                    <w:jc w:val="center"/>
                    <w:rPr>
                      <w:sz w:val="21"/>
                    </w:rPr>
                  </w:pPr>
                  <w:r>
                    <w:rPr>
                      <w:sz w:val="21"/>
                    </w:rPr>
                    <w:t>0.15</w:t>
                  </w:r>
                </w:p>
              </w:tc>
              <w:tc>
                <w:tcPr>
                  <w:tcW w:w="1234" w:type="dxa"/>
                  <w:vAlign w:val="center"/>
                </w:tcPr>
                <w:p w14:paraId="6EC6DD14">
                  <w:pPr>
                    <w:pStyle w:val="14"/>
                    <w:spacing w:before="0" w:after="0" w:line="240" w:lineRule="auto"/>
                    <w:ind w:right="0"/>
                    <w:jc w:val="center"/>
                    <w:rPr>
                      <w:sz w:val="21"/>
                    </w:rPr>
                  </w:pPr>
                  <w:r>
                    <w:rPr>
                      <w:sz w:val="21"/>
                    </w:rPr>
                    <w:t>10</w:t>
                  </w:r>
                </w:p>
              </w:tc>
              <w:tc>
                <w:tcPr>
                  <w:tcW w:w="1975" w:type="dxa"/>
                  <w:vAlign w:val="center"/>
                </w:tcPr>
                <w:p w14:paraId="5E1C4AB7">
                  <w:pPr>
                    <w:pStyle w:val="14"/>
                    <w:spacing w:before="0" w:after="0" w:line="240" w:lineRule="auto"/>
                    <w:ind w:right="0"/>
                    <w:jc w:val="center"/>
                    <w:rPr>
                      <w:sz w:val="21"/>
                    </w:rPr>
                  </w:pPr>
                  <w:r>
                    <w:rPr>
                      <w:sz w:val="21"/>
                    </w:rPr>
                    <w:t>0.015</w:t>
                  </w:r>
                </w:p>
              </w:tc>
            </w:tr>
            <w:tr w14:paraId="2BB9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303" w:type="dxa"/>
                  <w:gridSpan w:val="4"/>
                  <w:vAlign w:val="center"/>
                </w:tcPr>
                <w:p w14:paraId="715553AE">
                  <w:pPr>
                    <w:pStyle w:val="14"/>
                    <w:spacing w:before="0" w:after="0" w:line="240" w:lineRule="auto"/>
                    <w:ind w:right="0"/>
                    <w:jc w:val="center"/>
                    <w:rPr>
                      <w:sz w:val="21"/>
                    </w:rPr>
                  </w:pPr>
                  <w:r>
                    <w:rPr>
                      <w:sz w:val="21"/>
                    </w:rPr>
                    <w:t>合计</w:t>
                  </w:r>
                </w:p>
              </w:tc>
              <w:tc>
                <w:tcPr>
                  <w:tcW w:w="1975" w:type="dxa"/>
                  <w:vAlign w:val="center"/>
                </w:tcPr>
                <w:p w14:paraId="717835EA">
                  <w:pPr>
                    <w:pStyle w:val="14"/>
                    <w:spacing w:before="0" w:after="0" w:line="240" w:lineRule="auto"/>
                    <w:ind w:right="0"/>
                    <w:jc w:val="center"/>
                    <w:rPr>
                      <w:sz w:val="21"/>
                    </w:rPr>
                  </w:pPr>
                  <w:r>
                    <w:rPr>
                      <w:sz w:val="21"/>
                    </w:rPr>
                    <w:t>0.0152</w:t>
                  </w:r>
                </w:p>
              </w:tc>
            </w:tr>
          </w:tbl>
          <w:p w14:paraId="7EF2BA9A">
            <w:pPr>
              <w:pStyle w:val="14"/>
              <w:spacing w:before="0" w:after="0" w:line="360" w:lineRule="auto"/>
              <w:ind w:right="0" w:firstLine="480" w:firstLineChars="200"/>
            </w:pPr>
            <w:r>
              <w:t>经计算，项目Q=0.0152＜1，项目风险潜势为Ⅰ。</w:t>
            </w:r>
          </w:p>
          <w:p w14:paraId="40EDAD44">
            <w:pPr>
              <w:pStyle w:val="32"/>
              <w:spacing w:line="360" w:lineRule="auto"/>
              <w:ind w:firstLine="482"/>
              <w:rPr>
                <w:b/>
                <w:bCs/>
                <w:sz w:val="24"/>
              </w:rPr>
            </w:pPr>
            <w:r>
              <w:rPr>
                <w:b/>
                <w:bCs/>
                <w:sz w:val="24"/>
              </w:rPr>
              <w:t>3、评价等级判定</w:t>
            </w:r>
          </w:p>
          <w:p w14:paraId="791CE556">
            <w:pPr>
              <w:pStyle w:val="32"/>
              <w:spacing w:line="360" w:lineRule="auto"/>
              <w:ind w:firstLine="480"/>
              <w:rPr>
                <w:sz w:val="24"/>
              </w:rPr>
            </w:pPr>
            <w:r>
              <w:rPr>
                <w:sz w:val="24"/>
              </w:rPr>
              <w:t>根据《建设项目环境风险评价技术导则》（HJ/T169-2018），本项目环境风险潜势为Ⅰ，评价等级为简单分析。</w:t>
            </w:r>
          </w:p>
          <w:p w14:paraId="64971A10">
            <w:pPr>
              <w:pStyle w:val="32"/>
              <w:ind w:firstLine="0" w:firstLineChars="0"/>
              <w:jc w:val="center"/>
              <w:rPr>
                <w:b/>
                <w:bCs/>
                <w:sz w:val="24"/>
              </w:rPr>
            </w:pPr>
            <w:r>
              <w:rPr>
                <w:b/>
                <w:bCs/>
                <w:sz w:val="24"/>
              </w:rPr>
              <w:t>表3</w:t>
            </w:r>
            <w:r>
              <w:rPr>
                <w:rFonts w:hint="eastAsia"/>
                <w:b/>
                <w:bCs/>
                <w:sz w:val="24"/>
              </w:rPr>
              <w:t>8</w:t>
            </w:r>
            <w:r>
              <w:rPr>
                <w:b/>
                <w:bCs/>
                <w:sz w:val="24"/>
              </w:rPr>
              <w:t xml:space="preserve">   风险评价工作等级划分</w:t>
            </w:r>
          </w:p>
          <w:tbl>
            <w:tblPr>
              <w:tblStyle w:val="24"/>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1668"/>
              <w:gridCol w:w="1653"/>
              <w:gridCol w:w="1653"/>
              <w:gridCol w:w="1653"/>
            </w:tblGrid>
            <w:tr w14:paraId="564B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54" w:type="dxa"/>
                  <w:vAlign w:val="center"/>
                </w:tcPr>
                <w:p w14:paraId="13CFC18A">
                  <w:pPr>
                    <w:pStyle w:val="32"/>
                    <w:ind w:firstLine="0" w:firstLineChars="0"/>
                    <w:jc w:val="center"/>
                    <w:rPr>
                      <w:szCs w:val="21"/>
                    </w:rPr>
                  </w:pPr>
                  <w:r>
                    <w:rPr>
                      <w:szCs w:val="21"/>
                    </w:rPr>
                    <w:t>环境风险潜势</w:t>
                  </w:r>
                </w:p>
              </w:tc>
              <w:tc>
                <w:tcPr>
                  <w:tcW w:w="1754" w:type="dxa"/>
                  <w:vAlign w:val="center"/>
                </w:tcPr>
                <w:p w14:paraId="244089ED">
                  <w:pPr>
                    <w:pStyle w:val="32"/>
                    <w:ind w:firstLine="0" w:firstLineChars="0"/>
                    <w:jc w:val="center"/>
                    <w:rPr>
                      <w:szCs w:val="21"/>
                    </w:rPr>
                  </w:pPr>
                  <w:r>
                    <w:rPr>
                      <w:szCs w:val="21"/>
                    </w:rPr>
                    <w:t>Ⅳ、Ⅳ</w:t>
                  </w:r>
                  <w:r>
                    <w:rPr>
                      <w:szCs w:val="21"/>
                      <w:vertAlign w:val="superscript"/>
                    </w:rPr>
                    <w:t>+</w:t>
                  </w:r>
                </w:p>
              </w:tc>
              <w:tc>
                <w:tcPr>
                  <w:tcW w:w="1755" w:type="dxa"/>
                  <w:vAlign w:val="center"/>
                </w:tcPr>
                <w:p w14:paraId="5AF804D0">
                  <w:pPr>
                    <w:pStyle w:val="32"/>
                    <w:ind w:firstLine="0" w:firstLineChars="0"/>
                    <w:jc w:val="center"/>
                    <w:rPr>
                      <w:szCs w:val="21"/>
                    </w:rPr>
                  </w:pPr>
                  <w:r>
                    <w:rPr>
                      <w:szCs w:val="21"/>
                    </w:rPr>
                    <w:t>Ⅲ</w:t>
                  </w:r>
                </w:p>
              </w:tc>
              <w:tc>
                <w:tcPr>
                  <w:tcW w:w="1755" w:type="dxa"/>
                  <w:vAlign w:val="center"/>
                </w:tcPr>
                <w:p w14:paraId="77DD96D8">
                  <w:pPr>
                    <w:pStyle w:val="32"/>
                    <w:ind w:firstLine="0" w:firstLineChars="0"/>
                    <w:jc w:val="center"/>
                    <w:rPr>
                      <w:szCs w:val="21"/>
                    </w:rPr>
                  </w:pPr>
                  <w:r>
                    <w:rPr>
                      <w:szCs w:val="21"/>
                    </w:rPr>
                    <w:t>Ⅱ</w:t>
                  </w:r>
                </w:p>
              </w:tc>
              <w:tc>
                <w:tcPr>
                  <w:tcW w:w="1755" w:type="dxa"/>
                  <w:vAlign w:val="center"/>
                </w:tcPr>
                <w:p w14:paraId="0AF0E345">
                  <w:pPr>
                    <w:pStyle w:val="32"/>
                    <w:ind w:firstLine="0" w:firstLineChars="0"/>
                    <w:jc w:val="center"/>
                    <w:rPr>
                      <w:szCs w:val="21"/>
                    </w:rPr>
                  </w:pPr>
                  <w:r>
                    <w:t>Ⅰ</w:t>
                  </w:r>
                </w:p>
              </w:tc>
            </w:tr>
            <w:tr w14:paraId="3E43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54" w:type="dxa"/>
                  <w:vAlign w:val="center"/>
                </w:tcPr>
                <w:p w14:paraId="2868122C">
                  <w:pPr>
                    <w:pStyle w:val="32"/>
                    <w:ind w:firstLine="0" w:firstLineChars="0"/>
                    <w:jc w:val="center"/>
                    <w:rPr>
                      <w:szCs w:val="21"/>
                    </w:rPr>
                  </w:pPr>
                  <w:r>
                    <w:rPr>
                      <w:szCs w:val="21"/>
                    </w:rPr>
                    <w:t>评价工作等级</w:t>
                  </w:r>
                </w:p>
              </w:tc>
              <w:tc>
                <w:tcPr>
                  <w:tcW w:w="1754" w:type="dxa"/>
                  <w:vAlign w:val="center"/>
                </w:tcPr>
                <w:p w14:paraId="3B8DE6B2">
                  <w:pPr>
                    <w:pStyle w:val="32"/>
                    <w:ind w:firstLine="0" w:firstLineChars="0"/>
                    <w:jc w:val="center"/>
                    <w:rPr>
                      <w:szCs w:val="21"/>
                    </w:rPr>
                  </w:pPr>
                  <w:r>
                    <w:rPr>
                      <w:szCs w:val="21"/>
                    </w:rPr>
                    <w:t>一</w:t>
                  </w:r>
                </w:p>
              </w:tc>
              <w:tc>
                <w:tcPr>
                  <w:tcW w:w="1755" w:type="dxa"/>
                  <w:vAlign w:val="center"/>
                </w:tcPr>
                <w:p w14:paraId="4DD803CB">
                  <w:pPr>
                    <w:pStyle w:val="32"/>
                    <w:ind w:firstLine="0" w:firstLineChars="0"/>
                    <w:jc w:val="center"/>
                    <w:rPr>
                      <w:szCs w:val="21"/>
                    </w:rPr>
                  </w:pPr>
                  <w:r>
                    <w:rPr>
                      <w:szCs w:val="21"/>
                    </w:rPr>
                    <w:t>二</w:t>
                  </w:r>
                </w:p>
              </w:tc>
              <w:tc>
                <w:tcPr>
                  <w:tcW w:w="1755" w:type="dxa"/>
                  <w:vAlign w:val="center"/>
                </w:tcPr>
                <w:p w14:paraId="7316675F">
                  <w:pPr>
                    <w:pStyle w:val="32"/>
                    <w:ind w:firstLine="0" w:firstLineChars="0"/>
                    <w:jc w:val="center"/>
                    <w:rPr>
                      <w:szCs w:val="21"/>
                    </w:rPr>
                  </w:pPr>
                  <w:r>
                    <w:rPr>
                      <w:szCs w:val="21"/>
                    </w:rPr>
                    <w:t>三</w:t>
                  </w:r>
                </w:p>
              </w:tc>
              <w:tc>
                <w:tcPr>
                  <w:tcW w:w="1755" w:type="dxa"/>
                  <w:vAlign w:val="center"/>
                </w:tcPr>
                <w:p w14:paraId="3D88A58B">
                  <w:pPr>
                    <w:pStyle w:val="32"/>
                    <w:ind w:firstLine="0" w:firstLineChars="0"/>
                    <w:jc w:val="center"/>
                    <w:rPr>
                      <w:szCs w:val="21"/>
                    </w:rPr>
                  </w:pPr>
                  <w:r>
                    <w:rPr>
                      <w:szCs w:val="21"/>
                    </w:rPr>
                    <w:t>简单分析</w:t>
                  </w:r>
                  <w:r>
                    <w:rPr>
                      <w:szCs w:val="21"/>
                      <w:vertAlign w:val="superscript"/>
                    </w:rPr>
                    <w:t>a</w:t>
                  </w:r>
                </w:p>
              </w:tc>
            </w:tr>
            <w:tr w14:paraId="199C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773" w:type="dxa"/>
                  <w:gridSpan w:val="5"/>
                  <w:vAlign w:val="center"/>
                </w:tcPr>
                <w:p w14:paraId="40871778">
                  <w:pPr>
                    <w:pStyle w:val="32"/>
                    <w:ind w:firstLine="0" w:firstLineChars="0"/>
                    <w:jc w:val="left"/>
                    <w:rPr>
                      <w:szCs w:val="21"/>
                    </w:rPr>
                  </w:pPr>
                  <w:r>
                    <w:rPr>
                      <w:szCs w:val="21"/>
                    </w:rPr>
                    <w:t>a是对于详细评价工作内容而言，在描述危险物质、环境影响途径、环境危害后果、风险防范措施等方面给出定性的说明。见附录A。</w:t>
                  </w:r>
                </w:p>
              </w:tc>
            </w:tr>
          </w:tbl>
          <w:p w14:paraId="192016CF">
            <w:pPr>
              <w:pStyle w:val="14"/>
              <w:spacing w:before="0" w:after="0" w:line="360" w:lineRule="auto"/>
              <w:ind w:right="0" w:firstLine="482" w:firstLineChars="200"/>
              <w:rPr>
                <w:b/>
                <w:bCs/>
              </w:rPr>
            </w:pPr>
            <w:r>
              <w:rPr>
                <w:b/>
                <w:bCs/>
              </w:rPr>
              <w:t>4、危险废物可能影响环境途径</w:t>
            </w:r>
          </w:p>
          <w:p w14:paraId="7F17B7DF">
            <w:pPr>
              <w:pStyle w:val="14"/>
              <w:spacing w:before="0" w:after="0" w:line="360" w:lineRule="auto"/>
              <w:ind w:right="0" w:firstLine="480" w:firstLineChars="200"/>
            </w:pPr>
            <w:r>
              <w:t>本项目涉及的环境风险类型包括废油液和乙炔泄漏及物质泄漏后在火灾、爆炸等事故下引发的伴生/次生污染物排放。汽油、柴油等残余燃油、废液压油和乙炔均属于易燃物品，遇火会有燃烧并引起火灾的危险，若厂区内部发生火灾、爆炸事故，燃烧产生的NOx、CO等污染物会对厂区周围及下风向的环境空气产生影响。</w:t>
            </w:r>
          </w:p>
          <w:p w14:paraId="4BF5DA73">
            <w:pPr>
              <w:pStyle w:val="14"/>
              <w:spacing w:before="0" w:after="0" w:line="360" w:lineRule="auto"/>
              <w:ind w:right="0" w:firstLine="480" w:firstLineChars="200"/>
            </w:pPr>
            <w:r>
              <w:t>本项目风险识别和分析结果汇总详见下表。</w:t>
            </w:r>
          </w:p>
          <w:p w14:paraId="31CA521C">
            <w:pPr>
              <w:jc w:val="center"/>
              <w:rPr>
                <w:b/>
                <w:bCs/>
                <w:sz w:val="24"/>
                <w:szCs w:val="32"/>
              </w:rPr>
            </w:pPr>
            <w:r>
              <w:rPr>
                <w:b/>
                <w:bCs/>
                <w:sz w:val="24"/>
                <w:szCs w:val="32"/>
              </w:rPr>
              <w:t>表3</w:t>
            </w:r>
            <w:r>
              <w:rPr>
                <w:rFonts w:hint="eastAsia"/>
                <w:b/>
                <w:bCs/>
                <w:sz w:val="24"/>
                <w:szCs w:val="32"/>
              </w:rPr>
              <w:t>9</w:t>
            </w:r>
            <w:r>
              <w:rPr>
                <w:b/>
                <w:bCs/>
                <w:sz w:val="24"/>
                <w:szCs w:val="32"/>
              </w:rPr>
              <w:t xml:space="preserve">   建设项目环境风险识别一览表</w:t>
            </w:r>
          </w:p>
          <w:tbl>
            <w:tblPr>
              <w:tblStyle w:val="24"/>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18"/>
              <w:gridCol w:w="996"/>
              <w:gridCol w:w="1404"/>
              <w:gridCol w:w="2046"/>
              <w:gridCol w:w="954"/>
              <w:gridCol w:w="1760"/>
            </w:tblGrid>
            <w:tr w14:paraId="0534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vAlign w:val="center"/>
                </w:tcPr>
                <w:p w14:paraId="39BCB7F7">
                  <w:pPr>
                    <w:pStyle w:val="14"/>
                    <w:spacing w:before="0" w:after="0" w:line="240" w:lineRule="auto"/>
                    <w:ind w:right="0"/>
                    <w:jc w:val="center"/>
                    <w:rPr>
                      <w:sz w:val="21"/>
                      <w:szCs w:val="21"/>
                    </w:rPr>
                  </w:pPr>
                  <w:r>
                    <w:rPr>
                      <w:sz w:val="21"/>
                      <w:szCs w:val="21"/>
                    </w:rPr>
                    <w:t>风险单元</w:t>
                  </w:r>
                </w:p>
              </w:tc>
              <w:tc>
                <w:tcPr>
                  <w:tcW w:w="996" w:type="dxa"/>
                  <w:vAlign w:val="center"/>
                </w:tcPr>
                <w:p w14:paraId="17EA56A0">
                  <w:pPr>
                    <w:pStyle w:val="14"/>
                    <w:spacing w:before="0" w:after="0" w:line="240" w:lineRule="auto"/>
                    <w:ind w:right="0"/>
                    <w:jc w:val="center"/>
                    <w:rPr>
                      <w:sz w:val="21"/>
                      <w:szCs w:val="21"/>
                    </w:rPr>
                  </w:pPr>
                  <w:r>
                    <w:rPr>
                      <w:sz w:val="21"/>
                      <w:szCs w:val="21"/>
                    </w:rPr>
                    <w:t>风险源</w:t>
                  </w:r>
                </w:p>
              </w:tc>
              <w:tc>
                <w:tcPr>
                  <w:tcW w:w="1404" w:type="dxa"/>
                  <w:vAlign w:val="center"/>
                </w:tcPr>
                <w:p w14:paraId="1409EE14">
                  <w:pPr>
                    <w:pStyle w:val="14"/>
                    <w:spacing w:before="0" w:after="0" w:line="240" w:lineRule="auto"/>
                    <w:ind w:right="0"/>
                    <w:jc w:val="center"/>
                    <w:rPr>
                      <w:sz w:val="21"/>
                      <w:szCs w:val="21"/>
                    </w:rPr>
                  </w:pPr>
                  <w:r>
                    <w:rPr>
                      <w:sz w:val="21"/>
                      <w:szCs w:val="21"/>
                    </w:rPr>
                    <w:t>主要危险物质</w:t>
                  </w:r>
                </w:p>
              </w:tc>
              <w:tc>
                <w:tcPr>
                  <w:tcW w:w="2046" w:type="dxa"/>
                  <w:vAlign w:val="center"/>
                </w:tcPr>
                <w:p w14:paraId="5BFF2059">
                  <w:pPr>
                    <w:pStyle w:val="14"/>
                    <w:spacing w:before="0" w:after="0" w:line="240" w:lineRule="auto"/>
                    <w:ind w:right="0"/>
                    <w:jc w:val="center"/>
                    <w:rPr>
                      <w:sz w:val="21"/>
                      <w:szCs w:val="21"/>
                    </w:rPr>
                  </w:pPr>
                  <w:r>
                    <w:rPr>
                      <w:sz w:val="21"/>
                      <w:szCs w:val="21"/>
                    </w:rPr>
                    <w:t>环境风险类型</w:t>
                  </w:r>
                </w:p>
              </w:tc>
              <w:tc>
                <w:tcPr>
                  <w:tcW w:w="954" w:type="dxa"/>
                  <w:vAlign w:val="center"/>
                </w:tcPr>
                <w:p w14:paraId="6588E12E">
                  <w:pPr>
                    <w:pStyle w:val="14"/>
                    <w:spacing w:before="0" w:after="0" w:line="240" w:lineRule="auto"/>
                    <w:ind w:right="0"/>
                    <w:jc w:val="center"/>
                    <w:rPr>
                      <w:sz w:val="21"/>
                      <w:szCs w:val="21"/>
                    </w:rPr>
                  </w:pPr>
                  <w:r>
                    <w:rPr>
                      <w:sz w:val="21"/>
                      <w:szCs w:val="21"/>
                    </w:rPr>
                    <w:t>环境影响途径</w:t>
                  </w:r>
                </w:p>
              </w:tc>
              <w:tc>
                <w:tcPr>
                  <w:tcW w:w="1760" w:type="dxa"/>
                  <w:vAlign w:val="center"/>
                </w:tcPr>
                <w:p w14:paraId="4F337C4C">
                  <w:pPr>
                    <w:pStyle w:val="14"/>
                    <w:spacing w:before="0" w:after="0" w:line="240" w:lineRule="auto"/>
                    <w:ind w:right="0"/>
                    <w:jc w:val="center"/>
                    <w:rPr>
                      <w:sz w:val="21"/>
                      <w:szCs w:val="21"/>
                    </w:rPr>
                  </w:pPr>
                  <w:r>
                    <w:rPr>
                      <w:sz w:val="21"/>
                      <w:szCs w:val="21"/>
                    </w:rPr>
                    <w:t>可能受影响的环境敏感目标</w:t>
                  </w:r>
                </w:p>
              </w:tc>
            </w:tr>
            <w:tr w14:paraId="2850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vAlign w:val="center"/>
                </w:tcPr>
                <w:p w14:paraId="456ACA7D">
                  <w:pPr>
                    <w:pStyle w:val="14"/>
                    <w:spacing w:before="0" w:after="0" w:line="240" w:lineRule="auto"/>
                    <w:ind w:right="0"/>
                    <w:jc w:val="center"/>
                    <w:rPr>
                      <w:sz w:val="21"/>
                      <w:szCs w:val="21"/>
                    </w:rPr>
                  </w:pPr>
                  <w:r>
                    <w:rPr>
                      <w:sz w:val="21"/>
                      <w:szCs w:val="21"/>
                    </w:rPr>
                    <w:t>危险废物暂存间</w:t>
                  </w:r>
                </w:p>
              </w:tc>
              <w:tc>
                <w:tcPr>
                  <w:tcW w:w="996" w:type="dxa"/>
                  <w:vAlign w:val="center"/>
                </w:tcPr>
                <w:p w14:paraId="2CE6EF62">
                  <w:pPr>
                    <w:pStyle w:val="14"/>
                    <w:spacing w:before="0" w:after="0" w:line="240" w:lineRule="auto"/>
                    <w:ind w:right="0"/>
                    <w:jc w:val="center"/>
                    <w:rPr>
                      <w:sz w:val="21"/>
                      <w:szCs w:val="21"/>
                    </w:rPr>
                  </w:pPr>
                  <w:r>
                    <w:rPr>
                      <w:sz w:val="21"/>
                      <w:szCs w:val="21"/>
                    </w:rPr>
                    <w:t>废油液贮存区</w:t>
                  </w:r>
                </w:p>
              </w:tc>
              <w:tc>
                <w:tcPr>
                  <w:tcW w:w="1404" w:type="dxa"/>
                  <w:vAlign w:val="center"/>
                </w:tcPr>
                <w:p w14:paraId="327A5181">
                  <w:pPr>
                    <w:pStyle w:val="14"/>
                    <w:spacing w:before="0" w:after="0" w:line="240" w:lineRule="auto"/>
                    <w:ind w:right="0"/>
                    <w:jc w:val="center"/>
                    <w:rPr>
                      <w:sz w:val="21"/>
                      <w:szCs w:val="21"/>
                    </w:rPr>
                  </w:pPr>
                  <w:r>
                    <w:rPr>
                      <w:sz w:val="21"/>
                      <w:szCs w:val="21"/>
                    </w:rPr>
                    <w:t>汽油、柴油等各类废油</w:t>
                  </w:r>
                </w:p>
              </w:tc>
              <w:tc>
                <w:tcPr>
                  <w:tcW w:w="2046" w:type="dxa"/>
                  <w:vAlign w:val="center"/>
                </w:tcPr>
                <w:p w14:paraId="19957F9B">
                  <w:pPr>
                    <w:pStyle w:val="14"/>
                    <w:spacing w:before="0" w:after="0" w:line="240" w:lineRule="auto"/>
                    <w:ind w:right="0"/>
                    <w:jc w:val="center"/>
                    <w:rPr>
                      <w:sz w:val="21"/>
                      <w:szCs w:val="21"/>
                    </w:rPr>
                  </w:pPr>
                  <w:r>
                    <w:rPr>
                      <w:sz w:val="21"/>
                      <w:szCs w:val="21"/>
                    </w:rPr>
                    <w:t>伴生/次生污染物排放</w:t>
                  </w:r>
                </w:p>
              </w:tc>
              <w:tc>
                <w:tcPr>
                  <w:tcW w:w="954" w:type="dxa"/>
                  <w:vAlign w:val="center"/>
                </w:tcPr>
                <w:p w14:paraId="174D2A90">
                  <w:pPr>
                    <w:pStyle w:val="14"/>
                    <w:spacing w:before="0" w:after="0" w:line="240" w:lineRule="auto"/>
                    <w:ind w:right="0"/>
                    <w:jc w:val="center"/>
                    <w:rPr>
                      <w:sz w:val="21"/>
                      <w:szCs w:val="21"/>
                    </w:rPr>
                  </w:pPr>
                  <w:r>
                    <w:rPr>
                      <w:sz w:val="21"/>
                      <w:szCs w:val="21"/>
                    </w:rPr>
                    <w:t>大气扩散</w:t>
                  </w:r>
                </w:p>
              </w:tc>
              <w:tc>
                <w:tcPr>
                  <w:tcW w:w="1760" w:type="dxa"/>
                  <w:vAlign w:val="center"/>
                </w:tcPr>
                <w:p w14:paraId="06669435">
                  <w:pPr>
                    <w:pStyle w:val="14"/>
                    <w:spacing w:before="0" w:after="0" w:line="240" w:lineRule="auto"/>
                    <w:ind w:right="0"/>
                    <w:jc w:val="center"/>
                    <w:rPr>
                      <w:sz w:val="21"/>
                      <w:szCs w:val="21"/>
                    </w:rPr>
                  </w:pPr>
                  <w:r>
                    <w:rPr>
                      <w:sz w:val="21"/>
                      <w:szCs w:val="21"/>
                    </w:rPr>
                    <w:t>周边环境敏感目标</w:t>
                  </w:r>
                </w:p>
              </w:tc>
            </w:tr>
            <w:tr w14:paraId="1074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vAlign w:val="center"/>
                </w:tcPr>
                <w:p w14:paraId="30025D47">
                  <w:pPr>
                    <w:pStyle w:val="14"/>
                    <w:spacing w:before="0" w:after="0" w:line="240" w:lineRule="auto"/>
                    <w:ind w:right="0"/>
                    <w:jc w:val="center"/>
                    <w:rPr>
                      <w:sz w:val="21"/>
                      <w:szCs w:val="21"/>
                    </w:rPr>
                  </w:pPr>
                  <w:r>
                    <w:rPr>
                      <w:sz w:val="21"/>
                      <w:szCs w:val="21"/>
                    </w:rPr>
                    <w:t>工具贮存区</w:t>
                  </w:r>
                </w:p>
              </w:tc>
              <w:tc>
                <w:tcPr>
                  <w:tcW w:w="996" w:type="dxa"/>
                  <w:vAlign w:val="center"/>
                </w:tcPr>
                <w:p w14:paraId="65C148BA">
                  <w:pPr>
                    <w:pStyle w:val="14"/>
                    <w:spacing w:before="0" w:after="0" w:line="240" w:lineRule="auto"/>
                    <w:ind w:right="0"/>
                    <w:jc w:val="center"/>
                    <w:rPr>
                      <w:sz w:val="21"/>
                      <w:szCs w:val="21"/>
                    </w:rPr>
                  </w:pPr>
                  <w:r>
                    <w:rPr>
                      <w:sz w:val="21"/>
                      <w:szCs w:val="21"/>
                    </w:rPr>
                    <w:t>乙炔瓶</w:t>
                  </w:r>
                </w:p>
              </w:tc>
              <w:tc>
                <w:tcPr>
                  <w:tcW w:w="1404" w:type="dxa"/>
                  <w:vAlign w:val="center"/>
                </w:tcPr>
                <w:p w14:paraId="431002E7">
                  <w:pPr>
                    <w:pStyle w:val="14"/>
                    <w:spacing w:before="0" w:after="0" w:line="240" w:lineRule="auto"/>
                    <w:ind w:right="0"/>
                    <w:jc w:val="center"/>
                    <w:rPr>
                      <w:sz w:val="21"/>
                      <w:szCs w:val="21"/>
                    </w:rPr>
                  </w:pPr>
                  <w:r>
                    <w:rPr>
                      <w:sz w:val="21"/>
                      <w:szCs w:val="21"/>
                    </w:rPr>
                    <w:t>乙炔</w:t>
                  </w:r>
                </w:p>
              </w:tc>
              <w:tc>
                <w:tcPr>
                  <w:tcW w:w="2046" w:type="dxa"/>
                  <w:vAlign w:val="center"/>
                </w:tcPr>
                <w:p w14:paraId="584C3102">
                  <w:pPr>
                    <w:pStyle w:val="14"/>
                    <w:spacing w:before="0" w:after="0" w:line="240" w:lineRule="auto"/>
                    <w:ind w:right="0"/>
                    <w:jc w:val="center"/>
                    <w:rPr>
                      <w:sz w:val="21"/>
                      <w:szCs w:val="21"/>
                    </w:rPr>
                  </w:pPr>
                  <w:r>
                    <w:rPr>
                      <w:sz w:val="21"/>
                      <w:szCs w:val="21"/>
                    </w:rPr>
                    <w:t>伴生/次生污染物排放</w:t>
                  </w:r>
                </w:p>
              </w:tc>
              <w:tc>
                <w:tcPr>
                  <w:tcW w:w="954" w:type="dxa"/>
                  <w:vAlign w:val="center"/>
                </w:tcPr>
                <w:p w14:paraId="7E00F270">
                  <w:pPr>
                    <w:pStyle w:val="14"/>
                    <w:spacing w:before="0" w:after="0" w:line="240" w:lineRule="auto"/>
                    <w:ind w:right="0"/>
                    <w:jc w:val="center"/>
                    <w:rPr>
                      <w:sz w:val="21"/>
                      <w:szCs w:val="21"/>
                    </w:rPr>
                  </w:pPr>
                  <w:r>
                    <w:rPr>
                      <w:sz w:val="21"/>
                      <w:szCs w:val="21"/>
                    </w:rPr>
                    <w:t>大气扩散</w:t>
                  </w:r>
                </w:p>
              </w:tc>
              <w:tc>
                <w:tcPr>
                  <w:tcW w:w="1760" w:type="dxa"/>
                  <w:vAlign w:val="center"/>
                </w:tcPr>
                <w:p w14:paraId="0561B54B">
                  <w:pPr>
                    <w:pStyle w:val="14"/>
                    <w:spacing w:before="0" w:after="0" w:line="240" w:lineRule="auto"/>
                    <w:ind w:right="0"/>
                    <w:jc w:val="center"/>
                    <w:rPr>
                      <w:sz w:val="21"/>
                      <w:szCs w:val="21"/>
                    </w:rPr>
                  </w:pPr>
                  <w:r>
                    <w:rPr>
                      <w:sz w:val="21"/>
                      <w:szCs w:val="21"/>
                    </w:rPr>
                    <w:t>周边环境敏感目标</w:t>
                  </w:r>
                </w:p>
              </w:tc>
            </w:tr>
          </w:tbl>
          <w:p w14:paraId="65887242">
            <w:pPr>
              <w:pStyle w:val="14"/>
              <w:spacing w:before="0" w:after="0" w:line="360" w:lineRule="auto"/>
              <w:ind w:right="0" w:firstLine="482" w:firstLineChars="200"/>
              <w:rPr>
                <w:b/>
                <w:bCs/>
              </w:rPr>
            </w:pPr>
            <w:r>
              <w:rPr>
                <w:b/>
                <w:bCs/>
              </w:rPr>
              <w:t>5、环境风险防范措施</w:t>
            </w:r>
          </w:p>
          <w:p w14:paraId="3E944A6F">
            <w:pPr>
              <w:numPr>
                <w:ilvl w:val="0"/>
                <w:numId w:val="20"/>
              </w:numPr>
              <w:spacing w:line="360" w:lineRule="auto"/>
              <w:ind w:firstLine="480" w:firstLineChars="200"/>
              <w:rPr>
                <w:sz w:val="24"/>
              </w:rPr>
            </w:pPr>
            <w:r>
              <w:rPr>
                <w:sz w:val="24"/>
              </w:rPr>
              <w:t>生产过程中的防范措施</w:t>
            </w:r>
          </w:p>
          <w:p w14:paraId="59F852D9">
            <w:pPr>
              <w:pStyle w:val="14"/>
              <w:spacing w:before="0" w:after="0" w:line="360" w:lineRule="auto"/>
              <w:ind w:right="0" w:firstLine="480" w:firstLineChars="200"/>
            </w:pPr>
            <w:r>
              <w:t>废旧农机拆解车间的拆解区、贮存区、危险废物暂存间等要严格防渗措施。拆解过程若产生废液，立即采用吸油垫收集废液，并将其作为含油抹布存放至专用密闭容器后置入危废暂存间。因此，拆解过程产生的危险废物由专门的存储设施，存放于指定地点，并采取防风防雨措施。存放液体和含有液体的危险废物，如废油液需采用专用的密闭容器，防止渗漏。仓库场地附近不得有明火或热源，配置相应的应急救援和处理设施，如灭火器。不同类别的废弃物及其拆解产物应当分区贮存，各分区应在显著位置设置标识，标明贮存物的名称、贮存时间、注意事项等。</w:t>
            </w:r>
          </w:p>
          <w:p w14:paraId="268F3676">
            <w:pPr>
              <w:numPr>
                <w:ilvl w:val="0"/>
                <w:numId w:val="20"/>
              </w:numPr>
              <w:spacing w:line="360" w:lineRule="auto"/>
              <w:ind w:firstLine="480" w:firstLineChars="200"/>
              <w:rPr>
                <w:sz w:val="24"/>
              </w:rPr>
            </w:pPr>
            <w:r>
              <w:rPr>
                <w:sz w:val="24"/>
              </w:rPr>
              <w:t>物料储存风险防范措施</w:t>
            </w:r>
          </w:p>
          <w:p w14:paraId="5F29085C">
            <w:pPr>
              <w:pStyle w:val="14"/>
              <w:spacing w:before="0" w:after="0" w:line="360" w:lineRule="auto"/>
              <w:ind w:right="0" w:firstLine="480" w:firstLineChars="200"/>
            </w:pPr>
            <w:r>
              <w:t>危险废物应由具有《危险废物经营许可证》并可以处置该类废物的单位进行处理处置，并严格执行危险废物转移联单制度，在危险废物转移前三日内报告移出地环境保护行政主管部门，并同时将预期到达时间报告接受地环境保护行政主管部门。严禁将各类废物转移给没有相应处理资质及能力的单位。</w:t>
            </w:r>
          </w:p>
          <w:p w14:paraId="443293CE">
            <w:pPr>
              <w:spacing w:line="360" w:lineRule="auto"/>
              <w:ind w:firstLine="480" w:firstLineChars="200"/>
            </w:pPr>
            <w:r>
              <w:rPr>
                <w:sz w:val="24"/>
                <w:szCs w:val="32"/>
              </w:rPr>
              <w:t>危险废物暂存间外要贴有危险废物标识；液体危险废物容积密封有盖，固体危险废物包装完整、不渗漏；危险废液暂时存放采取防渗漏和防外滤措施，根据不同类型废液的性质（如腐蚀性、挥发性、可燃性等），明确各类废液收集容器的材质要求，对于废油液，可采用耐油、耐腐蚀的塑料容器（如高密度聚乙烯容器）；对于废防冻液，可采用耐低温、耐腐蚀的塑料容器（如聚碳酸酯容器）；对于酸性废液，应采用耐酸腐蚀的塑料容器（如聚四氟乙烯容器）；考虑防止溢出、便于操作和管理等因素，各类废液收集容器的储存高度应不超过其容量的80%，以预留一定的空间防止液体在温度变化或晃动时溢出；全部存储于危废暂存间的废油液不得倒入厂内、外空地，草地及地下管网的检查井中，危废暂存间地面进行防渗处理，危废储存容器底部设置防渗托盘，废油液暂存区域设置导流槽、应急事故池；废弃或暂时不用的容油桶送至危废暂存间集中存放，避免油污污染地面及雨水冲刷后污染地下水。</w:t>
            </w:r>
          </w:p>
          <w:p w14:paraId="635D0C44">
            <w:pPr>
              <w:pStyle w:val="32"/>
              <w:numPr>
                <w:ilvl w:val="0"/>
                <w:numId w:val="20"/>
              </w:numPr>
              <w:spacing w:line="360" w:lineRule="auto"/>
              <w:ind w:firstLine="480"/>
              <w:rPr>
                <w:sz w:val="24"/>
              </w:rPr>
            </w:pPr>
            <w:r>
              <w:rPr>
                <w:sz w:val="24"/>
              </w:rPr>
              <w:t>应急处置措施</w:t>
            </w:r>
          </w:p>
          <w:p w14:paraId="03AC8305">
            <w:pPr>
              <w:pStyle w:val="32"/>
              <w:spacing w:line="360" w:lineRule="auto"/>
              <w:ind w:firstLine="480"/>
              <w:rPr>
                <w:sz w:val="24"/>
              </w:rPr>
            </w:pPr>
            <w:r>
              <w:rPr>
                <w:sz w:val="24"/>
              </w:rPr>
              <w:t>1）乙炔应急处置措施</w:t>
            </w:r>
          </w:p>
          <w:p w14:paraId="0C2B0307">
            <w:pPr>
              <w:pStyle w:val="32"/>
              <w:spacing w:line="360" w:lineRule="auto"/>
              <w:ind w:firstLine="480"/>
              <w:rPr>
                <w:sz w:val="24"/>
              </w:rPr>
            </w:pPr>
            <w:r>
              <w:rPr>
                <w:rFonts w:hint="eastAsia" w:ascii="宋体" w:hAnsi="宋体" w:cs="宋体"/>
                <w:sz w:val="24"/>
              </w:rPr>
              <w:t>①</w:t>
            </w:r>
            <w:r>
              <w:rPr>
                <w:sz w:val="24"/>
              </w:rPr>
              <w:t>如发生火灾，喷水冷却容器，可能的话将容器从火场移至空旷处。可选用雾状水、泡沫、二氧化碳、干粉灭火。</w:t>
            </w:r>
          </w:p>
          <w:p w14:paraId="691FDD76">
            <w:pPr>
              <w:pStyle w:val="32"/>
              <w:spacing w:line="360" w:lineRule="auto"/>
              <w:ind w:firstLine="480"/>
              <w:rPr>
                <w:sz w:val="24"/>
              </w:rPr>
            </w:pPr>
            <w:r>
              <w:rPr>
                <w:rFonts w:hint="eastAsia" w:ascii="宋体" w:hAnsi="宋体" w:cs="宋体"/>
                <w:sz w:val="24"/>
              </w:rPr>
              <w:t>②</w:t>
            </w:r>
            <w:r>
              <w:rPr>
                <w:sz w:val="24"/>
              </w:rPr>
              <w:t>迅速撤离泄漏污染区人员至上风处，并进行隔离，严格限制出入。合理通风，加速扩散。如有可能，将漏出气用排风机送至空旷地方或装设适当喷头烧掉。漏气容器要妥善处理，修复、检验后再用。</w:t>
            </w:r>
          </w:p>
          <w:p w14:paraId="067FE15F">
            <w:pPr>
              <w:pStyle w:val="32"/>
              <w:spacing w:line="360" w:lineRule="auto"/>
              <w:ind w:firstLine="480"/>
              <w:rPr>
                <w:sz w:val="24"/>
              </w:rPr>
            </w:pPr>
            <w:r>
              <w:rPr>
                <w:sz w:val="24"/>
              </w:rPr>
              <w:t>2）废油液泄露应急处置措施</w:t>
            </w:r>
          </w:p>
          <w:p w14:paraId="72F5A365">
            <w:pPr>
              <w:pStyle w:val="32"/>
              <w:spacing w:line="360" w:lineRule="auto"/>
              <w:ind w:firstLine="480"/>
              <w:rPr>
                <w:sz w:val="24"/>
              </w:rPr>
            </w:pPr>
            <w:r>
              <w:rPr>
                <w:rFonts w:hint="eastAsia" w:ascii="宋体" w:hAnsi="宋体" w:cs="宋体"/>
                <w:sz w:val="24"/>
              </w:rPr>
              <w:t>①</w:t>
            </w:r>
            <w:r>
              <w:rPr>
                <w:sz w:val="24"/>
              </w:rPr>
              <w:t>本项目日拆解农机1~2台，拆解过程中若泄露少量废油液可用砂土、蛭石或其它惰性材料吸收。</w:t>
            </w:r>
          </w:p>
          <w:p w14:paraId="548A4823">
            <w:pPr>
              <w:pStyle w:val="32"/>
              <w:spacing w:line="360" w:lineRule="auto"/>
              <w:ind w:firstLine="480"/>
              <w:rPr>
                <w:sz w:val="24"/>
              </w:rPr>
            </w:pPr>
            <w:r>
              <w:rPr>
                <w:rFonts w:hint="eastAsia" w:ascii="宋体" w:hAnsi="宋体" w:cs="宋体"/>
                <w:sz w:val="24"/>
              </w:rPr>
              <w:t>②</w:t>
            </w:r>
            <w:r>
              <w:rPr>
                <w:sz w:val="24"/>
              </w:rPr>
              <w:t>废油液在危废间暂存过程中可能会因为容器破损发生泄露，危废间设置围堰及导流渠，将其收集至2m</w:t>
            </w:r>
            <w:r>
              <w:rPr>
                <w:sz w:val="24"/>
                <w:vertAlign w:val="superscript"/>
              </w:rPr>
              <w:t>3</w:t>
            </w:r>
            <w:r>
              <w:rPr>
                <w:sz w:val="24"/>
              </w:rPr>
              <w:t>废液收集池。</w:t>
            </w:r>
          </w:p>
          <w:p w14:paraId="57FE36AA">
            <w:pPr>
              <w:pStyle w:val="32"/>
              <w:spacing w:line="360" w:lineRule="auto"/>
              <w:ind w:firstLine="480"/>
              <w:rPr>
                <w:sz w:val="24"/>
              </w:rPr>
            </w:pPr>
            <w:r>
              <w:rPr>
                <w:sz w:val="24"/>
              </w:rPr>
              <w:t>（4）事故后二次污染防治措施</w:t>
            </w:r>
          </w:p>
          <w:p w14:paraId="4E83EA54">
            <w:pPr>
              <w:pStyle w:val="32"/>
              <w:spacing w:line="360" w:lineRule="auto"/>
              <w:ind w:firstLine="480"/>
              <w:rPr>
                <w:sz w:val="24"/>
              </w:rPr>
            </w:pPr>
            <w:r>
              <w:rPr>
                <w:sz w:val="24"/>
              </w:rPr>
              <w:t>项目发生应急状况处置过程中，如火灾等事故条件下，将产生大量的消防水和污染区域清洗水等含有大量污染物的污水。</w:t>
            </w:r>
            <w:r>
              <w:rPr>
                <w:rFonts w:hint="eastAsia"/>
                <w:sz w:val="24"/>
              </w:rPr>
              <w:t>本项目火灾最大可信事故为危废间，属于室内火灾，根据《建筑设计防火规范》，室内消火栓用水量15L/s，全厂按一处火灾设计，灭火最大延续时间为2小时，一次灭火用水量为108m</w:t>
            </w:r>
            <w:r>
              <w:rPr>
                <w:rFonts w:hint="eastAsia"/>
                <w:sz w:val="24"/>
                <w:vertAlign w:val="superscript"/>
              </w:rPr>
              <w:t>3</w:t>
            </w:r>
            <w:r>
              <w:rPr>
                <w:rFonts w:hint="eastAsia"/>
                <w:sz w:val="24"/>
              </w:rPr>
              <w:t>。则消防废水产生量为108m</w:t>
            </w:r>
            <w:r>
              <w:rPr>
                <w:rFonts w:hint="eastAsia"/>
                <w:sz w:val="24"/>
                <w:vertAlign w:val="superscript"/>
              </w:rPr>
              <w:t>3</w:t>
            </w:r>
            <w:r>
              <w:rPr>
                <w:rFonts w:hint="eastAsia"/>
                <w:sz w:val="24"/>
              </w:rPr>
              <w:t>/次。</w:t>
            </w:r>
            <w:r>
              <w:rPr>
                <w:sz w:val="24"/>
              </w:rPr>
              <w:t>。为防止此类污水直接外排，对当地水体环境造成二次污染事故，评价要求建设150m</w:t>
            </w:r>
            <w:r>
              <w:rPr>
                <w:sz w:val="24"/>
                <w:vertAlign w:val="superscript"/>
              </w:rPr>
              <w:t>3</w:t>
            </w:r>
            <w:r>
              <w:rPr>
                <w:sz w:val="24"/>
              </w:rPr>
              <w:t>应急事故池。为确保发生事故时，消防废水能够进入事故池而不是随雨水管道排出厂外，环评要求在厂区雨水管道排口设置截止阀或其他节流措施发生事故时及时关闭雨水管道排口而使消防废水能够沿着导流渠或管道流入事故池。</w:t>
            </w:r>
          </w:p>
          <w:p w14:paraId="35C178CD">
            <w:pPr>
              <w:pStyle w:val="32"/>
              <w:spacing w:line="360" w:lineRule="auto"/>
              <w:ind w:firstLine="480"/>
              <w:rPr>
                <w:sz w:val="24"/>
              </w:rPr>
            </w:pPr>
            <w:r>
              <w:rPr>
                <w:sz w:val="24"/>
              </w:rPr>
              <w:t>（5）加强环保、安全、消防和管理，建立健全环保、安全、消防各项制度，设置环保、安全、消防专门科室和管理人员，保证安全防护设施正常运行或处于良好的待命状态。确保项目正常运行管理和风险防范措施符合环保、安全和消防等行业法律、法规、技术规范的要求；制定完善的危险废物暂存间管理制度，加强危废暂存间管理工作；建议企业建立事故应急计划，设定事故预防措施、应急措施及事故善后处理措施，配备相关的安全生产和应急救援设备、物资。</w:t>
            </w:r>
          </w:p>
          <w:p w14:paraId="5A44139B">
            <w:pPr>
              <w:spacing w:line="360" w:lineRule="auto"/>
              <w:ind w:firstLine="480" w:firstLineChars="200"/>
              <w:rPr>
                <w:sz w:val="24"/>
              </w:rPr>
            </w:pPr>
            <w:r>
              <w:rPr>
                <w:sz w:val="24"/>
              </w:rPr>
              <w:t>在采取上述措施后，本项目环境风险可控。本项目建设项目环境风险简单分析内容见下表。</w:t>
            </w:r>
          </w:p>
          <w:p w14:paraId="00B117ED">
            <w:pPr>
              <w:spacing w:line="360" w:lineRule="auto"/>
              <w:ind w:firstLine="480" w:firstLineChars="200"/>
              <w:rPr>
                <w:sz w:val="24"/>
              </w:rPr>
            </w:pPr>
          </w:p>
          <w:p w14:paraId="24EF80D1">
            <w:pPr>
              <w:spacing w:line="360" w:lineRule="auto"/>
              <w:ind w:firstLine="480" w:firstLineChars="200"/>
              <w:rPr>
                <w:sz w:val="24"/>
              </w:rPr>
            </w:pPr>
          </w:p>
          <w:p w14:paraId="132DA1BB">
            <w:pPr>
              <w:spacing w:line="360" w:lineRule="auto"/>
              <w:ind w:firstLine="480" w:firstLineChars="200"/>
              <w:rPr>
                <w:sz w:val="24"/>
              </w:rPr>
            </w:pPr>
          </w:p>
          <w:p w14:paraId="58A22CB4">
            <w:pPr>
              <w:spacing w:line="360" w:lineRule="auto"/>
              <w:ind w:firstLine="480" w:firstLineChars="200"/>
              <w:rPr>
                <w:sz w:val="24"/>
              </w:rPr>
            </w:pPr>
          </w:p>
          <w:p w14:paraId="6099EC90">
            <w:pPr>
              <w:pStyle w:val="14"/>
              <w:spacing w:before="0" w:after="0" w:line="240" w:lineRule="auto"/>
              <w:ind w:right="0"/>
              <w:jc w:val="center"/>
              <w:rPr>
                <w:b/>
                <w:bCs/>
                <w:szCs w:val="24"/>
              </w:rPr>
            </w:pPr>
            <w:r>
              <w:rPr>
                <w:b/>
                <w:bCs/>
                <w:szCs w:val="24"/>
              </w:rPr>
              <w:t>表</w:t>
            </w:r>
            <w:r>
              <w:rPr>
                <w:rFonts w:hint="eastAsia"/>
                <w:b/>
                <w:bCs/>
                <w:szCs w:val="24"/>
              </w:rPr>
              <w:t>40</w:t>
            </w:r>
            <w:r>
              <w:rPr>
                <w:b/>
                <w:bCs/>
                <w:szCs w:val="24"/>
              </w:rPr>
              <w:t xml:space="preserve">   建设项目环境风险很简单分析内容表</w:t>
            </w:r>
          </w:p>
          <w:tbl>
            <w:tblPr>
              <w:tblStyle w:val="24"/>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02"/>
              <w:gridCol w:w="758"/>
              <w:gridCol w:w="2105"/>
              <w:gridCol w:w="820"/>
              <w:gridCol w:w="2147"/>
            </w:tblGrid>
            <w:tr w14:paraId="770D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2486" w:type="dxa"/>
                  <w:vAlign w:val="center"/>
                </w:tcPr>
                <w:p w14:paraId="0C153984">
                  <w:pPr>
                    <w:jc w:val="center"/>
                  </w:pPr>
                  <w:r>
                    <w:t>建设项目名称</w:t>
                  </w:r>
                </w:p>
              </w:tc>
              <w:tc>
                <w:tcPr>
                  <w:tcW w:w="5793" w:type="dxa"/>
                  <w:gridSpan w:val="4"/>
                  <w:vAlign w:val="center"/>
                </w:tcPr>
                <w:p w14:paraId="254C3154">
                  <w:pPr>
                    <w:jc w:val="center"/>
                  </w:pPr>
                  <w:r>
                    <w:t>民权县朝大再生资源回收利用有限公司年回收50台农业机械建设项目</w:t>
                  </w:r>
                </w:p>
              </w:tc>
            </w:tr>
            <w:tr w14:paraId="1F51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486" w:type="dxa"/>
                  <w:vAlign w:val="center"/>
                </w:tcPr>
                <w:p w14:paraId="51C6BFEE">
                  <w:pPr>
                    <w:jc w:val="center"/>
                  </w:pPr>
                  <w:r>
                    <w:t>建设地点</w:t>
                  </w:r>
                </w:p>
              </w:tc>
              <w:tc>
                <w:tcPr>
                  <w:tcW w:w="5793" w:type="dxa"/>
                  <w:gridSpan w:val="4"/>
                  <w:shd w:val="clear" w:color="auto" w:fill="auto"/>
                  <w:vAlign w:val="center"/>
                </w:tcPr>
                <w:p w14:paraId="50BDE042">
                  <w:pPr>
                    <w:adjustRightInd w:val="0"/>
                    <w:snapToGrid w:val="0"/>
                    <w:jc w:val="center"/>
                    <w:rPr>
                      <w:szCs w:val="21"/>
                    </w:rPr>
                  </w:pPr>
                  <w:r>
                    <w:rPr>
                      <w:szCs w:val="21"/>
                    </w:rPr>
                    <w:t>商丘市民权县人和镇工业园区310国道北侧</w:t>
                  </w:r>
                </w:p>
              </w:tc>
            </w:tr>
            <w:tr w14:paraId="7FA3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486" w:type="dxa"/>
                  <w:vAlign w:val="center"/>
                </w:tcPr>
                <w:p w14:paraId="044B1F9D">
                  <w:pPr>
                    <w:jc w:val="center"/>
                  </w:pPr>
                  <w:r>
                    <w:t>地理坐标</w:t>
                  </w:r>
                </w:p>
              </w:tc>
              <w:tc>
                <w:tcPr>
                  <w:tcW w:w="753" w:type="dxa"/>
                  <w:shd w:val="clear" w:color="auto" w:fill="auto"/>
                  <w:vAlign w:val="center"/>
                </w:tcPr>
                <w:p w14:paraId="5108750B">
                  <w:pPr>
                    <w:jc w:val="center"/>
                    <w:rPr>
                      <w:szCs w:val="21"/>
                    </w:rPr>
                  </w:pPr>
                  <w:r>
                    <w:rPr>
                      <w:szCs w:val="21"/>
                    </w:rPr>
                    <w:t>经度</w:t>
                  </w:r>
                </w:p>
              </w:tc>
              <w:tc>
                <w:tcPr>
                  <w:tcW w:w="2092" w:type="dxa"/>
                  <w:shd w:val="clear" w:color="auto" w:fill="auto"/>
                  <w:vAlign w:val="center"/>
                </w:tcPr>
                <w:p w14:paraId="4C7F0AE0">
                  <w:pPr>
                    <w:jc w:val="center"/>
                    <w:rPr>
                      <w:szCs w:val="21"/>
                    </w:rPr>
                  </w:pPr>
                  <w:r>
                    <w:rPr>
                      <w:szCs w:val="21"/>
                    </w:rPr>
                    <w:t>E 114度58分42.992秒</w:t>
                  </w:r>
                </w:p>
              </w:tc>
              <w:tc>
                <w:tcPr>
                  <w:tcW w:w="815" w:type="dxa"/>
                  <w:shd w:val="clear" w:color="auto" w:fill="auto"/>
                  <w:vAlign w:val="center"/>
                </w:tcPr>
                <w:p w14:paraId="40D11216">
                  <w:pPr>
                    <w:jc w:val="center"/>
                    <w:rPr>
                      <w:szCs w:val="21"/>
                    </w:rPr>
                  </w:pPr>
                  <w:r>
                    <w:rPr>
                      <w:szCs w:val="21"/>
                    </w:rPr>
                    <w:t>纬度</w:t>
                  </w:r>
                </w:p>
              </w:tc>
              <w:tc>
                <w:tcPr>
                  <w:tcW w:w="2133" w:type="dxa"/>
                  <w:shd w:val="clear" w:color="auto" w:fill="auto"/>
                  <w:vAlign w:val="center"/>
                </w:tcPr>
                <w:p w14:paraId="2FAFA03F">
                  <w:pPr>
                    <w:jc w:val="center"/>
                    <w:rPr>
                      <w:szCs w:val="21"/>
                    </w:rPr>
                  </w:pPr>
                  <w:r>
                    <w:rPr>
                      <w:szCs w:val="21"/>
                    </w:rPr>
                    <w:t>N 34度42分48.402秒</w:t>
                  </w:r>
                </w:p>
              </w:tc>
            </w:tr>
            <w:tr w14:paraId="38F5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486" w:type="dxa"/>
                  <w:vAlign w:val="center"/>
                </w:tcPr>
                <w:p w14:paraId="3B4AD2DB">
                  <w:pPr>
                    <w:jc w:val="center"/>
                  </w:pPr>
                  <w:r>
                    <w:t>主要危险物质及分布</w:t>
                  </w:r>
                </w:p>
              </w:tc>
              <w:tc>
                <w:tcPr>
                  <w:tcW w:w="5793" w:type="dxa"/>
                  <w:gridSpan w:val="4"/>
                  <w:vAlign w:val="center"/>
                </w:tcPr>
                <w:p w14:paraId="4087E8A9">
                  <w:pPr>
                    <w:jc w:val="center"/>
                    <w:rPr>
                      <w:szCs w:val="21"/>
                    </w:rPr>
                  </w:pPr>
                  <w:r>
                    <w:rPr>
                      <w:szCs w:val="21"/>
                    </w:rPr>
                    <w:t>主要为废油液和乙炔，分布于危险废物暂存间和工具区</w:t>
                  </w:r>
                </w:p>
              </w:tc>
            </w:tr>
            <w:tr w14:paraId="0C00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2486" w:type="dxa"/>
                  <w:vAlign w:val="center"/>
                </w:tcPr>
                <w:p w14:paraId="3B18368C">
                  <w:pPr>
                    <w:jc w:val="center"/>
                  </w:pPr>
                  <w:r>
                    <w:t>环境影响途径及危害后果</w:t>
                  </w:r>
                </w:p>
              </w:tc>
              <w:tc>
                <w:tcPr>
                  <w:tcW w:w="5793" w:type="dxa"/>
                  <w:gridSpan w:val="4"/>
                  <w:vAlign w:val="center"/>
                </w:tcPr>
                <w:p w14:paraId="2AF17420">
                  <w:pPr>
                    <w:jc w:val="center"/>
                  </w:pPr>
                  <w:r>
                    <w:t>遇明火、高热可能发生火灾引发的伴生/次生污染</w:t>
                  </w:r>
                </w:p>
              </w:tc>
            </w:tr>
            <w:tr w14:paraId="0B63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7" w:hRule="atLeast"/>
                <w:jc w:val="center"/>
              </w:trPr>
              <w:tc>
                <w:tcPr>
                  <w:tcW w:w="2486" w:type="dxa"/>
                  <w:vAlign w:val="center"/>
                </w:tcPr>
                <w:p w14:paraId="10DC9E58">
                  <w:pPr>
                    <w:jc w:val="center"/>
                  </w:pPr>
                  <w:r>
                    <w:t>风险防范措施要求</w:t>
                  </w:r>
                </w:p>
              </w:tc>
              <w:tc>
                <w:tcPr>
                  <w:tcW w:w="5793" w:type="dxa"/>
                  <w:gridSpan w:val="4"/>
                  <w:vAlign w:val="center"/>
                </w:tcPr>
                <w:p w14:paraId="7AB344F2">
                  <w:r>
                    <w:rPr>
                      <w:rFonts w:hint="eastAsia" w:ascii="宋体" w:hAnsi="宋体" w:cs="宋体"/>
                    </w:rPr>
                    <w:t>①</w:t>
                  </w:r>
                  <w:r>
                    <w:t>本项目废油液类使用桶装容器盛装，建设单位应定期检查是否存在泄漏。</w:t>
                  </w:r>
                </w:p>
                <w:p w14:paraId="4A68F3D8">
                  <w:r>
                    <w:rPr>
                      <w:rFonts w:hint="eastAsia" w:ascii="宋体" w:hAnsi="宋体" w:cs="宋体"/>
                    </w:rPr>
                    <w:t>②</w:t>
                  </w:r>
                  <w:r>
                    <w:t>乙炔气罐应储存于阴凉、通风的库房内，远离火种、热源。库房内粘贴警示标志，周边严禁烟火，防止发生火灾危险。</w:t>
                  </w:r>
                </w:p>
                <w:p w14:paraId="375F9018">
                  <w:r>
                    <w:rPr>
                      <w:rFonts w:hint="eastAsia" w:ascii="宋体" w:hAnsi="宋体" w:cs="宋体"/>
                    </w:rPr>
                    <w:t>③</w:t>
                  </w:r>
                  <w:r>
                    <w:t>废油液应使用专用贮存箱盛装，定期检查废油液贮存箱是否存在泄露。</w:t>
                  </w:r>
                </w:p>
                <w:p w14:paraId="6827AE66">
                  <w:r>
                    <w:rPr>
                      <w:rFonts w:hint="eastAsia" w:ascii="宋体" w:hAnsi="宋体" w:cs="宋体"/>
                    </w:rPr>
                    <w:t>④</w:t>
                  </w:r>
                  <w:r>
                    <w:t>按照《建筑灭火器配置设计规范》（GB50140-2005），库房内配置一定数量不同类型、不同规格的移动式灭火器材，以便及时扑救初始零星火灾。</w:t>
                  </w:r>
                </w:p>
                <w:p w14:paraId="555A7C69">
                  <w:r>
                    <w:rPr>
                      <w:rFonts w:hint="eastAsia" w:ascii="宋体" w:hAnsi="宋体" w:cs="宋体"/>
                    </w:rPr>
                    <w:t>⑤</w:t>
                  </w:r>
                  <w:r>
                    <w:t>加强日常管理，预防意外泄漏事故，储区应备有合适的收容材料。</w:t>
                  </w:r>
                </w:p>
              </w:tc>
            </w:tr>
            <w:tr w14:paraId="75C9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2486" w:type="dxa"/>
                  <w:vAlign w:val="center"/>
                </w:tcPr>
                <w:p w14:paraId="07A079DA">
                  <w:pPr>
                    <w:jc w:val="center"/>
                  </w:pPr>
                  <w:r>
                    <w:t>填表说明（列出项目相关信息及评价说明）</w:t>
                  </w:r>
                </w:p>
              </w:tc>
              <w:tc>
                <w:tcPr>
                  <w:tcW w:w="5793" w:type="dxa"/>
                  <w:gridSpan w:val="4"/>
                  <w:vAlign w:val="center"/>
                </w:tcPr>
                <w:p w14:paraId="326F602F">
                  <w:pPr>
                    <w:jc w:val="left"/>
                  </w:pPr>
                  <w:r>
                    <w:t>本项目环境风险潜势为Ⅰ类，仅做简单分析，建设单位采取相应的措施后，可以满足环境风险防治及应急要求。</w:t>
                  </w:r>
                </w:p>
              </w:tc>
            </w:tr>
          </w:tbl>
          <w:p w14:paraId="59464EA9">
            <w:pPr>
              <w:spacing w:line="360" w:lineRule="auto"/>
              <w:ind w:firstLine="480" w:firstLineChars="200"/>
              <w:rPr>
                <w:sz w:val="24"/>
              </w:rPr>
            </w:pPr>
            <w:r>
              <w:rPr>
                <w:sz w:val="24"/>
              </w:rPr>
              <w:t>本项目涉及的环境风险物质主要为废油液和乙炔，项目危险物质危险性主要表现在泄露、火灾等突发性事故，建议企业结合本项目特点，制定应急预案及区域风险防范应急救援支援措施，在认真落实相关风险管理措施的情况下，本项目环境风险可控。</w:t>
            </w:r>
          </w:p>
          <w:p w14:paraId="79448FD1">
            <w:pPr>
              <w:pStyle w:val="14"/>
              <w:spacing w:before="0" w:after="0" w:line="360" w:lineRule="auto"/>
              <w:ind w:left="482" w:right="0"/>
              <w:rPr>
                <w:b/>
                <w:bCs/>
                <w:szCs w:val="24"/>
              </w:rPr>
            </w:pPr>
            <w:r>
              <w:rPr>
                <w:b/>
                <w:bCs/>
                <w:szCs w:val="24"/>
              </w:rPr>
              <w:t>七、项目选址可行性分析</w:t>
            </w:r>
          </w:p>
          <w:p w14:paraId="564E50BE">
            <w:pPr>
              <w:spacing w:line="360" w:lineRule="auto"/>
              <w:ind w:firstLine="480" w:firstLineChars="200"/>
              <w:rPr>
                <w:sz w:val="24"/>
              </w:rPr>
            </w:pPr>
            <w:r>
              <w:rPr>
                <w:sz w:val="24"/>
              </w:rPr>
              <w:t>本项目位于商丘市民权县人和镇工业园区310国道北侧，本项目属于废弃资源综合利用业。根据民权县人和镇自然资源所出具的证明（见附件三），本项目用地性质属于建设用地</w:t>
            </w:r>
            <w:r>
              <w:rPr>
                <w:rFonts w:hint="eastAsia"/>
                <w:sz w:val="24"/>
              </w:rPr>
              <w:t>，符合人和镇土地利用总体规划</w:t>
            </w:r>
            <w:r>
              <w:rPr>
                <w:sz w:val="24"/>
              </w:rPr>
              <w:t>；根据民权县人和镇乡村规划建设中心出具的证明文件，同意本项目入驻（见附件四）</w:t>
            </w:r>
            <w:r>
              <w:rPr>
                <w:rFonts w:hint="eastAsia"/>
                <w:sz w:val="24"/>
              </w:rPr>
              <w:t>，</w:t>
            </w:r>
            <w:r>
              <w:rPr>
                <w:sz w:val="24"/>
              </w:rPr>
              <w:t>项目建设符合人和镇发展规划要求</w:t>
            </w:r>
            <w:r>
              <w:rPr>
                <w:rFonts w:hint="eastAsia"/>
                <w:sz w:val="24"/>
              </w:rPr>
              <w:t>。同时本项目建设</w:t>
            </w:r>
            <w:r>
              <w:rPr>
                <w:sz w:val="24"/>
              </w:rPr>
              <w:t>符合当地“三线一单”及最新环保政策相关要求。</w:t>
            </w:r>
          </w:p>
          <w:p w14:paraId="157C60C4">
            <w:pPr>
              <w:spacing w:line="360" w:lineRule="auto"/>
              <w:ind w:firstLine="482" w:firstLineChars="200"/>
              <w:rPr>
                <w:b/>
                <w:bCs/>
                <w:sz w:val="24"/>
                <w:u w:val="single"/>
              </w:rPr>
            </w:pPr>
            <w:r>
              <w:rPr>
                <w:b/>
                <w:bCs/>
                <w:sz w:val="24"/>
                <w:u w:val="single"/>
              </w:rPr>
              <w:t>经现场调查，项目厂址北侧</w:t>
            </w:r>
            <w:r>
              <w:rPr>
                <w:rFonts w:hint="eastAsia"/>
                <w:b/>
                <w:bCs/>
                <w:sz w:val="24"/>
                <w:u w:val="single"/>
              </w:rPr>
              <w:t>为</w:t>
            </w:r>
            <w:r>
              <w:rPr>
                <w:b/>
                <w:bCs/>
                <w:sz w:val="24"/>
                <w:u w:val="single"/>
              </w:rPr>
              <w:t>农田，西侧为</w:t>
            </w:r>
            <w:r>
              <w:rPr>
                <w:rFonts w:hint="eastAsia"/>
                <w:b/>
                <w:bCs/>
                <w:sz w:val="24"/>
                <w:u w:val="single"/>
              </w:rPr>
              <w:t>农田和厂房，</w:t>
            </w:r>
            <w:r>
              <w:rPr>
                <w:b/>
                <w:bCs/>
                <w:sz w:val="24"/>
                <w:u w:val="single"/>
              </w:rPr>
              <w:t>东侧为道路和河南芹大嫂食品有限公司，南侧为闲置</w:t>
            </w:r>
            <w:r>
              <w:rPr>
                <w:rFonts w:hint="eastAsia"/>
                <w:b/>
                <w:bCs/>
                <w:sz w:val="24"/>
                <w:u w:val="single"/>
              </w:rPr>
              <w:t>厂房</w:t>
            </w:r>
            <w:r>
              <w:rPr>
                <w:b/>
                <w:bCs/>
                <w:sz w:val="24"/>
                <w:u w:val="single"/>
              </w:rPr>
              <w:t>和G310国道。项目厂址</w:t>
            </w:r>
            <w:r>
              <w:rPr>
                <w:rFonts w:hint="eastAsia"/>
                <w:b/>
                <w:bCs/>
                <w:sz w:val="24"/>
                <w:u w:val="single"/>
              </w:rPr>
              <w:t>5</w:t>
            </w:r>
            <w:r>
              <w:rPr>
                <w:b/>
                <w:bCs/>
                <w:sz w:val="24"/>
                <w:u w:val="single"/>
              </w:rPr>
              <w:t>00</w:t>
            </w:r>
            <w:r>
              <w:rPr>
                <w:rFonts w:hint="eastAsia"/>
                <w:b/>
                <w:bCs/>
                <w:sz w:val="24"/>
                <w:u w:val="single"/>
              </w:rPr>
              <w:t>m范围内的</w:t>
            </w:r>
            <w:r>
              <w:rPr>
                <w:b/>
                <w:bCs/>
                <w:sz w:val="24"/>
                <w:u w:val="single"/>
              </w:rPr>
              <w:t>环境敏感点为西南侧约130m处的农技推广站、西侧180m的税务局和280m的民权县公安交通警察大队人和中队</w:t>
            </w:r>
            <w:r>
              <w:rPr>
                <w:rFonts w:hint="eastAsia"/>
                <w:b/>
                <w:bCs/>
                <w:sz w:val="24"/>
                <w:u w:val="single"/>
              </w:rPr>
              <w:t>，均属于公共办公场所，无长期居住的居民点</w:t>
            </w:r>
            <w:r>
              <w:rPr>
                <w:b/>
                <w:bCs/>
                <w:sz w:val="24"/>
                <w:u w:val="single"/>
              </w:rPr>
              <w:t>。</w:t>
            </w:r>
          </w:p>
          <w:p w14:paraId="5F990D94">
            <w:pPr>
              <w:spacing w:line="360" w:lineRule="auto"/>
              <w:ind w:firstLine="482" w:firstLineChars="200"/>
              <w:rPr>
                <w:b/>
                <w:bCs/>
                <w:sz w:val="24"/>
                <w:u w:val="single"/>
              </w:rPr>
            </w:pPr>
            <w:r>
              <w:rPr>
                <w:rFonts w:hint="eastAsia"/>
                <w:b/>
                <w:bCs/>
                <w:sz w:val="24"/>
                <w:u w:val="single"/>
              </w:rPr>
              <w:t>本</w:t>
            </w:r>
            <w:r>
              <w:rPr>
                <w:b/>
                <w:bCs/>
                <w:sz w:val="24"/>
                <w:u w:val="single"/>
              </w:rPr>
              <w:t>项目废气</w:t>
            </w:r>
            <w:r>
              <w:rPr>
                <w:rFonts w:hint="eastAsia"/>
                <w:b/>
                <w:bCs/>
                <w:sz w:val="24"/>
                <w:u w:val="single"/>
              </w:rPr>
              <w:t>污染物主要为废抽取时产生的少量非甲烷总烃及切割时产生的少量颗粒物，经活性炭吸附装置、袋式除尘器处理后进行有组织达标排放</w:t>
            </w:r>
            <w:r>
              <w:rPr>
                <w:b/>
                <w:bCs/>
                <w:sz w:val="24"/>
                <w:u w:val="single"/>
              </w:rPr>
              <w:t>，对周围环境影响</w:t>
            </w:r>
            <w:r>
              <w:rPr>
                <w:rFonts w:hint="eastAsia"/>
                <w:b/>
                <w:bCs/>
                <w:sz w:val="24"/>
                <w:u w:val="single"/>
              </w:rPr>
              <w:t>较小</w:t>
            </w:r>
            <w:r>
              <w:rPr>
                <w:b/>
                <w:bCs/>
                <w:sz w:val="24"/>
                <w:u w:val="single"/>
              </w:rPr>
              <w:t>。项目生产设备做好基础</w:t>
            </w:r>
            <w:r>
              <w:rPr>
                <w:rFonts w:hint="eastAsia"/>
                <w:b/>
                <w:bCs/>
                <w:sz w:val="24"/>
                <w:u w:val="single"/>
              </w:rPr>
              <w:t>减振、消声、隔声措施后</w:t>
            </w:r>
            <w:r>
              <w:rPr>
                <w:b/>
                <w:bCs/>
                <w:sz w:val="24"/>
                <w:u w:val="single"/>
              </w:rPr>
              <w:t>，项目四周厂界</w:t>
            </w:r>
            <w:r>
              <w:rPr>
                <w:rFonts w:hint="eastAsia"/>
                <w:b/>
                <w:bCs/>
                <w:sz w:val="24"/>
                <w:u w:val="single"/>
              </w:rPr>
              <w:t>噪声</w:t>
            </w:r>
            <w:r>
              <w:rPr>
                <w:b/>
                <w:bCs/>
                <w:sz w:val="24"/>
                <w:u w:val="single"/>
              </w:rPr>
              <w:t>可满足《工业企业厂界环境噪声排放标准》（GB12348-2008）2类</w:t>
            </w:r>
            <w:r>
              <w:rPr>
                <w:rFonts w:hint="eastAsia"/>
                <w:b/>
                <w:bCs/>
                <w:sz w:val="24"/>
                <w:u w:val="single"/>
              </w:rPr>
              <w:t>标准要求</w:t>
            </w:r>
            <w:r>
              <w:rPr>
                <w:b/>
                <w:bCs/>
                <w:sz w:val="24"/>
                <w:u w:val="single"/>
              </w:rPr>
              <w:t>。本项目无生产用水，职工生活废水经化粪池暂存后，定期清掏，外运肥田；产生的固废分类合理收集、处置</w:t>
            </w:r>
            <w:r>
              <w:rPr>
                <w:rFonts w:hint="eastAsia"/>
                <w:b/>
                <w:bCs/>
                <w:sz w:val="24"/>
                <w:u w:val="single"/>
              </w:rPr>
              <w:t>。</w:t>
            </w:r>
          </w:p>
          <w:p w14:paraId="0DAAC075">
            <w:pPr>
              <w:spacing w:line="360" w:lineRule="auto"/>
              <w:ind w:firstLine="482" w:firstLineChars="200"/>
              <w:rPr>
                <w:b/>
                <w:bCs/>
                <w:sz w:val="24"/>
                <w:u w:val="single"/>
              </w:rPr>
            </w:pPr>
            <w:r>
              <w:rPr>
                <w:rFonts w:hint="eastAsia"/>
                <w:b/>
                <w:bCs/>
                <w:sz w:val="24"/>
                <w:u w:val="single"/>
              </w:rPr>
              <w:t>本项目厂址周边分布的企业主要有</w:t>
            </w:r>
            <w:r>
              <w:rPr>
                <w:b/>
                <w:bCs/>
                <w:sz w:val="24"/>
                <w:u w:val="single"/>
              </w:rPr>
              <w:t>河南芹大嫂食品有限公司</w:t>
            </w:r>
            <w:r>
              <w:rPr>
                <w:rFonts w:hint="eastAsia"/>
                <w:b/>
                <w:bCs/>
                <w:sz w:val="24"/>
                <w:u w:val="single"/>
              </w:rPr>
              <w:t>、商丘吉晟金属材料有限公司、永大管业有限公司、民权县弘睿生物科技有限公司，主要从事方便食品、废旧金属回收加工、塑料制品等生产，其中</w:t>
            </w:r>
            <w:r>
              <w:rPr>
                <w:b/>
                <w:bCs/>
                <w:sz w:val="24"/>
                <w:u w:val="single"/>
              </w:rPr>
              <w:t>河南芹大嫂食品有限公司</w:t>
            </w:r>
            <w:r>
              <w:rPr>
                <w:rFonts w:hint="eastAsia"/>
                <w:b/>
                <w:bCs/>
                <w:sz w:val="24"/>
                <w:u w:val="single"/>
              </w:rPr>
              <w:t>主要生产调味面制品，该企业生产车间为密闭式，主要生产设施采用二次密闭。本项目厂址周边5</w:t>
            </w:r>
            <w:r>
              <w:rPr>
                <w:b/>
                <w:bCs/>
                <w:sz w:val="24"/>
                <w:u w:val="single"/>
              </w:rPr>
              <w:t>00</w:t>
            </w:r>
            <w:r>
              <w:rPr>
                <w:rFonts w:hint="eastAsia"/>
                <w:b/>
                <w:bCs/>
                <w:sz w:val="24"/>
                <w:u w:val="single"/>
              </w:rPr>
              <w:t>m范围内无居民点，主要分布有3处供事业单位办公场所。本项目为废旧农业拆解项目，建设有全封闭厂房，产生的废气污染物种类简单、且排放量较少，废气经采取相关污染防治措施后，对周围环境影响较小。因此，本项目在落实相关污染防治措施的情况下，对周边环境影响较小，与周边环境相容。</w:t>
            </w:r>
          </w:p>
          <w:p w14:paraId="6AA60C3D">
            <w:pPr>
              <w:spacing w:line="360" w:lineRule="auto"/>
              <w:ind w:firstLine="480" w:firstLineChars="200"/>
              <w:rPr>
                <w:sz w:val="24"/>
              </w:rPr>
            </w:pPr>
            <w:r>
              <w:rPr>
                <w:sz w:val="24"/>
              </w:rPr>
              <w:t>综上所述，从环保角度分析，项目选址可行。</w:t>
            </w:r>
          </w:p>
          <w:p w14:paraId="7F3061CA">
            <w:pPr>
              <w:spacing w:line="360" w:lineRule="auto"/>
              <w:ind w:left="420" w:leftChars="200"/>
              <w:rPr>
                <w:b/>
                <w:bCs/>
                <w:sz w:val="24"/>
              </w:rPr>
            </w:pPr>
            <w:r>
              <w:rPr>
                <w:b/>
                <w:bCs/>
                <w:sz w:val="24"/>
              </w:rPr>
              <w:t>八、环境管理要求</w:t>
            </w:r>
          </w:p>
          <w:p w14:paraId="7E247638">
            <w:pPr>
              <w:spacing w:line="360" w:lineRule="auto"/>
              <w:ind w:firstLine="482" w:firstLineChars="200"/>
              <w:rPr>
                <w:b/>
                <w:bCs/>
                <w:sz w:val="24"/>
              </w:rPr>
            </w:pPr>
            <w:r>
              <w:rPr>
                <w:b/>
                <w:bCs/>
                <w:sz w:val="24"/>
              </w:rPr>
              <w:t>1、排污口规范化设置</w:t>
            </w:r>
          </w:p>
          <w:p w14:paraId="57D83BA7">
            <w:pPr>
              <w:spacing w:line="360" w:lineRule="auto"/>
              <w:ind w:firstLine="480" w:firstLineChars="200"/>
              <w:rPr>
                <w:sz w:val="24"/>
              </w:rPr>
            </w:pPr>
            <w:r>
              <w:rPr>
                <w:sz w:val="24"/>
              </w:rPr>
              <w:t>项目排污口应进行规范化设计，具备采样、监测条件，排放口附近树立环保图形标志牌。排污口应符合“一明显、二合理、三便于”的要求，即环保标志明显，排污口设置合理，排污去向合理，便于采集样品，便于监测计量，便于公众监督管理。</w:t>
            </w:r>
          </w:p>
          <w:p w14:paraId="1D755282">
            <w:pPr>
              <w:spacing w:line="360" w:lineRule="auto"/>
              <w:ind w:firstLine="480" w:firstLineChars="200"/>
              <w:rPr>
                <w:sz w:val="24"/>
              </w:rPr>
            </w:pPr>
            <w:r>
              <w:rPr>
                <w:sz w:val="24"/>
              </w:rPr>
              <w:t>（1）监测平台设置</w:t>
            </w:r>
          </w:p>
          <w:p w14:paraId="38EAFABA">
            <w:pPr>
              <w:spacing w:line="360" w:lineRule="auto"/>
              <w:ind w:firstLine="480" w:firstLineChars="200"/>
              <w:rPr>
                <w:sz w:val="24"/>
              </w:rPr>
            </w:pPr>
            <w:r>
              <w:rPr>
                <w:sz w:val="24"/>
              </w:rPr>
              <w:t>根据《固定源废气监测技术规范》（HJ/T397-2007），采样平台应有足够的工作面积使工作人员安全、方便的操作。平台面积应不小于1.5m</w:t>
            </w:r>
            <w:r>
              <w:rPr>
                <w:sz w:val="24"/>
                <w:vertAlign w:val="superscript"/>
              </w:rPr>
              <w:t>2</w:t>
            </w:r>
            <w:r>
              <w:rPr>
                <w:sz w:val="24"/>
              </w:rPr>
              <w:t>，并设有1.1m高的护栏和不低于10cm的脚步挡板，采样平台的承重应不小于200kg/m</w:t>
            </w:r>
            <w:r>
              <w:rPr>
                <w:sz w:val="24"/>
                <w:vertAlign w:val="superscript"/>
              </w:rPr>
              <w:t>2</w:t>
            </w:r>
            <w:r>
              <w:rPr>
                <w:sz w:val="24"/>
              </w:rPr>
              <w:t>，采样孔距平台面约1.2m~1.3m。</w:t>
            </w:r>
          </w:p>
          <w:p w14:paraId="29A17F93">
            <w:pPr>
              <w:spacing w:line="360" w:lineRule="auto"/>
              <w:ind w:firstLine="480" w:firstLineChars="200"/>
              <w:rPr>
                <w:sz w:val="24"/>
              </w:rPr>
            </w:pPr>
            <w:r>
              <w:rPr>
                <w:sz w:val="24"/>
              </w:rPr>
              <w:t>（2）环保图形标志设置</w:t>
            </w:r>
          </w:p>
          <w:p w14:paraId="33A7E140">
            <w:pPr>
              <w:spacing w:line="360" w:lineRule="auto"/>
              <w:ind w:firstLine="480" w:firstLineChars="200"/>
              <w:rPr>
                <w:sz w:val="24"/>
              </w:rPr>
            </w:pPr>
            <w:r>
              <w:rPr>
                <w:sz w:val="24"/>
              </w:rPr>
              <w:t>按照《危险废物识别标志设置技术规范》（HJ1276-2022）等相关规定，在各排污口设立相应的环境保护图形标志牌。</w:t>
            </w:r>
          </w:p>
          <w:p w14:paraId="4A792C97">
            <w:pPr>
              <w:spacing w:line="360" w:lineRule="auto"/>
              <w:ind w:firstLine="480" w:firstLineChars="200"/>
              <w:rPr>
                <w:sz w:val="24"/>
              </w:rPr>
            </w:pPr>
            <w:r>
              <w:rPr>
                <w:sz w:val="24"/>
              </w:rPr>
              <w:t>环境保护图形标志的形状及颜色见下表。</w:t>
            </w:r>
          </w:p>
          <w:p w14:paraId="25B07C9E">
            <w:pPr>
              <w:jc w:val="center"/>
              <w:rPr>
                <w:b/>
                <w:bCs/>
                <w:sz w:val="24"/>
              </w:rPr>
            </w:pPr>
            <w:r>
              <w:rPr>
                <w:b/>
                <w:bCs/>
                <w:sz w:val="24"/>
              </w:rPr>
              <w:t>表4</w:t>
            </w:r>
            <w:r>
              <w:rPr>
                <w:rFonts w:hint="eastAsia"/>
                <w:b/>
                <w:bCs/>
                <w:sz w:val="24"/>
              </w:rPr>
              <w:t>1</w:t>
            </w:r>
            <w:r>
              <w:rPr>
                <w:b/>
                <w:bCs/>
                <w:sz w:val="24"/>
              </w:rPr>
              <w:t xml:space="preserve">   各类污染物排放口（源）环保标志牌的形状及颜色一览表</w:t>
            </w:r>
          </w:p>
          <w:tbl>
            <w:tblPr>
              <w:tblStyle w:val="23"/>
              <w:tblW w:w="8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069"/>
              <w:gridCol w:w="2069"/>
              <w:gridCol w:w="2069"/>
              <w:gridCol w:w="2071"/>
            </w:tblGrid>
            <w:tr w14:paraId="0F6F3568">
              <w:tblPrEx>
                <w:tblCellMar>
                  <w:top w:w="0" w:type="dxa"/>
                  <w:left w:w="0" w:type="dxa"/>
                  <w:bottom w:w="0" w:type="dxa"/>
                  <w:right w:w="0" w:type="dxa"/>
                </w:tblCellMar>
              </w:tblPrEx>
              <w:trPr>
                <w:trHeight w:val="57" w:hRule="atLeast"/>
                <w:jc w:val="center"/>
              </w:trPr>
              <w:tc>
                <w:tcPr>
                  <w:tcW w:w="2184" w:type="dxa"/>
                  <w:tcBorders>
                    <w:tl2br w:val="nil"/>
                    <w:tr2bl w:val="nil"/>
                  </w:tcBorders>
                  <w:shd w:val="clear" w:color="auto" w:fill="auto"/>
                  <w:tcMar>
                    <w:left w:w="108" w:type="dxa"/>
                    <w:right w:w="108" w:type="dxa"/>
                  </w:tcMar>
                  <w:vAlign w:val="center"/>
                </w:tcPr>
                <w:p w14:paraId="7EA9721E">
                  <w:pPr>
                    <w:widowControl/>
                    <w:adjustRightInd w:val="0"/>
                    <w:snapToGrid w:val="0"/>
                    <w:spacing w:beforeAutospacing="1" w:afterAutospacing="1"/>
                    <w:jc w:val="center"/>
                  </w:pPr>
                  <w:r>
                    <w:t>类型</w:t>
                  </w:r>
                </w:p>
              </w:tc>
              <w:tc>
                <w:tcPr>
                  <w:tcW w:w="2184" w:type="dxa"/>
                  <w:tcBorders>
                    <w:tl2br w:val="nil"/>
                    <w:tr2bl w:val="nil"/>
                  </w:tcBorders>
                  <w:shd w:val="clear" w:color="auto" w:fill="auto"/>
                  <w:tcMar>
                    <w:left w:w="108" w:type="dxa"/>
                    <w:right w:w="108" w:type="dxa"/>
                  </w:tcMar>
                  <w:vAlign w:val="center"/>
                </w:tcPr>
                <w:p w14:paraId="458BD5FE">
                  <w:pPr>
                    <w:widowControl/>
                    <w:adjustRightInd w:val="0"/>
                    <w:snapToGrid w:val="0"/>
                    <w:spacing w:beforeAutospacing="1" w:afterAutospacing="1"/>
                    <w:jc w:val="center"/>
                  </w:pPr>
                  <w:r>
                    <w:t>形状</w:t>
                  </w:r>
                </w:p>
              </w:tc>
              <w:tc>
                <w:tcPr>
                  <w:tcW w:w="2184" w:type="dxa"/>
                  <w:tcBorders>
                    <w:tl2br w:val="nil"/>
                    <w:tr2bl w:val="nil"/>
                  </w:tcBorders>
                  <w:shd w:val="clear" w:color="auto" w:fill="auto"/>
                  <w:tcMar>
                    <w:left w:w="108" w:type="dxa"/>
                    <w:right w:w="108" w:type="dxa"/>
                  </w:tcMar>
                  <w:vAlign w:val="center"/>
                </w:tcPr>
                <w:p w14:paraId="209D5D19">
                  <w:pPr>
                    <w:widowControl/>
                    <w:adjustRightInd w:val="0"/>
                    <w:snapToGrid w:val="0"/>
                    <w:spacing w:beforeAutospacing="1" w:afterAutospacing="1"/>
                    <w:jc w:val="center"/>
                  </w:pPr>
                  <w:r>
                    <w:t>背景颜色</w:t>
                  </w:r>
                </w:p>
              </w:tc>
              <w:tc>
                <w:tcPr>
                  <w:tcW w:w="2185" w:type="dxa"/>
                  <w:tcBorders>
                    <w:tl2br w:val="nil"/>
                    <w:tr2bl w:val="nil"/>
                  </w:tcBorders>
                  <w:shd w:val="clear" w:color="auto" w:fill="auto"/>
                  <w:tcMar>
                    <w:left w:w="108" w:type="dxa"/>
                    <w:right w:w="108" w:type="dxa"/>
                  </w:tcMar>
                  <w:vAlign w:val="center"/>
                </w:tcPr>
                <w:p w14:paraId="50094A2B">
                  <w:pPr>
                    <w:widowControl/>
                    <w:adjustRightInd w:val="0"/>
                    <w:snapToGrid w:val="0"/>
                    <w:spacing w:beforeAutospacing="1" w:afterAutospacing="1"/>
                    <w:jc w:val="center"/>
                  </w:pPr>
                  <w:r>
                    <w:t>图形颜色</w:t>
                  </w:r>
                </w:p>
              </w:tc>
            </w:tr>
            <w:tr w14:paraId="233D2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jc w:val="center"/>
              </w:trPr>
              <w:tc>
                <w:tcPr>
                  <w:tcW w:w="2184" w:type="dxa"/>
                  <w:tcBorders>
                    <w:tl2br w:val="nil"/>
                    <w:tr2bl w:val="nil"/>
                  </w:tcBorders>
                  <w:shd w:val="clear" w:color="auto" w:fill="auto"/>
                  <w:tcMar>
                    <w:left w:w="108" w:type="dxa"/>
                    <w:right w:w="108" w:type="dxa"/>
                  </w:tcMar>
                  <w:vAlign w:val="center"/>
                </w:tcPr>
                <w:p w14:paraId="38608BD5">
                  <w:pPr>
                    <w:widowControl/>
                    <w:adjustRightInd w:val="0"/>
                    <w:snapToGrid w:val="0"/>
                    <w:spacing w:beforeAutospacing="1" w:afterAutospacing="1"/>
                    <w:jc w:val="center"/>
                  </w:pPr>
                  <w:r>
                    <w:t>警告标志</w:t>
                  </w:r>
                </w:p>
              </w:tc>
              <w:tc>
                <w:tcPr>
                  <w:tcW w:w="2184" w:type="dxa"/>
                  <w:tcBorders>
                    <w:tl2br w:val="nil"/>
                    <w:tr2bl w:val="nil"/>
                  </w:tcBorders>
                  <w:shd w:val="clear" w:color="auto" w:fill="auto"/>
                  <w:tcMar>
                    <w:left w:w="108" w:type="dxa"/>
                    <w:right w:w="108" w:type="dxa"/>
                  </w:tcMar>
                  <w:vAlign w:val="center"/>
                </w:tcPr>
                <w:p w14:paraId="6AE134EE">
                  <w:pPr>
                    <w:widowControl/>
                    <w:adjustRightInd w:val="0"/>
                    <w:snapToGrid w:val="0"/>
                    <w:spacing w:beforeAutospacing="1" w:afterAutospacing="1"/>
                    <w:jc w:val="center"/>
                  </w:pPr>
                  <w:r>
                    <w:t>三角形边框</w:t>
                  </w:r>
                </w:p>
              </w:tc>
              <w:tc>
                <w:tcPr>
                  <w:tcW w:w="2184" w:type="dxa"/>
                  <w:tcBorders>
                    <w:tl2br w:val="nil"/>
                    <w:tr2bl w:val="nil"/>
                  </w:tcBorders>
                  <w:shd w:val="clear" w:color="auto" w:fill="auto"/>
                  <w:tcMar>
                    <w:left w:w="108" w:type="dxa"/>
                    <w:right w:w="108" w:type="dxa"/>
                  </w:tcMar>
                  <w:vAlign w:val="center"/>
                </w:tcPr>
                <w:p w14:paraId="5CB88466">
                  <w:pPr>
                    <w:widowControl/>
                    <w:adjustRightInd w:val="0"/>
                    <w:snapToGrid w:val="0"/>
                    <w:spacing w:beforeAutospacing="1" w:afterAutospacing="1"/>
                    <w:jc w:val="center"/>
                  </w:pPr>
                  <w:r>
                    <w:t>黄色</w:t>
                  </w:r>
                </w:p>
              </w:tc>
              <w:tc>
                <w:tcPr>
                  <w:tcW w:w="2185" w:type="dxa"/>
                  <w:tcBorders>
                    <w:tl2br w:val="nil"/>
                    <w:tr2bl w:val="nil"/>
                  </w:tcBorders>
                  <w:shd w:val="clear" w:color="auto" w:fill="auto"/>
                  <w:tcMar>
                    <w:left w:w="108" w:type="dxa"/>
                    <w:right w:w="108" w:type="dxa"/>
                  </w:tcMar>
                  <w:vAlign w:val="center"/>
                </w:tcPr>
                <w:p w14:paraId="2DBC134C">
                  <w:pPr>
                    <w:widowControl/>
                    <w:adjustRightInd w:val="0"/>
                    <w:snapToGrid w:val="0"/>
                    <w:spacing w:beforeAutospacing="1" w:afterAutospacing="1"/>
                    <w:jc w:val="center"/>
                  </w:pPr>
                  <w:r>
                    <w:t>黑色</w:t>
                  </w:r>
                </w:p>
              </w:tc>
            </w:tr>
            <w:tr w14:paraId="42E04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jc w:val="center"/>
              </w:trPr>
              <w:tc>
                <w:tcPr>
                  <w:tcW w:w="2184" w:type="dxa"/>
                  <w:tcBorders>
                    <w:tl2br w:val="nil"/>
                    <w:tr2bl w:val="nil"/>
                  </w:tcBorders>
                  <w:shd w:val="clear" w:color="auto" w:fill="auto"/>
                  <w:tcMar>
                    <w:left w:w="108" w:type="dxa"/>
                    <w:right w:w="108" w:type="dxa"/>
                  </w:tcMar>
                  <w:vAlign w:val="center"/>
                </w:tcPr>
                <w:p w14:paraId="7C10BCEB">
                  <w:pPr>
                    <w:widowControl/>
                    <w:adjustRightInd w:val="0"/>
                    <w:snapToGrid w:val="0"/>
                    <w:spacing w:beforeAutospacing="1" w:afterAutospacing="1"/>
                    <w:jc w:val="center"/>
                  </w:pPr>
                  <w:r>
                    <w:t>提示标志</w:t>
                  </w:r>
                </w:p>
              </w:tc>
              <w:tc>
                <w:tcPr>
                  <w:tcW w:w="2184" w:type="dxa"/>
                  <w:tcBorders>
                    <w:tl2br w:val="nil"/>
                    <w:tr2bl w:val="nil"/>
                  </w:tcBorders>
                  <w:shd w:val="clear" w:color="auto" w:fill="auto"/>
                  <w:tcMar>
                    <w:left w:w="108" w:type="dxa"/>
                    <w:right w:w="108" w:type="dxa"/>
                  </w:tcMar>
                  <w:vAlign w:val="center"/>
                </w:tcPr>
                <w:p w14:paraId="292C8C57">
                  <w:pPr>
                    <w:widowControl/>
                    <w:adjustRightInd w:val="0"/>
                    <w:snapToGrid w:val="0"/>
                    <w:spacing w:beforeAutospacing="1" w:afterAutospacing="1"/>
                    <w:jc w:val="center"/>
                  </w:pPr>
                  <w:r>
                    <w:t>正方形边框</w:t>
                  </w:r>
                </w:p>
              </w:tc>
              <w:tc>
                <w:tcPr>
                  <w:tcW w:w="2184" w:type="dxa"/>
                  <w:tcBorders>
                    <w:tl2br w:val="nil"/>
                    <w:tr2bl w:val="nil"/>
                  </w:tcBorders>
                  <w:shd w:val="clear" w:color="auto" w:fill="auto"/>
                  <w:tcMar>
                    <w:left w:w="108" w:type="dxa"/>
                    <w:right w:w="108" w:type="dxa"/>
                  </w:tcMar>
                  <w:vAlign w:val="center"/>
                </w:tcPr>
                <w:p w14:paraId="2D10C0F2">
                  <w:pPr>
                    <w:widowControl/>
                    <w:adjustRightInd w:val="0"/>
                    <w:snapToGrid w:val="0"/>
                    <w:spacing w:beforeAutospacing="1" w:afterAutospacing="1"/>
                    <w:jc w:val="center"/>
                  </w:pPr>
                  <w:r>
                    <w:t>绿色</w:t>
                  </w:r>
                </w:p>
              </w:tc>
              <w:tc>
                <w:tcPr>
                  <w:tcW w:w="2185" w:type="dxa"/>
                  <w:tcBorders>
                    <w:tl2br w:val="nil"/>
                    <w:tr2bl w:val="nil"/>
                  </w:tcBorders>
                  <w:shd w:val="clear" w:color="auto" w:fill="auto"/>
                  <w:tcMar>
                    <w:left w:w="108" w:type="dxa"/>
                    <w:right w:w="108" w:type="dxa"/>
                  </w:tcMar>
                  <w:vAlign w:val="center"/>
                </w:tcPr>
                <w:p w14:paraId="76C6C77F">
                  <w:pPr>
                    <w:widowControl/>
                    <w:adjustRightInd w:val="0"/>
                    <w:snapToGrid w:val="0"/>
                    <w:spacing w:beforeAutospacing="1" w:afterAutospacing="1"/>
                    <w:jc w:val="center"/>
                  </w:pPr>
                  <w:r>
                    <w:t>白色</w:t>
                  </w:r>
                </w:p>
              </w:tc>
            </w:tr>
          </w:tbl>
          <w:p w14:paraId="31FE4CF5">
            <w:pPr>
              <w:adjustRightInd w:val="0"/>
              <w:snapToGrid w:val="0"/>
              <w:jc w:val="center"/>
              <w:rPr>
                <w:b/>
                <w:bCs/>
                <w:sz w:val="24"/>
              </w:rPr>
            </w:pPr>
            <w:r>
              <w:rPr>
                <w:b/>
                <w:bCs/>
                <w:sz w:val="24"/>
              </w:rPr>
              <w:t>表4</w:t>
            </w:r>
            <w:r>
              <w:rPr>
                <w:rFonts w:hint="eastAsia"/>
                <w:b/>
                <w:bCs/>
                <w:sz w:val="24"/>
              </w:rPr>
              <w:t>2</w:t>
            </w:r>
            <w:r>
              <w:rPr>
                <w:b/>
                <w:bCs/>
                <w:sz w:val="24"/>
              </w:rPr>
              <w:t xml:space="preserve">   各类污染物排放口（源）环保标志牌一览表</w:t>
            </w:r>
          </w:p>
          <w:tbl>
            <w:tblPr>
              <w:tblStyle w:val="23"/>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11"/>
              <w:gridCol w:w="698"/>
              <w:gridCol w:w="698"/>
              <w:gridCol w:w="2444"/>
              <w:gridCol w:w="2463"/>
              <w:gridCol w:w="1364"/>
            </w:tblGrid>
            <w:tr w14:paraId="1A9E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7" w:hRule="atLeast"/>
                <w:jc w:val="center"/>
              </w:trPr>
              <w:tc>
                <w:tcPr>
                  <w:tcW w:w="661" w:type="dxa"/>
                  <w:tcBorders>
                    <w:tl2br w:val="nil"/>
                    <w:tr2bl w:val="nil"/>
                  </w:tcBorders>
                  <w:shd w:val="clear" w:color="auto" w:fill="auto"/>
                  <w:tcMar>
                    <w:top w:w="0" w:type="dxa"/>
                    <w:left w:w="0" w:type="dxa"/>
                    <w:bottom w:w="0" w:type="dxa"/>
                    <w:right w:w="0" w:type="dxa"/>
                  </w:tcMar>
                  <w:vAlign w:val="center"/>
                </w:tcPr>
                <w:p w14:paraId="03DB2C06">
                  <w:pPr>
                    <w:widowControl/>
                    <w:spacing w:before="100" w:after="100"/>
                    <w:jc w:val="center"/>
                    <w:rPr>
                      <w:szCs w:val="21"/>
                    </w:rPr>
                  </w:pPr>
                  <w:r>
                    <w:rPr>
                      <w:kern w:val="0"/>
                      <w:szCs w:val="21"/>
                    </w:rPr>
                    <w:t>序号</w:t>
                  </w:r>
                </w:p>
              </w:tc>
              <w:tc>
                <w:tcPr>
                  <w:tcW w:w="1518" w:type="dxa"/>
                  <w:gridSpan w:val="2"/>
                  <w:tcBorders>
                    <w:tl2br w:val="nil"/>
                    <w:tr2bl w:val="nil"/>
                  </w:tcBorders>
                  <w:shd w:val="clear" w:color="auto" w:fill="auto"/>
                  <w:tcMar>
                    <w:top w:w="0" w:type="dxa"/>
                    <w:left w:w="0" w:type="dxa"/>
                    <w:bottom w:w="0" w:type="dxa"/>
                    <w:right w:w="0" w:type="dxa"/>
                  </w:tcMar>
                  <w:vAlign w:val="center"/>
                </w:tcPr>
                <w:p w14:paraId="0A348D91">
                  <w:pPr>
                    <w:widowControl/>
                    <w:spacing w:before="100" w:after="100"/>
                    <w:jc w:val="center"/>
                    <w:rPr>
                      <w:szCs w:val="21"/>
                    </w:rPr>
                  </w:pPr>
                  <w:r>
                    <w:rPr>
                      <w:kern w:val="0"/>
                      <w:szCs w:val="21"/>
                    </w:rPr>
                    <w:t>名称</w:t>
                  </w:r>
                </w:p>
              </w:tc>
              <w:tc>
                <w:tcPr>
                  <w:tcW w:w="2549" w:type="dxa"/>
                  <w:tcBorders>
                    <w:tl2br w:val="nil"/>
                    <w:tr2bl w:val="nil"/>
                  </w:tcBorders>
                  <w:shd w:val="clear" w:color="auto" w:fill="auto"/>
                  <w:tcMar>
                    <w:top w:w="0" w:type="dxa"/>
                    <w:left w:w="0" w:type="dxa"/>
                    <w:bottom w:w="0" w:type="dxa"/>
                    <w:right w:w="0" w:type="dxa"/>
                  </w:tcMar>
                  <w:vAlign w:val="center"/>
                </w:tcPr>
                <w:p w14:paraId="1D27ADAC">
                  <w:pPr>
                    <w:widowControl/>
                    <w:spacing w:before="100" w:after="100"/>
                    <w:jc w:val="center"/>
                    <w:rPr>
                      <w:szCs w:val="21"/>
                    </w:rPr>
                  </w:pPr>
                  <w:r>
                    <w:rPr>
                      <w:kern w:val="0"/>
                      <w:szCs w:val="21"/>
                    </w:rPr>
                    <w:t>提示图形符号</w:t>
                  </w:r>
                </w:p>
              </w:tc>
              <w:tc>
                <w:tcPr>
                  <w:tcW w:w="2506" w:type="dxa"/>
                  <w:tcBorders>
                    <w:tl2br w:val="nil"/>
                    <w:tr2bl w:val="nil"/>
                  </w:tcBorders>
                  <w:shd w:val="clear" w:color="auto" w:fill="auto"/>
                  <w:tcMar>
                    <w:top w:w="0" w:type="dxa"/>
                    <w:left w:w="0" w:type="dxa"/>
                    <w:bottom w:w="0" w:type="dxa"/>
                    <w:right w:w="0" w:type="dxa"/>
                  </w:tcMar>
                  <w:vAlign w:val="center"/>
                </w:tcPr>
                <w:p w14:paraId="163E6997">
                  <w:pPr>
                    <w:widowControl/>
                    <w:spacing w:before="100" w:after="100"/>
                    <w:jc w:val="center"/>
                    <w:rPr>
                      <w:szCs w:val="21"/>
                    </w:rPr>
                  </w:pPr>
                  <w:r>
                    <w:rPr>
                      <w:kern w:val="0"/>
                      <w:szCs w:val="21"/>
                    </w:rPr>
                    <w:t>警示图形符号</w:t>
                  </w:r>
                </w:p>
              </w:tc>
              <w:tc>
                <w:tcPr>
                  <w:tcW w:w="1483" w:type="dxa"/>
                  <w:tcBorders>
                    <w:tl2br w:val="nil"/>
                    <w:tr2bl w:val="nil"/>
                  </w:tcBorders>
                  <w:shd w:val="clear" w:color="auto" w:fill="auto"/>
                  <w:tcMar>
                    <w:top w:w="0" w:type="dxa"/>
                    <w:left w:w="0" w:type="dxa"/>
                    <w:bottom w:w="0" w:type="dxa"/>
                    <w:right w:w="0" w:type="dxa"/>
                  </w:tcMar>
                  <w:vAlign w:val="center"/>
                </w:tcPr>
                <w:p w14:paraId="736591FB">
                  <w:pPr>
                    <w:widowControl/>
                    <w:spacing w:before="100" w:after="100"/>
                    <w:jc w:val="center"/>
                    <w:rPr>
                      <w:szCs w:val="21"/>
                    </w:rPr>
                  </w:pPr>
                  <w:r>
                    <w:rPr>
                      <w:kern w:val="0"/>
                      <w:szCs w:val="21"/>
                    </w:rPr>
                    <w:t>功能</w:t>
                  </w:r>
                </w:p>
              </w:tc>
            </w:tr>
            <w:tr w14:paraId="28BF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7" w:hRule="atLeast"/>
                <w:jc w:val="center"/>
              </w:trPr>
              <w:tc>
                <w:tcPr>
                  <w:tcW w:w="661" w:type="dxa"/>
                  <w:tcBorders>
                    <w:tl2br w:val="nil"/>
                    <w:tr2bl w:val="nil"/>
                  </w:tcBorders>
                  <w:shd w:val="clear" w:color="auto" w:fill="auto"/>
                  <w:tcMar>
                    <w:top w:w="0" w:type="dxa"/>
                    <w:left w:w="0" w:type="dxa"/>
                    <w:bottom w:w="0" w:type="dxa"/>
                    <w:right w:w="0" w:type="dxa"/>
                  </w:tcMar>
                  <w:vAlign w:val="center"/>
                </w:tcPr>
                <w:p w14:paraId="42FDA7B7">
                  <w:pPr>
                    <w:widowControl/>
                    <w:spacing w:before="100" w:after="100"/>
                    <w:jc w:val="center"/>
                    <w:rPr>
                      <w:szCs w:val="21"/>
                    </w:rPr>
                  </w:pPr>
                  <w:r>
                    <w:rPr>
                      <w:kern w:val="0"/>
                      <w:szCs w:val="21"/>
                    </w:rPr>
                    <w:t>1</w:t>
                  </w:r>
                </w:p>
              </w:tc>
              <w:tc>
                <w:tcPr>
                  <w:tcW w:w="1518" w:type="dxa"/>
                  <w:gridSpan w:val="2"/>
                  <w:tcBorders>
                    <w:tl2br w:val="nil"/>
                    <w:tr2bl w:val="nil"/>
                  </w:tcBorders>
                  <w:shd w:val="clear" w:color="auto" w:fill="auto"/>
                  <w:tcMar>
                    <w:top w:w="0" w:type="dxa"/>
                    <w:left w:w="0" w:type="dxa"/>
                    <w:bottom w:w="0" w:type="dxa"/>
                    <w:right w:w="0" w:type="dxa"/>
                  </w:tcMar>
                  <w:vAlign w:val="center"/>
                </w:tcPr>
                <w:p w14:paraId="1817F4D8">
                  <w:pPr>
                    <w:widowControl/>
                    <w:spacing w:before="100" w:after="100"/>
                    <w:jc w:val="center"/>
                    <w:rPr>
                      <w:szCs w:val="21"/>
                    </w:rPr>
                  </w:pPr>
                  <w:r>
                    <w:rPr>
                      <w:kern w:val="0"/>
                      <w:szCs w:val="21"/>
                    </w:rPr>
                    <w:t>废气排放口</w:t>
                  </w:r>
                </w:p>
              </w:tc>
              <w:tc>
                <w:tcPr>
                  <w:tcW w:w="2549" w:type="dxa"/>
                  <w:tcBorders>
                    <w:tl2br w:val="nil"/>
                    <w:tr2bl w:val="nil"/>
                  </w:tcBorders>
                  <w:shd w:val="clear" w:color="auto" w:fill="auto"/>
                  <w:tcMar>
                    <w:top w:w="0" w:type="dxa"/>
                    <w:left w:w="0" w:type="dxa"/>
                    <w:bottom w:w="0" w:type="dxa"/>
                    <w:right w:w="0" w:type="dxa"/>
                  </w:tcMar>
                  <w:vAlign w:val="center"/>
                </w:tcPr>
                <w:p w14:paraId="6A18C261">
                  <w:pPr>
                    <w:widowControl/>
                    <w:spacing w:before="100" w:after="100"/>
                    <w:jc w:val="center"/>
                    <w:rPr>
                      <w:szCs w:val="21"/>
                    </w:rPr>
                  </w:pPr>
                  <w:r>
                    <w:rPr>
                      <w:kern w:val="0"/>
                      <w:szCs w:val="21"/>
                    </w:rPr>
                    <w:drawing>
                      <wp:inline distT="0" distB="0" distL="114300" distR="114300">
                        <wp:extent cx="962025" cy="962025"/>
                        <wp:effectExtent l="0" t="0" r="13335" b="13335"/>
                        <wp:docPr id="23"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descr="IMG_256"/>
                                <pic:cNvPicPr>
                                  <a:picLocks noChangeAspect="1"/>
                                </pic:cNvPicPr>
                              </pic:nvPicPr>
                              <pic:blipFill>
                                <a:blip r:embed="rId22" cstate="print"/>
                                <a:stretch>
                                  <a:fillRect/>
                                </a:stretch>
                              </pic:blipFill>
                              <pic:spPr>
                                <a:xfrm>
                                  <a:off x="0" y="0"/>
                                  <a:ext cx="962025" cy="962025"/>
                                </a:xfrm>
                                <a:prstGeom prst="rect">
                                  <a:avLst/>
                                </a:prstGeom>
                                <a:noFill/>
                                <a:ln w="9525">
                                  <a:noFill/>
                                </a:ln>
                              </pic:spPr>
                            </pic:pic>
                          </a:graphicData>
                        </a:graphic>
                      </wp:inline>
                    </w:drawing>
                  </w:r>
                </w:p>
              </w:tc>
              <w:tc>
                <w:tcPr>
                  <w:tcW w:w="2506" w:type="dxa"/>
                  <w:tcBorders>
                    <w:tl2br w:val="nil"/>
                    <w:tr2bl w:val="nil"/>
                  </w:tcBorders>
                  <w:shd w:val="clear" w:color="auto" w:fill="auto"/>
                  <w:tcMar>
                    <w:top w:w="0" w:type="dxa"/>
                    <w:left w:w="0" w:type="dxa"/>
                    <w:bottom w:w="0" w:type="dxa"/>
                    <w:right w:w="0" w:type="dxa"/>
                  </w:tcMar>
                  <w:vAlign w:val="center"/>
                </w:tcPr>
                <w:p w14:paraId="52E6011E">
                  <w:pPr>
                    <w:widowControl/>
                    <w:spacing w:before="100" w:after="100"/>
                    <w:jc w:val="center"/>
                    <w:rPr>
                      <w:szCs w:val="21"/>
                    </w:rPr>
                  </w:pPr>
                  <w:r>
                    <w:rPr>
                      <w:kern w:val="0"/>
                      <w:szCs w:val="21"/>
                    </w:rPr>
                    <w:drawing>
                      <wp:inline distT="0" distB="0" distL="114300" distR="114300">
                        <wp:extent cx="1285875" cy="1076325"/>
                        <wp:effectExtent l="0" t="0" r="9525" b="5715"/>
                        <wp:docPr id="29" name="图片 1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descr="IMG_257"/>
                                <pic:cNvPicPr>
                                  <a:picLocks noChangeAspect="1"/>
                                </pic:cNvPicPr>
                              </pic:nvPicPr>
                              <pic:blipFill>
                                <a:blip r:embed="rId23" cstate="print"/>
                                <a:stretch>
                                  <a:fillRect/>
                                </a:stretch>
                              </pic:blipFill>
                              <pic:spPr>
                                <a:xfrm>
                                  <a:off x="0" y="0"/>
                                  <a:ext cx="1285875" cy="1076325"/>
                                </a:xfrm>
                                <a:prstGeom prst="rect">
                                  <a:avLst/>
                                </a:prstGeom>
                                <a:noFill/>
                                <a:ln w="9525">
                                  <a:noFill/>
                                </a:ln>
                              </pic:spPr>
                            </pic:pic>
                          </a:graphicData>
                        </a:graphic>
                      </wp:inline>
                    </w:drawing>
                  </w:r>
                </w:p>
              </w:tc>
              <w:tc>
                <w:tcPr>
                  <w:tcW w:w="1483" w:type="dxa"/>
                  <w:tcBorders>
                    <w:tl2br w:val="nil"/>
                    <w:tr2bl w:val="nil"/>
                  </w:tcBorders>
                  <w:shd w:val="clear" w:color="auto" w:fill="auto"/>
                  <w:tcMar>
                    <w:top w:w="0" w:type="dxa"/>
                    <w:left w:w="0" w:type="dxa"/>
                    <w:bottom w:w="0" w:type="dxa"/>
                    <w:right w:w="0" w:type="dxa"/>
                  </w:tcMar>
                  <w:vAlign w:val="center"/>
                </w:tcPr>
                <w:p w14:paraId="5CC5BBBB">
                  <w:pPr>
                    <w:widowControl/>
                    <w:spacing w:before="100" w:after="100"/>
                    <w:jc w:val="center"/>
                    <w:rPr>
                      <w:szCs w:val="21"/>
                    </w:rPr>
                  </w:pPr>
                  <w:r>
                    <w:rPr>
                      <w:kern w:val="0"/>
                      <w:szCs w:val="21"/>
                    </w:rPr>
                    <w:t>表示废气排向外环境</w:t>
                  </w:r>
                </w:p>
              </w:tc>
            </w:tr>
            <w:tr w14:paraId="11A3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7" w:hRule="atLeast"/>
                <w:jc w:val="center"/>
              </w:trPr>
              <w:tc>
                <w:tcPr>
                  <w:tcW w:w="661" w:type="dxa"/>
                  <w:tcBorders>
                    <w:tl2br w:val="nil"/>
                    <w:tr2bl w:val="nil"/>
                  </w:tcBorders>
                  <w:shd w:val="clear" w:color="auto" w:fill="auto"/>
                  <w:tcMar>
                    <w:top w:w="0" w:type="dxa"/>
                    <w:left w:w="0" w:type="dxa"/>
                    <w:bottom w:w="0" w:type="dxa"/>
                    <w:right w:w="0" w:type="dxa"/>
                  </w:tcMar>
                  <w:vAlign w:val="center"/>
                </w:tcPr>
                <w:p w14:paraId="6340DE85">
                  <w:pPr>
                    <w:widowControl/>
                    <w:spacing w:before="100" w:after="100"/>
                    <w:jc w:val="center"/>
                    <w:rPr>
                      <w:szCs w:val="21"/>
                    </w:rPr>
                  </w:pPr>
                  <w:r>
                    <w:rPr>
                      <w:kern w:val="0"/>
                      <w:szCs w:val="21"/>
                    </w:rPr>
                    <w:t>2</w:t>
                  </w:r>
                </w:p>
              </w:tc>
              <w:tc>
                <w:tcPr>
                  <w:tcW w:w="1518" w:type="dxa"/>
                  <w:gridSpan w:val="2"/>
                  <w:tcBorders>
                    <w:tl2br w:val="nil"/>
                    <w:tr2bl w:val="nil"/>
                  </w:tcBorders>
                  <w:shd w:val="clear" w:color="auto" w:fill="auto"/>
                  <w:tcMar>
                    <w:top w:w="0" w:type="dxa"/>
                    <w:left w:w="0" w:type="dxa"/>
                    <w:bottom w:w="0" w:type="dxa"/>
                    <w:right w:w="0" w:type="dxa"/>
                  </w:tcMar>
                  <w:vAlign w:val="center"/>
                </w:tcPr>
                <w:p w14:paraId="4AA58083">
                  <w:pPr>
                    <w:widowControl/>
                    <w:spacing w:before="100" w:after="100"/>
                    <w:jc w:val="center"/>
                    <w:rPr>
                      <w:szCs w:val="21"/>
                    </w:rPr>
                  </w:pPr>
                  <w:r>
                    <w:rPr>
                      <w:kern w:val="0"/>
                      <w:szCs w:val="21"/>
                    </w:rPr>
                    <w:t>噪声源</w:t>
                  </w:r>
                </w:p>
              </w:tc>
              <w:tc>
                <w:tcPr>
                  <w:tcW w:w="2549" w:type="dxa"/>
                  <w:tcBorders>
                    <w:tl2br w:val="nil"/>
                    <w:tr2bl w:val="nil"/>
                  </w:tcBorders>
                  <w:shd w:val="clear" w:color="auto" w:fill="auto"/>
                  <w:tcMar>
                    <w:top w:w="0" w:type="dxa"/>
                    <w:left w:w="0" w:type="dxa"/>
                    <w:bottom w:w="0" w:type="dxa"/>
                    <w:right w:w="0" w:type="dxa"/>
                  </w:tcMar>
                  <w:vAlign w:val="center"/>
                </w:tcPr>
                <w:p w14:paraId="4A400685">
                  <w:pPr>
                    <w:widowControl/>
                    <w:spacing w:before="100" w:after="100"/>
                    <w:jc w:val="center"/>
                    <w:rPr>
                      <w:szCs w:val="21"/>
                    </w:rPr>
                  </w:pPr>
                  <w:r>
                    <w:rPr>
                      <w:kern w:val="0"/>
                      <w:szCs w:val="21"/>
                    </w:rPr>
                    <w:drawing>
                      <wp:inline distT="0" distB="0" distL="114300" distR="114300">
                        <wp:extent cx="1019175" cy="981075"/>
                        <wp:effectExtent l="0" t="0" r="1905" b="9525"/>
                        <wp:docPr id="24" name="图片 1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8" descr="IMG_258"/>
                                <pic:cNvPicPr>
                                  <a:picLocks noChangeAspect="1"/>
                                </pic:cNvPicPr>
                              </pic:nvPicPr>
                              <pic:blipFill>
                                <a:blip r:embed="rId24" cstate="print"/>
                                <a:stretch>
                                  <a:fillRect/>
                                </a:stretch>
                              </pic:blipFill>
                              <pic:spPr>
                                <a:xfrm>
                                  <a:off x="0" y="0"/>
                                  <a:ext cx="1019175" cy="981075"/>
                                </a:xfrm>
                                <a:prstGeom prst="rect">
                                  <a:avLst/>
                                </a:prstGeom>
                                <a:noFill/>
                                <a:ln w="9525">
                                  <a:noFill/>
                                </a:ln>
                              </pic:spPr>
                            </pic:pic>
                          </a:graphicData>
                        </a:graphic>
                      </wp:inline>
                    </w:drawing>
                  </w:r>
                </w:p>
              </w:tc>
              <w:tc>
                <w:tcPr>
                  <w:tcW w:w="2506" w:type="dxa"/>
                  <w:tcBorders>
                    <w:tl2br w:val="nil"/>
                    <w:tr2bl w:val="nil"/>
                  </w:tcBorders>
                  <w:shd w:val="clear" w:color="auto" w:fill="auto"/>
                  <w:tcMar>
                    <w:top w:w="0" w:type="dxa"/>
                    <w:left w:w="0" w:type="dxa"/>
                    <w:bottom w:w="0" w:type="dxa"/>
                    <w:right w:w="0" w:type="dxa"/>
                  </w:tcMar>
                  <w:vAlign w:val="center"/>
                </w:tcPr>
                <w:p w14:paraId="1546E97F">
                  <w:pPr>
                    <w:widowControl/>
                    <w:spacing w:before="100" w:after="100"/>
                    <w:jc w:val="center"/>
                    <w:rPr>
                      <w:szCs w:val="21"/>
                    </w:rPr>
                  </w:pPr>
                  <w:r>
                    <w:rPr>
                      <w:kern w:val="0"/>
                      <w:szCs w:val="21"/>
                    </w:rPr>
                    <w:drawing>
                      <wp:inline distT="0" distB="0" distL="114300" distR="114300">
                        <wp:extent cx="1323975" cy="1076325"/>
                        <wp:effectExtent l="0" t="0" r="1905" b="5715"/>
                        <wp:docPr id="27" name="图片 1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descr="IMG_259"/>
                                <pic:cNvPicPr>
                                  <a:picLocks noChangeAspect="1"/>
                                </pic:cNvPicPr>
                              </pic:nvPicPr>
                              <pic:blipFill>
                                <a:blip r:embed="rId25" cstate="print"/>
                                <a:stretch>
                                  <a:fillRect/>
                                </a:stretch>
                              </pic:blipFill>
                              <pic:spPr>
                                <a:xfrm>
                                  <a:off x="0" y="0"/>
                                  <a:ext cx="1323975" cy="1076325"/>
                                </a:xfrm>
                                <a:prstGeom prst="rect">
                                  <a:avLst/>
                                </a:prstGeom>
                                <a:noFill/>
                                <a:ln w="9525">
                                  <a:noFill/>
                                </a:ln>
                              </pic:spPr>
                            </pic:pic>
                          </a:graphicData>
                        </a:graphic>
                      </wp:inline>
                    </w:drawing>
                  </w:r>
                </w:p>
              </w:tc>
              <w:tc>
                <w:tcPr>
                  <w:tcW w:w="1483" w:type="dxa"/>
                  <w:tcBorders>
                    <w:tl2br w:val="nil"/>
                    <w:tr2bl w:val="nil"/>
                  </w:tcBorders>
                  <w:shd w:val="clear" w:color="auto" w:fill="auto"/>
                  <w:tcMar>
                    <w:top w:w="0" w:type="dxa"/>
                    <w:left w:w="0" w:type="dxa"/>
                    <w:bottom w:w="0" w:type="dxa"/>
                    <w:right w:w="0" w:type="dxa"/>
                  </w:tcMar>
                  <w:vAlign w:val="center"/>
                </w:tcPr>
                <w:p w14:paraId="5C78640F">
                  <w:pPr>
                    <w:widowControl/>
                    <w:spacing w:before="100" w:after="100"/>
                    <w:jc w:val="center"/>
                    <w:rPr>
                      <w:szCs w:val="21"/>
                    </w:rPr>
                  </w:pPr>
                  <w:r>
                    <w:rPr>
                      <w:kern w:val="0"/>
                      <w:szCs w:val="21"/>
                    </w:rPr>
                    <w:t>表示噪声排向外环境</w:t>
                  </w:r>
                </w:p>
              </w:tc>
            </w:tr>
            <w:tr w14:paraId="5146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7" w:hRule="atLeast"/>
                <w:jc w:val="center"/>
              </w:trPr>
              <w:tc>
                <w:tcPr>
                  <w:tcW w:w="661" w:type="dxa"/>
                  <w:vMerge w:val="restart"/>
                  <w:tcBorders>
                    <w:tl2br w:val="nil"/>
                    <w:tr2bl w:val="nil"/>
                  </w:tcBorders>
                  <w:shd w:val="clear" w:color="auto" w:fill="auto"/>
                  <w:tcMar>
                    <w:top w:w="0" w:type="dxa"/>
                    <w:left w:w="0" w:type="dxa"/>
                    <w:bottom w:w="0" w:type="dxa"/>
                    <w:right w:w="0" w:type="dxa"/>
                  </w:tcMar>
                  <w:vAlign w:val="center"/>
                </w:tcPr>
                <w:p w14:paraId="4676581D">
                  <w:pPr>
                    <w:widowControl/>
                    <w:spacing w:before="100" w:after="100"/>
                    <w:jc w:val="center"/>
                    <w:rPr>
                      <w:szCs w:val="21"/>
                    </w:rPr>
                  </w:pPr>
                  <w:r>
                    <w:rPr>
                      <w:kern w:val="0"/>
                      <w:szCs w:val="21"/>
                    </w:rPr>
                    <w:t>3</w:t>
                  </w:r>
                </w:p>
              </w:tc>
              <w:tc>
                <w:tcPr>
                  <w:tcW w:w="759" w:type="dxa"/>
                  <w:vMerge w:val="restart"/>
                  <w:tcBorders>
                    <w:tl2br w:val="nil"/>
                    <w:tr2bl w:val="nil"/>
                  </w:tcBorders>
                  <w:shd w:val="clear" w:color="auto" w:fill="auto"/>
                  <w:tcMar>
                    <w:top w:w="0" w:type="dxa"/>
                    <w:left w:w="0" w:type="dxa"/>
                    <w:bottom w:w="0" w:type="dxa"/>
                    <w:right w:w="0" w:type="dxa"/>
                  </w:tcMar>
                  <w:vAlign w:val="center"/>
                </w:tcPr>
                <w:p w14:paraId="451F2FFE">
                  <w:pPr>
                    <w:widowControl/>
                    <w:spacing w:before="100" w:after="100"/>
                    <w:jc w:val="center"/>
                    <w:rPr>
                      <w:szCs w:val="21"/>
                    </w:rPr>
                  </w:pPr>
                  <w:r>
                    <w:rPr>
                      <w:kern w:val="0"/>
                      <w:szCs w:val="21"/>
                    </w:rPr>
                    <w:t>固废贮存场所</w:t>
                  </w:r>
                </w:p>
              </w:tc>
              <w:tc>
                <w:tcPr>
                  <w:tcW w:w="759" w:type="dxa"/>
                  <w:tcBorders>
                    <w:tl2br w:val="nil"/>
                    <w:tr2bl w:val="nil"/>
                  </w:tcBorders>
                  <w:shd w:val="clear" w:color="auto" w:fill="auto"/>
                  <w:tcMar>
                    <w:top w:w="0" w:type="dxa"/>
                    <w:left w:w="0" w:type="dxa"/>
                    <w:bottom w:w="0" w:type="dxa"/>
                    <w:right w:w="0" w:type="dxa"/>
                  </w:tcMar>
                  <w:vAlign w:val="center"/>
                </w:tcPr>
                <w:p w14:paraId="58810CD9">
                  <w:pPr>
                    <w:widowControl/>
                    <w:spacing w:before="100" w:after="100"/>
                    <w:jc w:val="center"/>
                    <w:rPr>
                      <w:szCs w:val="21"/>
                    </w:rPr>
                  </w:pPr>
                  <w:r>
                    <w:rPr>
                      <w:kern w:val="0"/>
                      <w:szCs w:val="21"/>
                    </w:rPr>
                    <w:t>一般</w:t>
                  </w:r>
                </w:p>
                <w:p w14:paraId="69D6B80C">
                  <w:pPr>
                    <w:widowControl/>
                    <w:spacing w:before="100" w:after="100"/>
                    <w:jc w:val="center"/>
                    <w:rPr>
                      <w:szCs w:val="21"/>
                    </w:rPr>
                  </w:pPr>
                  <w:r>
                    <w:rPr>
                      <w:kern w:val="0"/>
                      <w:szCs w:val="21"/>
                    </w:rPr>
                    <w:t>固废</w:t>
                  </w:r>
                </w:p>
              </w:tc>
              <w:tc>
                <w:tcPr>
                  <w:tcW w:w="2549" w:type="dxa"/>
                  <w:tcBorders>
                    <w:tl2br w:val="nil"/>
                    <w:tr2bl w:val="nil"/>
                  </w:tcBorders>
                  <w:shd w:val="clear" w:color="auto" w:fill="auto"/>
                  <w:tcMar>
                    <w:top w:w="0" w:type="dxa"/>
                    <w:left w:w="0" w:type="dxa"/>
                    <w:bottom w:w="0" w:type="dxa"/>
                    <w:right w:w="0" w:type="dxa"/>
                  </w:tcMar>
                  <w:vAlign w:val="center"/>
                </w:tcPr>
                <w:p w14:paraId="6D5F8EAE">
                  <w:pPr>
                    <w:widowControl/>
                    <w:spacing w:before="100" w:after="100"/>
                    <w:jc w:val="center"/>
                    <w:rPr>
                      <w:szCs w:val="21"/>
                    </w:rPr>
                  </w:pPr>
                  <w:r>
                    <w:rPr>
                      <w:kern w:val="0"/>
                      <w:szCs w:val="21"/>
                    </w:rPr>
                    <w:drawing>
                      <wp:inline distT="0" distB="0" distL="114300" distR="114300">
                        <wp:extent cx="1009650" cy="1019175"/>
                        <wp:effectExtent l="0" t="0" r="11430" b="1905"/>
                        <wp:docPr id="25" name="图片 20"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0" descr="IMG_260"/>
                                <pic:cNvPicPr>
                                  <a:picLocks noChangeAspect="1"/>
                                </pic:cNvPicPr>
                              </pic:nvPicPr>
                              <pic:blipFill>
                                <a:blip r:embed="rId26" cstate="print"/>
                                <a:stretch>
                                  <a:fillRect/>
                                </a:stretch>
                              </pic:blipFill>
                              <pic:spPr>
                                <a:xfrm>
                                  <a:off x="0" y="0"/>
                                  <a:ext cx="1009650" cy="1019175"/>
                                </a:xfrm>
                                <a:prstGeom prst="rect">
                                  <a:avLst/>
                                </a:prstGeom>
                                <a:noFill/>
                                <a:ln w="9525">
                                  <a:noFill/>
                                </a:ln>
                              </pic:spPr>
                            </pic:pic>
                          </a:graphicData>
                        </a:graphic>
                      </wp:inline>
                    </w:drawing>
                  </w:r>
                </w:p>
              </w:tc>
              <w:tc>
                <w:tcPr>
                  <w:tcW w:w="2506" w:type="dxa"/>
                  <w:tcBorders>
                    <w:tl2br w:val="nil"/>
                    <w:tr2bl w:val="nil"/>
                  </w:tcBorders>
                  <w:shd w:val="clear" w:color="auto" w:fill="auto"/>
                  <w:tcMar>
                    <w:top w:w="0" w:type="dxa"/>
                    <w:left w:w="0" w:type="dxa"/>
                    <w:bottom w:w="0" w:type="dxa"/>
                    <w:right w:w="0" w:type="dxa"/>
                  </w:tcMar>
                  <w:vAlign w:val="center"/>
                </w:tcPr>
                <w:p w14:paraId="05F19FC0">
                  <w:pPr>
                    <w:widowControl/>
                    <w:spacing w:before="100" w:after="100"/>
                    <w:jc w:val="center"/>
                    <w:rPr>
                      <w:szCs w:val="21"/>
                    </w:rPr>
                  </w:pPr>
                  <w:r>
                    <w:rPr>
                      <w:kern w:val="0"/>
                      <w:szCs w:val="21"/>
                    </w:rPr>
                    <w:drawing>
                      <wp:inline distT="0" distB="0" distL="114300" distR="114300">
                        <wp:extent cx="1333500" cy="1123950"/>
                        <wp:effectExtent l="0" t="0" r="7620" b="3810"/>
                        <wp:docPr id="26" name="图片 21"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IMG_261"/>
                                <pic:cNvPicPr>
                                  <a:picLocks noChangeAspect="1"/>
                                </pic:cNvPicPr>
                              </pic:nvPicPr>
                              <pic:blipFill>
                                <a:blip r:embed="rId27" cstate="print"/>
                                <a:stretch>
                                  <a:fillRect/>
                                </a:stretch>
                              </pic:blipFill>
                              <pic:spPr>
                                <a:xfrm>
                                  <a:off x="0" y="0"/>
                                  <a:ext cx="1333500" cy="1123950"/>
                                </a:xfrm>
                                <a:prstGeom prst="rect">
                                  <a:avLst/>
                                </a:prstGeom>
                                <a:noFill/>
                                <a:ln w="9525">
                                  <a:noFill/>
                                </a:ln>
                              </pic:spPr>
                            </pic:pic>
                          </a:graphicData>
                        </a:graphic>
                      </wp:inline>
                    </w:drawing>
                  </w:r>
                </w:p>
              </w:tc>
              <w:tc>
                <w:tcPr>
                  <w:tcW w:w="1483" w:type="dxa"/>
                  <w:tcBorders>
                    <w:tl2br w:val="nil"/>
                    <w:tr2bl w:val="nil"/>
                  </w:tcBorders>
                  <w:shd w:val="clear" w:color="auto" w:fill="auto"/>
                  <w:tcMar>
                    <w:top w:w="0" w:type="dxa"/>
                    <w:left w:w="0" w:type="dxa"/>
                    <w:bottom w:w="0" w:type="dxa"/>
                    <w:right w:w="0" w:type="dxa"/>
                  </w:tcMar>
                  <w:vAlign w:val="center"/>
                </w:tcPr>
                <w:p w14:paraId="218A4A04">
                  <w:pPr>
                    <w:widowControl/>
                    <w:spacing w:before="100" w:after="100"/>
                    <w:jc w:val="center"/>
                    <w:rPr>
                      <w:szCs w:val="21"/>
                    </w:rPr>
                  </w:pPr>
                  <w:r>
                    <w:rPr>
                      <w:kern w:val="0"/>
                      <w:szCs w:val="21"/>
                    </w:rPr>
                    <w:t>表示一般固体废物贮存、处置场</w:t>
                  </w:r>
                </w:p>
              </w:tc>
            </w:tr>
            <w:tr w14:paraId="1AF1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7" w:hRule="atLeast"/>
                <w:jc w:val="center"/>
              </w:trPr>
              <w:tc>
                <w:tcPr>
                  <w:tcW w:w="661" w:type="dxa"/>
                  <w:vMerge w:val="continue"/>
                  <w:tcBorders>
                    <w:tl2br w:val="nil"/>
                    <w:tr2bl w:val="nil"/>
                  </w:tcBorders>
                  <w:shd w:val="clear" w:color="auto" w:fill="auto"/>
                  <w:tcMar>
                    <w:top w:w="0" w:type="dxa"/>
                    <w:left w:w="0" w:type="dxa"/>
                    <w:bottom w:w="0" w:type="dxa"/>
                    <w:right w:w="0" w:type="dxa"/>
                  </w:tcMar>
                  <w:vAlign w:val="center"/>
                </w:tcPr>
                <w:p w14:paraId="0DB6C44C">
                  <w:pPr>
                    <w:rPr>
                      <w:szCs w:val="21"/>
                    </w:rPr>
                  </w:pPr>
                </w:p>
              </w:tc>
              <w:tc>
                <w:tcPr>
                  <w:tcW w:w="759" w:type="dxa"/>
                  <w:vMerge w:val="continue"/>
                  <w:tcBorders>
                    <w:tl2br w:val="nil"/>
                    <w:tr2bl w:val="nil"/>
                  </w:tcBorders>
                  <w:shd w:val="clear" w:color="auto" w:fill="auto"/>
                  <w:tcMar>
                    <w:top w:w="0" w:type="dxa"/>
                    <w:left w:w="0" w:type="dxa"/>
                    <w:bottom w:w="0" w:type="dxa"/>
                    <w:right w:w="0" w:type="dxa"/>
                  </w:tcMar>
                  <w:vAlign w:val="center"/>
                </w:tcPr>
                <w:p w14:paraId="37955E0B">
                  <w:pPr>
                    <w:rPr>
                      <w:szCs w:val="21"/>
                    </w:rPr>
                  </w:pPr>
                </w:p>
              </w:tc>
              <w:tc>
                <w:tcPr>
                  <w:tcW w:w="759" w:type="dxa"/>
                  <w:tcBorders>
                    <w:tl2br w:val="nil"/>
                    <w:tr2bl w:val="nil"/>
                  </w:tcBorders>
                  <w:shd w:val="clear" w:color="auto" w:fill="auto"/>
                  <w:tcMar>
                    <w:top w:w="0" w:type="dxa"/>
                    <w:left w:w="0" w:type="dxa"/>
                    <w:bottom w:w="0" w:type="dxa"/>
                    <w:right w:w="0" w:type="dxa"/>
                  </w:tcMar>
                  <w:vAlign w:val="center"/>
                </w:tcPr>
                <w:p w14:paraId="78459BF1">
                  <w:pPr>
                    <w:widowControl/>
                    <w:spacing w:before="100" w:after="100"/>
                    <w:jc w:val="center"/>
                    <w:rPr>
                      <w:szCs w:val="21"/>
                    </w:rPr>
                  </w:pPr>
                  <w:r>
                    <w:rPr>
                      <w:kern w:val="0"/>
                      <w:szCs w:val="21"/>
                    </w:rPr>
                    <w:t>危险</w:t>
                  </w:r>
                </w:p>
                <w:p w14:paraId="217C657D">
                  <w:pPr>
                    <w:widowControl/>
                    <w:spacing w:before="100" w:after="100"/>
                    <w:jc w:val="center"/>
                    <w:rPr>
                      <w:szCs w:val="21"/>
                    </w:rPr>
                  </w:pPr>
                  <w:r>
                    <w:rPr>
                      <w:kern w:val="0"/>
                      <w:szCs w:val="21"/>
                    </w:rPr>
                    <w:t>废物</w:t>
                  </w:r>
                </w:p>
              </w:tc>
              <w:tc>
                <w:tcPr>
                  <w:tcW w:w="2549" w:type="dxa"/>
                  <w:tcBorders>
                    <w:tl2br w:val="nil"/>
                    <w:tr2bl w:val="nil"/>
                  </w:tcBorders>
                  <w:shd w:val="clear" w:color="auto" w:fill="auto"/>
                  <w:tcMar>
                    <w:top w:w="0" w:type="dxa"/>
                    <w:left w:w="0" w:type="dxa"/>
                    <w:bottom w:w="0" w:type="dxa"/>
                    <w:right w:w="0" w:type="dxa"/>
                  </w:tcMar>
                  <w:vAlign w:val="center"/>
                </w:tcPr>
                <w:p w14:paraId="3C4E267B">
                  <w:pPr>
                    <w:widowControl/>
                    <w:spacing w:before="100" w:after="100"/>
                    <w:jc w:val="center"/>
                    <w:rPr>
                      <w:szCs w:val="21"/>
                    </w:rPr>
                  </w:pPr>
                  <w:r>
                    <w:rPr>
                      <w:kern w:val="0"/>
                      <w:szCs w:val="21"/>
                    </w:rPr>
                    <w:t>/</w:t>
                  </w:r>
                </w:p>
              </w:tc>
              <w:tc>
                <w:tcPr>
                  <w:tcW w:w="2506" w:type="dxa"/>
                  <w:tcBorders>
                    <w:tl2br w:val="nil"/>
                    <w:tr2bl w:val="nil"/>
                  </w:tcBorders>
                  <w:shd w:val="clear" w:color="auto" w:fill="auto"/>
                  <w:tcMar>
                    <w:top w:w="0" w:type="dxa"/>
                    <w:left w:w="0" w:type="dxa"/>
                    <w:bottom w:w="0" w:type="dxa"/>
                    <w:right w:w="0" w:type="dxa"/>
                  </w:tcMar>
                  <w:vAlign w:val="center"/>
                </w:tcPr>
                <w:p w14:paraId="1D270DC2">
                  <w:pPr>
                    <w:widowControl/>
                    <w:spacing w:before="100" w:after="100"/>
                    <w:jc w:val="center"/>
                    <w:rPr>
                      <w:szCs w:val="21"/>
                    </w:rPr>
                  </w:pPr>
                  <w:r>
                    <w:rPr>
                      <w:kern w:val="0"/>
                      <w:szCs w:val="21"/>
                    </w:rPr>
                    <w:drawing>
                      <wp:inline distT="0" distB="0" distL="114300" distR="114300">
                        <wp:extent cx="1257300" cy="1076325"/>
                        <wp:effectExtent l="0" t="0" r="7620" b="5715"/>
                        <wp:docPr id="28" name="图片 22"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2" descr="IMG_262"/>
                                <pic:cNvPicPr>
                                  <a:picLocks noChangeAspect="1"/>
                                </pic:cNvPicPr>
                              </pic:nvPicPr>
                              <pic:blipFill>
                                <a:blip r:embed="rId28" cstate="print"/>
                                <a:stretch>
                                  <a:fillRect/>
                                </a:stretch>
                              </pic:blipFill>
                              <pic:spPr>
                                <a:xfrm>
                                  <a:off x="0" y="0"/>
                                  <a:ext cx="1257300" cy="1076325"/>
                                </a:xfrm>
                                <a:prstGeom prst="rect">
                                  <a:avLst/>
                                </a:prstGeom>
                                <a:noFill/>
                                <a:ln w="9525">
                                  <a:noFill/>
                                </a:ln>
                              </pic:spPr>
                            </pic:pic>
                          </a:graphicData>
                        </a:graphic>
                      </wp:inline>
                    </w:drawing>
                  </w:r>
                </w:p>
              </w:tc>
              <w:tc>
                <w:tcPr>
                  <w:tcW w:w="1483" w:type="dxa"/>
                  <w:tcBorders>
                    <w:tl2br w:val="nil"/>
                    <w:tr2bl w:val="nil"/>
                  </w:tcBorders>
                  <w:shd w:val="clear" w:color="auto" w:fill="auto"/>
                  <w:tcMar>
                    <w:top w:w="0" w:type="dxa"/>
                    <w:left w:w="0" w:type="dxa"/>
                    <w:bottom w:w="0" w:type="dxa"/>
                    <w:right w:w="0" w:type="dxa"/>
                  </w:tcMar>
                  <w:vAlign w:val="center"/>
                </w:tcPr>
                <w:p w14:paraId="7E47937B">
                  <w:pPr>
                    <w:widowControl/>
                    <w:spacing w:before="100" w:after="100"/>
                    <w:jc w:val="center"/>
                    <w:rPr>
                      <w:szCs w:val="21"/>
                    </w:rPr>
                  </w:pPr>
                  <w:r>
                    <w:rPr>
                      <w:kern w:val="0"/>
                      <w:szCs w:val="21"/>
                    </w:rPr>
                    <w:t>表示危险废物贮存、处置场</w:t>
                  </w:r>
                </w:p>
              </w:tc>
            </w:tr>
          </w:tbl>
          <w:p w14:paraId="481AB47E">
            <w:pPr>
              <w:spacing w:line="360" w:lineRule="auto"/>
              <w:ind w:firstLine="482" w:firstLineChars="200"/>
              <w:rPr>
                <w:b/>
                <w:bCs/>
                <w:sz w:val="24"/>
              </w:rPr>
            </w:pPr>
            <w:r>
              <w:rPr>
                <w:b/>
                <w:bCs/>
                <w:sz w:val="24"/>
              </w:rPr>
              <w:t>2、与排污许可证制度衔接要求</w:t>
            </w:r>
          </w:p>
          <w:p w14:paraId="438B2DED">
            <w:pPr>
              <w:spacing w:line="360" w:lineRule="auto"/>
              <w:ind w:firstLine="480" w:firstLineChars="200"/>
              <w:rPr>
                <w:sz w:val="24"/>
              </w:rPr>
            </w:pPr>
            <w:r>
              <w:rPr>
                <w:sz w:val="24"/>
              </w:rPr>
              <w:t>根据《关于做好环境影响评价制度与排污许可制衔接相关工作的通知》（环办环评</w:t>
            </w:r>
            <w:r>
              <w:rPr>
                <w:kern w:val="0"/>
                <w:sz w:val="24"/>
              </w:rPr>
              <w:t>〔2017〕</w:t>
            </w:r>
            <w:r>
              <w:rPr>
                <w:sz w:val="24"/>
              </w:rPr>
              <w:t>84号）提出：依据国家或地方污染物排放标准、环境质量标准和总量控制要求等管理规定，按照污染源源强核算技术指南、环境影响评价要素导则等技术文件，严格核定排放口数量、位置以及每个排放口的污染物种类、允许排放浓度和允许排放量、排放方式、排放去向、自行监测计划等与污染物排放相关的主要内容。</w:t>
            </w:r>
          </w:p>
          <w:p w14:paraId="4D6DA301">
            <w:pPr>
              <w:spacing w:line="360" w:lineRule="auto"/>
              <w:ind w:firstLine="480" w:firstLineChars="200"/>
              <w:rPr>
                <w:sz w:val="24"/>
              </w:rPr>
            </w:pPr>
            <w:r>
              <w:rPr>
                <w:sz w:val="24"/>
              </w:rPr>
              <w:t>建设项目发生实际排污行为之前，排污单位应当按照国家环境保护相关法律法规以及排污许可证申请与核发技术规范要求申请排污许可证，不得无证排污或不按证排污。</w:t>
            </w:r>
          </w:p>
          <w:p w14:paraId="02134944">
            <w:pPr>
              <w:spacing w:line="360" w:lineRule="auto"/>
              <w:ind w:firstLine="482" w:firstLineChars="200"/>
              <w:rPr>
                <w:b/>
                <w:bCs/>
                <w:sz w:val="24"/>
              </w:rPr>
            </w:pPr>
            <w:r>
              <w:rPr>
                <w:b/>
                <w:bCs/>
                <w:sz w:val="24"/>
              </w:rPr>
              <w:t>3、项目“三同时”及竣工环境保护验收</w:t>
            </w:r>
          </w:p>
          <w:p w14:paraId="38EE5865">
            <w:pPr>
              <w:spacing w:line="360" w:lineRule="auto"/>
              <w:ind w:firstLine="480" w:firstLineChars="200"/>
              <w:rPr>
                <w:sz w:val="24"/>
              </w:rPr>
            </w:pPr>
            <w:r>
              <w:rPr>
                <w:sz w:val="24"/>
              </w:rPr>
              <w:t>项目建设过程中主体工程、环保设施应同时设计、同时施工、同时投产运行；项目建成后按照《建设项目竣工环境保护验收暂行办法》（国环规环评</w:t>
            </w:r>
            <w:r>
              <w:rPr>
                <w:kern w:val="0"/>
                <w:sz w:val="24"/>
              </w:rPr>
              <w:t>〔2017〕</w:t>
            </w:r>
            <w:r>
              <w:rPr>
                <w:sz w:val="24"/>
              </w:rPr>
              <w:t>4号）要求开展项目竣工环境保护验收工作。</w:t>
            </w:r>
          </w:p>
          <w:p w14:paraId="2AC1F85B">
            <w:pPr>
              <w:pStyle w:val="14"/>
              <w:spacing w:before="0" w:after="0" w:line="360" w:lineRule="auto"/>
              <w:ind w:right="0" w:firstLine="482" w:firstLineChars="200"/>
              <w:rPr>
                <w:b/>
                <w:bCs/>
              </w:rPr>
            </w:pPr>
            <w:r>
              <w:rPr>
                <w:b/>
                <w:bCs/>
                <w:szCs w:val="24"/>
              </w:rPr>
              <w:t>九、环保投资</w:t>
            </w:r>
          </w:p>
          <w:p w14:paraId="6E61877C">
            <w:pPr>
              <w:pStyle w:val="14"/>
              <w:adjustRightInd w:val="0"/>
              <w:spacing w:before="0" w:after="0" w:line="360" w:lineRule="auto"/>
              <w:ind w:right="0" w:firstLine="480" w:firstLineChars="200"/>
            </w:pPr>
            <w:r>
              <w:t>本项目总投资为100万元，其中环保投资32.2万元，占总投资32%，环保投资情况见下表。</w:t>
            </w:r>
          </w:p>
          <w:p w14:paraId="2E978461">
            <w:pPr>
              <w:jc w:val="center"/>
              <w:rPr>
                <w:b/>
                <w:bCs/>
                <w:sz w:val="24"/>
                <w:szCs w:val="32"/>
              </w:rPr>
            </w:pPr>
            <w:r>
              <w:rPr>
                <w:b/>
                <w:bCs/>
                <w:sz w:val="24"/>
                <w:szCs w:val="32"/>
              </w:rPr>
              <w:t>表4</w:t>
            </w:r>
            <w:r>
              <w:rPr>
                <w:rFonts w:hint="eastAsia"/>
                <w:b/>
                <w:bCs/>
                <w:sz w:val="24"/>
                <w:szCs w:val="32"/>
              </w:rPr>
              <w:t>3</w:t>
            </w:r>
            <w:r>
              <w:rPr>
                <w:b/>
                <w:bCs/>
                <w:sz w:val="24"/>
                <w:szCs w:val="32"/>
              </w:rPr>
              <w:t xml:space="preserve">  本项目环保措施及投资一览表</w:t>
            </w:r>
          </w:p>
          <w:tbl>
            <w:tblPr>
              <w:tblStyle w:val="24"/>
              <w:tblW w:w="49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6"/>
              <w:gridCol w:w="394"/>
              <w:gridCol w:w="915"/>
              <w:gridCol w:w="1575"/>
              <w:gridCol w:w="4031"/>
              <w:gridCol w:w="909"/>
            </w:tblGrid>
            <w:tr w14:paraId="089E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tblHeader/>
                <w:jc w:val="center"/>
              </w:trPr>
              <w:tc>
                <w:tcPr>
                  <w:tcW w:w="563" w:type="dxa"/>
                  <w:vAlign w:val="center"/>
                </w:tcPr>
                <w:p w14:paraId="05BE391C">
                  <w:pPr>
                    <w:pStyle w:val="14"/>
                    <w:spacing w:before="0" w:after="0" w:line="240" w:lineRule="auto"/>
                    <w:ind w:right="0"/>
                    <w:jc w:val="center"/>
                    <w:rPr>
                      <w:sz w:val="21"/>
                      <w:szCs w:val="21"/>
                    </w:rPr>
                  </w:pPr>
                  <w:r>
                    <w:rPr>
                      <w:sz w:val="21"/>
                      <w:szCs w:val="21"/>
                    </w:rPr>
                    <w:t>污染因素</w:t>
                  </w:r>
                </w:p>
              </w:tc>
              <w:tc>
                <w:tcPr>
                  <w:tcW w:w="1300" w:type="dxa"/>
                  <w:gridSpan w:val="2"/>
                  <w:vAlign w:val="center"/>
                </w:tcPr>
                <w:p w14:paraId="6DA19FAA">
                  <w:pPr>
                    <w:pStyle w:val="14"/>
                    <w:spacing w:before="0" w:after="0" w:line="240" w:lineRule="auto"/>
                    <w:ind w:right="0"/>
                    <w:jc w:val="center"/>
                    <w:rPr>
                      <w:sz w:val="21"/>
                      <w:szCs w:val="21"/>
                    </w:rPr>
                  </w:pPr>
                  <w:r>
                    <w:rPr>
                      <w:sz w:val="21"/>
                      <w:szCs w:val="21"/>
                    </w:rPr>
                    <w:t>排放源</w:t>
                  </w:r>
                </w:p>
              </w:tc>
              <w:tc>
                <w:tcPr>
                  <w:tcW w:w="1565" w:type="dxa"/>
                  <w:vAlign w:val="center"/>
                </w:tcPr>
                <w:p w14:paraId="6C773B4F">
                  <w:pPr>
                    <w:pStyle w:val="14"/>
                    <w:spacing w:before="0" w:after="0" w:line="240" w:lineRule="auto"/>
                    <w:ind w:right="0"/>
                    <w:jc w:val="center"/>
                    <w:rPr>
                      <w:sz w:val="21"/>
                      <w:szCs w:val="21"/>
                    </w:rPr>
                  </w:pPr>
                  <w:r>
                    <w:rPr>
                      <w:sz w:val="21"/>
                      <w:szCs w:val="21"/>
                    </w:rPr>
                    <w:t>污染物</w:t>
                  </w:r>
                </w:p>
              </w:tc>
              <w:tc>
                <w:tcPr>
                  <w:tcW w:w="4005" w:type="dxa"/>
                  <w:vAlign w:val="center"/>
                </w:tcPr>
                <w:p w14:paraId="352B3DF6">
                  <w:pPr>
                    <w:pStyle w:val="14"/>
                    <w:spacing w:before="0" w:after="0" w:line="240" w:lineRule="auto"/>
                    <w:ind w:right="0"/>
                    <w:jc w:val="center"/>
                    <w:rPr>
                      <w:sz w:val="21"/>
                      <w:szCs w:val="21"/>
                    </w:rPr>
                  </w:pPr>
                  <w:r>
                    <w:rPr>
                      <w:sz w:val="21"/>
                      <w:szCs w:val="21"/>
                    </w:rPr>
                    <w:t>污染防治措施</w:t>
                  </w:r>
                </w:p>
              </w:tc>
              <w:tc>
                <w:tcPr>
                  <w:tcW w:w="903" w:type="dxa"/>
                  <w:vAlign w:val="center"/>
                </w:tcPr>
                <w:p w14:paraId="56F4CE5F">
                  <w:pPr>
                    <w:pStyle w:val="14"/>
                    <w:spacing w:before="0" w:after="0" w:line="240" w:lineRule="auto"/>
                    <w:ind w:right="0"/>
                    <w:jc w:val="center"/>
                    <w:rPr>
                      <w:sz w:val="21"/>
                      <w:szCs w:val="21"/>
                    </w:rPr>
                  </w:pPr>
                  <w:r>
                    <w:rPr>
                      <w:sz w:val="21"/>
                      <w:szCs w:val="21"/>
                    </w:rPr>
                    <w:t>治理投资（万元）</w:t>
                  </w:r>
                </w:p>
              </w:tc>
            </w:tr>
            <w:tr w14:paraId="7247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563" w:type="dxa"/>
                  <w:vMerge w:val="restart"/>
                  <w:vAlign w:val="center"/>
                </w:tcPr>
                <w:p w14:paraId="30B44583">
                  <w:pPr>
                    <w:pStyle w:val="14"/>
                    <w:spacing w:before="0" w:after="0" w:line="240" w:lineRule="auto"/>
                    <w:ind w:right="0"/>
                    <w:jc w:val="center"/>
                    <w:rPr>
                      <w:sz w:val="21"/>
                      <w:szCs w:val="21"/>
                    </w:rPr>
                  </w:pPr>
                  <w:r>
                    <w:rPr>
                      <w:sz w:val="21"/>
                      <w:szCs w:val="21"/>
                    </w:rPr>
                    <w:t>废气</w:t>
                  </w:r>
                </w:p>
              </w:tc>
              <w:tc>
                <w:tcPr>
                  <w:tcW w:w="391" w:type="dxa"/>
                  <w:vMerge w:val="restart"/>
                  <w:vAlign w:val="center"/>
                </w:tcPr>
                <w:p w14:paraId="0EDB7461">
                  <w:pPr>
                    <w:pStyle w:val="14"/>
                    <w:spacing w:before="0" w:after="0" w:line="240" w:lineRule="auto"/>
                    <w:ind w:right="0"/>
                    <w:jc w:val="center"/>
                    <w:rPr>
                      <w:sz w:val="21"/>
                      <w:szCs w:val="21"/>
                    </w:rPr>
                  </w:pPr>
                  <w:r>
                    <w:rPr>
                      <w:sz w:val="21"/>
                      <w:szCs w:val="21"/>
                    </w:rPr>
                    <w:t>有组织</w:t>
                  </w:r>
                </w:p>
              </w:tc>
              <w:tc>
                <w:tcPr>
                  <w:tcW w:w="909" w:type="dxa"/>
                  <w:shd w:val="clear" w:color="auto" w:fill="auto"/>
                  <w:vAlign w:val="center"/>
                </w:tcPr>
                <w:p w14:paraId="140C7326">
                  <w:pPr>
                    <w:pStyle w:val="14"/>
                    <w:spacing w:before="0" w:after="0" w:line="240" w:lineRule="auto"/>
                    <w:ind w:right="0"/>
                    <w:jc w:val="center"/>
                    <w:rPr>
                      <w:sz w:val="21"/>
                      <w:szCs w:val="21"/>
                    </w:rPr>
                  </w:pPr>
                  <w:r>
                    <w:rPr>
                      <w:sz w:val="21"/>
                      <w:szCs w:val="21"/>
                    </w:rPr>
                    <w:t>废油液抽取和危废贮存挥发</w:t>
                  </w:r>
                </w:p>
              </w:tc>
              <w:tc>
                <w:tcPr>
                  <w:tcW w:w="1565" w:type="dxa"/>
                  <w:vAlign w:val="center"/>
                </w:tcPr>
                <w:p w14:paraId="3CAA3E57">
                  <w:pPr>
                    <w:pStyle w:val="14"/>
                    <w:spacing w:before="0" w:after="0" w:line="240" w:lineRule="auto"/>
                    <w:ind w:right="0"/>
                    <w:jc w:val="center"/>
                    <w:rPr>
                      <w:sz w:val="21"/>
                      <w:szCs w:val="21"/>
                    </w:rPr>
                  </w:pPr>
                  <w:r>
                    <w:rPr>
                      <w:sz w:val="21"/>
                      <w:szCs w:val="21"/>
                    </w:rPr>
                    <w:t>非甲烷总烃</w:t>
                  </w:r>
                </w:p>
              </w:tc>
              <w:tc>
                <w:tcPr>
                  <w:tcW w:w="4005" w:type="dxa"/>
                  <w:vAlign w:val="center"/>
                </w:tcPr>
                <w:p w14:paraId="6A2658A9">
                  <w:pPr>
                    <w:pStyle w:val="14"/>
                    <w:spacing w:before="0" w:after="0" w:line="240" w:lineRule="auto"/>
                    <w:ind w:right="0"/>
                    <w:jc w:val="center"/>
                    <w:rPr>
                      <w:sz w:val="21"/>
                      <w:szCs w:val="21"/>
                    </w:rPr>
                  </w:pPr>
                  <w:r>
                    <w:rPr>
                      <w:sz w:val="21"/>
                      <w:szCs w:val="21"/>
                    </w:rPr>
                    <w:t>废油液抽取工位上方设置集气罩，危废间</w:t>
                  </w:r>
                  <w:r>
                    <w:rPr>
                      <w:rFonts w:hint="eastAsia"/>
                      <w:sz w:val="21"/>
                      <w:szCs w:val="21"/>
                    </w:rPr>
                    <w:t>全密闭，设置废气收集装置。有机废气集中收集后经1套两级</w:t>
                  </w:r>
                  <w:r>
                    <w:rPr>
                      <w:sz w:val="21"/>
                      <w:szCs w:val="21"/>
                    </w:rPr>
                    <w:t>活性炭吸附</w:t>
                  </w:r>
                  <w:r>
                    <w:rPr>
                      <w:rFonts w:hint="eastAsia"/>
                      <w:sz w:val="21"/>
                      <w:szCs w:val="21"/>
                    </w:rPr>
                    <w:t>装置</w:t>
                  </w:r>
                  <w:r>
                    <w:rPr>
                      <w:sz w:val="21"/>
                      <w:szCs w:val="21"/>
                    </w:rPr>
                    <w:t>处理后由15m高排气筒（DA001）排放</w:t>
                  </w:r>
                </w:p>
              </w:tc>
              <w:tc>
                <w:tcPr>
                  <w:tcW w:w="903" w:type="dxa"/>
                  <w:vAlign w:val="center"/>
                </w:tcPr>
                <w:p w14:paraId="5C24290E">
                  <w:pPr>
                    <w:pStyle w:val="14"/>
                    <w:spacing w:before="0" w:after="0" w:line="240" w:lineRule="auto"/>
                    <w:ind w:right="0"/>
                    <w:jc w:val="center"/>
                    <w:rPr>
                      <w:sz w:val="21"/>
                      <w:szCs w:val="21"/>
                    </w:rPr>
                  </w:pPr>
                  <w:r>
                    <w:rPr>
                      <w:sz w:val="21"/>
                      <w:szCs w:val="21"/>
                    </w:rPr>
                    <w:t>2.5</w:t>
                  </w:r>
                </w:p>
              </w:tc>
            </w:tr>
            <w:tr w14:paraId="708E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63" w:type="dxa"/>
                  <w:vMerge w:val="continue"/>
                  <w:vAlign w:val="center"/>
                </w:tcPr>
                <w:p w14:paraId="497E2D68">
                  <w:pPr>
                    <w:pStyle w:val="14"/>
                    <w:spacing w:before="0" w:after="0" w:line="240" w:lineRule="auto"/>
                    <w:ind w:right="0"/>
                    <w:jc w:val="center"/>
                    <w:rPr>
                      <w:sz w:val="21"/>
                      <w:szCs w:val="21"/>
                    </w:rPr>
                  </w:pPr>
                </w:p>
              </w:tc>
              <w:tc>
                <w:tcPr>
                  <w:tcW w:w="391" w:type="dxa"/>
                  <w:vMerge w:val="continue"/>
                  <w:vAlign w:val="center"/>
                </w:tcPr>
                <w:p w14:paraId="08A0D01E">
                  <w:pPr>
                    <w:pStyle w:val="14"/>
                    <w:spacing w:before="0" w:after="0" w:line="240" w:lineRule="auto"/>
                    <w:ind w:right="0"/>
                    <w:jc w:val="center"/>
                    <w:rPr>
                      <w:sz w:val="21"/>
                      <w:szCs w:val="21"/>
                    </w:rPr>
                  </w:pPr>
                </w:p>
              </w:tc>
              <w:tc>
                <w:tcPr>
                  <w:tcW w:w="909" w:type="dxa"/>
                  <w:vAlign w:val="center"/>
                </w:tcPr>
                <w:p w14:paraId="1C5CC081">
                  <w:pPr>
                    <w:pStyle w:val="14"/>
                    <w:spacing w:before="0" w:after="0" w:line="240" w:lineRule="auto"/>
                    <w:ind w:right="0"/>
                    <w:jc w:val="center"/>
                    <w:rPr>
                      <w:sz w:val="21"/>
                      <w:szCs w:val="21"/>
                    </w:rPr>
                  </w:pPr>
                  <w:r>
                    <w:rPr>
                      <w:sz w:val="21"/>
                      <w:szCs w:val="21"/>
                    </w:rPr>
                    <w:t>切割工序</w:t>
                  </w:r>
                </w:p>
              </w:tc>
              <w:tc>
                <w:tcPr>
                  <w:tcW w:w="1565" w:type="dxa"/>
                  <w:vAlign w:val="center"/>
                </w:tcPr>
                <w:p w14:paraId="2D51D1C8">
                  <w:pPr>
                    <w:pStyle w:val="14"/>
                    <w:spacing w:before="0" w:after="0" w:line="240" w:lineRule="auto"/>
                    <w:ind w:right="0"/>
                    <w:jc w:val="center"/>
                    <w:rPr>
                      <w:sz w:val="21"/>
                      <w:szCs w:val="21"/>
                    </w:rPr>
                  </w:pPr>
                  <w:r>
                    <w:rPr>
                      <w:sz w:val="21"/>
                      <w:szCs w:val="21"/>
                    </w:rPr>
                    <w:t>颗粒物</w:t>
                  </w:r>
                </w:p>
              </w:tc>
              <w:tc>
                <w:tcPr>
                  <w:tcW w:w="4005" w:type="dxa"/>
                  <w:vAlign w:val="center"/>
                </w:tcPr>
                <w:p w14:paraId="36E9B2FC">
                  <w:pPr>
                    <w:pStyle w:val="14"/>
                    <w:spacing w:before="0" w:after="0" w:line="240" w:lineRule="auto"/>
                    <w:ind w:right="0"/>
                    <w:jc w:val="center"/>
                    <w:rPr>
                      <w:sz w:val="21"/>
                      <w:szCs w:val="21"/>
                    </w:rPr>
                  </w:pPr>
                  <w:r>
                    <w:rPr>
                      <w:sz w:val="21"/>
                      <w:szCs w:val="21"/>
                    </w:rPr>
                    <w:t>集气罩收集覆膜袋式除尘器处理后通过拆解车间15m高排气筒（DA001）排放</w:t>
                  </w:r>
                </w:p>
              </w:tc>
              <w:tc>
                <w:tcPr>
                  <w:tcW w:w="903" w:type="dxa"/>
                  <w:vAlign w:val="center"/>
                </w:tcPr>
                <w:p w14:paraId="3E843268">
                  <w:pPr>
                    <w:pStyle w:val="14"/>
                    <w:spacing w:before="0" w:after="0" w:line="240" w:lineRule="auto"/>
                    <w:ind w:right="0"/>
                    <w:jc w:val="center"/>
                    <w:rPr>
                      <w:sz w:val="21"/>
                      <w:szCs w:val="21"/>
                    </w:rPr>
                  </w:pPr>
                  <w:r>
                    <w:rPr>
                      <w:sz w:val="21"/>
                      <w:szCs w:val="21"/>
                    </w:rPr>
                    <w:t>2.0</w:t>
                  </w:r>
                </w:p>
              </w:tc>
            </w:tr>
            <w:tr w14:paraId="46CD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563" w:type="dxa"/>
                  <w:vAlign w:val="center"/>
                </w:tcPr>
                <w:p w14:paraId="293DDF38">
                  <w:pPr>
                    <w:pStyle w:val="14"/>
                    <w:spacing w:before="0" w:after="0" w:line="240" w:lineRule="auto"/>
                    <w:ind w:right="0"/>
                    <w:jc w:val="center"/>
                    <w:rPr>
                      <w:sz w:val="21"/>
                      <w:szCs w:val="21"/>
                    </w:rPr>
                  </w:pPr>
                  <w:r>
                    <w:rPr>
                      <w:sz w:val="21"/>
                      <w:szCs w:val="21"/>
                    </w:rPr>
                    <w:t>废水</w:t>
                  </w:r>
                </w:p>
              </w:tc>
              <w:tc>
                <w:tcPr>
                  <w:tcW w:w="1300" w:type="dxa"/>
                  <w:gridSpan w:val="2"/>
                  <w:vAlign w:val="center"/>
                </w:tcPr>
                <w:p w14:paraId="45A93FD6">
                  <w:pPr>
                    <w:pStyle w:val="14"/>
                    <w:spacing w:before="0" w:after="0" w:line="240" w:lineRule="auto"/>
                    <w:ind w:right="0"/>
                    <w:jc w:val="center"/>
                    <w:rPr>
                      <w:sz w:val="21"/>
                      <w:szCs w:val="21"/>
                    </w:rPr>
                  </w:pPr>
                  <w:r>
                    <w:rPr>
                      <w:sz w:val="21"/>
                      <w:szCs w:val="21"/>
                    </w:rPr>
                    <w:t>职工生活</w:t>
                  </w:r>
                </w:p>
              </w:tc>
              <w:tc>
                <w:tcPr>
                  <w:tcW w:w="1565" w:type="dxa"/>
                  <w:vAlign w:val="center"/>
                </w:tcPr>
                <w:p w14:paraId="0902BC14">
                  <w:pPr>
                    <w:pStyle w:val="14"/>
                    <w:spacing w:before="0" w:after="0" w:line="240" w:lineRule="auto"/>
                    <w:ind w:right="0"/>
                    <w:jc w:val="center"/>
                    <w:rPr>
                      <w:sz w:val="21"/>
                      <w:szCs w:val="21"/>
                    </w:rPr>
                  </w:pPr>
                  <w:r>
                    <w:rPr>
                      <w:sz w:val="21"/>
                      <w:szCs w:val="21"/>
                    </w:rPr>
                    <w:t>生活污水</w:t>
                  </w:r>
                </w:p>
              </w:tc>
              <w:tc>
                <w:tcPr>
                  <w:tcW w:w="4005" w:type="dxa"/>
                  <w:vAlign w:val="center"/>
                </w:tcPr>
                <w:p w14:paraId="48F5FBBE">
                  <w:pPr>
                    <w:pStyle w:val="14"/>
                    <w:spacing w:before="0" w:after="0" w:line="240" w:lineRule="auto"/>
                    <w:ind w:right="0"/>
                    <w:jc w:val="center"/>
                    <w:rPr>
                      <w:sz w:val="21"/>
                      <w:szCs w:val="21"/>
                    </w:rPr>
                  </w:pPr>
                  <w:r>
                    <w:rPr>
                      <w:sz w:val="21"/>
                      <w:szCs w:val="21"/>
                    </w:rPr>
                    <w:t>10m</w:t>
                  </w:r>
                  <w:r>
                    <w:rPr>
                      <w:sz w:val="21"/>
                      <w:szCs w:val="21"/>
                      <w:vertAlign w:val="superscript"/>
                    </w:rPr>
                    <w:t>3</w:t>
                  </w:r>
                  <w:r>
                    <w:rPr>
                      <w:sz w:val="21"/>
                      <w:szCs w:val="21"/>
                    </w:rPr>
                    <w:t>化粪池</w:t>
                  </w:r>
                  <w:r>
                    <w:rPr>
                      <w:rFonts w:hint="eastAsia"/>
                      <w:sz w:val="21"/>
                      <w:szCs w:val="21"/>
                    </w:rPr>
                    <w:t>暂存后，定期清掏，外运肥田</w:t>
                  </w:r>
                </w:p>
              </w:tc>
              <w:tc>
                <w:tcPr>
                  <w:tcW w:w="903" w:type="dxa"/>
                  <w:vAlign w:val="center"/>
                </w:tcPr>
                <w:p w14:paraId="1FC795DF">
                  <w:pPr>
                    <w:pStyle w:val="14"/>
                    <w:spacing w:before="0" w:after="0" w:line="240" w:lineRule="auto"/>
                    <w:ind w:right="0"/>
                    <w:jc w:val="center"/>
                    <w:rPr>
                      <w:sz w:val="21"/>
                      <w:szCs w:val="21"/>
                    </w:rPr>
                  </w:pPr>
                  <w:r>
                    <w:rPr>
                      <w:sz w:val="21"/>
                      <w:szCs w:val="21"/>
                    </w:rPr>
                    <w:t>0.3</w:t>
                  </w:r>
                </w:p>
              </w:tc>
            </w:tr>
            <w:tr w14:paraId="233A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9" w:hRule="exact"/>
                <w:jc w:val="center"/>
              </w:trPr>
              <w:tc>
                <w:tcPr>
                  <w:tcW w:w="563" w:type="dxa"/>
                  <w:vAlign w:val="center"/>
                </w:tcPr>
                <w:p w14:paraId="4CAD1D33">
                  <w:pPr>
                    <w:pStyle w:val="14"/>
                    <w:spacing w:before="0" w:after="0" w:line="240" w:lineRule="auto"/>
                    <w:ind w:right="0"/>
                    <w:jc w:val="center"/>
                    <w:rPr>
                      <w:sz w:val="21"/>
                      <w:szCs w:val="21"/>
                    </w:rPr>
                  </w:pPr>
                  <w:r>
                    <w:rPr>
                      <w:sz w:val="21"/>
                      <w:szCs w:val="21"/>
                    </w:rPr>
                    <w:t>噪声</w:t>
                  </w:r>
                </w:p>
              </w:tc>
              <w:tc>
                <w:tcPr>
                  <w:tcW w:w="1300" w:type="dxa"/>
                  <w:gridSpan w:val="2"/>
                  <w:vAlign w:val="center"/>
                </w:tcPr>
                <w:p w14:paraId="2846130F">
                  <w:pPr>
                    <w:pStyle w:val="14"/>
                    <w:spacing w:before="0" w:after="0" w:line="240" w:lineRule="auto"/>
                    <w:ind w:right="0"/>
                    <w:jc w:val="center"/>
                    <w:rPr>
                      <w:sz w:val="21"/>
                      <w:szCs w:val="21"/>
                    </w:rPr>
                  </w:pPr>
                  <w:r>
                    <w:rPr>
                      <w:sz w:val="21"/>
                      <w:szCs w:val="21"/>
                    </w:rPr>
                    <w:t>生产设备</w:t>
                  </w:r>
                </w:p>
              </w:tc>
              <w:tc>
                <w:tcPr>
                  <w:tcW w:w="1565" w:type="dxa"/>
                  <w:vAlign w:val="center"/>
                </w:tcPr>
                <w:p w14:paraId="2355DEA6">
                  <w:pPr>
                    <w:pStyle w:val="14"/>
                    <w:spacing w:before="0" w:after="0" w:line="240" w:lineRule="auto"/>
                    <w:ind w:right="0"/>
                    <w:jc w:val="center"/>
                    <w:rPr>
                      <w:sz w:val="21"/>
                      <w:szCs w:val="21"/>
                    </w:rPr>
                  </w:pPr>
                  <w:r>
                    <w:rPr>
                      <w:sz w:val="21"/>
                      <w:szCs w:val="21"/>
                    </w:rPr>
                    <w:t>噪声</w:t>
                  </w:r>
                </w:p>
              </w:tc>
              <w:tc>
                <w:tcPr>
                  <w:tcW w:w="4005" w:type="dxa"/>
                  <w:vAlign w:val="center"/>
                </w:tcPr>
                <w:p w14:paraId="304B42A0">
                  <w:pPr>
                    <w:pStyle w:val="14"/>
                    <w:jc w:val="center"/>
                    <w:rPr>
                      <w:sz w:val="21"/>
                      <w:szCs w:val="21"/>
                    </w:rPr>
                  </w:pPr>
                  <w:r>
                    <w:rPr>
                      <w:sz w:val="21"/>
                      <w:szCs w:val="21"/>
                    </w:rPr>
                    <w:t>选用低噪声设备，采取隔声、</w:t>
                  </w:r>
                  <w:r>
                    <w:rPr>
                      <w:rFonts w:hint="eastAsia"/>
                      <w:sz w:val="21"/>
                      <w:szCs w:val="21"/>
                    </w:rPr>
                    <w:t>基础减振</w:t>
                  </w:r>
                  <w:r>
                    <w:rPr>
                      <w:sz w:val="21"/>
                      <w:szCs w:val="21"/>
                    </w:rPr>
                    <w:t>措施，厂房</w:t>
                  </w:r>
                  <w:r>
                    <w:rPr>
                      <w:rFonts w:hint="eastAsia"/>
                      <w:sz w:val="21"/>
                      <w:szCs w:val="21"/>
                    </w:rPr>
                    <w:t>封闭</w:t>
                  </w:r>
                  <w:r>
                    <w:rPr>
                      <w:sz w:val="21"/>
                      <w:szCs w:val="21"/>
                    </w:rPr>
                    <w:t>，厂区内设置禁止鸣笛、限速标志降低交通噪声；加强设备维护、检修</w:t>
                  </w:r>
                </w:p>
              </w:tc>
              <w:tc>
                <w:tcPr>
                  <w:tcW w:w="903" w:type="dxa"/>
                  <w:vAlign w:val="center"/>
                </w:tcPr>
                <w:p w14:paraId="5247B011">
                  <w:pPr>
                    <w:pStyle w:val="14"/>
                    <w:spacing w:before="0" w:after="0" w:line="240" w:lineRule="auto"/>
                    <w:ind w:right="0"/>
                    <w:jc w:val="center"/>
                    <w:rPr>
                      <w:sz w:val="21"/>
                      <w:szCs w:val="21"/>
                    </w:rPr>
                  </w:pPr>
                  <w:r>
                    <w:rPr>
                      <w:sz w:val="21"/>
                      <w:szCs w:val="21"/>
                    </w:rPr>
                    <w:t>1.0</w:t>
                  </w:r>
                </w:p>
              </w:tc>
            </w:tr>
            <w:tr w14:paraId="4F74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563" w:type="dxa"/>
                  <w:vMerge w:val="restart"/>
                  <w:vAlign w:val="center"/>
                </w:tcPr>
                <w:p w14:paraId="11CE9470">
                  <w:pPr>
                    <w:pStyle w:val="14"/>
                    <w:spacing w:before="0" w:after="0" w:line="240" w:lineRule="auto"/>
                    <w:ind w:right="0"/>
                    <w:jc w:val="center"/>
                    <w:rPr>
                      <w:sz w:val="21"/>
                      <w:szCs w:val="21"/>
                    </w:rPr>
                  </w:pPr>
                  <w:r>
                    <w:rPr>
                      <w:sz w:val="21"/>
                      <w:szCs w:val="21"/>
                    </w:rPr>
                    <w:t>固废</w:t>
                  </w:r>
                </w:p>
              </w:tc>
              <w:tc>
                <w:tcPr>
                  <w:tcW w:w="1300" w:type="dxa"/>
                  <w:gridSpan w:val="2"/>
                  <w:vAlign w:val="center"/>
                </w:tcPr>
                <w:p w14:paraId="3D213885">
                  <w:pPr>
                    <w:pStyle w:val="14"/>
                    <w:spacing w:before="0" w:after="0" w:line="240" w:lineRule="auto"/>
                    <w:ind w:right="0"/>
                    <w:jc w:val="center"/>
                    <w:rPr>
                      <w:sz w:val="21"/>
                      <w:szCs w:val="21"/>
                    </w:rPr>
                  </w:pPr>
                  <w:r>
                    <w:rPr>
                      <w:sz w:val="21"/>
                      <w:szCs w:val="21"/>
                    </w:rPr>
                    <w:t>职工生活</w:t>
                  </w:r>
                </w:p>
              </w:tc>
              <w:tc>
                <w:tcPr>
                  <w:tcW w:w="1565" w:type="dxa"/>
                  <w:vAlign w:val="center"/>
                </w:tcPr>
                <w:p w14:paraId="3E822A1F">
                  <w:pPr>
                    <w:pStyle w:val="14"/>
                    <w:spacing w:before="0" w:after="0" w:line="240" w:lineRule="auto"/>
                    <w:ind w:right="0"/>
                    <w:jc w:val="center"/>
                    <w:rPr>
                      <w:sz w:val="21"/>
                      <w:szCs w:val="21"/>
                    </w:rPr>
                  </w:pPr>
                  <w:r>
                    <w:rPr>
                      <w:sz w:val="21"/>
                      <w:szCs w:val="21"/>
                    </w:rPr>
                    <w:t>生活垃圾</w:t>
                  </w:r>
                </w:p>
              </w:tc>
              <w:tc>
                <w:tcPr>
                  <w:tcW w:w="4005" w:type="dxa"/>
                  <w:vMerge w:val="restart"/>
                  <w:vAlign w:val="center"/>
                </w:tcPr>
                <w:p w14:paraId="2296BF01">
                  <w:pPr>
                    <w:pStyle w:val="14"/>
                    <w:spacing w:before="0" w:after="0" w:line="240" w:lineRule="auto"/>
                    <w:ind w:right="0"/>
                    <w:jc w:val="center"/>
                    <w:rPr>
                      <w:sz w:val="21"/>
                      <w:szCs w:val="21"/>
                    </w:rPr>
                  </w:pPr>
                  <w:r>
                    <w:rPr>
                      <w:sz w:val="21"/>
                      <w:szCs w:val="21"/>
                    </w:rPr>
                    <w:t>一般固废间：占地面积10m</w:t>
                  </w:r>
                  <w:r>
                    <w:rPr>
                      <w:sz w:val="21"/>
                      <w:szCs w:val="21"/>
                      <w:vertAlign w:val="superscript"/>
                    </w:rPr>
                    <w:t>2</w:t>
                  </w:r>
                  <w:r>
                    <w:rPr>
                      <w:sz w:val="21"/>
                      <w:szCs w:val="21"/>
                    </w:rPr>
                    <w:t>，按照《一般工业固体废物贮存和填埋污染控制标准》（GB18599-2020）建设</w:t>
                  </w:r>
                </w:p>
              </w:tc>
              <w:tc>
                <w:tcPr>
                  <w:tcW w:w="903" w:type="dxa"/>
                  <w:vMerge w:val="restart"/>
                  <w:vAlign w:val="center"/>
                </w:tcPr>
                <w:p w14:paraId="0C2A57BE">
                  <w:pPr>
                    <w:pStyle w:val="14"/>
                    <w:spacing w:before="0" w:after="0" w:line="240" w:lineRule="auto"/>
                    <w:ind w:right="0"/>
                    <w:jc w:val="center"/>
                    <w:rPr>
                      <w:sz w:val="21"/>
                      <w:szCs w:val="21"/>
                    </w:rPr>
                  </w:pPr>
                  <w:r>
                    <w:rPr>
                      <w:sz w:val="21"/>
                      <w:szCs w:val="21"/>
                    </w:rPr>
                    <w:t>0.2</w:t>
                  </w:r>
                </w:p>
              </w:tc>
            </w:tr>
            <w:tr w14:paraId="5C35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63" w:type="dxa"/>
                  <w:vMerge w:val="continue"/>
                  <w:vAlign w:val="center"/>
                </w:tcPr>
                <w:p w14:paraId="4E108B6E">
                  <w:pPr>
                    <w:pStyle w:val="14"/>
                    <w:spacing w:before="0" w:after="0" w:line="240" w:lineRule="auto"/>
                    <w:ind w:right="0"/>
                  </w:pPr>
                </w:p>
              </w:tc>
              <w:tc>
                <w:tcPr>
                  <w:tcW w:w="1300" w:type="dxa"/>
                  <w:gridSpan w:val="2"/>
                  <w:vMerge w:val="restart"/>
                  <w:vAlign w:val="center"/>
                </w:tcPr>
                <w:p w14:paraId="6BC1DC97">
                  <w:pPr>
                    <w:pStyle w:val="14"/>
                    <w:spacing w:before="0" w:after="0" w:line="240" w:lineRule="auto"/>
                    <w:ind w:right="0"/>
                    <w:jc w:val="center"/>
                    <w:rPr>
                      <w:sz w:val="21"/>
                      <w:szCs w:val="21"/>
                    </w:rPr>
                  </w:pPr>
                  <w:r>
                    <w:rPr>
                      <w:sz w:val="21"/>
                      <w:szCs w:val="21"/>
                    </w:rPr>
                    <w:t>拆解过程</w:t>
                  </w:r>
                </w:p>
              </w:tc>
              <w:tc>
                <w:tcPr>
                  <w:tcW w:w="1565" w:type="dxa"/>
                  <w:vAlign w:val="center"/>
                </w:tcPr>
                <w:p w14:paraId="073880B3">
                  <w:pPr>
                    <w:pStyle w:val="14"/>
                    <w:spacing w:before="0" w:after="0" w:line="240" w:lineRule="auto"/>
                    <w:ind w:right="0"/>
                    <w:jc w:val="center"/>
                    <w:rPr>
                      <w:sz w:val="21"/>
                      <w:szCs w:val="21"/>
                    </w:rPr>
                  </w:pPr>
                  <w:r>
                    <w:rPr>
                      <w:sz w:val="21"/>
                      <w:szCs w:val="21"/>
                    </w:rPr>
                    <w:t>碎玻璃、碎皮革等不可回收物</w:t>
                  </w:r>
                </w:p>
              </w:tc>
              <w:tc>
                <w:tcPr>
                  <w:tcW w:w="4005" w:type="dxa"/>
                  <w:vMerge w:val="continue"/>
                  <w:vAlign w:val="center"/>
                </w:tcPr>
                <w:p w14:paraId="1DADFF9D">
                  <w:pPr>
                    <w:pStyle w:val="14"/>
                    <w:spacing w:before="0" w:after="0" w:line="240" w:lineRule="auto"/>
                    <w:ind w:right="0"/>
                    <w:rPr>
                      <w:sz w:val="21"/>
                      <w:szCs w:val="21"/>
                    </w:rPr>
                  </w:pPr>
                </w:p>
              </w:tc>
              <w:tc>
                <w:tcPr>
                  <w:tcW w:w="903" w:type="dxa"/>
                  <w:vMerge w:val="continue"/>
                  <w:vAlign w:val="center"/>
                </w:tcPr>
                <w:p w14:paraId="3733E06F">
                  <w:pPr>
                    <w:pStyle w:val="14"/>
                    <w:spacing w:before="0" w:after="0" w:line="240" w:lineRule="auto"/>
                    <w:ind w:right="0"/>
                    <w:rPr>
                      <w:sz w:val="21"/>
                      <w:szCs w:val="21"/>
                    </w:rPr>
                  </w:pPr>
                </w:p>
              </w:tc>
            </w:tr>
            <w:tr w14:paraId="0E70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563" w:type="dxa"/>
                  <w:vMerge w:val="continue"/>
                  <w:vAlign w:val="center"/>
                </w:tcPr>
                <w:p w14:paraId="188E5178">
                  <w:pPr>
                    <w:pStyle w:val="14"/>
                    <w:spacing w:before="0" w:after="0" w:line="240" w:lineRule="auto"/>
                    <w:ind w:right="0"/>
                  </w:pPr>
                </w:p>
              </w:tc>
              <w:tc>
                <w:tcPr>
                  <w:tcW w:w="1300" w:type="dxa"/>
                  <w:gridSpan w:val="2"/>
                  <w:vMerge w:val="continue"/>
                  <w:vAlign w:val="center"/>
                </w:tcPr>
                <w:p w14:paraId="26D81F12">
                  <w:pPr>
                    <w:pStyle w:val="14"/>
                    <w:spacing w:before="0" w:after="0" w:line="240" w:lineRule="auto"/>
                    <w:ind w:right="0"/>
                    <w:jc w:val="center"/>
                    <w:rPr>
                      <w:sz w:val="21"/>
                      <w:szCs w:val="21"/>
                    </w:rPr>
                  </w:pPr>
                </w:p>
              </w:tc>
              <w:tc>
                <w:tcPr>
                  <w:tcW w:w="1565" w:type="dxa"/>
                  <w:vAlign w:val="center"/>
                </w:tcPr>
                <w:p w14:paraId="4C2CAB0A">
                  <w:pPr>
                    <w:pStyle w:val="14"/>
                    <w:spacing w:before="0" w:after="0" w:line="240" w:lineRule="auto"/>
                    <w:ind w:right="0"/>
                    <w:jc w:val="center"/>
                    <w:rPr>
                      <w:sz w:val="21"/>
                      <w:szCs w:val="21"/>
                    </w:rPr>
                  </w:pPr>
                  <w:r>
                    <w:rPr>
                      <w:sz w:val="21"/>
                      <w:szCs w:val="21"/>
                    </w:rPr>
                    <w:t>除尘器收尘</w:t>
                  </w:r>
                </w:p>
              </w:tc>
              <w:tc>
                <w:tcPr>
                  <w:tcW w:w="4005" w:type="dxa"/>
                  <w:vMerge w:val="continue"/>
                  <w:vAlign w:val="center"/>
                </w:tcPr>
                <w:p w14:paraId="68AA6CA2">
                  <w:pPr>
                    <w:pStyle w:val="14"/>
                    <w:spacing w:before="0" w:after="0" w:line="240" w:lineRule="auto"/>
                    <w:ind w:right="0"/>
                    <w:rPr>
                      <w:sz w:val="21"/>
                      <w:szCs w:val="21"/>
                    </w:rPr>
                  </w:pPr>
                </w:p>
              </w:tc>
              <w:tc>
                <w:tcPr>
                  <w:tcW w:w="903" w:type="dxa"/>
                  <w:vMerge w:val="continue"/>
                  <w:vAlign w:val="center"/>
                </w:tcPr>
                <w:p w14:paraId="6D16600F">
                  <w:pPr>
                    <w:pStyle w:val="14"/>
                    <w:spacing w:before="0" w:after="0" w:line="240" w:lineRule="auto"/>
                    <w:ind w:right="0"/>
                    <w:rPr>
                      <w:sz w:val="21"/>
                      <w:szCs w:val="21"/>
                    </w:rPr>
                  </w:pPr>
                </w:p>
              </w:tc>
            </w:tr>
            <w:tr w14:paraId="65A0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563" w:type="dxa"/>
                  <w:vMerge w:val="continue"/>
                  <w:vAlign w:val="center"/>
                </w:tcPr>
                <w:p w14:paraId="7E419DFF">
                  <w:pPr>
                    <w:pStyle w:val="14"/>
                    <w:spacing w:before="0" w:after="0" w:line="240" w:lineRule="auto"/>
                    <w:ind w:right="0"/>
                    <w:jc w:val="center"/>
                    <w:rPr>
                      <w:sz w:val="21"/>
                      <w:szCs w:val="21"/>
                    </w:rPr>
                  </w:pPr>
                </w:p>
              </w:tc>
              <w:tc>
                <w:tcPr>
                  <w:tcW w:w="1300" w:type="dxa"/>
                  <w:gridSpan w:val="2"/>
                  <w:vMerge w:val="continue"/>
                  <w:vAlign w:val="center"/>
                </w:tcPr>
                <w:p w14:paraId="36574C0E">
                  <w:pPr>
                    <w:pStyle w:val="14"/>
                    <w:spacing w:before="0" w:after="0" w:line="240" w:lineRule="auto"/>
                    <w:ind w:right="0"/>
                    <w:jc w:val="center"/>
                    <w:rPr>
                      <w:sz w:val="21"/>
                      <w:szCs w:val="21"/>
                    </w:rPr>
                  </w:pPr>
                </w:p>
              </w:tc>
              <w:tc>
                <w:tcPr>
                  <w:tcW w:w="1565" w:type="dxa"/>
                  <w:shd w:val="clear" w:color="auto" w:fill="auto"/>
                  <w:vAlign w:val="center"/>
                </w:tcPr>
                <w:p w14:paraId="4E0D77D9">
                  <w:pPr>
                    <w:pStyle w:val="14"/>
                    <w:spacing w:before="0" w:after="0" w:line="240" w:lineRule="auto"/>
                    <w:ind w:right="0"/>
                    <w:jc w:val="center"/>
                    <w:rPr>
                      <w:sz w:val="21"/>
                      <w:szCs w:val="21"/>
                    </w:rPr>
                  </w:pPr>
                  <w:r>
                    <w:rPr>
                      <w:sz w:val="21"/>
                      <w:szCs w:val="21"/>
                    </w:rPr>
                    <w:t>废活性炭</w:t>
                  </w:r>
                </w:p>
              </w:tc>
              <w:tc>
                <w:tcPr>
                  <w:tcW w:w="4005" w:type="dxa"/>
                  <w:vMerge w:val="restart"/>
                  <w:vAlign w:val="center"/>
                </w:tcPr>
                <w:p w14:paraId="75BB9399">
                  <w:pPr>
                    <w:pStyle w:val="14"/>
                    <w:spacing w:before="0" w:after="0" w:line="240" w:lineRule="auto"/>
                    <w:ind w:right="0"/>
                    <w:jc w:val="center"/>
                    <w:rPr>
                      <w:sz w:val="21"/>
                      <w:szCs w:val="21"/>
                    </w:rPr>
                  </w:pPr>
                  <w:r>
                    <w:rPr>
                      <w:sz w:val="21"/>
                      <w:szCs w:val="21"/>
                    </w:rPr>
                    <w:t>危废暂存间：占地面积40m</w:t>
                  </w:r>
                  <w:r>
                    <w:rPr>
                      <w:sz w:val="21"/>
                      <w:szCs w:val="21"/>
                      <w:vertAlign w:val="superscript"/>
                    </w:rPr>
                    <w:t>2</w:t>
                  </w:r>
                  <w:r>
                    <w:rPr>
                      <w:sz w:val="21"/>
                      <w:szCs w:val="21"/>
                    </w:rPr>
                    <w:t>，按照《危险废物贮存污染控制标准》（GB18597-2023）要求建设危险废物暂存间</w:t>
                  </w:r>
                </w:p>
              </w:tc>
              <w:tc>
                <w:tcPr>
                  <w:tcW w:w="903" w:type="dxa"/>
                  <w:vMerge w:val="restart"/>
                  <w:vAlign w:val="center"/>
                </w:tcPr>
                <w:p w14:paraId="381A57A2">
                  <w:pPr>
                    <w:pStyle w:val="14"/>
                    <w:spacing w:before="0" w:after="0" w:line="240" w:lineRule="auto"/>
                    <w:ind w:right="0"/>
                    <w:jc w:val="center"/>
                    <w:rPr>
                      <w:sz w:val="21"/>
                      <w:szCs w:val="21"/>
                    </w:rPr>
                  </w:pPr>
                  <w:r>
                    <w:rPr>
                      <w:sz w:val="21"/>
                      <w:szCs w:val="21"/>
                    </w:rPr>
                    <w:t>1.0</w:t>
                  </w:r>
                </w:p>
              </w:tc>
            </w:tr>
            <w:tr w14:paraId="492B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563" w:type="dxa"/>
                  <w:vMerge w:val="continue"/>
                  <w:vAlign w:val="center"/>
                </w:tcPr>
                <w:p w14:paraId="60871B68">
                  <w:pPr>
                    <w:pStyle w:val="14"/>
                    <w:spacing w:before="0" w:after="0" w:line="240" w:lineRule="auto"/>
                    <w:ind w:right="0"/>
                    <w:jc w:val="center"/>
                    <w:rPr>
                      <w:sz w:val="21"/>
                      <w:szCs w:val="21"/>
                    </w:rPr>
                  </w:pPr>
                </w:p>
              </w:tc>
              <w:tc>
                <w:tcPr>
                  <w:tcW w:w="1300" w:type="dxa"/>
                  <w:gridSpan w:val="2"/>
                  <w:vMerge w:val="continue"/>
                  <w:vAlign w:val="center"/>
                </w:tcPr>
                <w:p w14:paraId="3A333D1F">
                  <w:pPr>
                    <w:pStyle w:val="14"/>
                    <w:spacing w:before="0" w:after="0" w:line="240" w:lineRule="auto"/>
                    <w:ind w:right="0"/>
                    <w:jc w:val="center"/>
                    <w:rPr>
                      <w:sz w:val="21"/>
                      <w:szCs w:val="21"/>
                    </w:rPr>
                  </w:pPr>
                </w:p>
              </w:tc>
              <w:tc>
                <w:tcPr>
                  <w:tcW w:w="1565" w:type="dxa"/>
                  <w:shd w:val="clear" w:color="auto" w:fill="auto"/>
                  <w:vAlign w:val="center"/>
                </w:tcPr>
                <w:p w14:paraId="5ABCAE05">
                  <w:pPr>
                    <w:pStyle w:val="14"/>
                    <w:spacing w:before="0" w:after="0" w:line="240" w:lineRule="auto"/>
                    <w:ind w:right="0"/>
                    <w:jc w:val="center"/>
                    <w:rPr>
                      <w:sz w:val="21"/>
                      <w:szCs w:val="21"/>
                    </w:rPr>
                  </w:pPr>
                  <w:r>
                    <w:rPr>
                      <w:sz w:val="21"/>
                      <w:szCs w:val="21"/>
                    </w:rPr>
                    <w:t>废油液</w:t>
                  </w:r>
                </w:p>
              </w:tc>
              <w:tc>
                <w:tcPr>
                  <w:tcW w:w="4005" w:type="dxa"/>
                  <w:vMerge w:val="continue"/>
                  <w:vAlign w:val="center"/>
                </w:tcPr>
                <w:p w14:paraId="136CD4E7">
                  <w:pPr>
                    <w:pStyle w:val="14"/>
                    <w:spacing w:before="0" w:after="0" w:line="240" w:lineRule="auto"/>
                    <w:ind w:right="0"/>
                    <w:jc w:val="center"/>
                    <w:rPr>
                      <w:sz w:val="21"/>
                      <w:szCs w:val="21"/>
                    </w:rPr>
                  </w:pPr>
                </w:p>
              </w:tc>
              <w:tc>
                <w:tcPr>
                  <w:tcW w:w="903" w:type="dxa"/>
                  <w:vMerge w:val="continue"/>
                  <w:vAlign w:val="center"/>
                </w:tcPr>
                <w:p w14:paraId="513068A6">
                  <w:pPr>
                    <w:pStyle w:val="14"/>
                    <w:spacing w:before="0" w:after="0" w:line="240" w:lineRule="auto"/>
                    <w:ind w:right="0"/>
                    <w:jc w:val="center"/>
                    <w:rPr>
                      <w:sz w:val="21"/>
                      <w:szCs w:val="21"/>
                    </w:rPr>
                  </w:pPr>
                </w:p>
              </w:tc>
            </w:tr>
            <w:tr w14:paraId="277D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563" w:type="dxa"/>
                  <w:vMerge w:val="continue"/>
                  <w:vAlign w:val="center"/>
                </w:tcPr>
                <w:p w14:paraId="27DE7814">
                  <w:pPr>
                    <w:pStyle w:val="14"/>
                    <w:spacing w:before="0" w:after="0" w:line="240" w:lineRule="auto"/>
                    <w:ind w:right="0"/>
                    <w:jc w:val="center"/>
                    <w:rPr>
                      <w:sz w:val="21"/>
                      <w:szCs w:val="21"/>
                    </w:rPr>
                  </w:pPr>
                </w:p>
              </w:tc>
              <w:tc>
                <w:tcPr>
                  <w:tcW w:w="1300" w:type="dxa"/>
                  <w:gridSpan w:val="2"/>
                  <w:vMerge w:val="continue"/>
                  <w:vAlign w:val="center"/>
                </w:tcPr>
                <w:p w14:paraId="1CB152B0">
                  <w:pPr>
                    <w:pStyle w:val="14"/>
                    <w:spacing w:before="0" w:after="0" w:line="240" w:lineRule="auto"/>
                    <w:ind w:right="0"/>
                    <w:jc w:val="center"/>
                    <w:rPr>
                      <w:sz w:val="21"/>
                      <w:szCs w:val="21"/>
                    </w:rPr>
                  </w:pPr>
                </w:p>
              </w:tc>
              <w:tc>
                <w:tcPr>
                  <w:tcW w:w="1565" w:type="dxa"/>
                  <w:shd w:val="clear" w:color="auto" w:fill="auto"/>
                  <w:vAlign w:val="center"/>
                </w:tcPr>
                <w:p w14:paraId="59BDDEFC">
                  <w:pPr>
                    <w:pStyle w:val="14"/>
                    <w:spacing w:before="0" w:after="0" w:line="240" w:lineRule="auto"/>
                    <w:ind w:right="0"/>
                    <w:jc w:val="center"/>
                    <w:rPr>
                      <w:sz w:val="21"/>
                      <w:szCs w:val="21"/>
                    </w:rPr>
                  </w:pPr>
                  <w:r>
                    <w:rPr>
                      <w:sz w:val="21"/>
                      <w:szCs w:val="21"/>
                    </w:rPr>
                    <w:t>废油桶</w:t>
                  </w:r>
                </w:p>
              </w:tc>
              <w:tc>
                <w:tcPr>
                  <w:tcW w:w="4005" w:type="dxa"/>
                  <w:vMerge w:val="continue"/>
                  <w:vAlign w:val="center"/>
                </w:tcPr>
                <w:p w14:paraId="64205A76">
                  <w:pPr>
                    <w:pStyle w:val="14"/>
                    <w:spacing w:before="0" w:after="0" w:line="240" w:lineRule="auto"/>
                    <w:ind w:right="0"/>
                    <w:jc w:val="center"/>
                    <w:rPr>
                      <w:sz w:val="21"/>
                      <w:szCs w:val="21"/>
                    </w:rPr>
                  </w:pPr>
                </w:p>
              </w:tc>
              <w:tc>
                <w:tcPr>
                  <w:tcW w:w="903" w:type="dxa"/>
                  <w:vMerge w:val="continue"/>
                  <w:vAlign w:val="center"/>
                </w:tcPr>
                <w:p w14:paraId="483B56CE">
                  <w:pPr>
                    <w:pStyle w:val="14"/>
                    <w:spacing w:before="0" w:after="0" w:line="240" w:lineRule="auto"/>
                    <w:ind w:right="0"/>
                    <w:jc w:val="center"/>
                    <w:rPr>
                      <w:sz w:val="21"/>
                      <w:szCs w:val="21"/>
                    </w:rPr>
                  </w:pPr>
                </w:p>
              </w:tc>
            </w:tr>
            <w:tr w14:paraId="5960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563" w:type="dxa"/>
                  <w:vMerge w:val="continue"/>
                  <w:vAlign w:val="center"/>
                </w:tcPr>
                <w:p w14:paraId="25DD62FD">
                  <w:pPr>
                    <w:pStyle w:val="14"/>
                    <w:spacing w:before="0" w:after="0" w:line="240" w:lineRule="auto"/>
                    <w:ind w:right="0"/>
                    <w:jc w:val="center"/>
                    <w:rPr>
                      <w:sz w:val="21"/>
                      <w:szCs w:val="21"/>
                    </w:rPr>
                  </w:pPr>
                </w:p>
              </w:tc>
              <w:tc>
                <w:tcPr>
                  <w:tcW w:w="1300" w:type="dxa"/>
                  <w:gridSpan w:val="2"/>
                  <w:vMerge w:val="continue"/>
                  <w:vAlign w:val="center"/>
                </w:tcPr>
                <w:p w14:paraId="392B452C">
                  <w:pPr>
                    <w:pStyle w:val="14"/>
                    <w:spacing w:before="0" w:after="0" w:line="240" w:lineRule="auto"/>
                    <w:ind w:right="0"/>
                    <w:jc w:val="center"/>
                    <w:rPr>
                      <w:sz w:val="21"/>
                      <w:szCs w:val="21"/>
                    </w:rPr>
                  </w:pPr>
                </w:p>
              </w:tc>
              <w:tc>
                <w:tcPr>
                  <w:tcW w:w="1565" w:type="dxa"/>
                  <w:shd w:val="clear" w:color="auto" w:fill="auto"/>
                  <w:vAlign w:val="center"/>
                </w:tcPr>
                <w:p w14:paraId="4C098AD7">
                  <w:pPr>
                    <w:pStyle w:val="14"/>
                    <w:spacing w:before="0" w:after="0" w:line="240" w:lineRule="auto"/>
                    <w:ind w:right="0"/>
                    <w:jc w:val="center"/>
                    <w:rPr>
                      <w:sz w:val="21"/>
                      <w:szCs w:val="21"/>
                    </w:rPr>
                  </w:pPr>
                  <w:r>
                    <w:rPr>
                      <w:sz w:val="21"/>
                      <w:szCs w:val="21"/>
                    </w:rPr>
                    <w:t>废尾气净化装置</w:t>
                  </w:r>
                </w:p>
              </w:tc>
              <w:tc>
                <w:tcPr>
                  <w:tcW w:w="4005" w:type="dxa"/>
                  <w:vMerge w:val="continue"/>
                  <w:vAlign w:val="center"/>
                </w:tcPr>
                <w:p w14:paraId="25203C7D">
                  <w:pPr>
                    <w:pStyle w:val="14"/>
                    <w:spacing w:before="0" w:after="0" w:line="240" w:lineRule="auto"/>
                    <w:ind w:right="0"/>
                    <w:jc w:val="center"/>
                    <w:rPr>
                      <w:sz w:val="21"/>
                      <w:szCs w:val="21"/>
                    </w:rPr>
                  </w:pPr>
                </w:p>
              </w:tc>
              <w:tc>
                <w:tcPr>
                  <w:tcW w:w="903" w:type="dxa"/>
                  <w:vMerge w:val="continue"/>
                  <w:vAlign w:val="center"/>
                </w:tcPr>
                <w:p w14:paraId="60BD4DD7">
                  <w:pPr>
                    <w:pStyle w:val="14"/>
                    <w:spacing w:before="0" w:after="0" w:line="240" w:lineRule="auto"/>
                    <w:ind w:right="0"/>
                    <w:jc w:val="center"/>
                    <w:rPr>
                      <w:sz w:val="21"/>
                      <w:szCs w:val="21"/>
                    </w:rPr>
                  </w:pPr>
                </w:p>
              </w:tc>
            </w:tr>
            <w:tr w14:paraId="299F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563" w:type="dxa"/>
                  <w:vMerge w:val="continue"/>
                  <w:vAlign w:val="center"/>
                </w:tcPr>
                <w:p w14:paraId="58D50671">
                  <w:pPr>
                    <w:pStyle w:val="14"/>
                    <w:spacing w:before="0" w:after="0" w:line="240" w:lineRule="auto"/>
                    <w:ind w:right="0"/>
                    <w:jc w:val="center"/>
                    <w:rPr>
                      <w:sz w:val="21"/>
                      <w:szCs w:val="21"/>
                    </w:rPr>
                  </w:pPr>
                </w:p>
              </w:tc>
              <w:tc>
                <w:tcPr>
                  <w:tcW w:w="1300" w:type="dxa"/>
                  <w:gridSpan w:val="2"/>
                  <w:vMerge w:val="continue"/>
                  <w:vAlign w:val="center"/>
                </w:tcPr>
                <w:p w14:paraId="7F64FD55">
                  <w:pPr>
                    <w:pStyle w:val="14"/>
                    <w:spacing w:before="0" w:after="0" w:line="240" w:lineRule="auto"/>
                    <w:ind w:right="0"/>
                    <w:jc w:val="center"/>
                    <w:rPr>
                      <w:sz w:val="21"/>
                      <w:szCs w:val="21"/>
                    </w:rPr>
                  </w:pPr>
                </w:p>
              </w:tc>
              <w:tc>
                <w:tcPr>
                  <w:tcW w:w="1565" w:type="dxa"/>
                  <w:shd w:val="clear" w:color="auto" w:fill="auto"/>
                  <w:vAlign w:val="center"/>
                </w:tcPr>
                <w:p w14:paraId="60578F60">
                  <w:pPr>
                    <w:pStyle w:val="14"/>
                    <w:spacing w:before="0" w:after="0" w:line="240" w:lineRule="auto"/>
                    <w:ind w:right="0"/>
                    <w:jc w:val="center"/>
                    <w:rPr>
                      <w:sz w:val="21"/>
                      <w:szCs w:val="21"/>
                    </w:rPr>
                  </w:pPr>
                  <w:r>
                    <w:rPr>
                      <w:sz w:val="21"/>
                      <w:szCs w:val="21"/>
                    </w:rPr>
                    <w:t>废机油滤清器</w:t>
                  </w:r>
                </w:p>
              </w:tc>
              <w:tc>
                <w:tcPr>
                  <w:tcW w:w="4005" w:type="dxa"/>
                  <w:vMerge w:val="continue"/>
                  <w:vAlign w:val="center"/>
                </w:tcPr>
                <w:p w14:paraId="1A244C7D">
                  <w:pPr>
                    <w:pStyle w:val="14"/>
                    <w:spacing w:before="0" w:after="0" w:line="240" w:lineRule="auto"/>
                    <w:ind w:right="0"/>
                    <w:jc w:val="center"/>
                    <w:rPr>
                      <w:sz w:val="21"/>
                      <w:szCs w:val="21"/>
                    </w:rPr>
                  </w:pPr>
                </w:p>
              </w:tc>
              <w:tc>
                <w:tcPr>
                  <w:tcW w:w="903" w:type="dxa"/>
                  <w:vMerge w:val="continue"/>
                  <w:vAlign w:val="center"/>
                </w:tcPr>
                <w:p w14:paraId="7D971F7D">
                  <w:pPr>
                    <w:pStyle w:val="14"/>
                    <w:spacing w:before="0" w:after="0" w:line="240" w:lineRule="auto"/>
                    <w:ind w:right="0"/>
                    <w:jc w:val="center"/>
                    <w:rPr>
                      <w:sz w:val="21"/>
                      <w:szCs w:val="21"/>
                    </w:rPr>
                  </w:pPr>
                </w:p>
              </w:tc>
            </w:tr>
            <w:tr w14:paraId="68B3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563" w:type="dxa"/>
                  <w:vMerge w:val="continue"/>
                  <w:vAlign w:val="center"/>
                </w:tcPr>
                <w:p w14:paraId="7876701C">
                  <w:pPr>
                    <w:pStyle w:val="14"/>
                    <w:spacing w:before="0" w:after="0" w:line="240" w:lineRule="auto"/>
                    <w:ind w:right="0"/>
                    <w:jc w:val="center"/>
                    <w:rPr>
                      <w:sz w:val="21"/>
                      <w:szCs w:val="21"/>
                    </w:rPr>
                  </w:pPr>
                </w:p>
              </w:tc>
              <w:tc>
                <w:tcPr>
                  <w:tcW w:w="1300" w:type="dxa"/>
                  <w:gridSpan w:val="2"/>
                  <w:vMerge w:val="continue"/>
                  <w:vAlign w:val="center"/>
                </w:tcPr>
                <w:p w14:paraId="72B7D1AA">
                  <w:pPr>
                    <w:pStyle w:val="14"/>
                    <w:spacing w:before="0" w:after="0" w:line="240" w:lineRule="auto"/>
                    <w:ind w:right="0"/>
                    <w:jc w:val="center"/>
                    <w:rPr>
                      <w:sz w:val="21"/>
                      <w:szCs w:val="21"/>
                    </w:rPr>
                  </w:pPr>
                </w:p>
              </w:tc>
              <w:tc>
                <w:tcPr>
                  <w:tcW w:w="1565" w:type="dxa"/>
                  <w:vAlign w:val="center"/>
                </w:tcPr>
                <w:p w14:paraId="10F34B64">
                  <w:pPr>
                    <w:pStyle w:val="14"/>
                    <w:spacing w:before="0" w:after="0" w:line="240" w:lineRule="auto"/>
                    <w:ind w:right="0"/>
                    <w:jc w:val="center"/>
                    <w:rPr>
                      <w:sz w:val="21"/>
                      <w:szCs w:val="21"/>
                    </w:rPr>
                  </w:pPr>
                  <w:r>
                    <w:rPr>
                      <w:sz w:val="21"/>
                      <w:szCs w:val="21"/>
                    </w:rPr>
                    <w:t>废电子电器件</w:t>
                  </w:r>
                </w:p>
              </w:tc>
              <w:tc>
                <w:tcPr>
                  <w:tcW w:w="4005" w:type="dxa"/>
                  <w:vMerge w:val="continue"/>
                  <w:vAlign w:val="center"/>
                </w:tcPr>
                <w:p w14:paraId="609FECB4">
                  <w:pPr>
                    <w:pStyle w:val="14"/>
                    <w:spacing w:before="0" w:after="0" w:line="240" w:lineRule="auto"/>
                    <w:ind w:right="0"/>
                    <w:jc w:val="center"/>
                    <w:rPr>
                      <w:sz w:val="21"/>
                      <w:szCs w:val="21"/>
                    </w:rPr>
                  </w:pPr>
                </w:p>
              </w:tc>
              <w:tc>
                <w:tcPr>
                  <w:tcW w:w="903" w:type="dxa"/>
                  <w:vMerge w:val="continue"/>
                  <w:vAlign w:val="center"/>
                </w:tcPr>
                <w:p w14:paraId="7248AA20">
                  <w:pPr>
                    <w:pStyle w:val="14"/>
                    <w:spacing w:before="0" w:after="0" w:line="240" w:lineRule="auto"/>
                    <w:ind w:right="0"/>
                    <w:jc w:val="center"/>
                    <w:rPr>
                      <w:sz w:val="21"/>
                      <w:szCs w:val="21"/>
                    </w:rPr>
                  </w:pPr>
                </w:p>
              </w:tc>
            </w:tr>
            <w:tr w14:paraId="39F8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563" w:type="dxa"/>
                  <w:vMerge w:val="continue"/>
                  <w:vAlign w:val="center"/>
                </w:tcPr>
                <w:p w14:paraId="4B4F1005">
                  <w:pPr>
                    <w:pStyle w:val="14"/>
                    <w:spacing w:before="0" w:after="0" w:line="240" w:lineRule="auto"/>
                    <w:ind w:right="0"/>
                    <w:jc w:val="center"/>
                    <w:rPr>
                      <w:sz w:val="21"/>
                      <w:szCs w:val="21"/>
                    </w:rPr>
                  </w:pPr>
                </w:p>
              </w:tc>
              <w:tc>
                <w:tcPr>
                  <w:tcW w:w="1300" w:type="dxa"/>
                  <w:gridSpan w:val="2"/>
                  <w:vMerge w:val="continue"/>
                  <w:vAlign w:val="center"/>
                </w:tcPr>
                <w:p w14:paraId="3326786B">
                  <w:pPr>
                    <w:pStyle w:val="14"/>
                    <w:spacing w:before="0" w:after="0" w:line="240" w:lineRule="auto"/>
                    <w:ind w:right="0"/>
                    <w:jc w:val="center"/>
                    <w:rPr>
                      <w:sz w:val="21"/>
                      <w:szCs w:val="21"/>
                    </w:rPr>
                  </w:pPr>
                </w:p>
              </w:tc>
              <w:tc>
                <w:tcPr>
                  <w:tcW w:w="1565" w:type="dxa"/>
                  <w:vAlign w:val="center"/>
                </w:tcPr>
                <w:p w14:paraId="65E66A39">
                  <w:pPr>
                    <w:pStyle w:val="14"/>
                    <w:spacing w:before="0" w:after="0" w:line="240" w:lineRule="auto"/>
                    <w:ind w:right="0"/>
                    <w:jc w:val="center"/>
                    <w:rPr>
                      <w:sz w:val="21"/>
                      <w:szCs w:val="21"/>
                    </w:rPr>
                  </w:pPr>
                  <w:r>
                    <w:rPr>
                      <w:rFonts w:hint="eastAsia"/>
                      <w:sz w:val="21"/>
                      <w:szCs w:val="21"/>
                    </w:rPr>
                    <w:t>废铅蓄电池</w:t>
                  </w:r>
                </w:p>
              </w:tc>
              <w:tc>
                <w:tcPr>
                  <w:tcW w:w="4005" w:type="dxa"/>
                  <w:vMerge w:val="continue"/>
                  <w:vAlign w:val="center"/>
                </w:tcPr>
                <w:p w14:paraId="5386063D">
                  <w:pPr>
                    <w:pStyle w:val="14"/>
                    <w:spacing w:before="0" w:after="0" w:line="240" w:lineRule="auto"/>
                    <w:ind w:right="0"/>
                    <w:jc w:val="center"/>
                    <w:rPr>
                      <w:sz w:val="21"/>
                      <w:szCs w:val="21"/>
                    </w:rPr>
                  </w:pPr>
                </w:p>
              </w:tc>
              <w:tc>
                <w:tcPr>
                  <w:tcW w:w="903" w:type="dxa"/>
                  <w:vMerge w:val="continue"/>
                  <w:vAlign w:val="center"/>
                </w:tcPr>
                <w:p w14:paraId="57AA43D3">
                  <w:pPr>
                    <w:pStyle w:val="14"/>
                    <w:spacing w:before="0" w:after="0" w:line="240" w:lineRule="auto"/>
                    <w:ind w:right="0"/>
                    <w:jc w:val="center"/>
                    <w:rPr>
                      <w:sz w:val="21"/>
                      <w:szCs w:val="21"/>
                    </w:rPr>
                  </w:pPr>
                </w:p>
              </w:tc>
            </w:tr>
            <w:tr w14:paraId="4BF2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563" w:type="dxa"/>
                  <w:vMerge w:val="continue"/>
                  <w:vAlign w:val="center"/>
                </w:tcPr>
                <w:p w14:paraId="1C64A21B">
                  <w:pPr>
                    <w:pStyle w:val="14"/>
                    <w:spacing w:before="0" w:after="0" w:line="240" w:lineRule="auto"/>
                    <w:ind w:right="0"/>
                    <w:jc w:val="center"/>
                    <w:rPr>
                      <w:sz w:val="21"/>
                      <w:szCs w:val="21"/>
                    </w:rPr>
                  </w:pPr>
                </w:p>
              </w:tc>
              <w:tc>
                <w:tcPr>
                  <w:tcW w:w="1300" w:type="dxa"/>
                  <w:gridSpan w:val="2"/>
                  <w:vMerge w:val="continue"/>
                  <w:vAlign w:val="center"/>
                </w:tcPr>
                <w:p w14:paraId="5BABB814">
                  <w:pPr>
                    <w:pStyle w:val="14"/>
                    <w:spacing w:before="0" w:after="0" w:line="240" w:lineRule="auto"/>
                    <w:ind w:right="0"/>
                    <w:jc w:val="center"/>
                    <w:rPr>
                      <w:sz w:val="21"/>
                      <w:szCs w:val="21"/>
                    </w:rPr>
                  </w:pPr>
                </w:p>
              </w:tc>
              <w:tc>
                <w:tcPr>
                  <w:tcW w:w="1565" w:type="dxa"/>
                  <w:vAlign w:val="center"/>
                </w:tcPr>
                <w:p w14:paraId="65C1C209">
                  <w:pPr>
                    <w:pStyle w:val="14"/>
                    <w:spacing w:before="0" w:after="0" w:line="240" w:lineRule="auto"/>
                    <w:ind w:right="0"/>
                    <w:jc w:val="center"/>
                    <w:rPr>
                      <w:sz w:val="21"/>
                      <w:szCs w:val="21"/>
                    </w:rPr>
                  </w:pPr>
                  <w:r>
                    <w:rPr>
                      <w:sz w:val="21"/>
                      <w:szCs w:val="21"/>
                    </w:rPr>
                    <w:t>含油抹布及手套</w:t>
                  </w:r>
                </w:p>
              </w:tc>
              <w:tc>
                <w:tcPr>
                  <w:tcW w:w="4005" w:type="dxa"/>
                  <w:vMerge w:val="continue"/>
                  <w:vAlign w:val="center"/>
                </w:tcPr>
                <w:p w14:paraId="553DCD40">
                  <w:pPr>
                    <w:pStyle w:val="14"/>
                    <w:spacing w:before="0" w:after="0" w:line="240" w:lineRule="auto"/>
                    <w:ind w:right="0"/>
                    <w:jc w:val="center"/>
                    <w:rPr>
                      <w:sz w:val="21"/>
                      <w:szCs w:val="21"/>
                    </w:rPr>
                  </w:pPr>
                </w:p>
              </w:tc>
              <w:tc>
                <w:tcPr>
                  <w:tcW w:w="903" w:type="dxa"/>
                  <w:vMerge w:val="continue"/>
                  <w:vAlign w:val="center"/>
                </w:tcPr>
                <w:p w14:paraId="3EF8055D">
                  <w:pPr>
                    <w:pStyle w:val="14"/>
                    <w:spacing w:before="0" w:after="0" w:line="240" w:lineRule="auto"/>
                    <w:ind w:right="0"/>
                    <w:jc w:val="center"/>
                    <w:rPr>
                      <w:sz w:val="21"/>
                      <w:szCs w:val="21"/>
                    </w:rPr>
                  </w:pPr>
                </w:p>
              </w:tc>
            </w:tr>
            <w:tr w14:paraId="33B2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563" w:type="dxa"/>
                  <w:vMerge w:val="continue"/>
                  <w:vAlign w:val="center"/>
                </w:tcPr>
                <w:p w14:paraId="3495E423">
                  <w:pPr>
                    <w:pStyle w:val="14"/>
                    <w:spacing w:before="0" w:after="0" w:line="240" w:lineRule="auto"/>
                    <w:ind w:right="0"/>
                    <w:jc w:val="center"/>
                    <w:rPr>
                      <w:sz w:val="21"/>
                      <w:szCs w:val="21"/>
                    </w:rPr>
                  </w:pPr>
                </w:p>
              </w:tc>
              <w:tc>
                <w:tcPr>
                  <w:tcW w:w="2865" w:type="dxa"/>
                  <w:gridSpan w:val="3"/>
                  <w:vAlign w:val="center"/>
                </w:tcPr>
                <w:p w14:paraId="755DCFDA">
                  <w:pPr>
                    <w:pStyle w:val="14"/>
                    <w:spacing w:before="0" w:after="0" w:line="240" w:lineRule="auto"/>
                    <w:ind w:right="0"/>
                    <w:jc w:val="center"/>
                    <w:rPr>
                      <w:sz w:val="21"/>
                      <w:szCs w:val="21"/>
                    </w:rPr>
                  </w:pPr>
                  <w:r>
                    <w:rPr>
                      <w:sz w:val="21"/>
                      <w:szCs w:val="21"/>
                    </w:rPr>
                    <w:t>生活垃圾</w:t>
                  </w:r>
                </w:p>
              </w:tc>
              <w:tc>
                <w:tcPr>
                  <w:tcW w:w="4005" w:type="dxa"/>
                  <w:vAlign w:val="center"/>
                </w:tcPr>
                <w:p w14:paraId="2AFBE6CB">
                  <w:pPr>
                    <w:pStyle w:val="14"/>
                    <w:spacing w:before="0" w:after="0" w:line="240" w:lineRule="auto"/>
                    <w:ind w:right="0"/>
                    <w:jc w:val="center"/>
                    <w:rPr>
                      <w:sz w:val="21"/>
                      <w:szCs w:val="21"/>
                    </w:rPr>
                  </w:pPr>
                  <w:r>
                    <w:rPr>
                      <w:sz w:val="21"/>
                      <w:szCs w:val="21"/>
                    </w:rPr>
                    <w:t>垃圾桶</w:t>
                  </w:r>
                </w:p>
              </w:tc>
              <w:tc>
                <w:tcPr>
                  <w:tcW w:w="903" w:type="dxa"/>
                  <w:vAlign w:val="center"/>
                </w:tcPr>
                <w:p w14:paraId="1CD1B252">
                  <w:pPr>
                    <w:pStyle w:val="14"/>
                    <w:spacing w:before="0" w:after="0" w:line="240" w:lineRule="auto"/>
                    <w:ind w:right="0"/>
                    <w:jc w:val="center"/>
                    <w:rPr>
                      <w:sz w:val="21"/>
                      <w:szCs w:val="21"/>
                    </w:rPr>
                  </w:pPr>
                  <w:r>
                    <w:rPr>
                      <w:sz w:val="21"/>
                      <w:szCs w:val="21"/>
                    </w:rPr>
                    <w:t>0.2</w:t>
                  </w:r>
                </w:p>
              </w:tc>
            </w:tr>
            <w:tr w14:paraId="7796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0" w:hRule="atLeast"/>
                <w:jc w:val="center"/>
              </w:trPr>
              <w:tc>
                <w:tcPr>
                  <w:tcW w:w="563" w:type="dxa"/>
                  <w:vAlign w:val="center"/>
                </w:tcPr>
                <w:p w14:paraId="6893C431">
                  <w:pPr>
                    <w:pStyle w:val="14"/>
                    <w:spacing w:before="0" w:after="0" w:line="240" w:lineRule="auto"/>
                    <w:ind w:right="0"/>
                    <w:jc w:val="center"/>
                    <w:rPr>
                      <w:sz w:val="21"/>
                      <w:szCs w:val="21"/>
                    </w:rPr>
                  </w:pPr>
                  <w:r>
                    <w:rPr>
                      <w:sz w:val="21"/>
                      <w:szCs w:val="21"/>
                    </w:rPr>
                    <w:t>地下水防渗</w:t>
                  </w:r>
                </w:p>
              </w:tc>
              <w:tc>
                <w:tcPr>
                  <w:tcW w:w="6870" w:type="dxa"/>
                  <w:gridSpan w:val="4"/>
                  <w:vAlign w:val="center"/>
                </w:tcPr>
                <w:p w14:paraId="07DA7381">
                  <w:pPr>
                    <w:pStyle w:val="14"/>
                    <w:spacing w:before="0" w:after="0" w:line="240" w:lineRule="auto"/>
                    <w:ind w:right="0"/>
                    <w:jc w:val="left"/>
                    <w:rPr>
                      <w:sz w:val="21"/>
                      <w:szCs w:val="21"/>
                    </w:rPr>
                  </w:pPr>
                  <w:r>
                    <w:rPr>
                      <w:sz w:val="21"/>
                      <w:szCs w:val="21"/>
                    </w:rPr>
                    <w:t>根据项目地下水、土壤污染源，按照评价要求采取分区防渗措施，定期对防渗措施检查，防止发生污染事故。预拆解区、危废暂存间、</w:t>
                  </w:r>
                  <w:r>
                    <w:rPr>
                      <w:rFonts w:hint="eastAsia"/>
                      <w:sz w:val="21"/>
                      <w:szCs w:val="21"/>
                    </w:rPr>
                    <w:t>应急</w:t>
                  </w:r>
                  <w:r>
                    <w:rPr>
                      <w:sz w:val="21"/>
                      <w:szCs w:val="21"/>
                    </w:rPr>
                    <w:t>事故池为重点防渗区：等效粘土防渗层Mb≥6m，K≤1×10</w:t>
                  </w:r>
                  <w:r>
                    <w:rPr>
                      <w:sz w:val="21"/>
                      <w:szCs w:val="21"/>
                      <w:vertAlign w:val="superscript"/>
                    </w:rPr>
                    <w:t>-7</w:t>
                  </w:r>
                  <w:r>
                    <w:rPr>
                      <w:sz w:val="21"/>
                      <w:szCs w:val="21"/>
                    </w:rPr>
                    <w:t>cm/s；同时危废暂存间设置围堰防止泄露物料外溢；拆解车间、初期雨水池、一般固废间、废旧农机存放区域等为一般防渗区：等效粘土防渗层Mb≥1.5m，K≤1×10</w:t>
                  </w:r>
                  <w:r>
                    <w:rPr>
                      <w:sz w:val="21"/>
                      <w:szCs w:val="21"/>
                      <w:vertAlign w:val="superscript"/>
                    </w:rPr>
                    <w:t>-7</w:t>
                  </w:r>
                  <w:r>
                    <w:rPr>
                      <w:sz w:val="21"/>
                      <w:szCs w:val="21"/>
                    </w:rPr>
                    <w:t>cm/s；办公</w:t>
                  </w:r>
                  <w:r>
                    <w:rPr>
                      <w:rFonts w:hint="eastAsia"/>
                      <w:sz w:val="21"/>
                      <w:szCs w:val="21"/>
                    </w:rPr>
                    <w:t>室</w:t>
                  </w:r>
                  <w:r>
                    <w:rPr>
                      <w:sz w:val="21"/>
                      <w:szCs w:val="21"/>
                    </w:rPr>
                    <w:t>及厂区道路等进行简单防渗：一般地面硬化</w:t>
                  </w:r>
                </w:p>
              </w:tc>
              <w:tc>
                <w:tcPr>
                  <w:tcW w:w="903" w:type="dxa"/>
                  <w:vAlign w:val="center"/>
                </w:tcPr>
                <w:p w14:paraId="628DDE53">
                  <w:pPr>
                    <w:pStyle w:val="14"/>
                    <w:spacing w:before="0" w:after="0" w:line="240" w:lineRule="auto"/>
                    <w:ind w:right="0"/>
                    <w:jc w:val="center"/>
                    <w:rPr>
                      <w:sz w:val="21"/>
                      <w:szCs w:val="21"/>
                    </w:rPr>
                  </w:pPr>
                  <w:r>
                    <w:rPr>
                      <w:sz w:val="21"/>
                      <w:szCs w:val="21"/>
                    </w:rPr>
                    <w:t>15</w:t>
                  </w:r>
                </w:p>
              </w:tc>
            </w:tr>
            <w:tr w14:paraId="2A1E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63" w:type="dxa"/>
                  <w:vAlign w:val="center"/>
                </w:tcPr>
                <w:p w14:paraId="752B4D50">
                  <w:pPr>
                    <w:pStyle w:val="14"/>
                    <w:spacing w:before="0" w:after="0" w:line="240" w:lineRule="auto"/>
                    <w:ind w:right="0"/>
                    <w:jc w:val="center"/>
                    <w:rPr>
                      <w:sz w:val="21"/>
                      <w:szCs w:val="21"/>
                    </w:rPr>
                  </w:pPr>
                  <w:r>
                    <w:rPr>
                      <w:sz w:val="21"/>
                      <w:szCs w:val="21"/>
                    </w:rPr>
                    <w:t>风险</w:t>
                  </w:r>
                </w:p>
                <w:p w14:paraId="1941E8EE">
                  <w:pPr>
                    <w:pStyle w:val="14"/>
                    <w:spacing w:before="0" w:after="0" w:line="240" w:lineRule="auto"/>
                    <w:ind w:right="0"/>
                    <w:jc w:val="center"/>
                    <w:rPr>
                      <w:sz w:val="21"/>
                      <w:szCs w:val="21"/>
                    </w:rPr>
                  </w:pPr>
                  <w:r>
                    <w:rPr>
                      <w:sz w:val="21"/>
                      <w:szCs w:val="21"/>
                    </w:rPr>
                    <w:t>防范</w:t>
                  </w:r>
                </w:p>
              </w:tc>
              <w:tc>
                <w:tcPr>
                  <w:tcW w:w="6870" w:type="dxa"/>
                  <w:gridSpan w:val="4"/>
                  <w:vAlign w:val="center"/>
                </w:tcPr>
                <w:p w14:paraId="1091B779">
                  <w:pPr>
                    <w:pStyle w:val="14"/>
                    <w:spacing w:before="0" w:after="0" w:line="240" w:lineRule="auto"/>
                    <w:ind w:right="0"/>
                    <w:jc w:val="left"/>
                    <w:rPr>
                      <w:sz w:val="21"/>
                      <w:szCs w:val="21"/>
                    </w:rPr>
                  </w:pPr>
                  <w:r>
                    <w:rPr>
                      <w:sz w:val="21"/>
                      <w:szCs w:val="21"/>
                    </w:rPr>
                    <w:t>应急事故池150m</w:t>
                  </w:r>
                  <w:r>
                    <w:rPr>
                      <w:sz w:val="21"/>
                      <w:szCs w:val="21"/>
                      <w:vertAlign w:val="superscript"/>
                    </w:rPr>
                    <w:t>2</w:t>
                  </w:r>
                  <w:r>
                    <w:rPr>
                      <w:sz w:val="21"/>
                      <w:szCs w:val="21"/>
                    </w:rPr>
                    <w:t>；初期雨水池60m</w:t>
                  </w:r>
                  <w:r>
                    <w:rPr>
                      <w:sz w:val="21"/>
                      <w:szCs w:val="21"/>
                      <w:vertAlign w:val="superscript"/>
                    </w:rPr>
                    <w:t>3</w:t>
                  </w:r>
                  <w:r>
                    <w:rPr>
                      <w:sz w:val="21"/>
                      <w:szCs w:val="21"/>
                    </w:rPr>
                    <w:t>；危废间设置围堰和导流槽，废液收集池2m</w:t>
                  </w:r>
                  <w:r>
                    <w:rPr>
                      <w:sz w:val="21"/>
                      <w:szCs w:val="21"/>
                      <w:vertAlign w:val="superscript"/>
                    </w:rPr>
                    <w:t>3</w:t>
                  </w:r>
                  <w:r>
                    <w:rPr>
                      <w:sz w:val="21"/>
                      <w:szCs w:val="21"/>
                    </w:rPr>
                    <w:t>；灭火器、生石灰等应急物资，编制突发环境事件应急预案</w:t>
                  </w:r>
                </w:p>
              </w:tc>
              <w:tc>
                <w:tcPr>
                  <w:tcW w:w="903" w:type="dxa"/>
                  <w:vAlign w:val="center"/>
                </w:tcPr>
                <w:p w14:paraId="41385B99">
                  <w:pPr>
                    <w:pStyle w:val="14"/>
                    <w:spacing w:before="0" w:after="0" w:line="240" w:lineRule="auto"/>
                    <w:ind w:right="0"/>
                    <w:jc w:val="center"/>
                    <w:rPr>
                      <w:sz w:val="21"/>
                      <w:szCs w:val="21"/>
                    </w:rPr>
                  </w:pPr>
                  <w:r>
                    <w:rPr>
                      <w:sz w:val="21"/>
                      <w:szCs w:val="21"/>
                    </w:rPr>
                    <w:t>10</w:t>
                  </w:r>
                </w:p>
              </w:tc>
            </w:tr>
            <w:tr w14:paraId="10A7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7433" w:type="dxa"/>
                  <w:gridSpan w:val="5"/>
                  <w:vAlign w:val="center"/>
                </w:tcPr>
                <w:p w14:paraId="7B3A48BB">
                  <w:pPr>
                    <w:pStyle w:val="14"/>
                    <w:spacing w:before="0" w:after="0" w:line="240" w:lineRule="auto"/>
                    <w:ind w:right="0"/>
                    <w:jc w:val="center"/>
                    <w:rPr>
                      <w:sz w:val="21"/>
                      <w:szCs w:val="21"/>
                    </w:rPr>
                  </w:pPr>
                  <w:r>
                    <w:rPr>
                      <w:sz w:val="21"/>
                      <w:szCs w:val="21"/>
                    </w:rPr>
                    <w:t>合计</w:t>
                  </w:r>
                </w:p>
              </w:tc>
              <w:tc>
                <w:tcPr>
                  <w:tcW w:w="903" w:type="dxa"/>
                  <w:vAlign w:val="center"/>
                </w:tcPr>
                <w:p w14:paraId="060533FC">
                  <w:pPr>
                    <w:pStyle w:val="14"/>
                    <w:spacing w:before="0" w:after="0" w:line="240" w:lineRule="auto"/>
                    <w:ind w:right="0"/>
                    <w:jc w:val="center"/>
                    <w:rPr>
                      <w:sz w:val="21"/>
                      <w:szCs w:val="21"/>
                    </w:rPr>
                  </w:pPr>
                  <w:r>
                    <w:rPr>
                      <w:sz w:val="21"/>
                      <w:szCs w:val="21"/>
                    </w:rPr>
                    <w:t>32.2</w:t>
                  </w:r>
                </w:p>
              </w:tc>
            </w:tr>
          </w:tbl>
          <w:p w14:paraId="1789C0B3"/>
        </w:tc>
      </w:tr>
    </w:tbl>
    <w:p w14:paraId="464CFD42">
      <w:pPr>
        <w:pStyle w:val="14"/>
        <w:sectPr>
          <w:pgSz w:w="11907" w:h="16840"/>
          <w:pgMar w:top="1701" w:right="1531" w:bottom="2127" w:left="1531" w:header="851" w:footer="851" w:gutter="0"/>
          <w:cols w:space="720" w:num="1"/>
          <w:docGrid w:linePitch="312" w:charSpace="0"/>
        </w:sectPr>
      </w:pPr>
    </w:p>
    <w:p w14:paraId="129C997B">
      <w:pPr>
        <w:pStyle w:val="20"/>
        <w:jc w:val="center"/>
        <w:outlineLvl w:val="0"/>
        <w:rPr>
          <w:rFonts w:ascii="Times New Roman" w:hAnsi="Times New Roman" w:eastAsia="黑体"/>
          <w:snapToGrid w:val="0"/>
          <w:sz w:val="30"/>
          <w:szCs w:val="30"/>
        </w:rPr>
      </w:pPr>
      <w:bookmarkStart w:id="25" w:name="_Toc30250"/>
      <w:r>
        <w:rPr>
          <w:rFonts w:ascii="Times New Roman" w:hAnsi="Times New Roman" w:eastAsia="黑体"/>
          <w:snapToGrid w:val="0"/>
          <w:sz w:val="30"/>
          <w:szCs w:val="30"/>
        </w:rPr>
        <w:t>五、</w:t>
      </w:r>
      <w:bookmarkStart w:id="26" w:name="_Hlk54167917"/>
      <w:r>
        <w:rPr>
          <w:rFonts w:ascii="Times New Roman" w:hAnsi="Times New Roman" w:eastAsia="黑体"/>
          <w:snapToGrid w:val="0"/>
          <w:sz w:val="30"/>
          <w:szCs w:val="30"/>
        </w:rPr>
        <w:t>环境保护措施监督检查清单</w:t>
      </w:r>
      <w:bookmarkEnd w:id="25"/>
      <w:bookmarkEnd w:id="26"/>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458"/>
        <w:gridCol w:w="945"/>
        <w:gridCol w:w="2520"/>
        <w:gridCol w:w="2753"/>
      </w:tblGrid>
      <w:tr w14:paraId="6F76B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4" w:type="dxa"/>
            <w:tcBorders>
              <w:tl2br w:val="single" w:color="auto" w:sz="4" w:space="0"/>
            </w:tcBorders>
          </w:tcPr>
          <w:p w14:paraId="1CB8C89F">
            <w:pPr>
              <w:adjustRightInd w:val="0"/>
              <w:snapToGrid w:val="0"/>
              <w:spacing w:line="360" w:lineRule="auto"/>
              <w:ind w:firstLine="420" w:firstLineChars="200"/>
              <w:rPr>
                <w:szCs w:val="21"/>
              </w:rPr>
            </w:pPr>
            <w:r>
              <w:rPr>
                <w:szCs w:val="21"/>
              </w:rPr>
              <w:t>内容</w:t>
            </w:r>
          </w:p>
          <w:p w14:paraId="77F5336E">
            <w:pPr>
              <w:adjustRightInd w:val="0"/>
              <w:snapToGrid w:val="0"/>
              <w:spacing w:line="360" w:lineRule="auto"/>
              <w:rPr>
                <w:szCs w:val="21"/>
              </w:rPr>
            </w:pPr>
            <w:r>
              <w:rPr>
                <w:szCs w:val="21"/>
              </w:rPr>
              <w:t>要素</w:t>
            </w:r>
          </w:p>
        </w:tc>
        <w:tc>
          <w:tcPr>
            <w:tcW w:w="1458" w:type="dxa"/>
            <w:vAlign w:val="center"/>
          </w:tcPr>
          <w:p w14:paraId="14C30198">
            <w:pPr>
              <w:adjustRightInd w:val="0"/>
              <w:snapToGrid w:val="0"/>
              <w:jc w:val="center"/>
              <w:rPr>
                <w:szCs w:val="21"/>
              </w:rPr>
            </w:pPr>
            <w:r>
              <w:rPr>
                <w:szCs w:val="21"/>
              </w:rPr>
              <w:t>排放口(编号、名称)/污染源</w:t>
            </w:r>
          </w:p>
        </w:tc>
        <w:tc>
          <w:tcPr>
            <w:tcW w:w="945" w:type="dxa"/>
            <w:vAlign w:val="center"/>
          </w:tcPr>
          <w:p w14:paraId="1820D6CC">
            <w:pPr>
              <w:adjustRightInd w:val="0"/>
              <w:snapToGrid w:val="0"/>
              <w:jc w:val="center"/>
              <w:rPr>
                <w:szCs w:val="21"/>
              </w:rPr>
            </w:pPr>
            <w:r>
              <w:rPr>
                <w:szCs w:val="21"/>
              </w:rPr>
              <w:t>污染物项目</w:t>
            </w:r>
          </w:p>
        </w:tc>
        <w:tc>
          <w:tcPr>
            <w:tcW w:w="2520" w:type="dxa"/>
            <w:vAlign w:val="center"/>
          </w:tcPr>
          <w:p w14:paraId="3EDD1AE3">
            <w:pPr>
              <w:adjustRightInd w:val="0"/>
              <w:snapToGrid w:val="0"/>
              <w:jc w:val="center"/>
              <w:rPr>
                <w:szCs w:val="21"/>
              </w:rPr>
            </w:pPr>
            <w:r>
              <w:rPr>
                <w:szCs w:val="21"/>
              </w:rPr>
              <w:t>环境保护措施</w:t>
            </w:r>
          </w:p>
        </w:tc>
        <w:tc>
          <w:tcPr>
            <w:tcW w:w="2753" w:type="dxa"/>
            <w:vAlign w:val="center"/>
          </w:tcPr>
          <w:p w14:paraId="435D5AF2">
            <w:pPr>
              <w:adjustRightInd w:val="0"/>
              <w:snapToGrid w:val="0"/>
              <w:jc w:val="center"/>
              <w:rPr>
                <w:szCs w:val="21"/>
              </w:rPr>
            </w:pPr>
            <w:r>
              <w:rPr>
                <w:szCs w:val="21"/>
              </w:rPr>
              <w:t>执行标准</w:t>
            </w:r>
          </w:p>
        </w:tc>
      </w:tr>
      <w:tr w14:paraId="7AB29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4" w:type="dxa"/>
            <w:vMerge w:val="restart"/>
            <w:vAlign w:val="center"/>
          </w:tcPr>
          <w:p w14:paraId="39A2EC97">
            <w:pPr>
              <w:adjustRightInd w:val="0"/>
              <w:snapToGrid w:val="0"/>
              <w:jc w:val="center"/>
              <w:rPr>
                <w:szCs w:val="21"/>
              </w:rPr>
            </w:pPr>
            <w:r>
              <w:rPr>
                <w:szCs w:val="21"/>
              </w:rPr>
              <w:t>大气环境</w:t>
            </w:r>
          </w:p>
        </w:tc>
        <w:tc>
          <w:tcPr>
            <w:tcW w:w="1458" w:type="dxa"/>
            <w:vAlign w:val="center"/>
          </w:tcPr>
          <w:p w14:paraId="3A5B39FE">
            <w:pPr>
              <w:adjustRightInd w:val="0"/>
              <w:snapToGrid w:val="0"/>
              <w:jc w:val="center"/>
              <w:rPr>
                <w:b/>
                <w:bCs/>
                <w:szCs w:val="21"/>
                <w:u w:val="single"/>
              </w:rPr>
            </w:pPr>
            <w:r>
              <w:rPr>
                <w:b/>
                <w:bCs/>
                <w:szCs w:val="21"/>
                <w:u w:val="single"/>
              </w:rPr>
              <w:t>DA001有机废气排放筒</w:t>
            </w:r>
          </w:p>
        </w:tc>
        <w:tc>
          <w:tcPr>
            <w:tcW w:w="945" w:type="dxa"/>
            <w:vAlign w:val="center"/>
          </w:tcPr>
          <w:p w14:paraId="58CC96A5">
            <w:pPr>
              <w:adjustRightInd w:val="0"/>
              <w:snapToGrid w:val="0"/>
              <w:jc w:val="center"/>
              <w:rPr>
                <w:b/>
                <w:bCs/>
                <w:szCs w:val="21"/>
                <w:u w:val="single"/>
              </w:rPr>
            </w:pPr>
            <w:r>
              <w:rPr>
                <w:b/>
                <w:bCs/>
                <w:szCs w:val="21"/>
                <w:u w:val="single"/>
              </w:rPr>
              <w:t>非甲烷总烃</w:t>
            </w:r>
          </w:p>
        </w:tc>
        <w:tc>
          <w:tcPr>
            <w:tcW w:w="2520" w:type="dxa"/>
            <w:vAlign w:val="center"/>
          </w:tcPr>
          <w:p w14:paraId="3BBC1BD2">
            <w:pPr>
              <w:adjustRightInd w:val="0"/>
              <w:snapToGrid w:val="0"/>
              <w:jc w:val="center"/>
              <w:rPr>
                <w:b/>
                <w:bCs/>
                <w:szCs w:val="21"/>
                <w:u w:val="single"/>
              </w:rPr>
            </w:pPr>
            <w:r>
              <w:rPr>
                <w:b/>
                <w:bCs/>
                <w:szCs w:val="21"/>
                <w:u w:val="single"/>
              </w:rPr>
              <w:t>废油液抽取和危废贮存挥发废气共用1套</w:t>
            </w:r>
            <w:r>
              <w:rPr>
                <w:rFonts w:hint="eastAsia"/>
                <w:b/>
                <w:bCs/>
                <w:szCs w:val="21"/>
                <w:u w:val="single"/>
              </w:rPr>
              <w:t>两级</w:t>
            </w:r>
            <w:r>
              <w:rPr>
                <w:b/>
                <w:bCs/>
                <w:szCs w:val="21"/>
                <w:u w:val="single"/>
              </w:rPr>
              <w:t>活性炭吸附装置处理后由15m高排气筒（DA001）排放</w:t>
            </w:r>
          </w:p>
        </w:tc>
        <w:tc>
          <w:tcPr>
            <w:tcW w:w="2753" w:type="dxa"/>
            <w:shd w:val="clear" w:color="auto" w:fill="auto"/>
            <w:vAlign w:val="center"/>
          </w:tcPr>
          <w:p w14:paraId="3A842600">
            <w:pPr>
              <w:adjustRightInd w:val="0"/>
              <w:snapToGrid w:val="0"/>
              <w:jc w:val="center"/>
              <w:rPr>
                <w:b/>
                <w:bCs/>
                <w:szCs w:val="21"/>
                <w:u w:val="single"/>
              </w:rPr>
            </w:pPr>
            <w:r>
              <w:rPr>
                <w:b/>
                <w:bCs/>
                <w:kern w:val="0"/>
                <w:szCs w:val="21"/>
                <w:u w:val="single"/>
              </w:rPr>
              <w:t>《大气污染物综合排放标准》（GB16297-1996）表2标准及</w:t>
            </w:r>
            <w:r>
              <w:rPr>
                <w:b/>
                <w:bCs/>
                <w:szCs w:val="21"/>
                <w:u w:val="single"/>
              </w:rPr>
              <w:t>《关于全省开展工业企业挥发性有机物专项治理工作中排放建议值的通知》（豫环攻坚办</w:t>
            </w:r>
            <w:r>
              <w:rPr>
                <w:b/>
                <w:bCs/>
                <w:kern w:val="0"/>
                <w:szCs w:val="21"/>
                <w:u w:val="single"/>
              </w:rPr>
              <w:t>〔2017〕</w:t>
            </w:r>
            <w:r>
              <w:rPr>
                <w:b/>
                <w:bCs/>
                <w:szCs w:val="21"/>
                <w:u w:val="single"/>
              </w:rPr>
              <w:t>162号）附件1排放标准</w:t>
            </w:r>
          </w:p>
        </w:tc>
      </w:tr>
      <w:tr w14:paraId="62BCA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4" w:type="dxa"/>
            <w:vMerge w:val="continue"/>
            <w:vAlign w:val="center"/>
          </w:tcPr>
          <w:p w14:paraId="3087CFAE">
            <w:pPr>
              <w:adjustRightInd w:val="0"/>
              <w:snapToGrid w:val="0"/>
              <w:jc w:val="center"/>
              <w:rPr>
                <w:szCs w:val="21"/>
              </w:rPr>
            </w:pPr>
          </w:p>
        </w:tc>
        <w:tc>
          <w:tcPr>
            <w:tcW w:w="1458" w:type="dxa"/>
            <w:vAlign w:val="center"/>
          </w:tcPr>
          <w:p w14:paraId="65370693">
            <w:pPr>
              <w:adjustRightInd w:val="0"/>
              <w:snapToGrid w:val="0"/>
              <w:jc w:val="center"/>
              <w:rPr>
                <w:b/>
                <w:bCs/>
                <w:szCs w:val="21"/>
                <w:u w:val="single"/>
              </w:rPr>
            </w:pPr>
            <w:r>
              <w:rPr>
                <w:b/>
                <w:bCs/>
                <w:szCs w:val="21"/>
                <w:u w:val="single"/>
              </w:rPr>
              <w:t>DA002切割废气排气筒</w:t>
            </w:r>
          </w:p>
        </w:tc>
        <w:tc>
          <w:tcPr>
            <w:tcW w:w="945" w:type="dxa"/>
            <w:vAlign w:val="center"/>
          </w:tcPr>
          <w:p w14:paraId="0B04105E">
            <w:pPr>
              <w:adjustRightInd w:val="0"/>
              <w:snapToGrid w:val="0"/>
              <w:jc w:val="center"/>
              <w:rPr>
                <w:b/>
                <w:bCs/>
                <w:szCs w:val="21"/>
                <w:u w:val="single"/>
              </w:rPr>
            </w:pPr>
            <w:r>
              <w:rPr>
                <w:b/>
                <w:bCs/>
                <w:szCs w:val="21"/>
                <w:u w:val="single"/>
              </w:rPr>
              <w:t>颗粒物</w:t>
            </w:r>
          </w:p>
        </w:tc>
        <w:tc>
          <w:tcPr>
            <w:tcW w:w="2520" w:type="dxa"/>
            <w:vAlign w:val="center"/>
          </w:tcPr>
          <w:p w14:paraId="35F4AD42">
            <w:pPr>
              <w:adjustRightInd w:val="0"/>
              <w:snapToGrid w:val="0"/>
              <w:jc w:val="center"/>
              <w:rPr>
                <w:b/>
                <w:bCs/>
                <w:szCs w:val="21"/>
                <w:u w:val="single"/>
              </w:rPr>
            </w:pPr>
            <w:r>
              <w:rPr>
                <w:b/>
                <w:bCs/>
                <w:szCs w:val="21"/>
                <w:u w:val="single"/>
              </w:rPr>
              <w:t>集气罩收集，覆膜袋式除尘器处理后由15m高排气筒（DA002）排放</w:t>
            </w:r>
          </w:p>
        </w:tc>
        <w:tc>
          <w:tcPr>
            <w:tcW w:w="2753" w:type="dxa"/>
            <w:shd w:val="clear" w:color="auto" w:fill="auto"/>
            <w:vAlign w:val="center"/>
          </w:tcPr>
          <w:p w14:paraId="06A77EEB">
            <w:pPr>
              <w:adjustRightInd w:val="0"/>
              <w:snapToGrid w:val="0"/>
              <w:jc w:val="center"/>
              <w:rPr>
                <w:b/>
                <w:bCs/>
                <w:szCs w:val="21"/>
                <w:u w:val="single"/>
              </w:rPr>
            </w:pPr>
            <w:r>
              <w:rPr>
                <w:b/>
                <w:bCs/>
                <w:kern w:val="0"/>
                <w:szCs w:val="21"/>
                <w:u w:val="single"/>
              </w:rPr>
              <w:t>《大气污染物综合排放标准》（GB16297-1996）表2标准及</w:t>
            </w:r>
            <w:r>
              <w:rPr>
                <w:b/>
                <w:bCs/>
                <w:szCs w:val="21"/>
                <w:u w:val="single"/>
              </w:rPr>
              <w:t>《河南省重污染天气通用行业应急减排措施制定技术指南》（2021年修订版）中通用行业PM排放标准</w:t>
            </w:r>
          </w:p>
        </w:tc>
      </w:tr>
      <w:tr w14:paraId="797DE1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4" w:type="dxa"/>
            <w:vAlign w:val="center"/>
          </w:tcPr>
          <w:p w14:paraId="7AF350D9">
            <w:pPr>
              <w:adjustRightInd w:val="0"/>
              <w:snapToGrid w:val="0"/>
              <w:jc w:val="center"/>
              <w:rPr>
                <w:szCs w:val="21"/>
              </w:rPr>
            </w:pPr>
            <w:r>
              <w:rPr>
                <w:szCs w:val="21"/>
              </w:rPr>
              <w:t>地表水环境</w:t>
            </w:r>
          </w:p>
        </w:tc>
        <w:tc>
          <w:tcPr>
            <w:tcW w:w="1458" w:type="dxa"/>
            <w:vAlign w:val="center"/>
          </w:tcPr>
          <w:p w14:paraId="637184FF">
            <w:pPr>
              <w:adjustRightInd w:val="0"/>
              <w:snapToGrid w:val="0"/>
              <w:jc w:val="center"/>
              <w:rPr>
                <w:szCs w:val="21"/>
              </w:rPr>
            </w:pPr>
            <w:r>
              <w:rPr>
                <w:szCs w:val="21"/>
              </w:rPr>
              <w:t>生活废水</w:t>
            </w:r>
          </w:p>
        </w:tc>
        <w:tc>
          <w:tcPr>
            <w:tcW w:w="945" w:type="dxa"/>
            <w:vAlign w:val="center"/>
          </w:tcPr>
          <w:p w14:paraId="150827B2">
            <w:pPr>
              <w:adjustRightInd w:val="0"/>
              <w:snapToGrid w:val="0"/>
              <w:jc w:val="center"/>
              <w:rPr>
                <w:szCs w:val="21"/>
              </w:rPr>
            </w:pPr>
            <w:r>
              <w:rPr>
                <w:szCs w:val="21"/>
              </w:rPr>
              <w:t>COD、BOD</w:t>
            </w:r>
            <w:r>
              <w:rPr>
                <w:szCs w:val="21"/>
                <w:vertAlign w:val="subscript"/>
              </w:rPr>
              <w:t>5</w:t>
            </w:r>
            <w:r>
              <w:rPr>
                <w:szCs w:val="21"/>
              </w:rPr>
              <w:t>、氨氮等</w:t>
            </w:r>
          </w:p>
        </w:tc>
        <w:tc>
          <w:tcPr>
            <w:tcW w:w="2520" w:type="dxa"/>
            <w:vAlign w:val="center"/>
          </w:tcPr>
          <w:p w14:paraId="74E79135">
            <w:pPr>
              <w:adjustRightInd w:val="0"/>
              <w:snapToGrid w:val="0"/>
              <w:jc w:val="center"/>
              <w:rPr>
                <w:szCs w:val="21"/>
              </w:rPr>
            </w:pPr>
            <w:r>
              <w:rPr>
                <w:szCs w:val="21"/>
              </w:rPr>
              <w:t>厂区化粪池</w:t>
            </w:r>
          </w:p>
        </w:tc>
        <w:tc>
          <w:tcPr>
            <w:tcW w:w="2753" w:type="dxa"/>
            <w:shd w:val="clear" w:color="auto" w:fill="auto"/>
            <w:vAlign w:val="center"/>
          </w:tcPr>
          <w:p w14:paraId="72BA8B46">
            <w:pPr>
              <w:adjustRightInd w:val="0"/>
              <w:snapToGrid w:val="0"/>
              <w:jc w:val="center"/>
              <w:rPr>
                <w:szCs w:val="21"/>
              </w:rPr>
            </w:pPr>
            <w:r>
              <w:rPr>
                <w:szCs w:val="21"/>
              </w:rPr>
              <w:t>定期清掏，外运肥田</w:t>
            </w:r>
          </w:p>
        </w:tc>
      </w:tr>
      <w:tr w14:paraId="0F6086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4" w:type="dxa"/>
            <w:vAlign w:val="center"/>
          </w:tcPr>
          <w:p w14:paraId="6D3B53AC">
            <w:pPr>
              <w:adjustRightInd w:val="0"/>
              <w:snapToGrid w:val="0"/>
              <w:jc w:val="center"/>
              <w:rPr>
                <w:szCs w:val="21"/>
              </w:rPr>
            </w:pPr>
            <w:r>
              <w:rPr>
                <w:szCs w:val="21"/>
              </w:rPr>
              <w:t>声环境</w:t>
            </w:r>
          </w:p>
        </w:tc>
        <w:tc>
          <w:tcPr>
            <w:tcW w:w="1458" w:type="dxa"/>
            <w:vAlign w:val="center"/>
          </w:tcPr>
          <w:p w14:paraId="1805D1D1">
            <w:pPr>
              <w:adjustRightInd w:val="0"/>
              <w:snapToGrid w:val="0"/>
              <w:jc w:val="center"/>
              <w:rPr>
                <w:szCs w:val="21"/>
              </w:rPr>
            </w:pPr>
            <w:r>
              <w:rPr>
                <w:szCs w:val="21"/>
              </w:rPr>
              <w:t>生产设备等</w:t>
            </w:r>
          </w:p>
        </w:tc>
        <w:tc>
          <w:tcPr>
            <w:tcW w:w="945" w:type="dxa"/>
            <w:vAlign w:val="center"/>
          </w:tcPr>
          <w:p w14:paraId="324EFACB">
            <w:pPr>
              <w:adjustRightInd w:val="0"/>
              <w:snapToGrid w:val="0"/>
              <w:jc w:val="center"/>
              <w:rPr>
                <w:szCs w:val="21"/>
              </w:rPr>
            </w:pPr>
            <w:r>
              <w:rPr>
                <w:szCs w:val="21"/>
              </w:rPr>
              <w:t>噪声</w:t>
            </w:r>
          </w:p>
        </w:tc>
        <w:tc>
          <w:tcPr>
            <w:tcW w:w="2520" w:type="dxa"/>
            <w:vAlign w:val="center"/>
          </w:tcPr>
          <w:p w14:paraId="1AF81C9C">
            <w:pPr>
              <w:adjustRightInd w:val="0"/>
              <w:snapToGrid w:val="0"/>
              <w:jc w:val="center"/>
              <w:rPr>
                <w:szCs w:val="21"/>
              </w:rPr>
            </w:pPr>
            <w:r>
              <w:rPr>
                <w:szCs w:val="21"/>
              </w:rPr>
              <w:t>置于室内、安装减振基座、消声等措施</w:t>
            </w:r>
          </w:p>
        </w:tc>
        <w:tc>
          <w:tcPr>
            <w:tcW w:w="2753" w:type="dxa"/>
            <w:vAlign w:val="center"/>
          </w:tcPr>
          <w:p w14:paraId="3B6E3E80">
            <w:pPr>
              <w:adjustRightInd w:val="0"/>
              <w:snapToGrid w:val="0"/>
              <w:jc w:val="center"/>
              <w:rPr>
                <w:szCs w:val="21"/>
              </w:rPr>
            </w:pPr>
            <w:r>
              <w:rPr>
                <w:szCs w:val="21"/>
              </w:rPr>
              <w:t>《工业企业厂界环境噪声排放标准》（GB12348-2008）2类标准</w:t>
            </w:r>
          </w:p>
        </w:tc>
      </w:tr>
      <w:tr w14:paraId="77957D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4" w:type="dxa"/>
            <w:vAlign w:val="center"/>
          </w:tcPr>
          <w:p w14:paraId="050DDF1E">
            <w:pPr>
              <w:adjustRightInd w:val="0"/>
              <w:snapToGrid w:val="0"/>
              <w:jc w:val="center"/>
              <w:rPr>
                <w:szCs w:val="21"/>
              </w:rPr>
            </w:pPr>
            <w:r>
              <w:rPr>
                <w:szCs w:val="21"/>
              </w:rPr>
              <w:t>电磁辐射</w:t>
            </w:r>
          </w:p>
        </w:tc>
        <w:tc>
          <w:tcPr>
            <w:tcW w:w="1458" w:type="dxa"/>
            <w:vAlign w:val="center"/>
          </w:tcPr>
          <w:p w14:paraId="003547E3">
            <w:pPr>
              <w:adjustRightInd w:val="0"/>
              <w:snapToGrid w:val="0"/>
              <w:jc w:val="center"/>
              <w:rPr>
                <w:szCs w:val="21"/>
              </w:rPr>
            </w:pPr>
            <w:r>
              <w:rPr>
                <w:szCs w:val="21"/>
              </w:rPr>
              <w:t>/</w:t>
            </w:r>
          </w:p>
        </w:tc>
        <w:tc>
          <w:tcPr>
            <w:tcW w:w="945" w:type="dxa"/>
            <w:vAlign w:val="center"/>
          </w:tcPr>
          <w:p w14:paraId="1713759B">
            <w:pPr>
              <w:adjustRightInd w:val="0"/>
              <w:snapToGrid w:val="0"/>
              <w:jc w:val="center"/>
              <w:rPr>
                <w:szCs w:val="21"/>
              </w:rPr>
            </w:pPr>
            <w:r>
              <w:rPr>
                <w:szCs w:val="21"/>
              </w:rPr>
              <w:t>/</w:t>
            </w:r>
          </w:p>
        </w:tc>
        <w:tc>
          <w:tcPr>
            <w:tcW w:w="2520" w:type="dxa"/>
            <w:vAlign w:val="center"/>
          </w:tcPr>
          <w:p w14:paraId="6093803E">
            <w:pPr>
              <w:adjustRightInd w:val="0"/>
              <w:snapToGrid w:val="0"/>
              <w:jc w:val="center"/>
              <w:rPr>
                <w:szCs w:val="21"/>
              </w:rPr>
            </w:pPr>
            <w:r>
              <w:rPr>
                <w:szCs w:val="21"/>
              </w:rPr>
              <w:t>/</w:t>
            </w:r>
          </w:p>
        </w:tc>
        <w:tc>
          <w:tcPr>
            <w:tcW w:w="2753" w:type="dxa"/>
            <w:vAlign w:val="center"/>
          </w:tcPr>
          <w:p w14:paraId="15ABB6EE">
            <w:pPr>
              <w:adjustRightInd w:val="0"/>
              <w:snapToGrid w:val="0"/>
              <w:jc w:val="center"/>
              <w:rPr>
                <w:szCs w:val="21"/>
              </w:rPr>
            </w:pPr>
            <w:r>
              <w:rPr>
                <w:szCs w:val="21"/>
              </w:rPr>
              <w:t>/</w:t>
            </w:r>
          </w:p>
        </w:tc>
      </w:tr>
      <w:tr w14:paraId="1DB82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4" w:type="dxa"/>
            <w:vAlign w:val="center"/>
          </w:tcPr>
          <w:p w14:paraId="3CF9F546">
            <w:pPr>
              <w:adjustRightInd w:val="0"/>
              <w:snapToGrid w:val="0"/>
              <w:jc w:val="center"/>
              <w:rPr>
                <w:szCs w:val="21"/>
              </w:rPr>
            </w:pPr>
            <w:r>
              <w:rPr>
                <w:szCs w:val="21"/>
              </w:rPr>
              <w:t>固体废物</w:t>
            </w:r>
          </w:p>
        </w:tc>
        <w:tc>
          <w:tcPr>
            <w:tcW w:w="7676" w:type="dxa"/>
            <w:gridSpan w:val="4"/>
            <w:vAlign w:val="center"/>
          </w:tcPr>
          <w:p w14:paraId="5C435246">
            <w:pPr>
              <w:adjustRightInd w:val="0"/>
              <w:snapToGrid w:val="0"/>
              <w:rPr>
                <w:szCs w:val="21"/>
              </w:rPr>
            </w:pPr>
            <w:r>
              <w:rPr>
                <w:szCs w:val="21"/>
              </w:rPr>
              <w:t>一般固废：除尘器收尘、碎玻璃、碎皮革等不可用利用物置于一般固废间，拆解物暂存间和一般固废间满足防渗漏、防雨淋、防扬尘要求，一般固废间满足</w:t>
            </w:r>
            <w:r>
              <w:rPr>
                <w:bCs/>
              </w:rPr>
              <w:t>《一般工业固体废物贮存和填埋污染控制标准》（GB18599-2020）</w:t>
            </w:r>
            <w:r>
              <w:rPr>
                <w:szCs w:val="21"/>
              </w:rPr>
              <w:t>；废活性炭、废油液、废油桶、废机油滤清器、废尾气净化装置、废电子电器件、</w:t>
            </w:r>
            <w:r>
              <w:rPr>
                <w:rFonts w:hint="eastAsia"/>
                <w:szCs w:val="21"/>
              </w:rPr>
              <w:t>废铅酸蓄电池、</w:t>
            </w:r>
            <w:r>
              <w:rPr>
                <w:szCs w:val="21"/>
              </w:rPr>
              <w:t>含油抹布及手套暂存于危废间，危废间满足《危险废物贮存污染控制标准》（GB18597-2023）及其修改单要求；一般固废分类收集，拆解物暂存区作为产品外售，一般固废间内拆解物定期交由环卫部门统一处理；危险废物经危废暂存间暂存后委托有资质单位处置</w:t>
            </w:r>
          </w:p>
        </w:tc>
      </w:tr>
      <w:tr w14:paraId="1CAFD4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124" w:type="dxa"/>
            <w:vAlign w:val="center"/>
          </w:tcPr>
          <w:p w14:paraId="3D59B4CC">
            <w:pPr>
              <w:adjustRightInd w:val="0"/>
              <w:snapToGrid w:val="0"/>
              <w:jc w:val="center"/>
              <w:rPr>
                <w:szCs w:val="21"/>
              </w:rPr>
            </w:pPr>
            <w:r>
              <w:rPr>
                <w:szCs w:val="21"/>
              </w:rPr>
              <w:t>土壤及地下水污染防治措施</w:t>
            </w:r>
          </w:p>
        </w:tc>
        <w:tc>
          <w:tcPr>
            <w:tcW w:w="7676" w:type="dxa"/>
            <w:gridSpan w:val="4"/>
            <w:vAlign w:val="center"/>
          </w:tcPr>
          <w:p w14:paraId="3579CCBA">
            <w:pPr>
              <w:adjustRightInd w:val="0"/>
              <w:snapToGrid w:val="0"/>
              <w:rPr>
                <w:szCs w:val="21"/>
              </w:rPr>
            </w:pPr>
            <w:r>
              <w:rPr>
                <w:szCs w:val="21"/>
              </w:rPr>
              <w:t>分区防渗。预拆解区、危废暂存间、应急事故池为重点防渗区：等效粘土防渗层Mb≥6m，K≤1×10</w:t>
            </w:r>
            <w:r>
              <w:rPr>
                <w:szCs w:val="21"/>
                <w:vertAlign w:val="superscript"/>
              </w:rPr>
              <w:t>-7</w:t>
            </w:r>
            <w:r>
              <w:rPr>
                <w:szCs w:val="21"/>
              </w:rPr>
              <w:t>cm/s；同时危废暂存间设置围堰防止泄露物料外溢；拆解车间、初期雨水池、一般固废间、废旧农机存放区域等为一般防渗区：等效粘土防渗层Mb≥1.5m，K≤1×10</w:t>
            </w:r>
            <w:r>
              <w:rPr>
                <w:szCs w:val="21"/>
                <w:vertAlign w:val="superscript"/>
              </w:rPr>
              <w:t>-7</w:t>
            </w:r>
            <w:r>
              <w:rPr>
                <w:szCs w:val="21"/>
              </w:rPr>
              <w:t>cm/s；办公楼及厂区道路等进行简单防渗：一般地面硬化</w:t>
            </w:r>
          </w:p>
        </w:tc>
      </w:tr>
      <w:tr w14:paraId="6E4DA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4" w:type="dxa"/>
            <w:vAlign w:val="center"/>
          </w:tcPr>
          <w:p w14:paraId="2078705F">
            <w:pPr>
              <w:adjustRightInd w:val="0"/>
              <w:snapToGrid w:val="0"/>
              <w:jc w:val="center"/>
              <w:rPr>
                <w:szCs w:val="21"/>
              </w:rPr>
            </w:pPr>
            <w:r>
              <w:rPr>
                <w:szCs w:val="21"/>
              </w:rPr>
              <w:t>生态保护措施</w:t>
            </w:r>
          </w:p>
        </w:tc>
        <w:tc>
          <w:tcPr>
            <w:tcW w:w="7676" w:type="dxa"/>
            <w:gridSpan w:val="4"/>
            <w:vAlign w:val="center"/>
          </w:tcPr>
          <w:p w14:paraId="477BAAA1">
            <w:pPr>
              <w:adjustRightInd w:val="0"/>
              <w:snapToGrid w:val="0"/>
              <w:rPr>
                <w:szCs w:val="21"/>
              </w:rPr>
            </w:pPr>
            <w:r>
              <w:rPr>
                <w:szCs w:val="21"/>
              </w:rPr>
              <w:t>/</w:t>
            </w:r>
          </w:p>
        </w:tc>
      </w:tr>
      <w:tr w14:paraId="0A462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1124" w:type="dxa"/>
            <w:vAlign w:val="center"/>
          </w:tcPr>
          <w:p w14:paraId="34D4AFFE">
            <w:pPr>
              <w:adjustRightInd w:val="0"/>
              <w:snapToGrid w:val="0"/>
              <w:jc w:val="center"/>
              <w:rPr>
                <w:spacing w:val="-8"/>
                <w:szCs w:val="21"/>
              </w:rPr>
            </w:pPr>
            <w:r>
              <w:rPr>
                <w:spacing w:val="-8"/>
                <w:szCs w:val="21"/>
              </w:rPr>
              <w:t>环境风险</w:t>
            </w:r>
          </w:p>
          <w:p w14:paraId="5E708068">
            <w:pPr>
              <w:adjustRightInd w:val="0"/>
              <w:snapToGrid w:val="0"/>
              <w:jc w:val="center"/>
              <w:rPr>
                <w:spacing w:val="-8"/>
                <w:szCs w:val="21"/>
              </w:rPr>
            </w:pPr>
            <w:r>
              <w:rPr>
                <w:spacing w:val="-8"/>
                <w:szCs w:val="21"/>
              </w:rPr>
              <w:t>防范措施</w:t>
            </w:r>
          </w:p>
        </w:tc>
        <w:tc>
          <w:tcPr>
            <w:tcW w:w="7676" w:type="dxa"/>
            <w:gridSpan w:val="4"/>
            <w:shd w:val="clear" w:color="auto" w:fill="auto"/>
            <w:vAlign w:val="center"/>
          </w:tcPr>
          <w:p w14:paraId="1CFB0D85">
            <w:pPr>
              <w:adjustRightInd w:val="0"/>
              <w:snapToGrid w:val="0"/>
              <w:rPr>
                <w:szCs w:val="21"/>
              </w:rPr>
            </w:pPr>
            <w:r>
              <w:rPr>
                <w:szCs w:val="21"/>
              </w:rPr>
              <w:t>风险物质泄露风险防范措施：</w:t>
            </w:r>
            <w:r>
              <w:rPr>
                <w:rFonts w:hint="eastAsia" w:ascii="宋体" w:hAnsi="宋体" w:cs="宋体"/>
                <w:szCs w:val="21"/>
              </w:rPr>
              <w:t>①</w:t>
            </w:r>
            <w:r>
              <w:rPr>
                <w:szCs w:val="21"/>
              </w:rPr>
              <w:t>在可能泄漏区域安装防泄漏警报装置。</w:t>
            </w:r>
            <w:r>
              <w:rPr>
                <w:rFonts w:hint="eastAsia" w:ascii="宋体" w:hAnsi="宋体" w:cs="宋体"/>
                <w:szCs w:val="21"/>
              </w:rPr>
              <w:t>②</w:t>
            </w:r>
            <w:r>
              <w:rPr>
                <w:szCs w:val="21"/>
              </w:rPr>
              <w:t>进入贮存区域的人员、搬运车辆，必须采取防火措施。</w:t>
            </w:r>
            <w:r>
              <w:rPr>
                <w:rFonts w:hint="eastAsia" w:ascii="宋体" w:hAnsi="宋体" w:cs="宋体"/>
                <w:szCs w:val="21"/>
              </w:rPr>
              <w:t>③</w:t>
            </w:r>
            <w:r>
              <w:rPr>
                <w:szCs w:val="21"/>
              </w:rPr>
              <w:t>危废暂存间应符合防火、防爆、通风、防晒、防雷等安全要求。</w:t>
            </w:r>
            <w:r>
              <w:rPr>
                <w:rFonts w:hint="eastAsia" w:ascii="宋体" w:hAnsi="宋体" w:cs="宋体"/>
                <w:szCs w:val="21"/>
              </w:rPr>
              <w:t>④</w:t>
            </w:r>
            <w:r>
              <w:rPr>
                <w:szCs w:val="21"/>
              </w:rPr>
              <w:t>储存时采取适当的养护措施，搬运时要轻装轻卸防止包装及容器的损坏。</w:t>
            </w:r>
            <w:r>
              <w:rPr>
                <w:rFonts w:hint="eastAsia" w:ascii="宋体" w:hAnsi="宋体" w:cs="宋体"/>
                <w:szCs w:val="21"/>
              </w:rPr>
              <w:t>⑤</w:t>
            </w:r>
            <w:r>
              <w:rPr>
                <w:szCs w:val="21"/>
              </w:rPr>
              <w:t>危废暂存间应设置应急池，用于收集泄漏的液态物质，做好地面防渗、防漏设计，并有明显的安全警示标志</w:t>
            </w:r>
          </w:p>
          <w:p w14:paraId="664264D5">
            <w:pPr>
              <w:adjustRightInd w:val="0"/>
              <w:snapToGrid w:val="0"/>
              <w:rPr>
                <w:szCs w:val="21"/>
              </w:rPr>
            </w:pPr>
            <w:r>
              <w:rPr>
                <w:szCs w:val="21"/>
              </w:rPr>
              <w:t>废气非正常排放风险防范措施：</w:t>
            </w:r>
            <w:r>
              <w:rPr>
                <w:rFonts w:hint="eastAsia" w:ascii="宋体" w:hAnsi="宋体" w:cs="宋体"/>
                <w:szCs w:val="21"/>
              </w:rPr>
              <w:t>①</w:t>
            </w:r>
            <w:r>
              <w:rPr>
                <w:szCs w:val="21"/>
              </w:rPr>
              <w:t>及时更换活性炭，确保有机废气处理效率。</w:t>
            </w:r>
            <w:r>
              <w:rPr>
                <w:rFonts w:hint="eastAsia" w:ascii="宋体" w:hAnsi="宋体" w:cs="宋体"/>
                <w:szCs w:val="21"/>
              </w:rPr>
              <w:t>②</w:t>
            </w:r>
            <w:r>
              <w:rPr>
                <w:szCs w:val="21"/>
              </w:rPr>
              <w:t>定期检修设备，加强日常维护保养，避免或减少故障发生，确保设备处于正常的工作状态。</w:t>
            </w:r>
            <w:r>
              <w:rPr>
                <w:rFonts w:hint="eastAsia" w:ascii="宋体" w:hAnsi="宋体" w:cs="宋体"/>
                <w:szCs w:val="21"/>
              </w:rPr>
              <w:t>③</w:t>
            </w:r>
            <w:r>
              <w:rPr>
                <w:szCs w:val="21"/>
              </w:rPr>
              <w:t>加强对操作工人的培训，培养员工的安全和环境意识。</w:t>
            </w:r>
          </w:p>
          <w:p w14:paraId="1C231E17">
            <w:pPr>
              <w:adjustRightInd w:val="0"/>
              <w:snapToGrid w:val="0"/>
              <w:rPr>
                <w:szCs w:val="21"/>
              </w:rPr>
            </w:pPr>
            <w:r>
              <w:rPr>
                <w:szCs w:val="21"/>
              </w:rPr>
              <w:t>火灾事故风险防范措施：</w:t>
            </w:r>
            <w:r>
              <w:rPr>
                <w:rFonts w:hint="eastAsia" w:ascii="宋体" w:hAnsi="宋体" w:cs="宋体"/>
                <w:szCs w:val="21"/>
              </w:rPr>
              <w:t>①</w:t>
            </w:r>
            <w:r>
              <w:rPr>
                <w:szCs w:val="21"/>
              </w:rPr>
              <w:t>火灾发生时应在最短时间内及时通知周边人群疏散，以免对周边人员人身造成伤害。</w:t>
            </w:r>
            <w:r>
              <w:rPr>
                <w:rFonts w:hint="eastAsia" w:ascii="宋体" w:hAnsi="宋体" w:cs="宋体"/>
                <w:szCs w:val="21"/>
              </w:rPr>
              <w:t>②</w:t>
            </w:r>
            <w:r>
              <w:rPr>
                <w:szCs w:val="21"/>
              </w:rPr>
              <w:t>厂区要求防火、通风，设置易燃易爆物质储存间，严禁使用明火，定期检查，排除隐患。</w:t>
            </w:r>
            <w:r>
              <w:rPr>
                <w:rFonts w:hint="eastAsia" w:ascii="宋体" w:hAnsi="宋体" w:cs="宋体"/>
                <w:szCs w:val="21"/>
              </w:rPr>
              <w:t>③</w:t>
            </w:r>
            <w:r>
              <w:rPr>
                <w:szCs w:val="21"/>
              </w:rPr>
              <w:t>生产车间、仓库照明电源应采取静电接地保护措施并作防爆处理。</w:t>
            </w:r>
            <w:r>
              <w:rPr>
                <w:rFonts w:hint="eastAsia" w:ascii="宋体" w:hAnsi="宋体" w:cs="宋体"/>
                <w:szCs w:val="21"/>
              </w:rPr>
              <w:t>④</w:t>
            </w:r>
            <w:r>
              <w:rPr>
                <w:szCs w:val="21"/>
              </w:rPr>
              <w:t>加强消防器材管理。</w:t>
            </w:r>
            <w:r>
              <w:rPr>
                <w:rFonts w:hint="eastAsia" w:ascii="宋体" w:hAnsi="宋体" w:cs="宋体"/>
                <w:szCs w:val="21"/>
              </w:rPr>
              <w:t>⑤</w:t>
            </w:r>
            <w:r>
              <w:rPr>
                <w:szCs w:val="21"/>
              </w:rPr>
              <w:t>提高员工的消防安全意识，定期进行消防演练和培训。</w:t>
            </w:r>
            <w:r>
              <w:rPr>
                <w:rFonts w:hint="eastAsia" w:ascii="宋体" w:hAnsi="宋体" w:cs="宋体"/>
                <w:szCs w:val="21"/>
              </w:rPr>
              <w:t>⑥</w:t>
            </w:r>
            <w:r>
              <w:rPr>
                <w:szCs w:val="21"/>
              </w:rPr>
              <w:t>加强吸烟管理制度。生产区域、仓储区域禁止吸烟，禁止携带火种、明火进入上述区域</w:t>
            </w:r>
          </w:p>
        </w:tc>
      </w:tr>
      <w:tr w14:paraId="6E666A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124" w:type="dxa"/>
            <w:vAlign w:val="center"/>
          </w:tcPr>
          <w:p w14:paraId="3FAA94BC">
            <w:pPr>
              <w:adjustRightInd w:val="0"/>
              <w:snapToGrid w:val="0"/>
              <w:jc w:val="center"/>
              <w:rPr>
                <w:spacing w:val="-8"/>
                <w:szCs w:val="21"/>
              </w:rPr>
            </w:pPr>
            <w:r>
              <w:rPr>
                <w:spacing w:val="-8"/>
                <w:szCs w:val="21"/>
              </w:rPr>
              <w:t>其他环境</w:t>
            </w:r>
          </w:p>
          <w:p w14:paraId="0E18D6E1">
            <w:pPr>
              <w:adjustRightInd w:val="0"/>
              <w:snapToGrid w:val="0"/>
              <w:jc w:val="center"/>
              <w:rPr>
                <w:spacing w:val="-8"/>
                <w:szCs w:val="21"/>
              </w:rPr>
            </w:pPr>
            <w:r>
              <w:rPr>
                <w:spacing w:val="-8"/>
                <w:szCs w:val="21"/>
              </w:rPr>
              <w:t>管理要求</w:t>
            </w:r>
          </w:p>
        </w:tc>
        <w:tc>
          <w:tcPr>
            <w:tcW w:w="7676" w:type="dxa"/>
            <w:gridSpan w:val="4"/>
            <w:shd w:val="clear" w:color="auto" w:fill="auto"/>
            <w:vAlign w:val="center"/>
          </w:tcPr>
          <w:p w14:paraId="69F81C66">
            <w:pPr>
              <w:pStyle w:val="13"/>
              <w:jc w:val="both"/>
              <w:rPr>
                <w:szCs w:val="21"/>
              </w:rPr>
            </w:pPr>
            <w:r>
              <w:rPr>
                <w:szCs w:val="21"/>
              </w:rPr>
              <w:t>加强员工的环保及风险防控意识，加强废气废水处理设施的管理与维护，做好管理台账记录，</w:t>
            </w:r>
            <w:r>
              <w:rPr>
                <w:bCs/>
                <w:szCs w:val="21"/>
              </w:rPr>
              <w:t>项目建设完成后应根据《固定污染源排污许可分类管理名录（2019年版）》在项目生产排污前及时申请排污许可手续</w:t>
            </w:r>
          </w:p>
        </w:tc>
      </w:tr>
    </w:tbl>
    <w:p w14:paraId="6A1AC8C0">
      <w:pPr>
        <w:pStyle w:val="20"/>
        <w:jc w:val="center"/>
        <w:outlineLvl w:val="0"/>
        <w:rPr>
          <w:rFonts w:ascii="Times New Roman" w:hAnsi="Times New Roman" w:eastAsia="黑体"/>
          <w:snapToGrid w:val="0"/>
          <w:sz w:val="30"/>
          <w:szCs w:val="30"/>
        </w:rPr>
      </w:pPr>
      <w:r>
        <w:rPr>
          <w:rFonts w:ascii="Times New Roman" w:hAnsi="Times New Roman"/>
          <w:snapToGrid w:val="0"/>
        </w:rPr>
        <w:br w:type="page"/>
      </w:r>
      <w:bookmarkStart w:id="27" w:name="_Toc154"/>
      <w:r>
        <w:rPr>
          <w:rFonts w:ascii="Times New Roman" w:hAnsi="Times New Roman" w:eastAsia="黑体"/>
          <w:snapToGrid w:val="0"/>
          <w:sz w:val="30"/>
          <w:szCs w:val="30"/>
        </w:rPr>
        <w:t>六、结论</w:t>
      </w:r>
      <w:bookmarkEnd w:id="27"/>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978F9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20946F27">
            <w:pPr>
              <w:spacing w:line="360" w:lineRule="auto"/>
              <w:ind w:firstLine="480" w:firstLineChars="200"/>
              <w:rPr>
                <w:sz w:val="24"/>
              </w:rPr>
            </w:pPr>
            <w:r>
              <w:rPr>
                <w:kern w:val="0"/>
                <w:sz w:val="24"/>
              </w:rPr>
              <w:t>综上所述，民权县朝大再生资源回收利用有限公司年回收50台农业机械建设项目符合国家产业政策，项目选址合理可行；项目在认真落实各项环保治理措施后，工程所排各项污染物对周围环境影响较小，可实现其经济效益、社会效益和环境效益的协调发展。因此，本项目在认真落实本评价所提出的各项污染防治措施的基础上，从环保角度分析，本项目在该厂址建设可行。</w:t>
            </w:r>
          </w:p>
        </w:tc>
      </w:tr>
    </w:tbl>
    <w:p w14:paraId="30FEA3B4">
      <w:pPr>
        <w:sectPr>
          <w:pgSz w:w="11906" w:h="16838"/>
          <w:pgMar w:top="1701" w:right="1531" w:bottom="1701" w:left="1531" w:header="851" w:footer="851" w:gutter="0"/>
          <w:cols w:space="720" w:num="1"/>
          <w:docGrid w:linePitch="312" w:charSpace="0"/>
        </w:sectPr>
      </w:pPr>
    </w:p>
    <w:p w14:paraId="33DB04B0">
      <w:pPr>
        <w:pStyle w:val="20"/>
        <w:adjustRightInd w:val="0"/>
        <w:snapToGrid w:val="0"/>
        <w:spacing w:before="0" w:beforeAutospacing="0" w:after="0" w:afterAutospacing="0" w:line="648" w:lineRule="auto"/>
        <w:outlineLvl w:val="0"/>
        <w:rPr>
          <w:rFonts w:ascii="Times New Roman" w:hAnsi="Times New Roman" w:eastAsia="黑体"/>
          <w:snapToGrid w:val="0"/>
          <w:sz w:val="32"/>
          <w:szCs w:val="32"/>
        </w:rPr>
      </w:pPr>
      <w:bookmarkStart w:id="28" w:name="_Toc14019"/>
      <w:r>
        <w:rPr>
          <w:rFonts w:ascii="Times New Roman" w:hAnsi="Times New Roman" w:eastAsia="黑体"/>
          <w:snapToGrid w:val="0"/>
          <w:sz w:val="32"/>
          <w:szCs w:val="32"/>
        </w:rPr>
        <w:t>附表</w:t>
      </w:r>
      <w:bookmarkEnd w:id="28"/>
    </w:p>
    <w:p w14:paraId="744F94AC">
      <w:pPr>
        <w:pStyle w:val="20"/>
        <w:adjustRightInd w:val="0"/>
        <w:snapToGrid w:val="0"/>
        <w:spacing w:before="0" w:beforeAutospacing="0" w:after="0" w:afterAutospacing="0"/>
        <w:jc w:val="center"/>
        <w:outlineLvl w:val="0"/>
        <w:rPr>
          <w:rFonts w:ascii="Times New Roman" w:hAnsi="Times New Roman" w:eastAsia="方正小标宋_GBK"/>
          <w:snapToGrid w:val="0"/>
          <w:sz w:val="38"/>
          <w:szCs w:val="38"/>
        </w:rPr>
      </w:pPr>
      <w:bookmarkStart w:id="29" w:name="_Toc13000"/>
      <w:r>
        <w:rPr>
          <w:rFonts w:ascii="Times New Roman" w:hAnsi="Times New Roman" w:eastAsia="方正小标宋_GBK"/>
          <w:snapToGrid w:val="0"/>
          <w:sz w:val="38"/>
          <w:szCs w:val="38"/>
        </w:rPr>
        <w:t>建设项目污染物排放量汇总表</w:t>
      </w:r>
      <w:bookmarkEnd w:id="29"/>
    </w:p>
    <w:tbl>
      <w:tblPr>
        <w:tblStyle w:val="23"/>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705"/>
        <w:gridCol w:w="1492"/>
        <w:gridCol w:w="1276"/>
        <w:gridCol w:w="1701"/>
        <w:gridCol w:w="1559"/>
        <w:gridCol w:w="1701"/>
        <w:gridCol w:w="1701"/>
        <w:gridCol w:w="1324"/>
      </w:tblGrid>
      <w:tr w14:paraId="51CBB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tcBorders>
              <w:tl2br w:val="single" w:color="auto" w:sz="4" w:space="0"/>
            </w:tcBorders>
            <w:tcMar>
              <w:left w:w="28" w:type="dxa"/>
              <w:right w:w="28" w:type="dxa"/>
            </w:tcMar>
            <w:vAlign w:val="center"/>
          </w:tcPr>
          <w:p w14:paraId="2C07884A">
            <w:pPr>
              <w:pStyle w:val="29"/>
              <w:spacing w:beforeLines="0" w:afterLines="0" w:line="240" w:lineRule="auto"/>
              <w:jc w:val="right"/>
              <w:rPr>
                <w:rFonts w:ascii="Times New Roman"/>
                <w:snapToGrid w:val="0"/>
                <w:spacing w:val="-6"/>
                <w:kern w:val="21"/>
                <w:szCs w:val="21"/>
              </w:rPr>
            </w:pPr>
            <w:r>
              <w:rPr>
                <w:rFonts w:ascii="Times New Roman"/>
                <w:snapToGrid w:val="0"/>
                <w:spacing w:val="-6"/>
                <w:kern w:val="21"/>
                <w:szCs w:val="21"/>
              </w:rPr>
              <w:t>项目</w:t>
            </w:r>
          </w:p>
          <w:p w14:paraId="380457D3">
            <w:pPr>
              <w:pStyle w:val="29"/>
              <w:spacing w:beforeLines="0" w:afterLines="0" w:line="240" w:lineRule="auto"/>
              <w:jc w:val="left"/>
              <w:rPr>
                <w:rFonts w:ascii="Times New Roman"/>
                <w:snapToGrid w:val="0"/>
                <w:spacing w:val="-6"/>
                <w:kern w:val="21"/>
                <w:szCs w:val="21"/>
              </w:rPr>
            </w:pPr>
            <w:r>
              <w:rPr>
                <w:rFonts w:ascii="Times New Roman"/>
                <w:snapToGrid w:val="0"/>
                <w:spacing w:val="-6"/>
                <w:kern w:val="21"/>
                <w:szCs w:val="21"/>
              </w:rPr>
              <w:t>分类</w:t>
            </w:r>
          </w:p>
        </w:tc>
        <w:tc>
          <w:tcPr>
            <w:tcW w:w="1705" w:type="dxa"/>
            <w:tcMar>
              <w:left w:w="28" w:type="dxa"/>
              <w:right w:w="28" w:type="dxa"/>
            </w:tcMar>
            <w:vAlign w:val="center"/>
          </w:tcPr>
          <w:p w14:paraId="19AA046F">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污染物名称</w:t>
            </w:r>
          </w:p>
        </w:tc>
        <w:tc>
          <w:tcPr>
            <w:tcW w:w="1492" w:type="dxa"/>
            <w:tcMar>
              <w:left w:w="28" w:type="dxa"/>
              <w:right w:w="28" w:type="dxa"/>
            </w:tcMar>
            <w:vAlign w:val="center"/>
          </w:tcPr>
          <w:p w14:paraId="2A78D471">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现有工程排放量（固体废物产生量）</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hint="eastAsia" w:hAnsi="宋体" w:cs="宋体"/>
                <w:kern w:val="2"/>
                <w:szCs w:val="21"/>
              </w:rPr>
              <w:t>①</w:t>
            </w:r>
            <w:r>
              <w:rPr>
                <w:rFonts w:ascii="Times New Roman"/>
                <w:snapToGrid w:val="0"/>
                <w:spacing w:val="-6"/>
                <w:kern w:val="21"/>
                <w:szCs w:val="21"/>
              </w:rPr>
              <w:fldChar w:fldCharType="end"/>
            </w:r>
          </w:p>
        </w:tc>
        <w:tc>
          <w:tcPr>
            <w:tcW w:w="1276" w:type="dxa"/>
            <w:tcMar>
              <w:left w:w="28" w:type="dxa"/>
              <w:right w:w="28" w:type="dxa"/>
            </w:tcMar>
            <w:vAlign w:val="center"/>
          </w:tcPr>
          <w:p w14:paraId="787ABCC7">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现有工程</w:t>
            </w:r>
          </w:p>
          <w:p w14:paraId="17A9144F">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许可排放量</w:t>
            </w:r>
          </w:p>
          <w:p w14:paraId="4C7CD179">
            <w:pPr>
              <w:pStyle w:val="29"/>
              <w:spacing w:beforeLines="0" w:afterLines="0"/>
              <w:rPr>
                <w:rFonts w:ascii="Times New Roman"/>
                <w:snapToGrid w:val="0"/>
                <w:spacing w:val="-6"/>
                <w:kern w:val="21"/>
                <w:szCs w:val="21"/>
              </w:rPr>
            </w:pPr>
            <w:r>
              <w:rPr>
                <w:rFonts w:ascii="Times New Roman"/>
                <w:snapToGrid w:val="0"/>
                <w:spacing w:val="-6"/>
                <w:kern w:val="21"/>
                <w:szCs w:val="21"/>
              </w:rPr>
              <w:fldChar w:fldCharType="begin"/>
            </w:r>
            <w:r>
              <w:rPr>
                <w:rFonts w:ascii="Times New Roman"/>
                <w:snapToGrid w:val="0"/>
                <w:spacing w:val="-6"/>
                <w:kern w:val="21"/>
                <w:szCs w:val="21"/>
              </w:rPr>
              <w:instrText xml:space="preserve"> = 2 \* GB3 \* MERGEFORMAT </w:instrText>
            </w:r>
            <w:r>
              <w:rPr>
                <w:rFonts w:ascii="Times New Roman"/>
                <w:snapToGrid w:val="0"/>
                <w:spacing w:val="-6"/>
                <w:kern w:val="21"/>
                <w:szCs w:val="21"/>
              </w:rPr>
              <w:fldChar w:fldCharType="separate"/>
            </w:r>
            <w:r>
              <w:rPr>
                <w:rFonts w:hint="eastAsia" w:hAnsi="宋体" w:cs="宋体"/>
                <w:snapToGrid w:val="0"/>
                <w:spacing w:val="-6"/>
                <w:kern w:val="21"/>
                <w:szCs w:val="21"/>
              </w:rPr>
              <w:t>②</w:t>
            </w:r>
            <w:r>
              <w:rPr>
                <w:rFonts w:ascii="Times New Roman"/>
                <w:snapToGrid w:val="0"/>
                <w:spacing w:val="-6"/>
                <w:kern w:val="21"/>
                <w:szCs w:val="21"/>
              </w:rPr>
              <w:fldChar w:fldCharType="end"/>
            </w:r>
          </w:p>
        </w:tc>
        <w:tc>
          <w:tcPr>
            <w:tcW w:w="1701" w:type="dxa"/>
            <w:tcMar>
              <w:left w:w="28" w:type="dxa"/>
              <w:right w:w="28" w:type="dxa"/>
            </w:tcMar>
            <w:vAlign w:val="center"/>
          </w:tcPr>
          <w:p w14:paraId="6B7CE054">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在建工程</w:t>
            </w:r>
          </w:p>
          <w:p w14:paraId="30B6DA65">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排放量（固体废物产生量）</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hint="eastAsia" w:hAnsi="宋体" w:cs="宋体"/>
                <w:kern w:val="2"/>
                <w:szCs w:val="21"/>
              </w:rPr>
              <w:t>③</w:t>
            </w:r>
            <w:r>
              <w:rPr>
                <w:rFonts w:ascii="Times New Roman"/>
                <w:snapToGrid w:val="0"/>
                <w:spacing w:val="-6"/>
                <w:kern w:val="21"/>
                <w:szCs w:val="21"/>
              </w:rPr>
              <w:fldChar w:fldCharType="end"/>
            </w:r>
          </w:p>
        </w:tc>
        <w:tc>
          <w:tcPr>
            <w:tcW w:w="1559" w:type="dxa"/>
            <w:tcMar>
              <w:left w:w="28" w:type="dxa"/>
              <w:right w:w="28" w:type="dxa"/>
            </w:tcMar>
            <w:vAlign w:val="center"/>
          </w:tcPr>
          <w:p w14:paraId="71E53379">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本项目</w:t>
            </w:r>
          </w:p>
          <w:p w14:paraId="00F4A08C">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排放量（固体废物产生量）</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hint="eastAsia" w:hAnsi="宋体" w:cs="宋体"/>
                <w:kern w:val="2"/>
                <w:szCs w:val="21"/>
              </w:rPr>
              <w:t>④</w:t>
            </w:r>
            <w:r>
              <w:rPr>
                <w:rFonts w:ascii="Times New Roman"/>
                <w:snapToGrid w:val="0"/>
                <w:spacing w:val="-6"/>
                <w:kern w:val="21"/>
                <w:szCs w:val="21"/>
              </w:rPr>
              <w:fldChar w:fldCharType="end"/>
            </w:r>
          </w:p>
        </w:tc>
        <w:tc>
          <w:tcPr>
            <w:tcW w:w="1701" w:type="dxa"/>
            <w:tcMar>
              <w:left w:w="28" w:type="dxa"/>
              <w:right w:w="28" w:type="dxa"/>
            </w:tcMar>
            <w:vAlign w:val="center"/>
          </w:tcPr>
          <w:p w14:paraId="43BFCA70">
            <w:pPr>
              <w:pStyle w:val="29"/>
              <w:spacing w:beforeLines="0" w:afterLines="0" w:line="240" w:lineRule="auto"/>
              <w:rPr>
                <w:rFonts w:ascii="Times New Roman"/>
                <w:snapToGrid w:val="0"/>
                <w:spacing w:val="-16"/>
                <w:kern w:val="21"/>
                <w:szCs w:val="21"/>
              </w:rPr>
            </w:pPr>
            <w:r>
              <w:rPr>
                <w:rFonts w:ascii="Times New Roman"/>
                <w:snapToGrid w:val="0"/>
                <w:spacing w:val="-16"/>
                <w:kern w:val="21"/>
                <w:szCs w:val="21"/>
              </w:rPr>
              <w:t>以新带老削减量</w:t>
            </w:r>
          </w:p>
          <w:p w14:paraId="2FC611A4">
            <w:pPr>
              <w:pStyle w:val="29"/>
              <w:spacing w:beforeLines="0" w:afterLines="0" w:line="240" w:lineRule="auto"/>
              <w:rPr>
                <w:rFonts w:ascii="Times New Roman"/>
                <w:snapToGrid w:val="0"/>
                <w:spacing w:val="-16"/>
                <w:kern w:val="21"/>
                <w:szCs w:val="21"/>
              </w:rPr>
            </w:pPr>
            <w:r>
              <w:rPr>
                <w:rFonts w:ascii="Times New Roman"/>
                <w:snapToGrid w:val="0"/>
                <w:spacing w:val="-16"/>
                <w:kern w:val="21"/>
                <w:szCs w:val="21"/>
              </w:rPr>
              <w:t>（新建项目不填）</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hint="eastAsia" w:hAnsi="宋体" w:cs="宋体"/>
                <w:kern w:val="2"/>
                <w:szCs w:val="21"/>
              </w:rPr>
              <w:t>⑤</w:t>
            </w:r>
            <w:r>
              <w:rPr>
                <w:rFonts w:ascii="Times New Roman"/>
                <w:snapToGrid w:val="0"/>
                <w:spacing w:val="-16"/>
                <w:kern w:val="21"/>
                <w:szCs w:val="21"/>
              </w:rPr>
              <w:fldChar w:fldCharType="end"/>
            </w:r>
          </w:p>
        </w:tc>
        <w:tc>
          <w:tcPr>
            <w:tcW w:w="1701" w:type="dxa"/>
            <w:tcMar>
              <w:left w:w="28" w:type="dxa"/>
              <w:right w:w="28" w:type="dxa"/>
            </w:tcMar>
            <w:vAlign w:val="center"/>
          </w:tcPr>
          <w:p w14:paraId="5C9F958C">
            <w:pPr>
              <w:pStyle w:val="29"/>
              <w:spacing w:beforeLines="0" w:afterLines="0" w:line="240" w:lineRule="auto"/>
              <w:rPr>
                <w:rFonts w:ascii="Times New Roman"/>
                <w:snapToGrid w:val="0"/>
                <w:spacing w:val="-16"/>
                <w:kern w:val="21"/>
                <w:szCs w:val="21"/>
              </w:rPr>
            </w:pPr>
            <w:r>
              <w:rPr>
                <w:rFonts w:ascii="Times New Roman"/>
                <w:snapToGrid w:val="0"/>
                <w:spacing w:val="-16"/>
                <w:kern w:val="21"/>
                <w:szCs w:val="21"/>
              </w:rPr>
              <w:t>本项目建成后</w:t>
            </w:r>
          </w:p>
          <w:p w14:paraId="7138F4F2">
            <w:pPr>
              <w:pStyle w:val="29"/>
              <w:spacing w:beforeLines="0" w:afterLines="0" w:line="240" w:lineRule="auto"/>
              <w:rPr>
                <w:rFonts w:ascii="Times New Roman"/>
                <w:snapToGrid w:val="0"/>
                <w:spacing w:val="-16"/>
                <w:kern w:val="21"/>
                <w:szCs w:val="21"/>
              </w:rPr>
            </w:pPr>
            <w:r>
              <w:rPr>
                <w:rFonts w:ascii="Times New Roman"/>
                <w:snapToGrid w:val="0"/>
                <w:spacing w:val="-16"/>
                <w:kern w:val="21"/>
                <w:szCs w:val="21"/>
              </w:rPr>
              <w:t>全厂排放量（固体废物产生量）</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hint="eastAsia" w:hAnsi="宋体" w:cs="宋体"/>
                <w:kern w:val="2"/>
                <w:szCs w:val="21"/>
              </w:rPr>
              <w:t>⑥</w:t>
            </w:r>
            <w:r>
              <w:rPr>
                <w:rFonts w:ascii="Times New Roman"/>
                <w:snapToGrid w:val="0"/>
                <w:spacing w:val="-16"/>
                <w:kern w:val="21"/>
                <w:szCs w:val="21"/>
              </w:rPr>
              <w:fldChar w:fldCharType="end"/>
            </w:r>
          </w:p>
        </w:tc>
        <w:tc>
          <w:tcPr>
            <w:tcW w:w="1324" w:type="dxa"/>
            <w:tcMar>
              <w:left w:w="28" w:type="dxa"/>
              <w:right w:w="28" w:type="dxa"/>
            </w:tcMar>
            <w:vAlign w:val="center"/>
          </w:tcPr>
          <w:p w14:paraId="3119E6FE">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t>变化量</w:t>
            </w:r>
          </w:p>
          <w:p w14:paraId="49BF7A83">
            <w:pPr>
              <w:pStyle w:val="29"/>
              <w:spacing w:beforeLines="0" w:afterLines="0" w:line="240" w:lineRule="auto"/>
              <w:rPr>
                <w:rFonts w:ascii="Times New Roman"/>
                <w:snapToGrid w:val="0"/>
                <w:spacing w:val="-6"/>
                <w:kern w:val="21"/>
                <w:szCs w:val="21"/>
              </w:rPr>
            </w:pP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hint="eastAsia" w:hAnsi="宋体" w:cs="宋体"/>
                <w:kern w:val="2"/>
                <w:szCs w:val="21"/>
              </w:rPr>
              <w:t>⑦</w:t>
            </w:r>
            <w:r>
              <w:rPr>
                <w:rFonts w:ascii="Times New Roman"/>
                <w:snapToGrid w:val="0"/>
                <w:spacing w:val="-6"/>
                <w:kern w:val="21"/>
                <w:szCs w:val="21"/>
              </w:rPr>
              <w:fldChar w:fldCharType="end"/>
            </w:r>
          </w:p>
        </w:tc>
      </w:tr>
      <w:tr w14:paraId="25383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restart"/>
            <w:vAlign w:val="center"/>
          </w:tcPr>
          <w:p w14:paraId="10478126">
            <w:pPr>
              <w:pStyle w:val="29"/>
              <w:spacing w:beforeLines="0" w:afterLines="0" w:line="240" w:lineRule="auto"/>
              <w:rPr>
                <w:rFonts w:ascii="Times New Roman"/>
                <w:snapToGrid w:val="0"/>
                <w:kern w:val="21"/>
                <w:szCs w:val="21"/>
              </w:rPr>
            </w:pPr>
            <w:r>
              <w:rPr>
                <w:rFonts w:ascii="Times New Roman"/>
                <w:snapToGrid w:val="0"/>
                <w:kern w:val="21"/>
                <w:szCs w:val="21"/>
              </w:rPr>
              <w:t>废气</w:t>
            </w:r>
          </w:p>
        </w:tc>
        <w:tc>
          <w:tcPr>
            <w:tcW w:w="1705" w:type="dxa"/>
            <w:vAlign w:val="center"/>
          </w:tcPr>
          <w:p w14:paraId="223242A8">
            <w:pPr>
              <w:pStyle w:val="29"/>
              <w:spacing w:beforeLines="0" w:afterLines="0" w:line="240" w:lineRule="auto"/>
              <w:rPr>
                <w:rFonts w:ascii="Times New Roman"/>
                <w:snapToGrid w:val="0"/>
                <w:kern w:val="21"/>
                <w:szCs w:val="21"/>
              </w:rPr>
            </w:pPr>
            <w:r>
              <w:rPr>
                <w:rFonts w:ascii="Times New Roman"/>
                <w:snapToGrid w:val="0"/>
                <w:kern w:val="21"/>
                <w:szCs w:val="21"/>
              </w:rPr>
              <w:t>VOCs</w:t>
            </w:r>
          </w:p>
        </w:tc>
        <w:tc>
          <w:tcPr>
            <w:tcW w:w="1492" w:type="dxa"/>
            <w:vAlign w:val="center"/>
          </w:tcPr>
          <w:p w14:paraId="7D33F52E">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4D51D0DC">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6C6582B">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12315812">
            <w:pPr>
              <w:pStyle w:val="29"/>
              <w:spacing w:beforeLines="0" w:afterLines="0" w:line="240" w:lineRule="auto"/>
              <w:rPr>
                <w:rFonts w:ascii="Times New Roman"/>
                <w:snapToGrid w:val="0"/>
                <w:kern w:val="21"/>
                <w:szCs w:val="21"/>
              </w:rPr>
            </w:pPr>
            <w:r>
              <w:rPr>
                <w:rFonts w:ascii="Times New Roman"/>
                <w:snapToGrid w:val="0"/>
                <w:kern w:val="21"/>
                <w:szCs w:val="21"/>
              </w:rPr>
              <w:t>0.0015t/a</w:t>
            </w:r>
          </w:p>
        </w:tc>
        <w:tc>
          <w:tcPr>
            <w:tcW w:w="1701" w:type="dxa"/>
            <w:vAlign w:val="center"/>
          </w:tcPr>
          <w:p w14:paraId="0A0C53FA">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15FE6275">
            <w:pPr>
              <w:pStyle w:val="29"/>
              <w:spacing w:beforeLines="0" w:afterLines="0" w:line="240" w:lineRule="auto"/>
              <w:rPr>
                <w:rFonts w:ascii="Times New Roman"/>
                <w:snapToGrid w:val="0"/>
                <w:kern w:val="21"/>
                <w:szCs w:val="21"/>
              </w:rPr>
            </w:pPr>
            <w:r>
              <w:rPr>
                <w:rFonts w:ascii="Times New Roman"/>
                <w:snapToGrid w:val="0"/>
                <w:kern w:val="21"/>
                <w:szCs w:val="21"/>
              </w:rPr>
              <w:t>0.0015t/a</w:t>
            </w:r>
          </w:p>
        </w:tc>
        <w:tc>
          <w:tcPr>
            <w:tcW w:w="1324" w:type="dxa"/>
            <w:shd w:val="clear" w:color="auto" w:fill="auto"/>
            <w:vAlign w:val="center"/>
          </w:tcPr>
          <w:p w14:paraId="5B13E4AA">
            <w:pPr>
              <w:pStyle w:val="29"/>
              <w:spacing w:beforeLines="0" w:afterLines="0" w:line="240" w:lineRule="auto"/>
              <w:rPr>
                <w:rFonts w:ascii="Times New Roman"/>
                <w:snapToGrid w:val="0"/>
                <w:kern w:val="21"/>
                <w:szCs w:val="21"/>
              </w:rPr>
            </w:pPr>
            <w:r>
              <w:rPr>
                <w:rFonts w:ascii="Times New Roman"/>
                <w:snapToGrid w:val="0"/>
                <w:kern w:val="21"/>
                <w:szCs w:val="21"/>
              </w:rPr>
              <w:t>+0.0015t/a</w:t>
            </w:r>
          </w:p>
        </w:tc>
      </w:tr>
      <w:tr w14:paraId="4903F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788FF084">
            <w:pPr>
              <w:pStyle w:val="29"/>
              <w:spacing w:beforeLines="0" w:afterLines="0" w:line="240" w:lineRule="auto"/>
              <w:rPr>
                <w:rFonts w:ascii="Times New Roman"/>
                <w:snapToGrid w:val="0"/>
                <w:kern w:val="21"/>
                <w:szCs w:val="21"/>
              </w:rPr>
            </w:pPr>
          </w:p>
        </w:tc>
        <w:tc>
          <w:tcPr>
            <w:tcW w:w="1705" w:type="dxa"/>
            <w:vAlign w:val="center"/>
          </w:tcPr>
          <w:p w14:paraId="450AE93F">
            <w:pPr>
              <w:pStyle w:val="29"/>
              <w:spacing w:beforeLines="0" w:afterLines="0" w:line="240" w:lineRule="auto"/>
              <w:rPr>
                <w:rFonts w:ascii="Times New Roman"/>
                <w:snapToGrid w:val="0"/>
                <w:kern w:val="21"/>
                <w:szCs w:val="21"/>
              </w:rPr>
            </w:pPr>
            <w:r>
              <w:rPr>
                <w:rFonts w:ascii="Times New Roman"/>
                <w:snapToGrid w:val="0"/>
                <w:kern w:val="21"/>
                <w:szCs w:val="21"/>
              </w:rPr>
              <w:t>颗粒物</w:t>
            </w:r>
          </w:p>
        </w:tc>
        <w:tc>
          <w:tcPr>
            <w:tcW w:w="1492" w:type="dxa"/>
            <w:vAlign w:val="center"/>
          </w:tcPr>
          <w:p w14:paraId="4EA2E1F0">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9C29C09">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9E8FC09">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1A1994ED">
            <w:pPr>
              <w:pStyle w:val="29"/>
              <w:spacing w:beforeLines="0" w:afterLines="0" w:line="240" w:lineRule="auto"/>
              <w:rPr>
                <w:rFonts w:ascii="Times New Roman"/>
                <w:snapToGrid w:val="0"/>
                <w:kern w:val="21"/>
                <w:szCs w:val="21"/>
              </w:rPr>
            </w:pPr>
            <w:r>
              <w:rPr>
                <w:rFonts w:ascii="Times New Roman"/>
                <w:snapToGrid w:val="0"/>
                <w:kern w:val="21"/>
                <w:szCs w:val="21"/>
              </w:rPr>
              <w:t>0.003t/a</w:t>
            </w:r>
          </w:p>
        </w:tc>
        <w:tc>
          <w:tcPr>
            <w:tcW w:w="1701" w:type="dxa"/>
            <w:vAlign w:val="center"/>
          </w:tcPr>
          <w:p w14:paraId="62730FA7">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732C6569">
            <w:pPr>
              <w:pStyle w:val="29"/>
              <w:spacing w:beforeLines="0" w:afterLines="0" w:line="240" w:lineRule="auto"/>
              <w:rPr>
                <w:rFonts w:ascii="Times New Roman"/>
                <w:snapToGrid w:val="0"/>
                <w:kern w:val="21"/>
                <w:szCs w:val="21"/>
              </w:rPr>
            </w:pPr>
            <w:r>
              <w:rPr>
                <w:rFonts w:ascii="Times New Roman"/>
                <w:snapToGrid w:val="0"/>
                <w:kern w:val="21"/>
                <w:szCs w:val="21"/>
              </w:rPr>
              <w:t>0.003t/a</w:t>
            </w:r>
          </w:p>
        </w:tc>
        <w:tc>
          <w:tcPr>
            <w:tcW w:w="1324" w:type="dxa"/>
            <w:shd w:val="clear" w:color="auto" w:fill="auto"/>
            <w:vAlign w:val="center"/>
          </w:tcPr>
          <w:p w14:paraId="093B74FE">
            <w:pPr>
              <w:pStyle w:val="29"/>
              <w:spacing w:beforeLines="0" w:afterLines="0" w:line="240" w:lineRule="auto"/>
              <w:rPr>
                <w:rFonts w:ascii="Times New Roman"/>
                <w:snapToGrid w:val="0"/>
                <w:kern w:val="21"/>
                <w:szCs w:val="21"/>
              </w:rPr>
            </w:pPr>
            <w:r>
              <w:rPr>
                <w:rFonts w:ascii="Times New Roman"/>
                <w:snapToGrid w:val="0"/>
                <w:kern w:val="21"/>
                <w:szCs w:val="21"/>
              </w:rPr>
              <w:t>+0.003t/a</w:t>
            </w:r>
          </w:p>
        </w:tc>
      </w:tr>
      <w:tr w14:paraId="22E06C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329" w:type="dxa"/>
            <w:vMerge w:val="restart"/>
            <w:vAlign w:val="center"/>
          </w:tcPr>
          <w:p w14:paraId="37B02D79">
            <w:pPr>
              <w:pStyle w:val="29"/>
              <w:spacing w:beforeLines="0" w:afterLines="0" w:line="240" w:lineRule="auto"/>
              <w:rPr>
                <w:rFonts w:ascii="Times New Roman"/>
                <w:snapToGrid w:val="0"/>
                <w:kern w:val="21"/>
                <w:szCs w:val="21"/>
              </w:rPr>
            </w:pPr>
            <w:r>
              <w:rPr>
                <w:rFonts w:ascii="Times New Roman"/>
                <w:snapToGrid w:val="0"/>
                <w:kern w:val="21"/>
                <w:szCs w:val="21"/>
              </w:rPr>
              <w:t>废水</w:t>
            </w:r>
          </w:p>
        </w:tc>
        <w:tc>
          <w:tcPr>
            <w:tcW w:w="1705" w:type="dxa"/>
            <w:vAlign w:val="center"/>
          </w:tcPr>
          <w:p w14:paraId="7CCD44E8">
            <w:pPr>
              <w:pStyle w:val="29"/>
              <w:spacing w:beforeLines="0" w:afterLines="0" w:line="240" w:lineRule="auto"/>
              <w:rPr>
                <w:rFonts w:ascii="Times New Roman"/>
                <w:snapToGrid w:val="0"/>
                <w:kern w:val="21"/>
                <w:szCs w:val="21"/>
              </w:rPr>
            </w:pPr>
            <w:r>
              <w:rPr>
                <w:rFonts w:ascii="Times New Roman"/>
                <w:snapToGrid w:val="0"/>
                <w:kern w:val="21"/>
                <w:szCs w:val="21"/>
              </w:rPr>
              <w:t>COD</w:t>
            </w:r>
          </w:p>
        </w:tc>
        <w:tc>
          <w:tcPr>
            <w:tcW w:w="1492" w:type="dxa"/>
            <w:vAlign w:val="center"/>
          </w:tcPr>
          <w:p w14:paraId="69D98332">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88B0C60">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69669856">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shd w:val="clear" w:color="auto" w:fill="auto"/>
            <w:vAlign w:val="center"/>
          </w:tcPr>
          <w:p w14:paraId="1FEF16CD">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24A7E1B">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6ED49E28">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324" w:type="dxa"/>
            <w:shd w:val="clear" w:color="auto" w:fill="auto"/>
            <w:vAlign w:val="center"/>
          </w:tcPr>
          <w:p w14:paraId="6DC46841">
            <w:pPr>
              <w:pStyle w:val="29"/>
              <w:spacing w:beforeLines="0" w:afterLines="0" w:line="240" w:lineRule="auto"/>
              <w:rPr>
                <w:rFonts w:ascii="Times New Roman"/>
                <w:snapToGrid w:val="0"/>
                <w:kern w:val="21"/>
                <w:szCs w:val="21"/>
              </w:rPr>
            </w:pPr>
            <w:r>
              <w:rPr>
                <w:rFonts w:ascii="Times New Roman"/>
                <w:snapToGrid w:val="0"/>
                <w:kern w:val="21"/>
                <w:szCs w:val="21"/>
              </w:rPr>
              <w:t>/</w:t>
            </w:r>
          </w:p>
        </w:tc>
      </w:tr>
      <w:tr w14:paraId="09FD0C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169DA12A">
            <w:pPr>
              <w:pStyle w:val="29"/>
              <w:spacing w:beforeLines="0" w:afterLines="0" w:line="240" w:lineRule="auto"/>
              <w:rPr>
                <w:rFonts w:ascii="Times New Roman"/>
                <w:snapToGrid w:val="0"/>
                <w:kern w:val="21"/>
                <w:szCs w:val="21"/>
              </w:rPr>
            </w:pPr>
          </w:p>
        </w:tc>
        <w:tc>
          <w:tcPr>
            <w:tcW w:w="1705" w:type="dxa"/>
            <w:vAlign w:val="center"/>
          </w:tcPr>
          <w:p w14:paraId="383C8074">
            <w:pPr>
              <w:pStyle w:val="29"/>
              <w:spacing w:beforeLines="0" w:afterLines="0" w:line="240" w:lineRule="auto"/>
              <w:rPr>
                <w:rFonts w:ascii="Times New Roman"/>
                <w:snapToGrid w:val="0"/>
                <w:kern w:val="21"/>
                <w:szCs w:val="21"/>
              </w:rPr>
            </w:pPr>
            <w:r>
              <w:rPr>
                <w:rFonts w:ascii="Times New Roman"/>
                <w:snapToGrid w:val="0"/>
                <w:kern w:val="21"/>
                <w:szCs w:val="21"/>
              </w:rPr>
              <w:t>氨氮</w:t>
            </w:r>
          </w:p>
        </w:tc>
        <w:tc>
          <w:tcPr>
            <w:tcW w:w="1492" w:type="dxa"/>
            <w:vAlign w:val="center"/>
          </w:tcPr>
          <w:p w14:paraId="0418C4D3">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45438E98">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BC2430C">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shd w:val="clear" w:color="auto" w:fill="auto"/>
            <w:vAlign w:val="center"/>
          </w:tcPr>
          <w:p w14:paraId="7692F76D">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7F2B0927">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310B2769">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324" w:type="dxa"/>
            <w:shd w:val="clear" w:color="auto" w:fill="auto"/>
            <w:vAlign w:val="center"/>
          </w:tcPr>
          <w:p w14:paraId="13F3C5EF">
            <w:pPr>
              <w:pStyle w:val="29"/>
              <w:spacing w:beforeLines="0" w:afterLines="0" w:line="240" w:lineRule="auto"/>
              <w:rPr>
                <w:rFonts w:ascii="Times New Roman"/>
                <w:snapToGrid w:val="0"/>
                <w:kern w:val="21"/>
                <w:szCs w:val="21"/>
              </w:rPr>
            </w:pPr>
            <w:r>
              <w:rPr>
                <w:rFonts w:ascii="Times New Roman"/>
                <w:snapToGrid w:val="0"/>
                <w:kern w:val="21"/>
                <w:szCs w:val="21"/>
              </w:rPr>
              <w:t>/</w:t>
            </w:r>
          </w:p>
        </w:tc>
      </w:tr>
      <w:tr w14:paraId="3B923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restart"/>
            <w:vAlign w:val="center"/>
          </w:tcPr>
          <w:p w14:paraId="4BDC6B84">
            <w:pPr>
              <w:pStyle w:val="29"/>
              <w:spacing w:beforeLines="0" w:afterLines="0" w:line="240" w:lineRule="auto"/>
              <w:rPr>
                <w:rFonts w:ascii="Times New Roman"/>
                <w:snapToGrid w:val="0"/>
                <w:kern w:val="21"/>
                <w:szCs w:val="21"/>
              </w:rPr>
            </w:pPr>
            <w:r>
              <w:rPr>
                <w:rFonts w:ascii="Times New Roman"/>
                <w:snapToGrid w:val="0"/>
                <w:kern w:val="21"/>
                <w:szCs w:val="21"/>
              </w:rPr>
              <w:t>一般工业</w:t>
            </w:r>
          </w:p>
          <w:p w14:paraId="62158DE7">
            <w:pPr>
              <w:pStyle w:val="29"/>
              <w:spacing w:beforeLines="0" w:afterLines="0" w:line="240" w:lineRule="auto"/>
              <w:rPr>
                <w:rFonts w:ascii="Times New Roman"/>
                <w:snapToGrid w:val="0"/>
                <w:kern w:val="21"/>
                <w:szCs w:val="21"/>
              </w:rPr>
            </w:pPr>
            <w:r>
              <w:rPr>
                <w:rFonts w:ascii="Times New Roman"/>
                <w:snapToGrid w:val="0"/>
                <w:kern w:val="21"/>
                <w:szCs w:val="21"/>
              </w:rPr>
              <w:t>固体废物</w:t>
            </w:r>
          </w:p>
        </w:tc>
        <w:tc>
          <w:tcPr>
            <w:tcW w:w="1705" w:type="dxa"/>
            <w:vAlign w:val="center"/>
          </w:tcPr>
          <w:p w14:paraId="6FF1C6C9">
            <w:pPr>
              <w:pStyle w:val="29"/>
              <w:spacing w:beforeLines="0" w:afterLines="0" w:line="240" w:lineRule="auto"/>
              <w:rPr>
                <w:rFonts w:ascii="Times New Roman"/>
                <w:snapToGrid w:val="0"/>
                <w:kern w:val="21"/>
                <w:szCs w:val="21"/>
              </w:rPr>
            </w:pPr>
            <w:r>
              <w:rPr>
                <w:rFonts w:ascii="Times New Roman"/>
                <w:snapToGrid w:val="0"/>
                <w:kern w:val="21"/>
                <w:szCs w:val="21"/>
              </w:rPr>
              <w:t>碎玻璃、碎皮革等不可利用物</w:t>
            </w:r>
          </w:p>
        </w:tc>
        <w:tc>
          <w:tcPr>
            <w:tcW w:w="1492" w:type="dxa"/>
            <w:vAlign w:val="center"/>
          </w:tcPr>
          <w:p w14:paraId="2963EE21">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79B32B0C">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69875B00">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08BB01B8">
            <w:pPr>
              <w:pStyle w:val="29"/>
              <w:spacing w:beforeLines="0" w:afterLines="0" w:line="240" w:lineRule="auto"/>
              <w:rPr>
                <w:rFonts w:ascii="Times New Roman"/>
                <w:snapToGrid w:val="0"/>
                <w:kern w:val="21"/>
                <w:szCs w:val="21"/>
              </w:rPr>
            </w:pPr>
            <w:r>
              <w:rPr>
                <w:rFonts w:ascii="Times New Roman"/>
                <w:snapToGrid w:val="0"/>
                <w:kern w:val="21"/>
                <w:szCs w:val="21"/>
              </w:rPr>
              <w:t>1.5t/a</w:t>
            </w:r>
          </w:p>
        </w:tc>
        <w:tc>
          <w:tcPr>
            <w:tcW w:w="1701" w:type="dxa"/>
            <w:vAlign w:val="center"/>
          </w:tcPr>
          <w:p w14:paraId="093DA6D8">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1D366C63">
            <w:pPr>
              <w:pStyle w:val="29"/>
              <w:spacing w:beforeLines="0" w:afterLines="0" w:line="240" w:lineRule="auto"/>
              <w:rPr>
                <w:rFonts w:ascii="Times New Roman"/>
                <w:snapToGrid w:val="0"/>
                <w:kern w:val="21"/>
                <w:szCs w:val="21"/>
              </w:rPr>
            </w:pPr>
            <w:r>
              <w:rPr>
                <w:rFonts w:ascii="Times New Roman"/>
                <w:snapToGrid w:val="0"/>
                <w:kern w:val="21"/>
                <w:szCs w:val="21"/>
              </w:rPr>
              <w:t>1.5t/a</w:t>
            </w:r>
          </w:p>
        </w:tc>
        <w:tc>
          <w:tcPr>
            <w:tcW w:w="1324" w:type="dxa"/>
            <w:shd w:val="clear" w:color="auto" w:fill="auto"/>
            <w:vAlign w:val="center"/>
          </w:tcPr>
          <w:p w14:paraId="4BE8C31E">
            <w:pPr>
              <w:pStyle w:val="29"/>
              <w:spacing w:beforeLines="0" w:afterLines="0" w:line="240" w:lineRule="auto"/>
              <w:rPr>
                <w:rFonts w:ascii="Times New Roman"/>
                <w:snapToGrid w:val="0"/>
                <w:kern w:val="21"/>
                <w:szCs w:val="21"/>
              </w:rPr>
            </w:pPr>
            <w:r>
              <w:rPr>
                <w:rFonts w:ascii="Times New Roman"/>
                <w:snapToGrid w:val="0"/>
                <w:kern w:val="21"/>
                <w:szCs w:val="21"/>
              </w:rPr>
              <w:t>+1.5t/a</w:t>
            </w:r>
          </w:p>
        </w:tc>
      </w:tr>
      <w:tr w14:paraId="0D3CC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73242CFC">
            <w:pPr>
              <w:pStyle w:val="29"/>
              <w:spacing w:beforeLines="0" w:afterLines="0" w:line="240" w:lineRule="auto"/>
              <w:rPr>
                <w:rFonts w:ascii="Times New Roman"/>
                <w:snapToGrid w:val="0"/>
                <w:kern w:val="21"/>
                <w:szCs w:val="21"/>
              </w:rPr>
            </w:pPr>
          </w:p>
        </w:tc>
        <w:tc>
          <w:tcPr>
            <w:tcW w:w="1705" w:type="dxa"/>
            <w:vAlign w:val="center"/>
          </w:tcPr>
          <w:p w14:paraId="4DDEA885">
            <w:pPr>
              <w:pStyle w:val="29"/>
              <w:spacing w:beforeLines="0" w:afterLines="0" w:line="240" w:lineRule="auto"/>
              <w:rPr>
                <w:rFonts w:ascii="Times New Roman"/>
                <w:snapToGrid w:val="0"/>
                <w:kern w:val="21"/>
                <w:szCs w:val="21"/>
              </w:rPr>
            </w:pPr>
            <w:r>
              <w:rPr>
                <w:rFonts w:ascii="Times New Roman"/>
                <w:snapToGrid w:val="0"/>
                <w:kern w:val="21"/>
                <w:szCs w:val="21"/>
              </w:rPr>
              <w:t>除尘器收尘</w:t>
            </w:r>
          </w:p>
        </w:tc>
        <w:tc>
          <w:tcPr>
            <w:tcW w:w="1492" w:type="dxa"/>
            <w:vAlign w:val="center"/>
          </w:tcPr>
          <w:p w14:paraId="71F3E296">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34488064">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C724562">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26DC9E44">
            <w:pPr>
              <w:pStyle w:val="29"/>
              <w:spacing w:beforeLines="0" w:afterLines="0" w:line="240" w:lineRule="auto"/>
              <w:rPr>
                <w:rFonts w:ascii="Times New Roman"/>
                <w:snapToGrid w:val="0"/>
                <w:kern w:val="21"/>
                <w:szCs w:val="21"/>
              </w:rPr>
            </w:pPr>
            <w:r>
              <w:rPr>
                <w:rFonts w:ascii="Times New Roman"/>
                <w:snapToGrid w:val="0"/>
                <w:kern w:val="21"/>
                <w:szCs w:val="21"/>
              </w:rPr>
              <w:t>0.053t/a</w:t>
            </w:r>
          </w:p>
        </w:tc>
        <w:tc>
          <w:tcPr>
            <w:tcW w:w="1701" w:type="dxa"/>
            <w:vAlign w:val="center"/>
          </w:tcPr>
          <w:p w14:paraId="78B04C20">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1E655506">
            <w:pPr>
              <w:pStyle w:val="29"/>
              <w:spacing w:beforeLines="0" w:afterLines="0" w:line="240" w:lineRule="auto"/>
              <w:rPr>
                <w:rFonts w:ascii="Times New Roman"/>
                <w:snapToGrid w:val="0"/>
                <w:kern w:val="21"/>
                <w:szCs w:val="21"/>
              </w:rPr>
            </w:pPr>
            <w:r>
              <w:rPr>
                <w:rFonts w:ascii="Times New Roman"/>
                <w:snapToGrid w:val="0"/>
                <w:kern w:val="21"/>
                <w:szCs w:val="21"/>
              </w:rPr>
              <w:t>0.053t/a</w:t>
            </w:r>
          </w:p>
        </w:tc>
        <w:tc>
          <w:tcPr>
            <w:tcW w:w="1324" w:type="dxa"/>
            <w:shd w:val="clear" w:color="auto" w:fill="auto"/>
            <w:vAlign w:val="center"/>
          </w:tcPr>
          <w:p w14:paraId="307B8226">
            <w:pPr>
              <w:pStyle w:val="29"/>
              <w:spacing w:beforeLines="0" w:afterLines="0" w:line="240" w:lineRule="auto"/>
              <w:rPr>
                <w:rFonts w:ascii="Times New Roman"/>
                <w:snapToGrid w:val="0"/>
                <w:kern w:val="21"/>
                <w:szCs w:val="21"/>
              </w:rPr>
            </w:pPr>
            <w:r>
              <w:rPr>
                <w:rFonts w:ascii="Times New Roman"/>
                <w:snapToGrid w:val="0"/>
                <w:kern w:val="21"/>
                <w:szCs w:val="21"/>
              </w:rPr>
              <w:t>+0.053t/a</w:t>
            </w:r>
          </w:p>
        </w:tc>
      </w:tr>
      <w:tr w14:paraId="477A51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6F2F3FD8">
            <w:pPr>
              <w:pStyle w:val="29"/>
              <w:spacing w:beforeLines="0" w:afterLines="0" w:line="240" w:lineRule="auto"/>
              <w:rPr>
                <w:rFonts w:ascii="Times New Roman"/>
                <w:snapToGrid w:val="0"/>
                <w:kern w:val="21"/>
                <w:szCs w:val="21"/>
              </w:rPr>
            </w:pPr>
          </w:p>
        </w:tc>
        <w:tc>
          <w:tcPr>
            <w:tcW w:w="1705" w:type="dxa"/>
            <w:vAlign w:val="center"/>
          </w:tcPr>
          <w:p w14:paraId="02B13529">
            <w:pPr>
              <w:pStyle w:val="29"/>
              <w:spacing w:beforeLines="0" w:afterLines="0" w:line="240" w:lineRule="auto"/>
              <w:rPr>
                <w:rFonts w:ascii="Times New Roman"/>
                <w:snapToGrid w:val="0"/>
                <w:kern w:val="21"/>
                <w:szCs w:val="21"/>
              </w:rPr>
            </w:pPr>
            <w:r>
              <w:rPr>
                <w:rFonts w:ascii="Times New Roman"/>
                <w:snapToGrid w:val="0"/>
                <w:kern w:val="21"/>
                <w:szCs w:val="21"/>
              </w:rPr>
              <w:t>生活垃圾</w:t>
            </w:r>
          </w:p>
        </w:tc>
        <w:tc>
          <w:tcPr>
            <w:tcW w:w="1492" w:type="dxa"/>
            <w:vAlign w:val="center"/>
          </w:tcPr>
          <w:p w14:paraId="63512AC0">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3BE2052F">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68EDA919">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007D19CC">
            <w:pPr>
              <w:pStyle w:val="29"/>
              <w:spacing w:beforeLines="0" w:afterLines="0" w:line="240" w:lineRule="auto"/>
              <w:rPr>
                <w:rFonts w:ascii="Times New Roman"/>
                <w:snapToGrid w:val="0"/>
                <w:kern w:val="21"/>
                <w:szCs w:val="21"/>
              </w:rPr>
            </w:pPr>
            <w:r>
              <w:rPr>
                <w:rFonts w:ascii="Times New Roman"/>
                <w:snapToGrid w:val="0"/>
                <w:kern w:val="21"/>
                <w:szCs w:val="21"/>
              </w:rPr>
              <w:t>0.375t/a</w:t>
            </w:r>
          </w:p>
        </w:tc>
        <w:tc>
          <w:tcPr>
            <w:tcW w:w="1701" w:type="dxa"/>
            <w:vAlign w:val="center"/>
          </w:tcPr>
          <w:p w14:paraId="5A53684C">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4CD50680">
            <w:pPr>
              <w:pStyle w:val="29"/>
              <w:spacing w:beforeLines="0" w:afterLines="0" w:line="240" w:lineRule="auto"/>
              <w:rPr>
                <w:rFonts w:ascii="Times New Roman"/>
                <w:snapToGrid w:val="0"/>
                <w:kern w:val="21"/>
                <w:szCs w:val="21"/>
              </w:rPr>
            </w:pPr>
            <w:r>
              <w:rPr>
                <w:rFonts w:ascii="Times New Roman"/>
                <w:snapToGrid w:val="0"/>
                <w:kern w:val="21"/>
                <w:szCs w:val="21"/>
              </w:rPr>
              <w:t>0.375t/a</w:t>
            </w:r>
          </w:p>
        </w:tc>
        <w:tc>
          <w:tcPr>
            <w:tcW w:w="1324" w:type="dxa"/>
            <w:shd w:val="clear" w:color="auto" w:fill="auto"/>
            <w:vAlign w:val="center"/>
          </w:tcPr>
          <w:p w14:paraId="2367281B">
            <w:pPr>
              <w:pStyle w:val="29"/>
              <w:spacing w:beforeLines="0" w:afterLines="0" w:line="240" w:lineRule="auto"/>
              <w:rPr>
                <w:rFonts w:ascii="Times New Roman"/>
                <w:snapToGrid w:val="0"/>
                <w:kern w:val="21"/>
                <w:szCs w:val="21"/>
              </w:rPr>
            </w:pPr>
            <w:r>
              <w:rPr>
                <w:rFonts w:ascii="Times New Roman"/>
                <w:snapToGrid w:val="0"/>
                <w:kern w:val="21"/>
                <w:szCs w:val="21"/>
              </w:rPr>
              <w:t>+0.375t/a</w:t>
            </w:r>
          </w:p>
        </w:tc>
      </w:tr>
      <w:tr w14:paraId="5B200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restart"/>
            <w:vAlign w:val="center"/>
          </w:tcPr>
          <w:p w14:paraId="3AA2DAF5">
            <w:pPr>
              <w:pStyle w:val="29"/>
              <w:spacing w:beforeLines="0" w:afterLines="0" w:line="240" w:lineRule="auto"/>
              <w:rPr>
                <w:rFonts w:ascii="Times New Roman"/>
                <w:snapToGrid w:val="0"/>
                <w:kern w:val="21"/>
                <w:szCs w:val="21"/>
              </w:rPr>
            </w:pPr>
            <w:r>
              <w:rPr>
                <w:rFonts w:ascii="Times New Roman"/>
                <w:snapToGrid w:val="0"/>
                <w:kern w:val="21"/>
                <w:szCs w:val="21"/>
              </w:rPr>
              <w:t>危险废物</w:t>
            </w:r>
          </w:p>
        </w:tc>
        <w:tc>
          <w:tcPr>
            <w:tcW w:w="1705" w:type="dxa"/>
            <w:vAlign w:val="center"/>
          </w:tcPr>
          <w:p w14:paraId="14B6BCC7">
            <w:pPr>
              <w:pStyle w:val="29"/>
              <w:spacing w:beforeLines="0" w:afterLines="0" w:line="240" w:lineRule="auto"/>
              <w:rPr>
                <w:rFonts w:ascii="Times New Roman"/>
                <w:snapToGrid w:val="0"/>
                <w:kern w:val="21"/>
                <w:szCs w:val="21"/>
              </w:rPr>
            </w:pPr>
            <w:r>
              <w:rPr>
                <w:rFonts w:ascii="Times New Roman"/>
                <w:snapToGrid w:val="0"/>
                <w:kern w:val="21"/>
                <w:szCs w:val="21"/>
              </w:rPr>
              <w:t>废活性炭</w:t>
            </w:r>
          </w:p>
        </w:tc>
        <w:tc>
          <w:tcPr>
            <w:tcW w:w="1492" w:type="dxa"/>
            <w:vAlign w:val="center"/>
          </w:tcPr>
          <w:p w14:paraId="4174D49E">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3A0D7F53">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2DA6965">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000A2428">
            <w:pPr>
              <w:pStyle w:val="29"/>
              <w:spacing w:beforeLines="0" w:afterLines="0" w:line="240" w:lineRule="auto"/>
              <w:rPr>
                <w:rFonts w:ascii="Times New Roman"/>
                <w:snapToGrid w:val="0"/>
                <w:kern w:val="21"/>
                <w:szCs w:val="21"/>
              </w:rPr>
            </w:pPr>
            <w:r>
              <w:rPr>
                <w:rFonts w:ascii="Times New Roman"/>
                <w:snapToGrid w:val="0"/>
                <w:kern w:val="21"/>
                <w:szCs w:val="21"/>
              </w:rPr>
              <w:t>0.304t/a</w:t>
            </w:r>
          </w:p>
        </w:tc>
        <w:tc>
          <w:tcPr>
            <w:tcW w:w="1701" w:type="dxa"/>
            <w:vAlign w:val="center"/>
          </w:tcPr>
          <w:p w14:paraId="2019CB8E">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18A2C2D5">
            <w:pPr>
              <w:pStyle w:val="29"/>
              <w:spacing w:beforeLines="0" w:afterLines="0" w:line="240" w:lineRule="auto"/>
              <w:rPr>
                <w:rFonts w:ascii="Times New Roman"/>
                <w:snapToGrid w:val="0"/>
                <w:kern w:val="21"/>
                <w:szCs w:val="21"/>
              </w:rPr>
            </w:pPr>
            <w:r>
              <w:rPr>
                <w:rFonts w:ascii="Times New Roman"/>
                <w:snapToGrid w:val="0"/>
                <w:kern w:val="21"/>
                <w:szCs w:val="21"/>
              </w:rPr>
              <w:t>0.304t/a</w:t>
            </w:r>
          </w:p>
        </w:tc>
        <w:tc>
          <w:tcPr>
            <w:tcW w:w="1324" w:type="dxa"/>
            <w:shd w:val="clear" w:color="auto" w:fill="auto"/>
            <w:vAlign w:val="center"/>
          </w:tcPr>
          <w:p w14:paraId="371927FE">
            <w:pPr>
              <w:pStyle w:val="29"/>
              <w:spacing w:beforeLines="0" w:afterLines="0" w:line="240" w:lineRule="auto"/>
              <w:rPr>
                <w:rFonts w:ascii="Times New Roman"/>
                <w:snapToGrid w:val="0"/>
                <w:kern w:val="21"/>
                <w:szCs w:val="21"/>
              </w:rPr>
            </w:pPr>
            <w:r>
              <w:rPr>
                <w:rFonts w:ascii="Times New Roman"/>
                <w:snapToGrid w:val="0"/>
                <w:kern w:val="21"/>
                <w:szCs w:val="21"/>
              </w:rPr>
              <w:t>+0.304t/a</w:t>
            </w:r>
          </w:p>
        </w:tc>
      </w:tr>
      <w:tr w14:paraId="2C0266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75D74DBC">
            <w:pPr>
              <w:pStyle w:val="29"/>
              <w:spacing w:beforeLines="0" w:afterLines="0" w:line="240" w:lineRule="auto"/>
              <w:rPr>
                <w:rFonts w:ascii="Times New Roman"/>
                <w:snapToGrid w:val="0"/>
                <w:kern w:val="21"/>
                <w:szCs w:val="21"/>
              </w:rPr>
            </w:pPr>
          </w:p>
        </w:tc>
        <w:tc>
          <w:tcPr>
            <w:tcW w:w="1705" w:type="dxa"/>
            <w:vAlign w:val="center"/>
          </w:tcPr>
          <w:p w14:paraId="5FCE18D6">
            <w:pPr>
              <w:pStyle w:val="29"/>
              <w:spacing w:beforeLines="0" w:afterLines="0" w:line="240" w:lineRule="auto"/>
              <w:rPr>
                <w:rFonts w:ascii="Times New Roman"/>
                <w:snapToGrid w:val="0"/>
                <w:kern w:val="21"/>
                <w:szCs w:val="21"/>
              </w:rPr>
            </w:pPr>
            <w:r>
              <w:rPr>
                <w:rFonts w:ascii="Times New Roman"/>
                <w:snapToGrid w:val="0"/>
                <w:kern w:val="21"/>
                <w:szCs w:val="21"/>
              </w:rPr>
              <w:t>废油液</w:t>
            </w:r>
          </w:p>
        </w:tc>
        <w:tc>
          <w:tcPr>
            <w:tcW w:w="1492" w:type="dxa"/>
            <w:vAlign w:val="center"/>
          </w:tcPr>
          <w:p w14:paraId="009BA72F">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6E695697">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A2BD89D">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F21EADB">
            <w:pPr>
              <w:pStyle w:val="29"/>
              <w:spacing w:beforeLines="0" w:afterLines="0" w:line="240" w:lineRule="auto"/>
              <w:rPr>
                <w:rFonts w:ascii="Times New Roman"/>
                <w:snapToGrid w:val="0"/>
                <w:kern w:val="21"/>
                <w:szCs w:val="21"/>
              </w:rPr>
            </w:pPr>
            <w:r>
              <w:rPr>
                <w:rFonts w:ascii="Times New Roman"/>
                <w:snapToGrid w:val="0"/>
                <w:kern w:val="21"/>
                <w:szCs w:val="21"/>
              </w:rPr>
              <w:t>1.25t/a</w:t>
            </w:r>
          </w:p>
        </w:tc>
        <w:tc>
          <w:tcPr>
            <w:tcW w:w="1701" w:type="dxa"/>
            <w:vAlign w:val="center"/>
          </w:tcPr>
          <w:p w14:paraId="333BBC02">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15A87A83">
            <w:pPr>
              <w:pStyle w:val="29"/>
              <w:spacing w:beforeLines="0" w:afterLines="0" w:line="240" w:lineRule="auto"/>
              <w:rPr>
                <w:rFonts w:ascii="Times New Roman"/>
                <w:snapToGrid w:val="0"/>
                <w:kern w:val="21"/>
                <w:szCs w:val="21"/>
              </w:rPr>
            </w:pPr>
            <w:r>
              <w:rPr>
                <w:rFonts w:ascii="Times New Roman"/>
                <w:snapToGrid w:val="0"/>
                <w:kern w:val="21"/>
                <w:szCs w:val="21"/>
              </w:rPr>
              <w:t>1.25t/a</w:t>
            </w:r>
          </w:p>
        </w:tc>
        <w:tc>
          <w:tcPr>
            <w:tcW w:w="1324" w:type="dxa"/>
            <w:shd w:val="clear" w:color="auto" w:fill="auto"/>
            <w:vAlign w:val="center"/>
          </w:tcPr>
          <w:p w14:paraId="7B70A8A3">
            <w:pPr>
              <w:pStyle w:val="29"/>
              <w:spacing w:beforeLines="0" w:afterLines="0" w:line="240" w:lineRule="auto"/>
              <w:rPr>
                <w:rFonts w:ascii="Times New Roman"/>
                <w:snapToGrid w:val="0"/>
                <w:kern w:val="21"/>
                <w:szCs w:val="21"/>
              </w:rPr>
            </w:pPr>
            <w:r>
              <w:rPr>
                <w:rFonts w:ascii="Times New Roman"/>
                <w:snapToGrid w:val="0"/>
                <w:kern w:val="21"/>
                <w:szCs w:val="21"/>
              </w:rPr>
              <w:t>+1.25t/a</w:t>
            </w:r>
          </w:p>
        </w:tc>
      </w:tr>
      <w:tr w14:paraId="5EF8A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7314F5FF">
            <w:pPr>
              <w:pStyle w:val="29"/>
              <w:spacing w:beforeLines="0" w:afterLines="0" w:line="240" w:lineRule="auto"/>
              <w:rPr>
                <w:rFonts w:ascii="Times New Roman"/>
                <w:snapToGrid w:val="0"/>
                <w:kern w:val="21"/>
                <w:szCs w:val="21"/>
              </w:rPr>
            </w:pPr>
          </w:p>
        </w:tc>
        <w:tc>
          <w:tcPr>
            <w:tcW w:w="1705" w:type="dxa"/>
            <w:vAlign w:val="center"/>
          </w:tcPr>
          <w:p w14:paraId="062E3B11">
            <w:pPr>
              <w:pStyle w:val="29"/>
              <w:spacing w:beforeLines="0" w:afterLines="0" w:line="240" w:lineRule="auto"/>
              <w:rPr>
                <w:rFonts w:ascii="Times New Roman"/>
                <w:snapToGrid w:val="0"/>
                <w:kern w:val="21"/>
                <w:szCs w:val="21"/>
              </w:rPr>
            </w:pPr>
            <w:r>
              <w:rPr>
                <w:rFonts w:ascii="Times New Roman"/>
                <w:snapToGrid w:val="0"/>
                <w:kern w:val="21"/>
                <w:szCs w:val="21"/>
              </w:rPr>
              <w:t>废油</w:t>
            </w:r>
            <w:r>
              <w:rPr>
                <w:rFonts w:hint="eastAsia" w:ascii="Times New Roman"/>
                <w:snapToGrid w:val="0"/>
                <w:kern w:val="21"/>
                <w:szCs w:val="21"/>
              </w:rPr>
              <w:t>箱</w:t>
            </w:r>
          </w:p>
        </w:tc>
        <w:tc>
          <w:tcPr>
            <w:tcW w:w="1492" w:type="dxa"/>
            <w:shd w:val="clear" w:color="auto" w:fill="auto"/>
            <w:vAlign w:val="center"/>
          </w:tcPr>
          <w:p w14:paraId="369C9F5E">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shd w:val="clear" w:color="auto" w:fill="auto"/>
            <w:vAlign w:val="center"/>
          </w:tcPr>
          <w:p w14:paraId="319AA8B9">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1547974D">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684337F">
            <w:pPr>
              <w:pStyle w:val="29"/>
              <w:spacing w:beforeLines="0" w:afterLines="0" w:line="240" w:lineRule="auto"/>
              <w:rPr>
                <w:rFonts w:ascii="Times New Roman"/>
                <w:snapToGrid w:val="0"/>
                <w:kern w:val="21"/>
                <w:szCs w:val="21"/>
              </w:rPr>
            </w:pPr>
            <w:r>
              <w:rPr>
                <w:rFonts w:ascii="Times New Roman"/>
                <w:snapToGrid w:val="0"/>
                <w:kern w:val="21"/>
                <w:szCs w:val="21"/>
              </w:rPr>
              <w:t>2.4t/a</w:t>
            </w:r>
          </w:p>
        </w:tc>
        <w:tc>
          <w:tcPr>
            <w:tcW w:w="1701" w:type="dxa"/>
            <w:shd w:val="clear" w:color="auto" w:fill="auto"/>
            <w:vAlign w:val="center"/>
          </w:tcPr>
          <w:p w14:paraId="48B876C3">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67B0F8C5">
            <w:pPr>
              <w:pStyle w:val="29"/>
              <w:spacing w:beforeLines="0" w:afterLines="0" w:line="240" w:lineRule="auto"/>
              <w:rPr>
                <w:rFonts w:ascii="Times New Roman"/>
                <w:snapToGrid w:val="0"/>
                <w:kern w:val="21"/>
                <w:szCs w:val="21"/>
              </w:rPr>
            </w:pPr>
            <w:r>
              <w:rPr>
                <w:rFonts w:ascii="Times New Roman"/>
                <w:snapToGrid w:val="0"/>
                <w:kern w:val="21"/>
                <w:szCs w:val="21"/>
              </w:rPr>
              <w:t>2.4t/a</w:t>
            </w:r>
          </w:p>
        </w:tc>
        <w:tc>
          <w:tcPr>
            <w:tcW w:w="1324" w:type="dxa"/>
            <w:shd w:val="clear" w:color="auto" w:fill="auto"/>
            <w:vAlign w:val="center"/>
          </w:tcPr>
          <w:p w14:paraId="0B4486EB">
            <w:pPr>
              <w:pStyle w:val="29"/>
              <w:spacing w:beforeLines="0" w:afterLines="0" w:line="240" w:lineRule="auto"/>
              <w:rPr>
                <w:rFonts w:ascii="Times New Roman"/>
                <w:snapToGrid w:val="0"/>
                <w:kern w:val="21"/>
                <w:szCs w:val="21"/>
              </w:rPr>
            </w:pPr>
            <w:r>
              <w:rPr>
                <w:rFonts w:ascii="Times New Roman"/>
                <w:snapToGrid w:val="0"/>
                <w:kern w:val="21"/>
                <w:szCs w:val="21"/>
              </w:rPr>
              <w:t>+2.4t/a</w:t>
            </w:r>
          </w:p>
        </w:tc>
      </w:tr>
      <w:tr w14:paraId="263614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0445B4E7">
            <w:pPr>
              <w:pStyle w:val="29"/>
              <w:spacing w:beforeLines="0" w:afterLines="0" w:line="240" w:lineRule="auto"/>
              <w:rPr>
                <w:rFonts w:ascii="Times New Roman"/>
                <w:snapToGrid w:val="0"/>
                <w:kern w:val="21"/>
                <w:szCs w:val="21"/>
              </w:rPr>
            </w:pPr>
          </w:p>
        </w:tc>
        <w:tc>
          <w:tcPr>
            <w:tcW w:w="1705" w:type="dxa"/>
            <w:vAlign w:val="center"/>
          </w:tcPr>
          <w:p w14:paraId="0139AA9C">
            <w:pPr>
              <w:pStyle w:val="29"/>
              <w:spacing w:beforeLines="0" w:afterLines="0" w:line="240" w:lineRule="auto"/>
              <w:rPr>
                <w:rFonts w:ascii="Times New Roman"/>
                <w:snapToGrid w:val="0"/>
                <w:kern w:val="21"/>
                <w:szCs w:val="21"/>
              </w:rPr>
            </w:pPr>
            <w:r>
              <w:rPr>
                <w:rFonts w:ascii="Times New Roman"/>
                <w:snapToGrid w:val="0"/>
                <w:kern w:val="21"/>
                <w:szCs w:val="21"/>
              </w:rPr>
              <w:t>废机油滤清器</w:t>
            </w:r>
          </w:p>
        </w:tc>
        <w:tc>
          <w:tcPr>
            <w:tcW w:w="1492" w:type="dxa"/>
            <w:shd w:val="clear" w:color="auto" w:fill="auto"/>
            <w:vAlign w:val="center"/>
          </w:tcPr>
          <w:p w14:paraId="1C52C7FD">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shd w:val="clear" w:color="auto" w:fill="auto"/>
            <w:vAlign w:val="center"/>
          </w:tcPr>
          <w:p w14:paraId="2ECEF9EC">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55569CE0">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6CD202A">
            <w:pPr>
              <w:pStyle w:val="29"/>
              <w:spacing w:beforeLines="0" w:afterLines="0" w:line="240" w:lineRule="auto"/>
              <w:rPr>
                <w:rFonts w:ascii="Times New Roman"/>
                <w:snapToGrid w:val="0"/>
                <w:kern w:val="21"/>
                <w:szCs w:val="21"/>
              </w:rPr>
            </w:pPr>
            <w:r>
              <w:rPr>
                <w:rFonts w:ascii="Times New Roman"/>
                <w:snapToGrid w:val="0"/>
                <w:kern w:val="21"/>
                <w:szCs w:val="21"/>
              </w:rPr>
              <w:t>0.2t/a</w:t>
            </w:r>
          </w:p>
        </w:tc>
        <w:tc>
          <w:tcPr>
            <w:tcW w:w="1701" w:type="dxa"/>
            <w:shd w:val="clear" w:color="auto" w:fill="auto"/>
            <w:vAlign w:val="center"/>
          </w:tcPr>
          <w:p w14:paraId="3657EB3C">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65E83FED">
            <w:pPr>
              <w:pStyle w:val="29"/>
              <w:spacing w:beforeLines="0" w:afterLines="0" w:line="240" w:lineRule="auto"/>
              <w:rPr>
                <w:rFonts w:ascii="Times New Roman"/>
                <w:snapToGrid w:val="0"/>
                <w:kern w:val="21"/>
                <w:szCs w:val="21"/>
              </w:rPr>
            </w:pPr>
            <w:r>
              <w:rPr>
                <w:rFonts w:ascii="Times New Roman"/>
                <w:snapToGrid w:val="0"/>
                <w:kern w:val="21"/>
                <w:szCs w:val="21"/>
              </w:rPr>
              <w:t>0.2t/a</w:t>
            </w:r>
          </w:p>
        </w:tc>
        <w:tc>
          <w:tcPr>
            <w:tcW w:w="1324" w:type="dxa"/>
            <w:shd w:val="clear" w:color="auto" w:fill="auto"/>
            <w:vAlign w:val="center"/>
          </w:tcPr>
          <w:p w14:paraId="19E94CDA">
            <w:pPr>
              <w:pStyle w:val="29"/>
              <w:spacing w:beforeLines="0" w:afterLines="0" w:line="240" w:lineRule="auto"/>
              <w:rPr>
                <w:rFonts w:ascii="Times New Roman"/>
                <w:snapToGrid w:val="0"/>
                <w:kern w:val="21"/>
                <w:szCs w:val="21"/>
              </w:rPr>
            </w:pPr>
            <w:r>
              <w:rPr>
                <w:rFonts w:ascii="Times New Roman"/>
                <w:snapToGrid w:val="0"/>
                <w:kern w:val="21"/>
                <w:szCs w:val="21"/>
              </w:rPr>
              <w:t>+0.2t/a</w:t>
            </w:r>
          </w:p>
        </w:tc>
      </w:tr>
      <w:tr w14:paraId="4AFE1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03B57DEE">
            <w:pPr>
              <w:pStyle w:val="29"/>
              <w:spacing w:beforeLines="0" w:afterLines="0" w:line="240" w:lineRule="auto"/>
              <w:rPr>
                <w:rFonts w:ascii="Times New Roman"/>
                <w:snapToGrid w:val="0"/>
                <w:kern w:val="21"/>
                <w:szCs w:val="21"/>
              </w:rPr>
            </w:pPr>
          </w:p>
        </w:tc>
        <w:tc>
          <w:tcPr>
            <w:tcW w:w="1705" w:type="dxa"/>
            <w:vAlign w:val="center"/>
          </w:tcPr>
          <w:p w14:paraId="64ACD087">
            <w:pPr>
              <w:pStyle w:val="29"/>
              <w:spacing w:beforeLines="0" w:afterLines="0" w:line="240" w:lineRule="auto"/>
              <w:rPr>
                <w:rFonts w:ascii="Times New Roman"/>
                <w:snapToGrid w:val="0"/>
                <w:kern w:val="21"/>
                <w:szCs w:val="21"/>
              </w:rPr>
            </w:pPr>
            <w:r>
              <w:rPr>
                <w:rFonts w:ascii="Times New Roman"/>
                <w:snapToGrid w:val="0"/>
                <w:kern w:val="21"/>
                <w:szCs w:val="21"/>
              </w:rPr>
              <w:t>废尾气净化装置</w:t>
            </w:r>
          </w:p>
        </w:tc>
        <w:tc>
          <w:tcPr>
            <w:tcW w:w="1492" w:type="dxa"/>
            <w:shd w:val="clear" w:color="auto" w:fill="auto"/>
            <w:vAlign w:val="center"/>
          </w:tcPr>
          <w:p w14:paraId="54C8A64E">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shd w:val="clear" w:color="auto" w:fill="auto"/>
            <w:vAlign w:val="center"/>
          </w:tcPr>
          <w:p w14:paraId="30A0E151">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26F0B83E">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BD8F7DD">
            <w:pPr>
              <w:pStyle w:val="29"/>
              <w:spacing w:beforeLines="0" w:afterLines="0" w:line="240" w:lineRule="auto"/>
              <w:rPr>
                <w:rFonts w:ascii="Times New Roman"/>
                <w:snapToGrid w:val="0"/>
                <w:kern w:val="21"/>
                <w:szCs w:val="21"/>
              </w:rPr>
            </w:pPr>
            <w:r>
              <w:rPr>
                <w:rFonts w:ascii="Times New Roman"/>
                <w:snapToGrid w:val="0"/>
                <w:kern w:val="21"/>
                <w:szCs w:val="21"/>
              </w:rPr>
              <w:t>0.35t/a</w:t>
            </w:r>
          </w:p>
        </w:tc>
        <w:tc>
          <w:tcPr>
            <w:tcW w:w="1701" w:type="dxa"/>
            <w:shd w:val="clear" w:color="auto" w:fill="auto"/>
            <w:vAlign w:val="center"/>
          </w:tcPr>
          <w:p w14:paraId="4DA9D537">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0765899B">
            <w:pPr>
              <w:pStyle w:val="29"/>
              <w:spacing w:beforeLines="0" w:afterLines="0" w:line="240" w:lineRule="auto"/>
              <w:rPr>
                <w:rFonts w:ascii="Times New Roman"/>
                <w:snapToGrid w:val="0"/>
                <w:kern w:val="21"/>
                <w:szCs w:val="21"/>
              </w:rPr>
            </w:pPr>
            <w:r>
              <w:rPr>
                <w:rFonts w:ascii="Times New Roman"/>
                <w:snapToGrid w:val="0"/>
                <w:kern w:val="21"/>
                <w:szCs w:val="21"/>
              </w:rPr>
              <w:t>0.35t/a</w:t>
            </w:r>
          </w:p>
        </w:tc>
        <w:tc>
          <w:tcPr>
            <w:tcW w:w="1324" w:type="dxa"/>
            <w:shd w:val="clear" w:color="auto" w:fill="auto"/>
            <w:vAlign w:val="center"/>
          </w:tcPr>
          <w:p w14:paraId="5D5CC4FE">
            <w:pPr>
              <w:pStyle w:val="29"/>
              <w:spacing w:beforeLines="0" w:afterLines="0" w:line="240" w:lineRule="auto"/>
              <w:rPr>
                <w:rFonts w:ascii="Times New Roman"/>
                <w:snapToGrid w:val="0"/>
                <w:kern w:val="21"/>
                <w:szCs w:val="21"/>
              </w:rPr>
            </w:pPr>
            <w:r>
              <w:rPr>
                <w:rFonts w:ascii="Times New Roman"/>
                <w:snapToGrid w:val="0"/>
                <w:kern w:val="21"/>
                <w:szCs w:val="21"/>
              </w:rPr>
              <w:t>+0.35t/a</w:t>
            </w:r>
          </w:p>
        </w:tc>
      </w:tr>
      <w:tr w14:paraId="1981D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1168D520">
            <w:pPr>
              <w:pStyle w:val="29"/>
              <w:spacing w:beforeLines="0" w:afterLines="0" w:line="240" w:lineRule="auto"/>
              <w:rPr>
                <w:rFonts w:ascii="Times New Roman"/>
                <w:snapToGrid w:val="0"/>
                <w:kern w:val="21"/>
                <w:szCs w:val="21"/>
              </w:rPr>
            </w:pPr>
          </w:p>
        </w:tc>
        <w:tc>
          <w:tcPr>
            <w:tcW w:w="1705" w:type="dxa"/>
            <w:vAlign w:val="center"/>
          </w:tcPr>
          <w:p w14:paraId="7DC4E2CB">
            <w:pPr>
              <w:pStyle w:val="29"/>
              <w:spacing w:beforeLines="0" w:afterLines="0" w:line="240" w:lineRule="auto"/>
              <w:rPr>
                <w:rFonts w:ascii="Times New Roman"/>
                <w:snapToGrid w:val="0"/>
                <w:kern w:val="21"/>
                <w:szCs w:val="21"/>
              </w:rPr>
            </w:pPr>
            <w:r>
              <w:rPr>
                <w:rFonts w:ascii="Times New Roman"/>
                <w:snapToGrid w:val="0"/>
                <w:kern w:val="21"/>
                <w:szCs w:val="21"/>
              </w:rPr>
              <w:t>废电子电器件</w:t>
            </w:r>
          </w:p>
        </w:tc>
        <w:tc>
          <w:tcPr>
            <w:tcW w:w="1492" w:type="dxa"/>
            <w:vAlign w:val="center"/>
          </w:tcPr>
          <w:p w14:paraId="053D9277">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26289781">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7E48F325">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4FA4D6FD">
            <w:pPr>
              <w:pStyle w:val="29"/>
              <w:spacing w:beforeLines="0" w:afterLines="0" w:line="240" w:lineRule="auto"/>
              <w:rPr>
                <w:rFonts w:ascii="Times New Roman"/>
                <w:snapToGrid w:val="0"/>
                <w:kern w:val="21"/>
                <w:szCs w:val="21"/>
              </w:rPr>
            </w:pPr>
            <w:r>
              <w:rPr>
                <w:rFonts w:ascii="Times New Roman"/>
                <w:snapToGrid w:val="0"/>
                <w:kern w:val="21"/>
                <w:szCs w:val="21"/>
              </w:rPr>
              <w:t>0.5t/a</w:t>
            </w:r>
          </w:p>
        </w:tc>
        <w:tc>
          <w:tcPr>
            <w:tcW w:w="1701" w:type="dxa"/>
            <w:shd w:val="clear" w:color="auto" w:fill="auto"/>
            <w:vAlign w:val="center"/>
          </w:tcPr>
          <w:p w14:paraId="01D88E31">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6BD39EF4">
            <w:pPr>
              <w:pStyle w:val="29"/>
              <w:spacing w:beforeLines="0" w:afterLines="0" w:line="240" w:lineRule="auto"/>
              <w:rPr>
                <w:rFonts w:ascii="Times New Roman"/>
                <w:snapToGrid w:val="0"/>
                <w:kern w:val="21"/>
                <w:szCs w:val="21"/>
              </w:rPr>
            </w:pPr>
            <w:r>
              <w:rPr>
                <w:rFonts w:ascii="Times New Roman"/>
                <w:snapToGrid w:val="0"/>
                <w:kern w:val="21"/>
                <w:szCs w:val="21"/>
              </w:rPr>
              <w:t>0.5t/a</w:t>
            </w:r>
          </w:p>
        </w:tc>
        <w:tc>
          <w:tcPr>
            <w:tcW w:w="1324" w:type="dxa"/>
            <w:shd w:val="clear" w:color="auto" w:fill="auto"/>
            <w:vAlign w:val="center"/>
          </w:tcPr>
          <w:p w14:paraId="3085D67A">
            <w:pPr>
              <w:pStyle w:val="29"/>
              <w:spacing w:beforeLines="0" w:afterLines="0" w:line="240" w:lineRule="auto"/>
              <w:rPr>
                <w:rFonts w:ascii="Times New Roman"/>
                <w:snapToGrid w:val="0"/>
                <w:kern w:val="21"/>
                <w:szCs w:val="21"/>
              </w:rPr>
            </w:pPr>
            <w:r>
              <w:rPr>
                <w:rFonts w:ascii="Times New Roman"/>
                <w:snapToGrid w:val="0"/>
                <w:kern w:val="21"/>
                <w:szCs w:val="21"/>
              </w:rPr>
              <w:t>+0.5t/a</w:t>
            </w:r>
          </w:p>
        </w:tc>
      </w:tr>
      <w:tr w14:paraId="5C00C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26089C00">
            <w:pPr>
              <w:pStyle w:val="29"/>
              <w:spacing w:beforeLines="0" w:afterLines="0" w:line="240" w:lineRule="auto"/>
              <w:rPr>
                <w:rFonts w:ascii="Times New Roman"/>
                <w:snapToGrid w:val="0"/>
                <w:kern w:val="21"/>
                <w:szCs w:val="21"/>
              </w:rPr>
            </w:pPr>
          </w:p>
        </w:tc>
        <w:tc>
          <w:tcPr>
            <w:tcW w:w="1705" w:type="dxa"/>
            <w:vAlign w:val="center"/>
          </w:tcPr>
          <w:p w14:paraId="335572A9">
            <w:pPr>
              <w:pStyle w:val="29"/>
              <w:spacing w:beforeLines="0" w:afterLines="0" w:line="240" w:lineRule="auto"/>
              <w:rPr>
                <w:rFonts w:ascii="Times New Roman"/>
                <w:snapToGrid w:val="0"/>
                <w:kern w:val="21"/>
                <w:szCs w:val="21"/>
              </w:rPr>
            </w:pPr>
            <w:r>
              <w:rPr>
                <w:rFonts w:hint="eastAsia" w:ascii="Times New Roman"/>
                <w:snapToGrid w:val="0"/>
                <w:kern w:val="21"/>
                <w:szCs w:val="21"/>
              </w:rPr>
              <w:t>废铅酸蓄电池</w:t>
            </w:r>
          </w:p>
        </w:tc>
        <w:tc>
          <w:tcPr>
            <w:tcW w:w="1492" w:type="dxa"/>
            <w:vAlign w:val="center"/>
          </w:tcPr>
          <w:p w14:paraId="701C7BE2">
            <w:pPr>
              <w:pStyle w:val="29"/>
              <w:spacing w:beforeLines="0" w:afterLines="0" w:line="240" w:lineRule="auto"/>
              <w:rPr>
                <w:rFonts w:ascii="Times New Roman"/>
                <w:snapToGrid w:val="0"/>
                <w:kern w:val="21"/>
                <w:szCs w:val="21"/>
              </w:rPr>
            </w:pPr>
          </w:p>
        </w:tc>
        <w:tc>
          <w:tcPr>
            <w:tcW w:w="1276" w:type="dxa"/>
            <w:vAlign w:val="center"/>
          </w:tcPr>
          <w:p w14:paraId="0FC979AD">
            <w:pPr>
              <w:pStyle w:val="29"/>
              <w:spacing w:beforeLines="0" w:afterLines="0" w:line="240" w:lineRule="auto"/>
              <w:rPr>
                <w:rFonts w:ascii="Times New Roman"/>
                <w:snapToGrid w:val="0"/>
                <w:kern w:val="21"/>
                <w:szCs w:val="21"/>
              </w:rPr>
            </w:pPr>
          </w:p>
        </w:tc>
        <w:tc>
          <w:tcPr>
            <w:tcW w:w="1701" w:type="dxa"/>
            <w:vAlign w:val="center"/>
          </w:tcPr>
          <w:p w14:paraId="3F4D9CF7">
            <w:pPr>
              <w:pStyle w:val="29"/>
              <w:spacing w:beforeLines="0" w:afterLines="0" w:line="240" w:lineRule="auto"/>
              <w:rPr>
                <w:rFonts w:ascii="Times New Roman"/>
                <w:snapToGrid w:val="0"/>
                <w:kern w:val="21"/>
                <w:szCs w:val="21"/>
              </w:rPr>
            </w:pPr>
          </w:p>
        </w:tc>
        <w:tc>
          <w:tcPr>
            <w:tcW w:w="1559" w:type="dxa"/>
            <w:vAlign w:val="center"/>
          </w:tcPr>
          <w:p w14:paraId="1F8B95A3">
            <w:pPr>
              <w:pStyle w:val="29"/>
              <w:spacing w:beforeLines="0" w:afterLines="0" w:line="240" w:lineRule="auto"/>
              <w:rPr>
                <w:rFonts w:ascii="Times New Roman"/>
                <w:snapToGrid w:val="0"/>
                <w:kern w:val="21"/>
                <w:szCs w:val="21"/>
              </w:rPr>
            </w:pPr>
            <w:r>
              <w:rPr>
                <w:rFonts w:ascii="Times New Roman"/>
                <w:snapToGrid w:val="0"/>
                <w:kern w:val="21"/>
                <w:szCs w:val="21"/>
              </w:rPr>
              <w:t>0.2t/a</w:t>
            </w:r>
          </w:p>
        </w:tc>
        <w:tc>
          <w:tcPr>
            <w:tcW w:w="1701" w:type="dxa"/>
            <w:shd w:val="clear" w:color="auto" w:fill="auto"/>
            <w:vAlign w:val="center"/>
          </w:tcPr>
          <w:p w14:paraId="48F842E4">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772AF2E6">
            <w:pPr>
              <w:pStyle w:val="29"/>
              <w:spacing w:beforeLines="0" w:afterLines="0" w:line="240" w:lineRule="auto"/>
              <w:rPr>
                <w:rFonts w:ascii="Times New Roman"/>
                <w:snapToGrid w:val="0"/>
                <w:kern w:val="21"/>
                <w:szCs w:val="21"/>
              </w:rPr>
            </w:pPr>
            <w:r>
              <w:rPr>
                <w:rFonts w:ascii="Times New Roman"/>
                <w:snapToGrid w:val="0"/>
                <w:kern w:val="21"/>
                <w:szCs w:val="21"/>
              </w:rPr>
              <w:t>0.2t/a</w:t>
            </w:r>
          </w:p>
        </w:tc>
        <w:tc>
          <w:tcPr>
            <w:tcW w:w="1324" w:type="dxa"/>
            <w:shd w:val="clear" w:color="auto" w:fill="auto"/>
            <w:vAlign w:val="center"/>
          </w:tcPr>
          <w:p w14:paraId="45B56C19">
            <w:pPr>
              <w:pStyle w:val="29"/>
              <w:spacing w:beforeLines="0" w:afterLines="0" w:line="240" w:lineRule="auto"/>
              <w:rPr>
                <w:rFonts w:ascii="Times New Roman"/>
                <w:snapToGrid w:val="0"/>
                <w:kern w:val="21"/>
                <w:szCs w:val="21"/>
              </w:rPr>
            </w:pPr>
            <w:r>
              <w:rPr>
                <w:rFonts w:ascii="Times New Roman"/>
                <w:snapToGrid w:val="0"/>
                <w:kern w:val="21"/>
                <w:szCs w:val="21"/>
              </w:rPr>
              <w:t>+0.2t/a</w:t>
            </w:r>
          </w:p>
        </w:tc>
      </w:tr>
      <w:tr w14:paraId="0AEBBC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9" w:type="dxa"/>
            <w:vMerge w:val="continue"/>
            <w:vAlign w:val="center"/>
          </w:tcPr>
          <w:p w14:paraId="26207CFA">
            <w:pPr>
              <w:pStyle w:val="29"/>
              <w:spacing w:beforeLines="0" w:afterLines="0" w:line="240" w:lineRule="auto"/>
              <w:rPr>
                <w:rFonts w:ascii="Times New Roman"/>
                <w:snapToGrid w:val="0"/>
                <w:kern w:val="21"/>
                <w:szCs w:val="21"/>
              </w:rPr>
            </w:pPr>
          </w:p>
        </w:tc>
        <w:tc>
          <w:tcPr>
            <w:tcW w:w="1705" w:type="dxa"/>
            <w:vAlign w:val="center"/>
          </w:tcPr>
          <w:p w14:paraId="47675A43">
            <w:pPr>
              <w:pStyle w:val="29"/>
              <w:spacing w:beforeLines="0" w:afterLines="0" w:line="240" w:lineRule="auto"/>
              <w:rPr>
                <w:rFonts w:ascii="Times New Roman"/>
                <w:snapToGrid w:val="0"/>
                <w:kern w:val="21"/>
                <w:szCs w:val="21"/>
              </w:rPr>
            </w:pPr>
            <w:r>
              <w:rPr>
                <w:rFonts w:ascii="Times New Roman"/>
                <w:snapToGrid w:val="0"/>
                <w:kern w:val="21"/>
                <w:szCs w:val="21"/>
              </w:rPr>
              <w:t>废含油抹布及手套</w:t>
            </w:r>
          </w:p>
        </w:tc>
        <w:tc>
          <w:tcPr>
            <w:tcW w:w="1492" w:type="dxa"/>
            <w:vAlign w:val="center"/>
          </w:tcPr>
          <w:p w14:paraId="62FE9534">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BAED610">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D570C69">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6F8407DC">
            <w:pPr>
              <w:pStyle w:val="29"/>
              <w:spacing w:beforeLines="0" w:afterLines="0" w:line="240" w:lineRule="auto"/>
              <w:rPr>
                <w:rFonts w:ascii="Times New Roman"/>
                <w:snapToGrid w:val="0"/>
                <w:kern w:val="21"/>
                <w:szCs w:val="21"/>
              </w:rPr>
            </w:pPr>
            <w:r>
              <w:rPr>
                <w:rFonts w:ascii="Times New Roman"/>
                <w:snapToGrid w:val="0"/>
                <w:kern w:val="21"/>
                <w:szCs w:val="21"/>
              </w:rPr>
              <w:t>0.01t/a</w:t>
            </w:r>
          </w:p>
        </w:tc>
        <w:tc>
          <w:tcPr>
            <w:tcW w:w="1701" w:type="dxa"/>
            <w:vAlign w:val="center"/>
          </w:tcPr>
          <w:p w14:paraId="372E7C75">
            <w:pPr>
              <w:pStyle w:val="29"/>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shd w:val="clear" w:color="auto" w:fill="auto"/>
            <w:vAlign w:val="center"/>
          </w:tcPr>
          <w:p w14:paraId="0D695FF6">
            <w:pPr>
              <w:pStyle w:val="29"/>
              <w:spacing w:beforeLines="0" w:afterLines="0" w:line="240" w:lineRule="auto"/>
              <w:rPr>
                <w:rFonts w:ascii="Times New Roman"/>
                <w:snapToGrid w:val="0"/>
                <w:kern w:val="21"/>
                <w:szCs w:val="21"/>
              </w:rPr>
            </w:pPr>
            <w:r>
              <w:rPr>
                <w:rFonts w:ascii="Times New Roman"/>
                <w:snapToGrid w:val="0"/>
                <w:kern w:val="21"/>
                <w:szCs w:val="21"/>
              </w:rPr>
              <w:t>0.01t/a</w:t>
            </w:r>
          </w:p>
        </w:tc>
        <w:tc>
          <w:tcPr>
            <w:tcW w:w="1324" w:type="dxa"/>
            <w:shd w:val="clear" w:color="auto" w:fill="auto"/>
            <w:vAlign w:val="center"/>
          </w:tcPr>
          <w:p w14:paraId="1E931079">
            <w:pPr>
              <w:pStyle w:val="29"/>
              <w:spacing w:beforeLines="0" w:afterLines="0" w:line="240" w:lineRule="auto"/>
              <w:rPr>
                <w:rFonts w:ascii="Times New Roman"/>
                <w:snapToGrid w:val="0"/>
                <w:kern w:val="21"/>
                <w:szCs w:val="21"/>
              </w:rPr>
            </w:pPr>
            <w:r>
              <w:rPr>
                <w:rFonts w:ascii="Times New Roman"/>
                <w:snapToGrid w:val="0"/>
                <w:kern w:val="21"/>
                <w:szCs w:val="21"/>
              </w:rPr>
              <w:t>+0.01t/a</w:t>
            </w:r>
          </w:p>
        </w:tc>
      </w:tr>
    </w:tbl>
    <w:p w14:paraId="10BCFC64">
      <w:pPr>
        <w:pStyle w:val="29"/>
        <w:spacing w:before="192" w:beforeLines="80" w:after="24"/>
        <w:jc w:val="left"/>
        <w:rPr>
          <w:rFonts w:ascii="Times New Roman"/>
        </w:r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hint="eastAsia" w:hAnsi="宋体" w:cs="宋体"/>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hint="eastAsia" w:hAnsi="宋体" w:cs="宋体"/>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hint="eastAsia" w:hAnsi="宋体" w:cs="宋体"/>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hint="eastAsia" w:hAnsi="宋体" w:cs="宋体"/>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hint="eastAsia" w:hAnsi="宋体" w:cs="宋体"/>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hint="eastAsia" w:hAnsi="宋体" w:cs="宋体"/>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hint="eastAsia" w:hAnsi="宋体" w:cs="宋体"/>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hint="eastAsia" w:hAnsi="宋体" w:cs="宋体"/>
          <w:szCs w:val="21"/>
        </w:rPr>
        <w:t>①</w:t>
      </w:r>
      <w:r>
        <w:rPr>
          <w:rFonts w:ascii="Times New Roman"/>
          <w:snapToGrid w:val="0"/>
          <w:spacing w:val="-6"/>
          <w:kern w:val="21"/>
          <w:szCs w:val="21"/>
        </w:rPr>
        <w:fldChar w:fldCharType="end"/>
      </w:r>
    </w:p>
    <w:sectPr>
      <w:footerReference r:id="rId4" w:type="default"/>
      <w:pgSz w:w="16838" w:h="11906" w:orient="landscape"/>
      <w:pgMar w:top="1531" w:right="1701" w:bottom="1531" w:left="170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7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85FFD">
    <w:pPr>
      <w:pStyle w:val="17"/>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76910" cy="539750"/>
              <wp:effectExtent l="0" t="0" r="0" b="0"/>
              <wp:wrapNone/>
              <wp:docPr id="4" name="文本框 4"/>
              <wp:cNvGraphicFramePr/>
              <a:graphic xmlns:a="http://schemas.openxmlformats.org/drawingml/2006/main">
                <a:graphicData uri="http://schemas.microsoft.com/office/word/2010/wordprocessingShape">
                  <wps:wsp>
                    <wps:cNvSpPr txBox="1"/>
                    <wps:spPr>
                      <a:xfrm>
                        <a:off x="0" y="0"/>
                        <a:ext cx="676910" cy="539750"/>
                      </a:xfrm>
                      <a:prstGeom prst="rect">
                        <a:avLst/>
                      </a:prstGeom>
                      <a:noFill/>
                      <a:ln w="6350">
                        <a:noFill/>
                      </a:ln>
                    </wps:spPr>
                    <wps:txbx>
                      <w:txbxContent>
                        <w:p w14:paraId="3E2E456B">
                          <w:pPr>
                            <w:pStyle w:val="17"/>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sz w:val="21"/>
                              <w:szCs w:val="21"/>
                            </w:rPr>
                            <w:fldChar w:fldCharType="begin"/>
                          </w:r>
                          <w:r>
                            <w:rPr>
                              <w:rStyle w:val="26"/>
                              <w:sz w:val="21"/>
                              <w:szCs w:val="21"/>
                            </w:rPr>
                            <w:instrText xml:space="preserve">PAGE  </w:instrText>
                          </w:r>
                          <w:r>
                            <w:rPr>
                              <w:rStyle w:val="26"/>
                              <w:sz w:val="21"/>
                              <w:szCs w:val="21"/>
                            </w:rPr>
                            <w:fldChar w:fldCharType="separate"/>
                          </w:r>
                          <w:r>
                            <w:rPr>
                              <w:rStyle w:val="26"/>
                              <w:sz w:val="21"/>
                              <w:szCs w:val="21"/>
                            </w:rPr>
                            <w:t>1</w:t>
                          </w:r>
                          <w:r>
                            <w:rPr>
                              <w:rStyle w:val="26"/>
                              <w:sz w:val="21"/>
                              <w:szCs w:val="21"/>
                            </w:rPr>
                            <w:fldChar w:fldCharType="end"/>
                          </w:r>
                          <w:r>
                            <w:rPr>
                              <w:rStyle w:val="26"/>
                              <w:rFonts w:hint="eastAsia" w:ascii="宋体" w:hAnsi="宋体"/>
                              <w:sz w:val="20"/>
                            </w:rPr>
                            <w:t xml:space="preserve">  </w:t>
                          </w:r>
                          <w:r>
                            <w:rPr>
                              <w:rStyle w:val="26"/>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42.5pt;width:53.3pt;mso-position-horizontal:outside;mso-position-horizontal-relative:margin;mso-wrap-style:none;z-index:251659264;mso-width-relative:page;mso-height-relative:page;" filled="f" stroked="f" coordsize="21600,21600" o:gfxdata="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cbzUNQAAAAEAQAADwAAAAAAAAABACAAAAAiAAAAZHJzL2Rvd25yZXYueG1sUEsBAhQA&#10;FAAAAAgAh07iQMZLhgkvAgAAUwQAAA4AAAAAAAAAAQAgAAAAIwEAAGRycy9lMm9Eb2MueG1sUEsF&#10;BgAAAAAGAAYAWQEAAMQFAAAAAA==&#10;">
              <v:fill on="f" focussize="0,0"/>
              <v:stroke on="f" weight="0.5pt"/>
              <v:imagedata o:title=""/>
              <o:lock v:ext="edit" aspectratio="f"/>
              <v:textbox inset="0mm,0mm,0mm,0mm">
                <w:txbxContent>
                  <w:p w14:paraId="3E2E456B">
                    <w:pPr>
                      <w:pStyle w:val="17"/>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sz w:val="21"/>
                        <w:szCs w:val="21"/>
                      </w:rPr>
                      <w:fldChar w:fldCharType="begin"/>
                    </w:r>
                    <w:r>
                      <w:rPr>
                        <w:rStyle w:val="26"/>
                        <w:sz w:val="21"/>
                        <w:szCs w:val="21"/>
                      </w:rPr>
                      <w:instrText xml:space="preserve">PAGE  </w:instrText>
                    </w:r>
                    <w:r>
                      <w:rPr>
                        <w:rStyle w:val="26"/>
                        <w:sz w:val="21"/>
                        <w:szCs w:val="21"/>
                      </w:rPr>
                      <w:fldChar w:fldCharType="separate"/>
                    </w:r>
                    <w:r>
                      <w:rPr>
                        <w:rStyle w:val="26"/>
                        <w:sz w:val="21"/>
                        <w:szCs w:val="21"/>
                      </w:rPr>
                      <w:t>1</w:t>
                    </w:r>
                    <w:r>
                      <w:rPr>
                        <w:rStyle w:val="26"/>
                        <w:sz w:val="21"/>
                        <w:szCs w:val="21"/>
                      </w:rPr>
                      <w:fldChar w:fldCharType="end"/>
                    </w:r>
                    <w:r>
                      <w:rPr>
                        <w:rStyle w:val="26"/>
                        <w:rFonts w:hint="eastAsia" w:ascii="宋体" w:hAnsi="宋体"/>
                        <w:sz w:val="20"/>
                      </w:rPr>
                      <w:t xml:space="preserve">  </w:t>
                    </w:r>
                    <w:r>
                      <w:rPr>
                        <w:rStyle w:val="26"/>
                        <w:rFonts w:hint="eastAsia" w:ascii="宋体" w:hAnsi="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DF6E2">
    <w:pPr>
      <w:pStyle w:val="17"/>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743585" cy="2305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743585" cy="230505"/>
                      </a:xfrm>
                      <a:prstGeom prst="rect">
                        <a:avLst/>
                      </a:prstGeom>
                      <a:noFill/>
                      <a:ln w="6350">
                        <a:noFill/>
                      </a:ln>
                    </wps:spPr>
                    <wps:txbx>
                      <w:txbxContent>
                        <w:p w14:paraId="347A3EA9">
                          <w:pPr>
                            <w:pStyle w:val="17"/>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sz w:val="21"/>
                              <w:szCs w:val="21"/>
                            </w:rPr>
                            <w:fldChar w:fldCharType="begin"/>
                          </w:r>
                          <w:r>
                            <w:rPr>
                              <w:rStyle w:val="26"/>
                              <w:sz w:val="21"/>
                              <w:szCs w:val="21"/>
                            </w:rPr>
                            <w:instrText xml:space="preserve">PAGE  </w:instrText>
                          </w:r>
                          <w:r>
                            <w:rPr>
                              <w:rStyle w:val="26"/>
                              <w:sz w:val="21"/>
                              <w:szCs w:val="21"/>
                            </w:rPr>
                            <w:fldChar w:fldCharType="separate"/>
                          </w:r>
                          <w:r>
                            <w:rPr>
                              <w:rStyle w:val="26"/>
                              <w:sz w:val="21"/>
                              <w:szCs w:val="21"/>
                            </w:rPr>
                            <w:t>72</w:t>
                          </w:r>
                          <w:r>
                            <w:rPr>
                              <w:rStyle w:val="26"/>
                              <w:sz w:val="21"/>
                              <w:szCs w:val="21"/>
                            </w:rPr>
                            <w:fldChar w:fldCharType="end"/>
                          </w:r>
                          <w:r>
                            <w:rPr>
                              <w:rStyle w:val="26"/>
                              <w:rFonts w:hint="eastAsia" w:ascii="宋体" w:hAnsi="宋体"/>
                              <w:sz w:val="20"/>
                            </w:rPr>
                            <w:t xml:space="preserve">  </w:t>
                          </w:r>
                          <w:r>
                            <w:rPr>
                              <w:rStyle w:val="26"/>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15pt;width:58.55pt;mso-position-horizontal:outside;mso-position-horizontal-relative:margin;mso-wrap-style:none;z-index:251661312;mso-width-relative:page;mso-height-relative:page;" filled="f" stroked="f" coordsize="21600,21600" o:gfxdata="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kABh80gAAAAQBAAAPAAAAAAAAAAEAIAAAACIAAABkcnMvZG93bnJldi54bWxQSwECFAAU&#10;AAAACACHTuJA1lrZ+DACAABTBAAADgAAAAAAAAABACAAAAAhAQAAZHJzL2Uyb0RvYy54bWxQSwUG&#10;AAAAAAYABgBZAQAAwwUAAAAA&#10;">
              <v:fill on="f" focussize="0,0"/>
              <v:stroke on="f" weight="0.5pt"/>
              <v:imagedata o:title=""/>
              <o:lock v:ext="edit" aspectratio="f"/>
              <v:textbox inset="0mm,0mm,0mm,0mm" style="mso-fit-shape-to-text:t;">
                <w:txbxContent>
                  <w:p w14:paraId="347A3EA9">
                    <w:pPr>
                      <w:pStyle w:val="17"/>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sz w:val="21"/>
                        <w:szCs w:val="21"/>
                      </w:rPr>
                      <w:fldChar w:fldCharType="begin"/>
                    </w:r>
                    <w:r>
                      <w:rPr>
                        <w:rStyle w:val="26"/>
                        <w:sz w:val="21"/>
                        <w:szCs w:val="21"/>
                      </w:rPr>
                      <w:instrText xml:space="preserve">PAGE  </w:instrText>
                    </w:r>
                    <w:r>
                      <w:rPr>
                        <w:rStyle w:val="26"/>
                        <w:sz w:val="21"/>
                        <w:szCs w:val="21"/>
                      </w:rPr>
                      <w:fldChar w:fldCharType="separate"/>
                    </w:r>
                    <w:r>
                      <w:rPr>
                        <w:rStyle w:val="26"/>
                        <w:sz w:val="21"/>
                        <w:szCs w:val="21"/>
                      </w:rPr>
                      <w:t>72</w:t>
                    </w:r>
                    <w:r>
                      <w:rPr>
                        <w:rStyle w:val="26"/>
                        <w:sz w:val="21"/>
                        <w:szCs w:val="21"/>
                      </w:rPr>
                      <w:fldChar w:fldCharType="end"/>
                    </w:r>
                    <w:r>
                      <w:rPr>
                        <w:rStyle w:val="26"/>
                        <w:rFonts w:hint="eastAsia" w:ascii="宋体" w:hAnsi="宋体"/>
                        <w:sz w:val="20"/>
                      </w:rPr>
                      <w:t xml:space="preserve">  </w:t>
                    </w:r>
                    <w:r>
                      <w:rPr>
                        <w:rStyle w:val="26"/>
                        <w:rFonts w:hint="eastAsia" w:ascii="宋体" w:hAnsi="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CFACE"/>
    <w:multiLevelType w:val="singleLevel"/>
    <w:tmpl w:val="84FCFACE"/>
    <w:lvl w:ilvl="0" w:tentative="0">
      <w:start w:val="1"/>
      <w:numFmt w:val="decimal"/>
      <w:suff w:val="nothing"/>
      <w:lvlText w:val="%1、"/>
      <w:lvlJc w:val="left"/>
    </w:lvl>
  </w:abstractNum>
  <w:abstractNum w:abstractNumId="1">
    <w:nsid w:val="BBF0DE6C"/>
    <w:multiLevelType w:val="singleLevel"/>
    <w:tmpl w:val="BBF0DE6C"/>
    <w:lvl w:ilvl="0" w:tentative="0">
      <w:start w:val="1"/>
      <w:numFmt w:val="decimal"/>
      <w:suff w:val="nothing"/>
      <w:lvlText w:val="（%1）"/>
      <w:lvlJc w:val="left"/>
    </w:lvl>
  </w:abstractNum>
  <w:abstractNum w:abstractNumId="2">
    <w:nsid w:val="BE5A02B5"/>
    <w:multiLevelType w:val="singleLevel"/>
    <w:tmpl w:val="BE5A02B5"/>
    <w:lvl w:ilvl="0" w:tentative="0">
      <w:start w:val="1"/>
      <w:numFmt w:val="decimal"/>
      <w:suff w:val="nothing"/>
      <w:lvlText w:val="%1、"/>
      <w:lvlJc w:val="left"/>
    </w:lvl>
  </w:abstractNum>
  <w:abstractNum w:abstractNumId="3">
    <w:nsid w:val="C2782175"/>
    <w:multiLevelType w:val="singleLevel"/>
    <w:tmpl w:val="C2782175"/>
    <w:lvl w:ilvl="0" w:tentative="0">
      <w:start w:val="1"/>
      <w:numFmt w:val="decimal"/>
      <w:suff w:val="nothing"/>
      <w:lvlText w:val="（%1）"/>
      <w:lvlJc w:val="left"/>
    </w:lvl>
  </w:abstractNum>
  <w:abstractNum w:abstractNumId="4">
    <w:nsid w:val="DE27C8E5"/>
    <w:multiLevelType w:val="singleLevel"/>
    <w:tmpl w:val="DE27C8E5"/>
    <w:lvl w:ilvl="0" w:tentative="0">
      <w:start w:val="1"/>
      <w:numFmt w:val="decimal"/>
      <w:suff w:val="nothing"/>
      <w:lvlText w:val="%1、"/>
      <w:lvlJc w:val="left"/>
    </w:lvl>
  </w:abstractNum>
  <w:abstractNum w:abstractNumId="5">
    <w:nsid w:val="E2F47746"/>
    <w:multiLevelType w:val="singleLevel"/>
    <w:tmpl w:val="E2F47746"/>
    <w:lvl w:ilvl="0" w:tentative="0">
      <w:start w:val="1"/>
      <w:numFmt w:val="decimal"/>
      <w:suff w:val="nothing"/>
      <w:lvlText w:val="（%1）"/>
      <w:lvlJc w:val="left"/>
    </w:lvl>
  </w:abstractNum>
  <w:abstractNum w:abstractNumId="6">
    <w:nsid w:val="E8CA32A9"/>
    <w:multiLevelType w:val="singleLevel"/>
    <w:tmpl w:val="E8CA32A9"/>
    <w:lvl w:ilvl="0" w:tentative="0">
      <w:start w:val="1"/>
      <w:numFmt w:val="decimal"/>
      <w:suff w:val="nothing"/>
      <w:lvlText w:val="（%1）"/>
      <w:lvlJc w:val="left"/>
    </w:lvl>
  </w:abstractNum>
  <w:abstractNum w:abstractNumId="7">
    <w:nsid w:val="EB0FBC10"/>
    <w:multiLevelType w:val="singleLevel"/>
    <w:tmpl w:val="EB0FBC10"/>
    <w:lvl w:ilvl="0" w:tentative="0">
      <w:start w:val="1"/>
      <w:numFmt w:val="decimal"/>
      <w:suff w:val="nothing"/>
      <w:lvlText w:val="%1、"/>
      <w:lvlJc w:val="left"/>
    </w:lvl>
  </w:abstractNum>
  <w:abstractNum w:abstractNumId="8">
    <w:nsid w:val="F4E45A4C"/>
    <w:multiLevelType w:val="singleLevel"/>
    <w:tmpl w:val="F4E45A4C"/>
    <w:lvl w:ilvl="0" w:tentative="0">
      <w:start w:val="1"/>
      <w:numFmt w:val="decimal"/>
      <w:suff w:val="nothing"/>
      <w:lvlText w:val="（%1）"/>
      <w:lvlJc w:val="left"/>
    </w:lvl>
  </w:abstractNum>
  <w:abstractNum w:abstractNumId="9">
    <w:nsid w:val="F9313E15"/>
    <w:multiLevelType w:val="singleLevel"/>
    <w:tmpl w:val="F9313E15"/>
    <w:lvl w:ilvl="0" w:tentative="0">
      <w:start w:val="1"/>
      <w:numFmt w:val="decimal"/>
      <w:suff w:val="nothing"/>
      <w:lvlText w:val="%1）"/>
      <w:lvlJc w:val="left"/>
    </w:lvl>
  </w:abstractNum>
  <w:abstractNum w:abstractNumId="10">
    <w:nsid w:val="0F4C10D8"/>
    <w:multiLevelType w:val="singleLevel"/>
    <w:tmpl w:val="0F4C10D8"/>
    <w:lvl w:ilvl="0" w:tentative="0">
      <w:start w:val="1"/>
      <w:numFmt w:val="decimal"/>
      <w:suff w:val="nothing"/>
      <w:lvlText w:val="%1、"/>
      <w:lvlJc w:val="left"/>
    </w:lvl>
  </w:abstractNum>
  <w:abstractNum w:abstractNumId="11">
    <w:nsid w:val="1E696F31"/>
    <w:multiLevelType w:val="singleLevel"/>
    <w:tmpl w:val="1E696F31"/>
    <w:lvl w:ilvl="0" w:tentative="0">
      <w:start w:val="5"/>
      <w:numFmt w:val="chineseCounting"/>
      <w:suff w:val="nothing"/>
      <w:lvlText w:val="%1、"/>
      <w:lvlJc w:val="left"/>
      <w:rPr>
        <w:rFonts w:hint="eastAsia"/>
      </w:rPr>
    </w:lvl>
  </w:abstractNum>
  <w:abstractNum w:abstractNumId="12">
    <w:nsid w:val="207E5859"/>
    <w:multiLevelType w:val="singleLevel"/>
    <w:tmpl w:val="207E5859"/>
    <w:lvl w:ilvl="0" w:tentative="0">
      <w:start w:val="1"/>
      <w:numFmt w:val="bullet"/>
      <w:pStyle w:val="8"/>
      <w:lvlText w:val=""/>
      <w:lvlJc w:val="left"/>
      <w:pPr>
        <w:tabs>
          <w:tab w:val="left" w:pos="780"/>
        </w:tabs>
        <w:ind w:left="780" w:hanging="360"/>
      </w:pPr>
      <w:rPr>
        <w:rFonts w:hint="default" w:ascii="Wingdings" w:hAnsi="Wingdings"/>
      </w:rPr>
    </w:lvl>
  </w:abstractNum>
  <w:abstractNum w:abstractNumId="13">
    <w:nsid w:val="342F5CD4"/>
    <w:multiLevelType w:val="singleLevel"/>
    <w:tmpl w:val="342F5CD4"/>
    <w:lvl w:ilvl="0" w:tentative="0">
      <w:start w:val="1"/>
      <w:numFmt w:val="decimal"/>
      <w:suff w:val="nothing"/>
      <w:lvlText w:val="%1、"/>
      <w:lvlJc w:val="left"/>
    </w:lvl>
  </w:abstractNum>
  <w:abstractNum w:abstractNumId="14">
    <w:nsid w:val="3A5603B6"/>
    <w:multiLevelType w:val="singleLevel"/>
    <w:tmpl w:val="3A5603B6"/>
    <w:lvl w:ilvl="0" w:tentative="0">
      <w:start w:val="1"/>
      <w:numFmt w:val="decimal"/>
      <w:suff w:val="nothing"/>
      <w:lvlText w:val="%1、"/>
      <w:lvlJc w:val="left"/>
      <w:rPr>
        <w:rFonts w:hint="default"/>
        <w:sz w:val="24"/>
        <w:szCs w:val="24"/>
      </w:rPr>
    </w:lvl>
  </w:abstractNum>
  <w:abstractNum w:abstractNumId="15">
    <w:nsid w:val="40EFA4CD"/>
    <w:multiLevelType w:val="singleLevel"/>
    <w:tmpl w:val="40EFA4CD"/>
    <w:lvl w:ilvl="0" w:tentative="0">
      <w:start w:val="1"/>
      <w:numFmt w:val="decimal"/>
      <w:suff w:val="nothing"/>
      <w:lvlText w:val="%1、"/>
      <w:lvlJc w:val="left"/>
    </w:lvl>
  </w:abstractNum>
  <w:abstractNum w:abstractNumId="16">
    <w:nsid w:val="4BBEB0F4"/>
    <w:multiLevelType w:val="singleLevel"/>
    <w:tmpl w:val="4BBEB0F4"/>
    <w:lvl w:ilvl="0" w:tentative="0">
      <w:start w:val="1"/>
      <w:numFmt w:val="decimal"/>
      <w:suff w:val="nothing"/>
      <w:lvlText w:val="（%1）"/>
      <w:lvlJc w:val="left"/>
    </w:lvl>
  </w:abstractNum>
  <w:abstractNum w:abstractNumId="17">
    <w:nsid w:val="57DD08EB"/>
    <w:multiLevelType w:val="multilevel"/>
    <w:tmpl w:val="57DD08EB"/>
    <w:lvl w:ilvl="0" w:tentative="0">
      <w:start w:val="1"/>
      <w:numFmt w:val="low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8">
    <w:nsid w:val="6E710771"/>
    <w:multiLevelType w:val="singleLevel"/>
    <w:tmpl w:val="6E710771"/>
    <w:lvl w:ilvl="0" w:tentative="0">
      <w:start w:val="1"/>
      <w:numFmt w:val="decimal"/>
      <w:suff w:val="nothing"/>
      <w:lvlText w:val="（%1）"/>
      <w:lvlJc w:val="left"/>
    </w:lvl>
  </w:abstractNum>
  <w:abstractNum w:abstractNumId="19">
    <w:nsid w:val="72324EC5"/>
    <w:multiLevelType w:val="singleLevel"/>
    <w:tmpl w:val="72324EC5"/>
    <w:lvl w:ilvl="0" w:tentative="0">
      <w:start w:val="1"/>
      <w:numFmt w:val="decimal"/>
      <w:suff w:val="nothing"/>
      <w:lvlText w:val="（%1）"/>
      <w:lvlJc w:val="left"/>
    </w:lvl>
  </w:abstractNum>
  <w:num w:numId="1">
    <w:abstractNumId w:val="12"/>
  </w:num>
  <w:num w:numId="2">
    <w:abstractNumId w:val="7"/>
  </w:num>
  <w:num w:numId="3">
    <w:abstractNumId w:val="13"/>
  </w:num>
  <w:num w:numId="4">
    <w:abstractNumId w:val="2"/>
  </w:num>
  <w:num w:numId="5">
    <w:abstractNumId w:val="4"/>
  </w:num>
  <w:num w:numId="6">
    <w:abstractNumId w:val="19"/>
  </w:num>
  <w:num w:numId="7">
    <w:abstractNumId w:val="5"/>
  </w:num>
  <w:num w:numId="8">
    <w:abstractNumId w:val="10"/>
  </w:num>
  <w:num w:numId="9">
    <w:abstractNumId w:val="16"/>
  </w:num>
  <w:num w:numId="10">
    <w:abstractNumId w:val="9"/>
  </w:num>
  <w:num w:numId="11">
    <w:abstractNumId w:val="14"/>
  </w:num>
  <w:num w:numId="12">
    <w:abstractNumId w:val="6"/>
  </w:num>
  <w:num w:numId="13">
    <w:abstractNumId w:val="1"/>
  </w:num>
  <w:num w:numId="14">
    <w:abstractNumId w:val="15"/>
  </w:num>
  <w:num w:numId="15">
    <w:abstractNumId w:val="0"/>
  </w:num>
  <w:num w:numId="16">
    <w:abstractNumId w:val="8"/>
  </w:num>
  <w:num w:numId="17">
    <w:abstractNumId w:val="3"/>
  </w:num>
  <w:num w:numId="18">
    <w:abstractNumId w:val="17"/>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VkOGQ1MzM1MTYyNGM4YTYyZjBmMzI4MjUwZGNjNGEifQ=="/>
  </w:docVars>
  <w:rsids>
    <w:rsidRoot w:val="00172A27"/>
    <w:rsid w:val="0000119C"/>
    <w:rsid w:val="00002A1C"/>
    <w:rsid w:val="000037CC"/>
    <w:rsid w:val="00003866"/>
    <w:rsid w:val="00004950"/>
    <w:rsid w:val="000060F5"/>
    <w:rsid w:val="00010719"/>
    <w:rsid w:val="00011C19"/>
    <w:rsid w:val="00016EB4"/>
    <w:rsid w:val="00017034"/>
    <w:rsid w:val="00024E7A"/>
    <w:rsid w:val="00025A20"/>
    <w:rsid w:val="00025C81"/>
    <w:rsid w:val="000279CC"/>
    <w:rsid w:val="00031150"/>
    <w:rsid w:val="00031274"/>
    <w:rsid w:val="00036B60"/>
    <w:rsid w:val="00037E37"/>
    <w:rsid w:val="000411F4"/>
    <w:rsid w:val="00044276"/>
    <w:rsid w:val="00047298"/>
    <w:rsid w:val="0004729D"/>
    <w:rsid w:val="000473FC"/>
    <w:rsid w:val="00050F63"/>
    <w:rsid w:val="00056360"/>
    <w:rsid w:val="000572AF"/>
    <w:rsid w:val="00062CAF"/>
    <w:rsid w:val="000646F6"/>
    <w:rsid w:val="00072F67"/>
    <w:rsid w:val="00073E62"/>
    <w:rsid w:val="00075A35"/>
    <w:rsid w:val="000770B1"/>
    <w:rsid w:val="000777E5"/>
    <w:rsid w:val="0008119C"/>
    <w:rsid w:val="000833DE"/>
    <w:rsid w:val="0008417E"/>
    <w:rsid w:val="000854CB"/>
    <w:rsid w:val="00085BA7"/>
    <w:rsid w:val="000862E9"/>
    <w:rsid w:val="00086592"/>
    <w:rsid w:val="00086A58"/>
    <w:rsid w:val="0008754C"/>
    <w:rsid w:val="00091CF6"/>
    <w:rsid w:val="000938F0"/>
    <w:rsid w:val="0009527C"/>
    <w:rsid w:val="00097963"/>
    <w:rsid w:val="000A515C"/>
    <w:rsid w:val="000A60ED"/>
    <w:rsid w:val="000A6E8A"/>
    <w:rsid w:val="000B0572"/>
    <w:rsid w:val="000B136C"/>
    <w:rsid w:val="000B2746"/>
    <w:rsid w:val="000B2AD0"/>
    <w:rsid w:val="000B3AA7"/>
    <w:rsid w:val="000B3C2A"/>
    <w:rsid w:val="000B4540"/>
    <w:rsid w:val="000C07C4"/>
    <w:rsid w:val="000C26CA"/>
    <w:rsid w:val="000C3D92"/>
    <w:rsid w:val="000C72EF"/>
    <w:rsid w:val="000D37BC"/>
    <w:rsid w:val="000D58FC"/>
    <w:rsid w:val="000D595D"/>
    <w:rsid w:val="000E03CC"/>
    <w:rsid w:val="000E0728"/>
    <w:rsid w:val="000E2E40"/>
    <w:rsid w:val="000E7E29"/>
    <w:rsid w:val="000F032A"/>
    <w:rsid w:val="00100A2F"/>
    <w:rsid w:val="00101B9F"/>
    <w:rsid w:val="001057EC"/>
    <w:rsid w:val="001117EE"/>
    <w:rsid w:val="00115AFA"/>
    <w:rsid w:val="00117840"/>
    <w:rsid w:val="0012059F"/>
    <w:rsid w:val="001216E5"/>
    <w:rsid w:val="00124D4E"/>
    <w:rsid w:val="00130D11"/>
    <w:rsid w:val="001315F2"/>
    <w:rsid w:val="00131C70"/>
    <w:rsid w:val="00132A84"/>
    <w:rsid w:val="00134619"/>
    <w:rsid w:val="00136B95"/>
    <w:rsid w:val="00142BA5"/>
    <w:rsid w:val="0014631B"/>
    <w:rsid w:val="001477AC"/>
    <w:rsid w:val="00154E4A"/>
    <w:rsid w:val="001631B8"/>
    <w:rsid w:val="001640E9"/>
    <w:rsid w:val="00166042"/>
    <w:rsid w:val="0016772A"/>
    <w:rsid w:val="0017207E"/>
    <w:rsid w:val="00172A27"/>
    <w:rsid w:val="00174B33"/>
    <w:rsid w:val="00180C33"/>
    <w:rsid w:val="00182350"/>
    <w:rsid w:val="001839E3"/>
    <w:rsid w:val="0018421B"/>
    <w:rsid w:val="001865F7"/>
    <w:rsid w:val="001914AC"/>
    <w:rsid w:val="00191F14"/>
    <w:rsid w:val="0019310A"/>
    <w:rsid w:val="00194A49"/>
    <w:rsid w:val="001A1764"/>
    <w:rsid w:val="001A1985"/>
    <w:rsid w:val="001A670C"/>
    <w:rsid w:val="001B5B37"/>
    <w:rsid w:val="001B76DC"/>
    <w:rsid w:val="001B7E10"/>
    <w:rsid w:val="001C15EB"/>
    <w:rsid w:val="001C35F2"/>
    <w:rsid w:val="001C61A8"/>
    <w:rsid w:val="001C6596"/>
    <w:rsid w:val="001D3809"/>
    <w:rsid w:val="001D5A9F"/>
    <w:rsid w:val="001D6A01"/>
    <w:rsid w:val="001E0713"/>
    <w:rsid w:val="001E1E6A"/>
    <w:rsid w:val="001F2997"/>
    <w:rsid w:val="001F4A81"/>
    <w:rsid w:val="001F50F3"/>
    <w:rsid w:val="001F53DF"/>
    <w:rsid w:val="001F6D74"/>
    <w:rsid w:val="00200861"/>
    <w:rsid w:val="002008FF"/>
    <w:rsid w:val="00201F50"/>
    <w:rsid w:val="002028E1"/>
    <w:rsid w:val="0020489D"/>
    <w:rsid w:val="002055B4"/>
    <w:rsid w:val="00212F46"/>
    <w:rsid w:val="00213B2D"/>
    <w:rsid w:val="0021442C"/>
    <w:rsid w:val="002170ED"/>
    <w:rsid w:val="0022117F"/>
    <w:rsid w:val="0022177D"/>
    <w:rsid w:val="002229A2"/>
    <w:rsid w:val="00231BC9"/>
    <w:rsid w:val="00232FB4"/>
    <w:rsid w:val="002337F4"/>
    <w:rsid w:val="002349EF"/>
    <w:rsid w:val="00235C39"/>
    <w:rsid w:val="00240038"/>
    <w:rsid w:val="002446A9"/>
    <w:rsid w:val="00247B6B"/>
    <w:rsid w:val="002505D6"/>
    <w:rsid w:val="0025531B"/>
    <w:rsid w:val="00264800"/>
    <w:rsid w:val="002648DF"/>
    <w:rsid w:val="00270623"/>
    <w:rsid w:val="00270DB3"/>
    <w:rsid w:val="00274760"/>
    <w:rsid w:val="00276B57"/>
    <w:rsid w:val="00280E35"/>
    <w:rsid w:val="002817CE"/>
    <w:rsid w:val="00282578"/>
    <w:rsid w:val="00287719"/>
    <w:rsid w:val="0029271D"/>
    <w:rsid w:val="00295589"/>
    <w:rsid w:val="00295986"/>
    <w:rsid w:val="002959E1"/>
    <w:rsid w:val="002A110F"/>
    <w:rsid w:val="002A2195"/>
    <w:rsid w:val="002C5644"/>
    <w:rsid w:val="002C7DD4"/>
    <w:rsid w:val="002D5B79"/>
    <w:rsid w:val="002D6BE0"/>
    <w:rsid w:val="002E047B"/>
    <w:rsid w:val="002E67EB"/>
    <w:rsid w:val="002F370C"/>
    <w:rsid w:val="002F79C5"/>
    <w:rsid w:val="002F7E15"/>
    <w:rsid w:val="00303004"/>
    <w:rsid w:val="00303E2D"/>
    <w:rsid w:val="00304B5A"/>
    <w:rsid w:val="00304BD8"/>
    <w:rsid w:val="00307207"/>
    <w:rsid w:val="00310AA0"/>
    <w:rsid w:val="00310B62"/>
    <w:rsid w:val="00313118"/>
    <w:rsid w:val="003139C8"/>
    <w:rsid w:val="00316FB2"/>
    <w:rsid w:val="00320DA9"/>
    <w:rsid w:val="00321140"/>
    <w:rsid w:val="00322D19"/>
    <w:rsid w:val="00325A3F"/>
    <w:rsid w:val="00325AB7"/>
    <w:rsid w:val="00326531"/>
    <w:rsid w:val="003337AE"/>
    <w:rsid w:val="0033701A"/>
    <w:rsid w:val="0034518C"/>
    <w:rsid w:val="00352080"/>
    <w:rsid w:val="00357D8D"/>
    <w:rsid w:val="00361AC1"/>
    <w:rsid w:val="00362A12"/>
    <w:rsid w:val="00366D97"/>
    <w:rsid w:val="00367E4B"/>
    <w:rsid w:val="00373BDE"/>
    <w:rsid w:val="00375307"/>
    <w:rsid w:val="0037782C"/>
    <w:rsid w:val="00381153"/>
    <w:rsid w:val="003843DA"/>
    <w:rsid w:val="00387984"/>
    <w:rsid w:val="003965F2"/>
    <w:rsid w:val="003971B0"/>
    <w:rsid w:val="003A0A29"/>
    <w:rsid w:val="003A1099"/>
    <w:rsid w:val="003A2100"/>
    <w:rsid w:val="003A3FFD"/>
    <w:rsid w:val="003A5D8F"/>
    <w:rsid w:val="003A5F45"/>
    <w:rsid w:val="003B03C5"/>
    <w:rsid w:val="003B09FC"/>
    <w:rsid w:val="003B3709"/>
    <w:rsid w:val="003B42C7"/>
    <w:rsid w:val="003B7190"/>
    <w:rsid w:val="003C296A"/>
    <w:rsid w:val="003C4CD3"/>
    <w:rsid w:val="003C5AC6"/>
    <w:rsid w:val="003C7C23"/>
    <w:rsid w:val="003C7E27"/>
    <w:rsid w:val="003D2120"/>
    <w:rsid w:val="003D380D"/>
    <w:rsid w:val="003D64C8"/>
    <w:rsid w:val="003E3257"/>
    <w:rsid w:val="003E4A9B"/>
    <w:rsid w:val="003E5965"/>
    <w:rsid w:val="003E6DC6"/>
    <w:rsid w:val="003E79D6"/>
    <w:rsid w:val="003F1069"/>
    <w:rsid w:val="003F55E6"/>
    <w:rsid w:val="004031F2"/>
    <w:rsid w:val="00404147"/>
    <w:rsid w:val="00406856"/>
    <w:rsid w:val="00410D2F"/>
    <w:rsid w:val="00411686"/>
    <w:rsid w:val="004120F9"/>
    <w:rsid w:val="00413E3D"/>
    <w:rsid w:val="0041499B"/>
    <w:rsid w:val="00417467"/>
    <w:rsid w:val="0042007F"/>
    <w:rsid w:val="00421EAE"/>
    <w:rsid w:val="00422143"/>
    <w:rsid w:val="00425F65"/>
    <w:rsid w:val="00426253"/>
    <w:rsid w:val="0043006F"/>
    <w:rsid w:val="00432A91"/>
    <w:rsid w:val="00441921"/>
    <w:rsid w:val="00443223"/>
    <w:rsid w:val="00445B6D"/>
    <w:rsid w:val="0044706E"/>
    <w:rsid w:val="0045088A"/>
    <w:rsid w:val="0045134E"/>
    <w:rsid w:val="00451FB6"/>
    <w:rsid w:val="0045259C"/>
    <w:rsid w:val="00454408"/>
    <w:rsid w:val="00454F61"/>
    <w:rsid w:val="00460A19"/>
    <w:rsid w:val="00461D25"/>
    <w:rsid w:val="00472C87"/>
    <w:rsid w:val="00474463"/>
    <w:rsid w:val="004757FC"/>
    <w:rsid w:val="00475B08"/>
    <w:rsid w:val="004830CB"/>
    <w:rsid w:val="00485C56"/>
    <w:rsid w:val="00487650"/>
    <w:rsid w:val="00490BF7"/>
    <w:rsid w:val="0049194C"/>
    <w:rsid w:val="0049638E"/>
    <w:rsid w:val="004A3AF1"/>
    <w:rsid w:val="004A6E63"/>
    <w:rsid w:val="004A7281"/>
    <w:rsid w:val="004B180B"/>
    <w:rsid w:val="004B2EA8"/>
    <w:rsid w:val="004B3818"/>
    <w:rsid w:val="004B73AE"/>
    <w:rsid w:val="004C1F4F"/>
    <w:rsid w:val="004C29A1"/>
    <w:rsid w:val="004C7674"/>
    <w:rsid w:val="004D12DF"/>
    <w:rsid w:val="004D1441"/>
    <w:rsid w:val="004D37E2"/>
    <w:rsid w:val="004D6475"/>
    <w:rsid w:val="004E1BA3"/>
    <w:rsid w:val="004E579A"/>
    <w:rsid w:val="004E6DA4"/>
    <w:rsid w:val="004E6DBB"/>
    <w:rsid w:val="004E753B"/>
    <w:rsid w:val="004F64B5"/>
    <w:rsid w:val="004F718A"/>
    <w:rsid w:val="00501E51"/>
    <w:rsid w:val="005026AA"/>
    <w:rsid w:val="00505CE6"/>
    <w:rsid w:val="00510D71"/>
    <w:rsid w:val="00511EC1"/>
    <w:rsid w:val="00512974"/>
    <w:rsid w:val="005136A6"/>
    <w:rsid w:val="00514051"/>
    <w:rsid w:val="00514A9A"/>
    <w:rsid w:val="00516139"/>
    <w:rsid w:val="00523A95"/>
    <w:rsid w:val="005243B2"/>
    <w:rsid w:val="0052505F"/>
    <w:rsid w:val="00525D33"/>
    <w:rsid w:val="00530153"/>
    <w:rsid w:val="005348F4"/>
    <w:rsid w:val="00534FF5"/>
    <w:rsid w:val="005375A4"/>
    <w:rsid w:val="00540C64"/>
    <w:rsid w:val="00540D2C"/>
    <w:rsid w:val="005442C1"/>
    <w:rsid w:val="0054753C"/>
    <w:rsid w:val="00551C78"/>
    <w:rsid w:val="00553E40"/>
    <w:rsid w:val="00553EF1"/>
    <w:rsid w:val="005613A0"/>
    <w:rsid w:val="00562D38"/>
    <w:rsid w:val="0056594D"/>
    <w:rsid w:val="00565AEC"/>
    <w:rsid w:val="0056659B"/>
    <w:rsid w:val="00566FF9"/>
    <w:rsid w:val="005671E6"/>
    <w:rsid w:val="00573BEC"/>
    <w:rsid w:val="00582974"/>
    <w:rsid w:val="00582D6D"/>
    <w:rsid w:val="00583719"/>
    <w:rsid w:val="00583DF7"/>
    <w:rsid w:val="00594DB8"/>
    <w:rsid w:val="005A06A9"/>
    <w:rsid w:val="005A6ABA"/>
    <w:rsid w:val="005B01E9"/>
    <w:rsid w:val="005B1485"/>
    <w:rsid w:val="005B41AF"/>
    <w:rsid w:val="005B42F3"/>
    <w:rsid w:val="005B7379"/>
    <w:rsid w:val="005C1CA6"/>
    <w:rsid w:val="005C753E"/>
    <w:rsid w:val="005C7A78"/>
    <w:rsid w:val="005D2A87"/>
    <w:rsid w:val="005D543A"/>
    <w:rsid w:val="005E2DD9"/>
    <w:rsid w:val="005E58B6"/>
    <w:rsid w:val="005E58BF"/>
    <w:rsid w:val="005F0728"/>
    <w:rsid w:val="005F27A7"/>
    <w:rsid w:val="00606BB8"/>
    <w:rsid w:val="00607D14"/>
    <w:rsid w:val="0061357B"/>
    <w:rsid w:val="00615810"/>
    <w:rsid w:val="00623E54"/>
    <w:rsid w:val="00624722"/>
    <w:rsid w:val="00625370"/>
    <w:rsid w:val="006272A7"/>
    <w:rsid w:val="0063012E"/>
    <w:rsid w:val="00633DCA"/>
    <w:rsid w:val="00634632"/>
    <w:rsid w:val="00634D5C"/>
    <w:rsid w:val="0063566D"/>
    <w:rsid w:val="00635A1E"/>
    <w:rsid w:val="00637E27"/>
    <w:rsid w:val="00640423"/>
    <w:rsid w:val="00640957"/>
    <w:rsid w:val="00640B08"/>
    <w:rsid w:val="00645689"/>
    <w:rsid w:val="0064599B"/>
    <w:rsid w:val="00647E3A"/>
    <w:rsid w:val="00650752"/>
    <w:rsid w:val="00651996"/>
    <w:rsid w:val="00654334"/>
    <w:rsid w:val="00660D20"/>
    <w:rsid w:val="00663C34"/>
    <w:rsid w:val="00663DA9"/>
    <w:rsid w:val="00664301"/>
    <w:rsid w:val="006720E9"/>
    <w:rsid w:val="00672230"/>
    <w:rsid w:val="00673611"/>
    <w:rsid w:val="0068307F"/>
    <w:rsid w:val="00687482"/>
    <w:rsid w:val="00691133"/>
    <w:rsid w:val="00691769"/>
    <w:rsid w:val="0069296F"/>
    <w:rsid w:val="00696118"/>
    <w:rsid w:val="00696739"/>
    <w:rsid w:val="00697BF6"/>
    <w:rsid w:val="00697DB7"/>
    <w:rsid w:val="006A302F"/>
    <w:rsid w:val="006A59D0"/>
    <w:rsid w:val="006A5EC2"/>
    <w:rsid w:val="006A6CA9"/>
    <w:rsid w:val="006B2EFE"/>
    <w:rsid w:val="006B2FE8"/>
    <w:rsid w:val="006C03CA"/>
    <w:rsid w:val="006C1A38"/>
    <w:rsid w:val="006C1E5B"/>
    <w:rsid w:val="006C378D"/>
    <w:rsid w:val="006D59B3"/>
    <w:rsid w:val="006F05DE"/>
    <w:rsid w:val="006F4A4F"/>
    <w:rsid w:val="006F7DE4"/>
    <w:rsid w:val="0070233D"/>
    <w:rsid w:val="007034DC"/>
    <w:rsid w:val="00707889"/>
    <w:rsid w:val="007110EF"/>
    <w:rsid w:val="00711B1C"/>
    <w:rsid w:val="0071451B"/>
    <w:rsid w:val="007166E6"/>
    <w:rsid w:val="00716DD8"/>
    <w:rsid w:val="00720535"/>
    <w:rsid w:val="00721B52"/>
    <w:rsid w:val="007243C3"/>
    <w:rsid w:val="007265BE"/>
    <w:rsid w:val="00731B5E"/>
    <w:rsid w:val="00731F91"/>
    <w:rsid w:val="00733E07"/>
    <w:rsid w:val="0073487E"/>
    <w:rsid w:val="007420EE"/>
    <w:rsid w:val="00756D7B"/>
    <w:rsid w:val="00756FBB"/>
    <w:rsid w:val="0076378C"/>
    <w:rsid w:val="0076516E"/>
    <w:rsid w:val="00766407"/>
    <w:rsid w:val="00771FDB"/>
    <w:rsid w:val="00772867"/>
    <w:rsid w:val="007739C2"/>
    <w:rsid w:val="0077506F"/>
    <w:rsid w:val="00775689"/>
    <w:rsid w:val="00776B4B"/>
    <w:rsid w:val="00777011"/>
    <w:rsid w:val="00777BD7"/>
    <w:rsid w:val="00783D19"/>
    <w:rsid w:val="00785207"/>
    <w:rsid w:val="00786B9C"/>
    <w:rsid w:val="00787FA2"/>
    <w:rsid w:val="00791A52"/>
    <w:rsid w:val="0079374C"/>
    <w:rsid w:val="00794B09"/>
    <w:rsid w:val="007961A4"/>
    <w:rsid w:val="0079654D"/>
    <w:rsid w:val="0079673D"/>
    <w:rsid w:val="00797259"/>
    <w:rsid w:val="007974FF"/>
    <w:rsid w:val="007A12A8"/>
    <w:rsid w:val="007A1CCA"/>
    <w:rsid w:val="007A2DA9"/>
    <w:rsid w:val="007A3A5F"/>
    <w:rsid w:val="007A41B0"/>
    <w:rsid w:val="007A6123"/>
    <w:rsid w:val="007A7B15"/>
    <w:rsid w:val="007B0C23"/>
    <w:rsid w:val="007B5AE5"/>
    <w:rsid w:val="007B62D8"/>
    <w:rsid w:val="007C04A8"/>
    <w:rsid w:val="007C146F"/>
    <w:rsid w:val="007D1EDE"/>
    <w:rsid w:val="007D5551"/>
    <w:rsid w:val="007D7562"/>
    <w:rsid w:val="007D76CE"/>
    <w:rsid w:val="007E3E90"/>
    <w:rsid w:val="007E5FF4"/>
    <w:rsid w:val="007E603A"/>
    <w:rsid w:val="007E7876"/>
    <w:rsid w:val="007F0883"/>
    <w:rsid w:val="007F1C8C"/>
    <w:rsid w:val="007F2F54"/>
    <w:rsid w:val="007F31C8"/>
    <w:rsid w:val="007F4A51"/>
    <w:rsid w:val="007F4CA0"/>
    <w:rsid w:val="007F75AC"/>
    <w:rsid w:val="00800985"/>
    <w:rsid w:val="00801DB7"/>
    <w:rsid w:val="0080357C"/>
    <w:rsid w:val="0081479F"/>
    <w:rsid w:val="008162DA"/>
    <w:rsid w:val="008167F3"/>
    <w:rsid w:val="00820C22"/>
    <w:rsid w:val="00823B10"/>
    <w:rsid w:val="00824AA0"/>
    <w:rsid w:val="00826FB6"/>
    <w:rsid w:val="0083309B"/>
    <w:rsid w:val="00834E34"/>
    <w:rsid w:val="008356D5"/>
    <w:rsid w:val="00835C0E"/>
    <w:rsid w:val="00840889"/>
    <w:rsid w:val="00840DF3"/>
    <w:rsid w:val="008417F5"/>
    <w:rsid w:val="00841826"/>
    <w:rsid w:val="00845044"/>
    <w:rsid w:val="00850E89"/>
    <w:rsid w:val="00852629"/>
    <w:rsid w:val="0086417B"/>
    <w:rsid w:val="00877002"/>
    <w:rsid w:val="00880175"/>
    <w:rsid w:val="008806FC"/>
    <w:rsid w:val="008807D9"/>
    <w:rsid w:val="00881F93"/>
    <w:rsid w:val="008852BE"/>
    <w:rsid w:val="00885D37"/>
    <w:rsid w:val="0088649B"/>
    <w:rsid w:val="008961BF"/>
    <w:rsid w:val="0089755A"/>
    <w:rsid w:val="008A1C2A"/>
    <w:rsid w:val="008A279F"/>
    <w:rsid w:val="008A394F"/>
    <w:rsid w:val="008A4494"/>
    <w:rsid w:val="008A51E1"/>
    <w:rsid w:val="008A5D00"/>
    <w:rsid w:val="008B085C"/>
    <w:rsid w:val="008B0D9E"/>
    <w:rsid w:val="008B17C2"/>
    <w:rsid w:val="008B30A6"/>
    <w:rsid w:val="008B3885"/>
    <w:rsid w:val="008B4561"/>
    <w:rsid w:val="008B7050"/>
    <w:rsid w:val="008C0F10"/>
    <w:rsid w:val="008C162D"/>
    <w:rsid w:val="008C4B64"/>
    <w:rsid w:val="008D0591"/>
    <w:rsid w:val="008D1345"/>
    <w:rsid w:val="008D39BE"/>
    <w:rsid w:val="008D5539"/>
    <w:rsid w:val="008D7654"/>
    <w:rsid w:val="008E0FCD"/>
    <w:rsid w:val="008F10AB"/>
    <w:rsid w:val="008F1B40"/>
    <w:rsid w:val="008F5CE1"/>
    <w:rsid w:val="00903207"/>
    <w:rsid w:val="00903214"/>
    <w:rsid w:val="0090453B"/>
    <w:rsid w:val="00920902"/>
    <w:rsid w:val="00925DB9"/>
    <w:rsid w:val="00925E4F"/>
    <w:rsid w:val="00935C0E"/>
    <w:rsid w:val="009405B0"/>
    <w:rsid w:val="00941756"/>
    <w:rsid w:val="00944B91"/>
    <w:rsid w:val="00945597"/>
    <w:rsid w:val="00946E3C"/>
    <w:rsid w:val="00952393"/>
    <w:rsid w:val="00954330"/>
    <w:rsid w:val="00961300"/>
    <w:rsid w:val="00970327"/>
    <w:rsid w:val="0097515A"/>
    <w:rsid w:val="00981E81"/>
    <w:rsid w:val="00983029"/>
    <w:rsid w:val="00985833"/>
    <w:rsid w:val="009866DC"/>
    <w:rsid w:val="00990F9B"/>
    <w:rsid w:val="0099132C"/>
    <w:rsid w:val="00991ADA"/>
    <w:rsid w:val="009937A9"/>
    <w:rsid w:val="00994F59"/>
    <w:rsid w:val="0099663B"/>
    <w:rsid w:val="009A1DE1"/>
    <w:rsid w:val="009A3E08"/>
    <w:rsid w:val="009A59F8"/>
    <w:rsid w:val="009B0BBD"/>
    <w:rsid w:val="009B1347"/>
    <w:rsid w:val="009B2EF6"/>
    <w:rsid w:val="009B3BA7"/>
    <w:rsid w:val="009B3CE9"/>
    <w:rsid w:val="009B4F25"/>
    <w:rsid w:val="009C2AA2"/>
    <w:rsid w:val="009C2FF0"/>
    <w:rsid w:val="009C36DB"/>
    <w:rsid w:val="009C41D9"/>
    <w:rsid w:val="009C4BEF"/>
    <w:rsid w:val="009D0EA3"/>
    <w:rsid w:val="009D1BDB"/>
    <w:rsid w:val="009D48C1"/>
    <w:rsid w:val="009E3A0F"/>
    <w:rsid w:val="009E553A"/>
    <w:rsid w:val="009E59BF"/>
    <w:rsid w:val="009E7B42"/>
    <w:rsid w:val="009F1484"/>
    <w:rsid w:val="009F1D9B"/>
    <w:rsid w:val="009F20C6"/>
    <w:rsid w:val="009F23A8"/>
    <w:rsid w:val="009F3AF4"/>
    <w:rsid w:val="009F5531"/>
    <w:rsid w:val="009F6190"/>
    <w:rsid w:val="009F7C62"/>
    <w:rsid w:val="00A04C08"/>
    <w:rsid w:val="00A06EBE"/>
    <w:rsid w:val="00A10525"/>
    <w:rsid w:val="00A16383"/>
    <w:rsid w:val="00A20A10"/>
    <w:rsid w:val="00A21901"/>
    <w:rsid w:val="00A25BB8"/>
    <w:rsid w:val="00A327E9"/>
    <w:rsid w:val="00A338A7"/>
    <w:rsid w:val="00A35C27"/>
    <w:rsid w:val="00A40C63"/>
    <w:rsid w:val="00A423BE"/>
    <w:rsid w:val="00A4404E"/>
    <w:rsid w:val="00A46175"/>
    <w:rsid w:val="00A52811"/>
    <w:rsid w:val="00A53CAF"/>
    <w:rsid w:val="00A57FAC"/>
    <w:rsid w:val="00A62526"/>
    <w:rsid w:val="00A65166"/>
    <w:rsid w:val="00A67833"/>
    <w:rsid w:val="00A74917"/>
    <w:rsid w:val="00A7592E"/>
    <w:rsid w:val="00A8084B"/>
    <w:rsid w:val="00A8111A"/>
    <w:rsid w:val="00A81855"/>
    <w:rsid w:val="00A81C34"/>
    <w:rsid w:val="00A84BC6"/>
    <w:rsid w:val="00A943AE"/>
    <w:rsid w:val="00A94F0D"/>
    <w:rsid w:val="00A95E21"/>
    <w:rsid w:val="00A965AF"/>
    <w:rsid w:val="00A96633"/>
    <w:rsid w:val="00A97248"/>
    <w:rsid w:val="00A9752B"/>
    <w:rsid w:val="00A9793E"/>
    <w:rsid w:val="00AA406D"/>
    <w:rsid w:val="00AA4585"/>
    <w:rsid w:val="00AA61BD"/>
    <w:rsid w:val="00AA68FF"/>
    <w:rsid w:val="00AB1FFD"/>
    <w:rsid w:val="00AC70E3"/>
    <w:rsid w:val="00AC72FE"/>
    <w:rsid w:val="00AD0777"/>
    <w:rsid w:val="00AE0621"/>
    <w:rsid w:val="00AE3B3A"/>
    <w:rsid w:val="00AE4CE8"/>
    <w:rsid w:val="00AE59F3"/>
    <w:rsid w:val="00AF2211"/>
    <w:rsid w:val="00AF25F4"/>
    <w:rsid w:val="00AF2A09"/>
    <w:rsid w:val="00AF4FCB"/>
    <w:rsid w:val="00B00E3B"/>
    <w:rsid w:val="00B00F6C"/>
    <w:rsid w:val="00B01E1F"/>
    <w:rsid w:val="00B05D7F"/>
    <w:rsid w:val="00B1211A"/>
    <w:rsid w:val="00B12C36"/>
    <w:rsid w:val="00B12E9C"/>
    <w:rsid w:val="00B160A1"/>
    <w:rsid w:val="00B162D5"/>
    <w:rsid w:val="00B16B3E"/>
    <w:rsid w:val="00B203C8"/>
    <w:rsid w:val="00B21620"/>
    <w:rsid w:val="00B22140"/>
    <w:rsid w:val="00B237C6"/>
    <w:rsid w:val="00B2608F"/>
    <w:rsid w:val="00B31616"/>
    <w:rsid w:val="00B34791"/>
    <w:rsid w:val="00B469E7"/>
    <w:rsid w:val="00B51ED5"/>
    <w:rsid w:val="00B54573"/>
    <w:rsid w:val="00B576BC"/>
    <w:rsid w:val="00B57B25"/>
    <w:rsid w:val="00B624C1"/>
    <w:rsid w:val="00B66961"/>
    <w:rsid w:val="00B7026B"/>
    <w:rsid w:val="00B72C90"/>
    <w:rsid w:val="00B742EF"/>
    <w:rsid w:val="00B7630F"/>
    <w:rsid w:val="00B77A8F"/>
    <w:rsid w:val="00B80D76"/>
    <w:rsid w:val="00B81503"/>
    <w:rsid w:val="00B85198"/>
    <w:rsid w:val="00B87555"/>
    <w:rsid w:val="00B87A55"/>
    <w:rsid w:val="00B90D33"/>
    <w:rsid w:val="00B94EF3"/>
    <w:rsid w:val="00B968E0"/>
    <w:rsid w:val="00BA4404"/>
    <w:rsid w:val="00BA5F83"/>
    <w:rsid w:val="00BA71CB"/>
    <w:rsid w:val="00BB2E01"/>
    <w:rsid w:val="00BB3341"/>
    <w:rsid w:val="00BB5BFA"/>
    <w:rsid w:val="00BB71B1"/>
    <w:rsid w:val="00BC13EB"/>
    <w:rsid w:val="00BC16E8"/>
    <w:rsid w:val="00BC1803"/>
    <w:rsid w:val="00BC62AB"/>
    <w:rsid w:val="00BD0841"/>
    <w:rsid w:val="00BD1193"/>
    <w:rsid w:val="00BD4065"/>
    <w:rsid w:val="00BD7648"/>
    <w:rsid w:val="00BE03AA"/>
    <w:rsid w:val="00BE289C"/>
    <w:rsid w:val="00BE7B69"/>
    <w:rsid w:val="00BE7E02"/>
    <w:rsid w:val="00BF17AF"/>
    <w:rsid w:val="00BF4620"/>
    <w:rsid w:val="00BF463B"/>
    <w:rsid w:val="00BF6D59"/>
    <w:rsid w:val="00C00B1F"/>
    <w:rsid w:val="00C06A1B"/>
    <w:rsid w:val="00C07866"/>
    <w:rsid w:val="00C078F0"/>
    <w:rsid w:val="00C10523"/>
    <w:rsid w:val="00C1176E"/>
    <w:rsid w:val="00C11E33"/>
    <w:rsid w:val="00C1734F"/>
    <w:rsid w:val="00C20397"/>
    <w:rsid w:val="00C20A25"/>
    <w:rsid w:val="00C22737"/>
    <w:rsid w:val="00C35A88"/>
    <w:rsid w:val="00C4096C"/>
    <w:rsid w:val="00C40B25"/>
    <w:rsid w:val="00C40F56"/>
    <w:rsid w:val="00C43ABF"/>
    <w:rsid w:val="00C4450E"/>
    <w:rsid w:val="00C463EB"/>
    <w:rsid w:val="00C5065E"/>
    <w:rsid w:val="00C52E7E"/>
    <w:rsid w:val="00C535DC"/>
    <w:rsid w:val="00C54899"/>
    <w:rsid w:val="00C5569D"/>
    <w:rsid w:val="00C56364"/>
    <w:rsid w:val="00C5779D"/>
    <w:rsid w:val="00C60239"/>
    <w:rsid w:val="00C669DC"/>
    <w:rsid w:val="00C71209"/>
    <w:rsid w:val="00C72AC7"/>
    <w:rsid w:val="00C747E5"/>
    <w:rsid w:val="00C76FD2"/>
    <w:rsid w:val="00C811AC"/>
    <w:rsid w:val="00C81887"/>
    <w:rsid w:val="00C8291E"/>
    <w:rsid w:val="00C84A18"/>
    <w:rsid w:val="00C84A56"/>
    <w:rsid w:val="00C8717B"/>
    <w:rsid w:val="00C87A86"/>
    <w:rsid w:val="00C92C96"/>
    <w:rsid w:val="00C942A4"/>
    <w:rsid w:val="00C95FAD"/>
    <w:rsid w:val="00C97A57"/>
    <w:rsid w:val="00CA232E"/>
    <w:rsid w:val="00CA3D69"/>
    <w:rsid w:val="00CA7DF4"/>
    <w:rsid w:val="00CB55CF"/>
    <w:rsid w:val="00CB5773"/>
    <w:rsid w:val="00CB5D9F"/>
    <w:rsid w:val="00CB6C3E"/>
    <w:rsid w:val="00CC7944"/>
    <w:rsid w:val="00CD1770"/>
    <w:rsid w:val="00CD61D2"/>
    <w:rsid w:val="00CE1386"/>
    <w:rsid w:val="00CE4B64"/>
    <w:rsid w:val="00CF23DD"/>
    <w:rsid w:val="00CF6918"/>
    <w:rsid w:val="00CF7F24"/>
    <w:rsid w:val="00D02140"/>
    <w:rsid w:val="00D027D9"/>
    <w:rsid w:val="00D033FD"/>
    <w:rsid w:val="00D04646"/>
    <w:rsid w:val="00D10AEE"/>
    <w:rsid w:val="00D13254"/>
    <w:rsid w:val="00D14553"/>
    <w:rsid w:val="00D20002"/>
    <w:rsid w:val="00D203E6"/>
    <w:rsid w:val="00D239B1"/>
    <w:rsid w:val="00D25010"/>
    <w:rsid w:val="00D2599B"/>
    <w:rsid w:val="00D26196"/>
    <w:rsid w:val="00D264FF"/>
    <w:rsid w:val="00D267F5"/>
    <w:rsid w:val="00D279A6"/>
    <w:rsid w:val="00D32E2E"/>
    <w:rsid w:val="00D32F2A"/>
    <w:rsid w:val="00D330F6"/>
    <w:rsid w:val="00D34864"/>
    <w:rsid w:val="00D356DB"/>
    <w:rsid w:val="00D357D9"/>
    <w:rsid w:val="00D36134"/>
    <w:rsid w:val="00D3659B"/>
    <w:rsid w:val="00D41E9D"/>
    <w:rsid w:val="00D45D13"/>
    <w:rsid w:val="00D45E14"/>
    <w:rsid w:val="00D46729"/>
    <w:rsid w:val="00D47499"/>
    <w:rsid w:val="00D61BD3"/>
    <w:rsid w:val="00D6364B"/>
    <w:rsid w:val="00D709EF"/>
    <w:rsid w:val="00D71684"/>
    <w:rsid w:val="00D7230C"/>
    <w:rsid w:val="00D73555"/>
    <w:rsid w:val="00D74913"/>
    <w:rsid w:val="00D75EA6"/>
    <w:rsid w:val="00D827A8"/>
    <w:rsid w:val="00D84D52"/>
    <w:rsid w:val="00D84EDC"/>
    <w:rsid w:val="00D90E04"/>
    <w:rsid w:val="00D92D29"/>
    <w:rsid w:val="00DA146C"/>
    <w:rsid w:val="00DA2243"/>
    <w:rsid w:val="00DA22EA"/>
    <w:rsid w:val="00DA44D8"/>
    <w:rsid w:val="00DB4AFE"/>
    <w:rsid w:val="00DB7645"/>
    <w:rsid w:val="00DC536B"/>
    <w:rsid w:val="00DD1859"/>
    <w:rsid w:val="00DD4597"/>
    <w:rsid w:val="00DD6CF1"/>
    <w:rsid w:val="00DE0CE3"/>
    <w:rsid w:val="00DE1971"/>
    <w:rsid w:val="00DE36D5"/>
    <w:rsid w:val="00DE78CA"/>
    <w:rsid w:val="00DF09FE"/>
    <w:rsid w:val="00DF4FDD"/>
    <w:rsid w:val="00E00A08"/>
    <w:rsid w:val="00E0100A"/>
    <w:rsid w:val="00E044DE"/>
    <w:rsid w:val="00E051E6"/>
    <w:rsid w:val="00E0700E"/>
    <w:rsid w:val="00E13043"/>
    <w:rsid w:val="00E136E2"/>
    <w:rsid w:val="00E1711F"/>
    <w:rsid w:val="00E30DA5"/>
    <w:rsid w:val="00E312A7"/>
    <w:rsid w:val="00E338ED"/>
    <w:rsid w:val="00E365FB"/>
    <w:rsid w:val="00E371E1"/>
    <w:rsid w:val="00E3767E"/>
    <w:rsid w:val="00E40D5C"/>
    <w:rsid w:val="00E42077"/>
    <w:rsid w:val="00E42D0C"/>
    <w:rsid w:val="00E44A1F"/>
    <w:rsid w:val="00E44B3A"/>
    <w:rsid w:val="00E45E6F"/>
    <w:rsid w:val="00E462D8"/>
    <w:rsid w:val="00E46E6C"/>
    <w:rsid w:val="00E475EC"/>
    <w:rsid w:val="00E526EC"/>
    <w:rsid w:val="00E52F89"/>
    <w:rsid w:val="00E53B01"/>
    <w:rsid w:val="00E60442"/>
    <w:rsid w:val="00E62440"/>
    <w:rsid w:val="00E72B86"/>
    <w:rsid w:val="00E77BBF"/>
    <w:rsid w:val="00E8005C"/>
    <w:rsid w:val="00E803B3"/>
    <w:rsid w:val="00E83CED"/>
    <w:rsid w:val="00E8579F"/>
    <w:rsid w:val="00E94EE5"/>
    <w:rsid w:val="00E96643"/>
    <w:rsid w:val="00EA002B"/>
    <w:rsid w:val="00EA2070"/>
    <w:rsid w:val="00EA3517"/>
    <w:rsid w:val="00EB1E9F"/>
    <w:rsid w:val="00EB2F47"/>
    <w:rsid w:val="00EB347D"/>
    <w:rsid w:val="00EB454D"/>
    <w:rsid w:val="00EB58C2"/>
    <w:rsid w:val="00EB72F3"/>
    <w:rsid w:val="00EE2664"/>
    <w:rsid w:val="00EE277D"/>
    <w:rsid w:val="00EE3518"/>
    <w:rsid w:val="00EE5B07"/>
    <w:rsid w:val="00EE61FF"/>
    <w:rsid w:val="00EF1198"/>
    <w:rsid w:val="00EF1759"/>
    <w:rsid w:val="00EF4B2B"/>
    <w:rsid w:val="00EF550C"/>
    <w:rsid w:val="00EF7B87"/>
    <w:rsid w:val="00F001DA"/>
    <w:rsid w:val="00F020C8"/>
    <w:rsid w:val="00F02223"/>
    <w:rsid w:val="00F04E3C"/>
    <w:rsid w:val="00F0729E"/>
    <w:rsid w:val="00F11C88"/>
    <w:rsid w:val="00F12460"/>
    <w:rsid w:val="00F1343A"/>
    <w:rsid w:val="00F135F3"/>
    <w:rsid w:val="00F14737"/>
    <w:rsid w:val="00F17A12"/>
    <w:rsid w:val="00F22808"/>
    <w:rsid w:val="00F24DDF"/>
    <w:rsid w:val="00F264AF"/>
    <w:rsid w:val="00F265E1"/>
    <w:rsid w:val="00F4094F"/>
    <w:rsid w:val="00F41EC7"/>
    <w:rsid w:val="00F42586"/>
    <w:rsid w:val="00F44CEA"/>
    <w:rsid w:val="00F5323C"/>
    <w:rsid w:val="00F567A8"/>
    <w:rsid w:val="00F607E2"/>
    <w:rsid w:val="00F61468"/>
    <w:rsid w:val="00F64372"/>
    <w:rsid w:val="00F66AFA"/>
    <w:rsid w:val="00F67338"/>
    <w:rsid w:val="00F8251E"/>
    <w:rsid w:val="00F84789"/>
    <w:rsid w:val="00F9014C"/>
    <w:rsid w:val="00F90CD8"/>
    <w:rsid w:val="00F93F3E"/>
    <w:rsid w:val="00F9730E"/>
    <w:rsid w:val="00FA2D43"/>
    <w:rsid w:val="00FA4BB4"/>
    <w:rsid w:val="00FA6E21"/>
    <w:rsid w:val="00FB0FCA"/>
    <w:rsid w:val="00FB1C24"/>
    <w:rsid w:val="00FB4A4A"/>
    <w:rsid w:val="00FB5729"/>
    <w:rsid w:val="00FC3A5D"/>
    <w:rsid w:val="00FC476B"/>
    <w:rsid w:val="00FC630D"/>
    <w:rsid w:val="00FD384B"/>
    <w:rsid w:val="00FD5B85"/>
    <w:rsid w:val="00FD7020"/>
    <w:rsid w:val="00FE1247"/>
    <w:rsid w:val="00FE1B04"/>
    <w:rsid w:val="00FF15DB"/>
    <w:rsid w:val="00FF18D7"/>
    <w:rsid w:val="00FF3ABA"/>
    <w:rsid w:val="00FF66FD"/>
    <w:rsid w:val="00FF69E3"/>
    <w:rsid w:val="00FF6BBD"/>
    <w:rsid w:val="01922E40"/>
    <w:rsid w:val="03203EB7"/>
    <w:rsid w:val="03575C81"/>
    <w:rsid w:val="03813C20"/>
    <w:rsid w:val="03885713"/>
    <w:rsid w:val="040A2CF3"/>
    <w:rsid w:val="04D3559B"/>
    <w:rsid w:val="052413D2"/>
    <w:rsid w:val="05B41169"/>
    <w:rsid w:val="05D40E42"/>
    <w:rsid w:val="071A324D"/>
    <w:rsid w:val="077F20B8"/>
    <w:rsid w:val="0796494F"/>
    <w:rsid w:val="07A01A45"/>
    <w:rsid w:val="07D672F7"/>
    <w:rsid w:val="080C0DE8"/>
    <w:rsid w:val="084A6472"/>
    <w:rsid w:val="08C97472"/>
    <w:rsid w:val="08CC0577"/>
    <w:rsid w:val="090F69AB"/>
    <w:rsid w:val="09414250"/>
    <w:rsid w:val="09414AC1"/>
    <w:rsid w:val="096915FE"/>
    <w:rsid w:val="09C33728"/>
    <w:rsid w:val="09CA084E"/>
    <w:rsid w:val="0A7B208B"/>
    <w:rsid w:val="0A823588"/>
    <w:rsid w:val="0AC10340"/>
    <w:rsid w:val="0AFB47B9"/>
    <w:rsid w:val="0B2E5519"/>
    <w:rsid w:val="0B332B30"/>
    <w:rsid w:val="0B542FDE"/>
    <w:rsid w:val="0B6F155C"/>
    <w:rsid w:val="0BB018C9"/>
    <w:rsid w:val="0BC6115D"/>
    <w:rsid w:val="0BDF2918"/>
    <w:rsid w:val="0BFA2440"/>
    <w:rsid w:val="0C0C0229"/>
    <w:rsid w:val="0C2F32F7"/>
    <w:rsid w:val="0C396D85"/>
    <w:rsid w:val="0C482E98"/>
    <w:rsid w:val="0CA830A9"/>
    <w:rsid w:val="0CD07929"/>
    <w:rsid w:val="0CD14D9A"/>
    <w:rsid w:val="0D103128"/>
    <w:rsid w:val="0D2A599A"/>
    <w:rsid w:val="0D2F577A"/>
    <w:rsid w:val="0D3572B4"/>
    <w:rsid w:val="0D496987"/>
    <w:rsid w:val="0D5F19BA"/>
    <w:rsid w:val="0DC67C8B"/>
    <w:rsid w:val="0E511C1B"/>
    <w:rsid w:val="0EB72290"/>
    <w:rsid w:val="0F1F3AF7"/>
    <w:rsid w:val="104533C5"/>
    <w:rsid w:val="105477D0"/>
    <w:rsid w:val="115F64F6"/>
    <w:rsid w:val="121B7595"/>
    <w:rsid w:val="12880644"/>
    <w:rsid w:val="129B1D1F"/>
    <w:rsid w:val="12B61F29"/>
    <w:rsid w:val="13017A81"/>
    <w:rsid w:val="13811BBD"/>
    <w:rsid w:val="14661880"/>
    <w:rsid w:val="150D6126"/>
    <w:rsid w:val="1517206F"/>
    <w:rsid w:val="152674F7"/>
    <w:rsid w:val="16680220"/>
    <w:rsid w:val="17E32FEB"/>
    <w:rsid w:val="18316485"/>
    <w:rsid w:val="18C14361"/>
    <w:rsid w:val="18E64881"/>
    <w:rsid w:val="194859F8"/>
    <w:rsid w:val="195B4FF2"/>
    <w:rsid w:val="19B10D55"/>
    <w:rsid w:val="1B1E4590"/>
    <w:rsid w:val="1B462FCE"/>
    <w:rsid w:val="1BA65613"/>
    <w:rsid w:val="1BCF0C7A"/>
    <w:rsid w:val="1C064F0F"/>
    <w:rsid w:val="1C5C6DC2"/>
    <w:rsid w:val="1C782A98"/>
    <w:rsid w:val="1C902966"/>
    <w:rsid w:val="1C9248EA"/>
    <w:rsid w:val="1D4E37F9"/>
    <w:rsid w:val="1D61177E"/>
    <w:rsid w:val="1D9D486B"/>
    <w:rsid w:val="1E58715D"/>
    <w:rsid w:val="1E6B5023"/>
    <w:rsid w:val="1E796654"/>
    <w:rsid w:val="1E895396"/>
    <w:rsid w:val="1F2E5690"/>
    <w:rsid w:val="1F64476B"/>
    <w:rsid w:val="1F7E192E"/>
    <w:rsid w:val="1FA0658E"/>
    <w:rsid w:val="1FBF3F23"/>
    <w:rsid w:val="20027CA5"/>
    <w:rsid w:val="201469B1"/>
    <w:rsid w:val="20191A77"/>
    <w:rsid w:val="208C08C0"/>
    <w:rsid w:val="217F2FC3"/>
    <w:rsid w:val="21C27E73"/>
    <w:rsid w:val="21DF4916"/>
    <w:rsid w:val="21EF426E"/>
    <w:rsid w:val="22154A8F"/>
    <w:rsid w:val="229B1E84"/>
    <w:rsid w:val="22F9357A"/>
    <w:rsid w:val="230274C7"/>
    <w:rsid w:val="23290648"/>
    <w:rsid w:val="2342109E"/>
    <w:rsid w:val="23AD5156"/>
    <w:rsid w:val="23E75639"/>
    <w:rsid w:val="24A933AF"/>
    <w:rsid w:val="24B7634F"/>
    <w:rsid w:val="24F5112A"/>
    <w:rsid w:val="25357778"/>
    <w:rsid w:val="25625B65"/>
    <w:rsid w:val="259F40A6"/>
    <w:rsid w:val="25D16D75"/>
    <w:rsid w:val="26414965"/>
    <w:rsid w:val="26542DC1"/>
    <w:rsid w:val="27040D71"/>
    <w:rsid w:val="270C6442"/>
    <w:rsid w:val="2764239A"/>
    <w:rsid w:val="2787389D"/>
    <w:rsid w:val="27BF77CD"/>
    <w:rsid w:val="284D5F26"/>
    <w:rsid w:val="28B93C28"/>
    <w:rsid w:val="28BC5ABB"/>
    <w:rsid w:val="28C4715C"/>
    <w:rsid w:val="28E204B8"/>
    <w:rsid w:val="28F9264E"/>
    <w:rsid w:val="29485689"/>
    <w:rsid w:val="296E16E8"/>
    <w:rsid w:val="29775BEA"/>
    <w:rsid w:val="29A7698D"/>
    <w:rsid w:val="29C73B59"/>
    <w:rsid w:val="29E277A3"/>
    <w:rsid w:val="29EF3C6E"/>
    <w:rsid w:val="2A082613"/>
    <w:rsid w:val="2A307D13"/>
    <w:rsid w:val="2BEA7698"/>
    <w:rsid w:val="2C1149CE"/>
    <w:rsid w:val="2C276370"/>
    <w:rsid w:val="2C396A69"/>
    <w:rsid w:val="2D7B57D9"/>
    <w:rsid w:val="2DA01942"/>
    <w:rsid w:val="2E0C07E2"/>
    <w:rsid w:val="2E4348A6"/>
    <w:rsid w:val="2E496043"/>
    <w:rsid w:val="2E8250B1"/>
    <w:rsid w:val="2E871EC5"/>
    <w:rsid w:val="2EB2075E"/>
    <w:rsid w:val="2F4B3370"/>
    <w:rsid w:val="2F6C5CAF"/>
    <w:rsid w:val="2F7964B4"/>
    <w:rsid w:val="2FEB30AA"/>
    <w:rsid w:val="312468F3"/>
    <w:rsid w:val="31D82B72"/>
    <w:rsid w:val="324413F5"/>
    <w:rsid w:val="327244F5"/>
    <w:rsid w:val="32790612"/>
    <w:rsid w:val="329F129D"/>
    <w:rsid w:val="32BE62BC"/>
    <w:rsid w:val="333B03DB"/>
    <w:rsid w:val="334D4EDF"/>
    <w:rsid w:val="33E041AD"/>
    <w:rsid w:val="34007C08"/>
    <w:rsid w:val="341B2C36"/>
    <w:rsid w:val="348A43D1"/>
    <w:rsid w:val="34B7243B"/>
    <w:rsid w:val="34F62354"/>
    <w:rsid w:val="35AC27CE"/>
    <w:rsid w:val="364A2958"/>
    <w:rsid w:val="384A6C3F"/>
    <w:rsid w:val="388D6289"/>
    <w:rsid w:val="38CD161E"/>
    <w:rsid w:val="38E6024E"/>
    <w:rsid w:val="38FF4281"/>
    <w:rsid w:val="390F7E89"/>
    <w:rsid w:val="3A40479E"/>
    <w:rsid w:val="3AA54601"/>
    <w:rsid w:val="3AD75F3D"/>
    <w:rsid w:val="3B3C613D"/>
    <w:rsid w:val="3B45079A"/>
    <w:rsid w:val="3BC1546A"/>
    <w:rsid w:val="3CF824C7"/>
    <w:rsid w:val="3DCF522B"/>
    <w:rsid w:val="3DF92C0E"/>
    <w:rsid w:val="3EBA0082"/>
    <w:rsid w:val="3ECD047F"/>
    <w:rsid w:val="3F80563C"/>
    <w:rsid w:val="3FF04570"/>
    <w:rsid w:val="40CC2074"/>
    <w:rsid w:val="413704E4"/>
    <w:rsid w:val="418B1795"/>
    <w:rsid w:val="41F846AB"/>
    <w:rsid w:val="42390DF1"/>
    <w:rsid w:val="42870A90"/>
    <w:rsid w:val="42E163F2"/>
    <w:rsid w:val="43195B8C"/>
    <w:rsid w:val="43F3552A"/>
    <w:rsid w:val="44223166"/>
    <w:rsid w:val="450609DA"/>
    <w:rsid w:val="450F7DB3"/>
    <w:rsid w:val="45715015"/>
    <w:rsid w:val="45C85647"/>
    <w:rsid w:val="45DF26B5"/>
    <w:rsid w:val="4619564D"/>
    <w:rsid w:val="462843BA"/>
    <w:rsid w:val="463644CA"/>
    <w:rsid w:val="46D661A1"/>
    <w:rsid w:val="47040901"/>
    <w:rsid w:val="4705438A"/>
    <w:rsid w:val="47081A5E"/>
    <w:rsid w:val="471B6016"/>
    <w:rsid w:val="472F3046"/>
    <w:rsid w:val="475F022D"/>
    <w:rsid w:val="47615D53"/>
    <w:rsid w:val="477918E3"/>
    <w:rsid w:val="477F0BDD"/>
    <w:rsid w:val="4780233D"/>
    <w:rsid w:val="48143F5B"/>
    <w:rsid w:val="489C6D4E"/>
    <w:rsid w:val="48C565F5"/>
    <w:rsid w:val="4955520B"/>
    <w:rsid w:val="499248EA"/>
    <w:rsid w:val="4A104501"/>
    <w:rsid w:val="4A33616E"/>
    <w:rsid w:val="4A573A1E"/>
    <w:rsid w:val="4B307F16"/>
    <w:rsid w:val="4BFC71DA"/>
    <w:rsid w:val="4C455C43"/>
    <w:rsid w:val="4C4B753A"/>
    <w:rsid w:val="4CCA7EF7"/>
    <w:rsid w:val="4D387556"/>
    <w:rsid w:val="4D7147A9"/>
    <w:rsid w:val="4E8233BA"/>
    <w:rsid w:val="4F31425D"/>
    <w:rsid w:val="4F5158E4"/>
    <w:rsid w:val="4F985969"/>
    <w:rsid w:val="4FBA3BB3"/>
    <w:rsid w:val="50151DD1"/>
    <w:rsid w:val="50377F99"/>
    <w:rsid w:val="50C11FD8"/>
    <w:rsid w:val="50E5031F"/>
    <w:rsid w:val="515B7650"/>
    <w:rsid w:val="51BD44CE"/>
    <w:rsid w:val="52222B9A"/>
    <w:rsid w:val="52667607"/>
    <w:rsid w:val="535A282D"/>
    <w:rsid w:val="53C90F08"/>
    <w:rsid w:val="53EC1329"/>
    <w:rsid w:val="549C03CB"/>
    <w:rsid w:val="54AF1DE6"/>
    <w:rsid w:val="55C83CC2"/>
    <w:rsid w:val="55F327D0"/>
    <w:rsid w:val="56336B0D"/>
    <w:rsid w:val="565B0208"/>
    <w:rsid w:val="56657940"/>
    <w:rsid w:val="56661C21"/>
    <w:rsid w:val="567812BE"/>
    <w:rsid w:val="56961A72"/>
    <w:rsid w:val="579B705F"/>
    <w:rsid w:val="58363890"/>
    <w:rsid w:val="586B6459"/>
    <w:rsid w:val="58896630"/>
    <w:rsid w:val="58931AE5"/>
    <w:rsid w:val="5AF721C7"/>
    <w:rsid w:val="5B6040A0"/>
    <w:rsid w:val="5BDD38BE"/>
    <w:rsid w:val="5C627008"/>
    <w:rsid w:val="5C844010"/>
    <w:rsid w:val="5C872302"/>
    <w:rsid w:val="5CE01853"/>
    <w:rsid w:val="5CF67F2F"/>
    <w:rsid w:val="5CFE60C6"/>
    <w:rsid w:val="5D4E44F8"/>
    <w:rsid w:val="5D753EAF"/>
    <w:rsid w:val="5D7C1D13"/>
    <w:rsid w:val="5DC7295C"/>
    <w:rsid w:val="5E165F8C"/>
    <w:rsid w:val="5E206DC6"/>
    <w:rsid w:val="5F21609C"/>
    <w:rsid w:val="5FC37F93"/>
    <w:rsid w:val="5FFE7F39"/>
    <w:rsid w:val="6008159C"/>
    <w:rsid w:val="60402552"/>
    <w:rsid w:val="60444918"/>
    <w:rsid w:val="60476A7D"/>
    <w:rsid w:val="61306A6A"/>
    <w:rsid w:val="6149217F"/>
    <w:rsid w:val="61B72597"/>
    <w:rsid w:val="61E0633B"/>
    <w:rsid w:val="62145252"/>
    <w:rsid w:val="6214645B"/>
    <w:rsid w:val="62996467"/>
    <w:rsid w:val="62DB74D5"/>
    <w:rsid w:val="63882ECF"/>
    <w:rsid w:val="63CB65D6"/>
    <w:rsid w:val="63EC646F"/>
    <w:rsid w:val="6540060A"/>
    <w:rsid w:val="6542113A"/>
    <w:rsid w:val="65527A1F"/>
    <w:rsid w:val="656C3DE9"/>
    <w:rsid w:val="65823A4B"/>
    <w:rsid w:val="65A260CC"/>
    <w:rsid w:val="66B23A7E"/>
    <w:rsid w:val="66DC0AFB"/>
    <w:rsid w:val="66FE299C"/>
    <w:rsid w:val="67016AFE"/>
    <w:rsid w:val="673E0C66"/>
    <w:rsid w:val="678E44EB"/>
    <w:rsid w:val="67B13D35"/>
    <w:rsid w:val="68120C78"/>
    <w:rsid w:val="681A18DB"/>
    <w:rsid w:val="686F5A79"/>
    <w:rsid w:val="68E8617F"/>
    <w:rsid w:val="690E462F"/>
    <w:rsid w:val="6939263E"/>
    <w:rsid w:val="69603B38"/>
    <w:rsid w:val="69623539"/>
    <w:rsid w:val="6A480C33"/>
    <w:rsid w:val="6AA95198"/>
    <w:rsid w:val="6ACC2C9C"/>
    <w:rsid w:val="6B6309F9"/>
    <w:rsid w:val="6BA31D9F"/>
    <w:rsid w:val="6C123A56"/>
    <w:rsid w:val="6C862017"/>
    <w:rsid w:val="6CEE3336"/>
    <w:rsid w:val="6D0668D1"/>
    <w:rsid w:val="6D2C2A3A"/>
    <w:rsid w:val="6DAD2F0F"/>
    <w:rsid w:val="6E491F65"/>
    <w:rsid w:val="6E6158CF"/>
    <w:rsid w:val="6E760380"/>
    <w:rsid w:val="6E886D8C"/>
    <w:rsid w:val="6ED3045F"/>
    <w:rsid w:val="6F397DD5"/>
    <w:rsid w:val="6F5D293E"/>
    <w:rsid w:val="70492821"/>
    <w:rsid w:val="708F6410"/>
    <w:rsid w:val="70DA5CFD"/>
    <w:rsid w:val="7148570A"/>
    <w:rsid w:val="71507E5A"/>
    <w:rsid w:val="71593474"/>
    <w:rsid w:val="72340433"/>
    <w:rsid w:val="7290672E"/>
    <w:rsid w:val="72A72905"/>
    <w:rsid w:val="73004B7A"/>
    <w:rsid w:val="73E5172E"/>
    <w:rsid w:val="743F6AA4"/>
    <w:rsid w:val="74444DA6"/>
    <w:rsid w:val="749B1FF5"/>
    <w:rsid w:val="74C72DEA"/>
    <w:rsid w:val="74E3644A"/>
    <w:rsid w:val="75220020"/>
    <w:rsid w:val="75733B41"/>
    <w:rsid w:val="75EF43A6"/>
    <w:rsid w:val="762B73A9"/>
    <w:rsid w:val="76654FC0"/>
    <w:rsid w:val="76912265"/>
    <w:rsid w:val="77057BFA"/>
    <w:rsid w:val="775D6F12"/>
    <w:rsid w:val="777E5BF1"/>
    <w:rsid w:val="77CA666F"/>
    <w:rsid w:val="7819750C"/>
    <w:rsid w:val="78FB3062"/>
    <w:rsid w:val="79497B04"/>
    <w:rsid w:val="795135CA"/>
    <w:rsid w:val="79A454A8"/>
    <w:rsid w:val="79CB0C87"/>
    <w:rsid w:val="7A1613EE"/>
    <w:rsid w:val="7A4474CC"/>
    <w:rsid w:val="7A4D4786"/>
    <w:rsid w:val="7ACE65C4"/>
    <w:rsid w:val="7AE849FA"/>
    <w:rsid w:val="7BAE63B6"/>
    <w:rsid w:val="7BBB447E"/>
    <w:rsid w:val="7C3F770A"/>
    <w:rsid w:val="7C5F74E2"/>
    <w:rsid w:val="7C7D2475"/>
    <w:rsid w:val="7CA92FBD"/>
    <w:rsid w:val="7D143C5B"/>
    <w:rsid w:val="7E7B3392"/>
    <w:rsid w:val="7E8D0B30"/>
    <w:rsid w:val="7EFF07FC"/>
    <w:rsid w:val="7F407B2C"/>
    <w:rsid w:val="7F504A61"/>
    <w:rsid w:val="7F604C5C"/>
    <w:rsid w:val="7FD71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overflowPunct w:val="0"/>
      <w:spacing w:beforeLines="100" w:afterLines="100"/>
      <w:jc w:val="center"/>
      <w:outlineLvl w:val="0"/>
    </w:pPr>
    <w:rPr>
      <w:rFonts w:eastAsia="黑体"/>
      <w:b/>
      <w:bCs/>
      <w:kern w:val="44"/>
      <w:sz w:val="30"/>
      <w:szCs w:val="30"/>
    </w:rPr>
  </w:style>
  <w:style w:type="paragraph" w:styleId="3">
    <w:name w:val="heading 2"/>
    <w:basedOn w:val="1"/>
    <w:next w:val="1"/>
    <w:link w:val="49"/>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25">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5">
    <w:name w:val="E-mail Signature"/>
    <w:basedOn w:val="1"/>
    <w:next w:val="6"/>
    <w:qFormat/>
    <w:uiPriority w:val="0"/>
    <w:rPr>
      <w:szCs w:val="20"/>
    </w:rPr>
  </w:style>
  <w:style w:type="paragraph" w:customStyle="1" w:styleId="6">
    <w:name w:val="文章"/>
    <w:next w:val="7"/>
    <w:qFormat/>
    <w:uiPriority w:val="0"/>
    <w:pPr>
      <w:ind w:firstLine="480"/>
      <w:jc w:val="center"/>
    </w:pPr>
    <w:rPr>
      <w:rFonts w:ascii="Times New Roman" w:hAnsi="Times New Roman" w:eastAsia="宋体" w:cs="Times New Roman"/>
      <w:kern w:val="2"/>
      <w:sz w:val="26"/>
      <w:szCs w:val="22"/>
      <w:lang w:val="en-US" w:eastAsia="zh-CN" w:bidi="ar-SA"/>
    </w:rPr>
  </w:style>
  <w:style w:type="paragraph" w:styleId="7">
    <w:name w:val="List"/>
    <w:basedOn w:val="1"/>
    <w:next w:val="8"/>
    <w:qFormat/>
    <w:uiPriority w:val="0"/>
    <w:pPr>
      <w:ind w:left="200" w:hanging="200" w:hangingChars="200"/>
    </w:pPr>
  </w:style>
  <w:style w:type="paragraph" w:styleId="8">
    <w:name w:val="List Bullet 2"/>
    <w:basedOn w:val="1"/>
    <w:next w:val="9"/>
    <w:qFormat/>
    <w:uiPriority w:val="0"/>
    <w:pPr>
      <w:numPr>
        <w:ilvl w:val="0"/>
        <w:numId w:val="1"/>
      </w:numPr>
    </w:pPr>
  </w:style>
  <w:style w:type="paragraph" w:customStyle="1" w:styleId="9">
    <w:name w:val="xl70"/>
    <w:basedOn w:val="1"/>
    <w:next w:val="10"/>
    <w:autoRedefine/>
    <w:unhideWhenUsed/>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0">
    <w:name w:val="正文缩进1"/>
    <w:basedOn w:val="1"/>
    <w:next w:val="11"/>
    <w:unhideWhenUsed/>
    <w:qFormat/>
    <w:uiPriority w:val="0"/>
    <w:pPr>
      <w:spacing w:line="360" w:lineRule="auto"/>
      <w:ind w:firstLine="420" w:firstLineChars="200"/>
    </w:pPr>
    <w:rPr>
      <w:rFonts w:ascii="Calibri" w:hAnsi="Calibri"/>
      <w:sz w:val="24"/>
    </w:rPr>
  </w:style>
  <w:style w:type="paragraph" w:customStyle="1" w:styleId="11">
    <w:name w:val="td1"/>
    <w:basedOn w:val="1"/>
    <w:next w:val="1"/>
    <w:autoRedefine/>
    <w:unhideWhenUsed/>
    <w:qFormat/>
    <w:uiPriority w:val="0"/>
    <w:pPr>
      <w:widowControl/>
      <w:spacing w:before="100" w:beforeAutospacing="1" w:after="100" w:afterAutospacing="1"/>
      <w:jc w:val="center"/>
    </w:pPr>
    <w:rPr>
      <w:rFonts w:hint="eastAsia" w:ascii="宋体" w:hAnsi="宋体"/>
      <w:b/>
      <w:color w:val="0000FF"/>
      <w:spacing w:val="-2"/>
      <w:sz w:val="28"/>
      <w:u w:val="single"/>
    </w:rPr>
  </w:style>
  <w:style w:type="paragraph" w:styleId="12">
    <w:name w:val="Normal Indent"/>
    <w:basedOn w:val="1"/>
    <w:next w:val="1"/>
    <w:link w:val="54"/>
    <w:qFormat/>
    <w:uiPriority w:val="99"/>
    <w:pPr>
      <w:ind w:firstLine="420"/>
    </w:pPr>
  </w:style>
  <w:style w:type="paragraph" w:styleId="13">
    <w:name w:val="annotation text"/>
    <w:basedOn w:val="1"/>
    <w:link w:val="51"/>
    <w:qFormat/>
    <w:uiPriority w:val="0"/>
    <w:pPr>
      <w:jc w:val="left"/>
    </w:pPr>
  </w:style>
  <w:style w:type="paragraph" w:styleId="14">
    <w:name w:val="Body Text"/>
    <w:basedOn w:val="1"/>
    <w:next w:val="15"/>
    <w:qFormat/>
    <w:uiPriority w:val="0"/>
    <w:pPr>
      <w:widowControl/>
      <w:snapToGrid w:val="0"/>
      <w:spacing w:before="60" w:after="160" w:line="259" w:lineRule="auto"/>
      <w:ind w:right="113"/>
    </w:pPr>
    <w:rPr>
      <w:kern w:val="0"/>
      <w:sz w:val="24"/>
      <w:szCs w:val="20"/>
    </w:rPr>
  </w:style>
  <w:style w:type="paragraph" w:customStyle="1" w:styleId="15">
    <w:name w:val="xl27"/>
    <w:basedOn w:val="1"/>
    <w:next w:val="16"/>
    <w:qFormat/>
    <w:uiPriority w:val="99"/>
    <w:pPr>
      <w:widowControl/>
      <w:pBdr>
        <w:left w:val="single" w:color="auto" w:sz="12" w:space="0"/>
        <w:bottom w:val="single" w:color="auto" w:sz="12" w:space="0"/>
      </w:pBdr>
      <w:spacing w:before="100" w:beforeAutospacing="1" w:after="100" w:afterAutospacing="1"/>
      <w:jc w:val="left"/>
    </w:pPr>
    <w:rPr>
      <w:rFonts w:ascii="Arial Unicode MS" w:hAnsi="Arial Unicode MS"/>
      <w:kern w:val="0"/>
    </w:rPr>
  </w:style>
  <w:style w:type="paragraph" w:customStyle="1" w:styleId="16">
    <w:name w:val="正文1"/>
    <w:basedOn w:val="1"/>
    <w:qFormat/>
    <w:uiPriority w:val="0"/>
    <w:pPr>
      <w:snapToGrid w:val="0"/>
      <w:spacing w:line="500" w:lineRule="exact"/>
      <w:ind w:firstLine="200" w:firstLineChars="200"/>
    </w:pPr>
    <w:rPr>
      <w:sz w:val="24"/>
    </w:rPr>
  </w:style>
  <w:style w:type="paragraph" w:styleId="17">
    <w:name w:val="footer"/>
    <w:basedOn w:val="1"/>
    <w:qFormat/>
    <w:uiPriority w:val="99"/>
    <w:pPr>
      <w:tabs>
        <w:tab w:val="center" w:pos="4153"/>
        <w:tab w:val="right" w:pos="8306"/>
      </w:tabs>
      <w:snapToGrid w:val="0"/>
      <w:jc w:val="left"/>
    </w:pPr>
    <w:rPr>
      <w:kern w:val="0"/>
      <w:sz w:val="18"/>
      <w:szCs w:val="20"/>
    </w:rPr>
  </w:style>
  <w:style w:type="paragraph" w:styleId="18">
    <w:name w:val="header"/>
    <w:basedOn w:val="1"/>
    <w:link w:val="31"/>
    <w:qFormat/>
    <w:uiPriority w:val="0"/>
    <w:pPr>
      <w:tabs>
        <w:tab w:val="center" w:pos="4153"/>
        <w:tab w:val="right" w:pos="8306"/>
      </w:tabs>
      <w:snapToGrid w:val="0"/>
      <w:jc w:val="center"/>
    </w:pPr>
    <w:rPr>
      <w:sz w:val="18"/>
      <w:szCs w:val="18"/>
    </w:rPr>
  </w:style>
  <w:style w:type="paragraph" w:styleId="19">
    <w:name w:val="toc 2"/>
    <w:basedOn w:val="1"/>
    <w:next w:val="5"/>
    <w:qFormat/>
    <w:uiPriority w:val="0"/>
    <w:pPr>
      <w:ind w:left="420" w:leftChars="200"/>
    </w:pPr>
  </w:style>
  <w:style w:type="paragraph" w:styleId="20">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1">
    <w:name w:val="annotation subject"/>
    <w:basedOn w:val="13"/>
    <w:next w:val="13"/>
    <w:link w:val="52"/>
    <w:qFormat/>
    <w:uiPriority w:val="0"/>
    <w:rPr>
      <w:b/>
      <w:bCs/>
    </w:rPr>
  </w:style>
  <w:style w:type="paragraph" w:styleId="22">
    <w:name w:val="Body Text First Indent 2"/>
    <w:basedOn w:val="1"/>
    <w:next w:val="1"/>
    <w:qFormat/>
    <w:uiPriority w:val="0"/>
    <w:pPr>
      <w:tabs>
        <w:tab w:val="left" w:pos="210"/>
      </w:tabs>
      <w:ind w:firstLine="420" w:firstLineChars="200"/>
    </w:p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TML Code"/>
    <w:basedOn w:val="25"/>
    <w:qFormat/>
    <w:uiPriority w:val="0"/>
    <w:rPr>
      <w:rFonts w:ascii="Courier New" w:hAnsi="Courier New"/>
      <w:sz w:val="20"/>
    </w:rPr>
  </w:style>
  <w:style w:type="character" w:styleId="28">
    <w:name w:val="annotation reference"/>
    <w:basedOn w:val="25"/>
    <w:qFormat/>
    <w:uiPriority w:val="0"/>
    <w:rPr>
      <w:sz w:val="21"/>
      <w:szCs w:val="21"/>
    </w:rPr>
  </w:style>
  <w:style w:type="paragraph" w:customStyle="1" w:styleId="29">
    <w:name w:val="表格"/>
    <w:basedOn w:val="1"/>
    <w:next w:val="1"/>
    <w:link w:val="46"/>
    <w:qFormat/>
    <w:uiPriority w:val="0"/>
    <w:pPr>
      <w:adjustRightInd w:val="0"/>
      <w:snapToGrid w:val="0"/>
      <w:spacing w:beforeLines="10" w:afterLines="10" w:line="259" w:lineRule="auto"/>
      <w:jc w:val="center"/>
    </w:pPr>
    <w:rPr>
      <w:rFonts w:ascii="宋体"/>
      <w:kern w:val="0"/>
      <w:szCs w:val="20"/>
    </w:rPr>
  </w:style>
  <w:style w:type="paragraph" w:customStyle="1" w:styleId="30">
    <w:name w:val="表内 定"/>
    <w:basedOn w:val="1"/>
    <w:qFormat/>
    <w:uiPriority w:val="0"/>
    <w:rPr>
      <w:color w:val="000000"/>
    </w:rPr>
  </w:style>
  <w:style w:type="character" w:customStyle="1" w:styleId="31">
    <w:name w:val="页眉 字符"/>
    <w:basedOn w:val="25"/>
    <w:link w:val="18"/>
    <w:qFormat/>
    <w:uiPriority w:val="0"/>
    <w:rPr>
      <w:kern w:val="2"/>
      <w:sz w:val="18"/>
      <w:szCs w:val="18"/>
    </w:rPr>
  </w:style>
  <w:style w:type="paragraph" w:styleId="32">
    <w:name w:val="List Paragraph"/>
    <w:basedOn w:val="1"/>
    <w:unhideWhenUsed/>
    <w:qFormat/>
    <w:uiPriority w:val="99"/>
    <w:pPr>
      <w:ind w:firstLine="420" w:firstLineChars="200"/>
    </w:p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样式 正文11 + 首行缩进:  2 字符"/>
    <w:basedOn w:val="1"/>
    <w:next w:val="35"/>
    <w:qFormat/>
    <w:uiPriority w:val="0"/>
    <w:pPr>
      <w:spacing w:line="500" w:lineRule="exact"/>
      <w:ind w:firstLine="560" w:firstLineChars="200"/>
    </w:pPr>
    <w:rPr>
      <w:rFonts w:ascii="宋体" w:hAnsi="宋体" w:cs="宋体"/>
      <w:color w:val="FF0000"/>
      <w:sz w:val="28"/>
      <w:szCs w:val="20"/>
    </w:rPr>
  </w:style>
  <w:style w:type="paragraph" w:customStyle="1" w:styleId="35">
    <w:name w:val="样式 博士论文标题2 + 段前: 0.2 行 段后: 0.2 行"/>
    <w:basedOn w:val="1"/>
    <w:qFormat/>
    <w:uiPriority w:val="0"/>
    <w:pPr>
      <w:widowControl/>
      <w:spacing w:beforeLines="20" w:afterLines="20"/>
      <w:jc w:val="left"/>
    </w:pPr>
    <w:rPr>
      <w:rFonts w:ascii="宋体" w:hAnsi="宋体" w:eastAsia="黑体" w:cs="宋体"/>
      <w:kern w:val="0"/>
      <w:sz w:val="28"/>
      <w:szCs w:val="28"/>
    </w:rPr>
  </w:style>
  <w:style w:type="paragraph" w:customStyle="1" w:styleId="36">
    <w:name w:val="表内字"/>
    <w:basedOn w:val="1"/>
    <w:qFormat/>
    <w:uiPriority w:val="0"/>
    <w:pPr>
      <w:spacing w:line="360" w:lineRule="exact"/>
      <w:jc w:val="center"/>
    </w:pPr>
    <w:rPr>
      <w:kern w:val="0"/>
      <w:sz w:val="20"/>
    </w:rPr>
  </w:style>
  <w:style w:type="paragraph" w:customStyle="1" w:styleId="37">
    <w:name w:val="表格字体"/>
    <w:basedOn w:val="38"/>
    <w:qFormat/>
    <w:uiPriority w:val="0"/>
    <w:pPr>
      <w:adjustRightInd w:val="0"/>
      <w:snapToGrid/>
      <w:spacing w:line="300" w:lineRule="exact"/>
      <w:ind w:firstLine="0" w:firstLineChars="0"/>
      <w:jc w:val="center"/>
    </w:pPr>
    <w:rPr>
      <w:color w:val="000000"/>
      <w:sz w:val="18"/>
    </w:rPr>
  </w:style>
  <w:style w:type="paragraph" w:customStyle="1" w:styleId="38">
    <w:name w:val="报告正文"/>
    <w:basedOn w:val="1"/>
    <w:qFormat/>
    <w:uiPriority w:val="0"/>
    <w:pPr>
      <w:snapToGrid w:val="0"/>
      <w:spacing w:line="360" w:lineRule="auto"/>
      <w:ind w:firstLine="200" w:firstLineChars="200"/>
    </w:pPr>
    <w:rPr>
      <w:rFonts w:ascii="宋体" w:hAnsi="宋体"/>
      <w:sz w:val="28"/>
    </w:rPr>
  </w:style>
  <w:style w:type="paragraph" w:customStyle="1" w:styleId="39">
    <w:name w:val="表头"/>
    <w:basedOn w:val="16"/>
    <w:next w:val="16"/>
    <w:qFormat/>
    <w:uiPriority w:val="0"/>
    <w:pPr>
      <w:adjustRightInd w:val="0"/>
      <w:spacing w:line="480" w:lineRule="exact"/>
      <w:ind w:firstLine="0" w:firstLineChars="0"/>
      <w:jc w:val="center"/>
    </w:pPr>
    <w:rPr>
      <w:b/>
    </w:rPr>
  </w:style>
  <w:style w:type="paragraph" w:customStyle="1" w:styleId="40">
    <w:name w:val="Table Paragraph"/>
    <w:basedOn w:val="1"/>
    <w:qFormat/>
    <w:uiPriority w:val="1"/>
  </w:style>
  <w:style w:type="paragraph" w:customStyle="1" w:styleId="41">
    <w:name w:val="Default"/>
    <w:basedOn w:val="42"/>
    <w:next w:val="43"/>
    <w:qFormat/>
    <w:uiPriority w:val="0"/>
    <w:rPr>
      <w:rFonts w:cs="宋体"/>
    </w:rPr>
  </w:style>
  <w:style w:type="paragraph" w:customStyle="1" w:styleId="42">
    <w:name w:val="标题 段落4级"/>
    <w:autoRedefine/>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43">
    <w:name w:val="样式35"/>
    <w:next w:val="44"/>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44">
    <w:name w:val="font6"/>
    <w:basedOn w:val="1"/>
    <w:next w:val="19"/>
    <w:qFormat/>
    <w:uiPriority w:val="0"/>
    <w:pPr>
      <w:widowControl/>
      <w:spacing w:before="100" w:beforeAutospacing="1" w:after="100" w:afterAutospacing="1"/>
      <w:jc w:val="left"/>
    </w:pPr>
    <w:rPr>
      <w:rFonts w:eastAsia="Arial Unicode MS"/>
      <w:kern w:val="0"/>
      <w:sz w:val="24"/>
    </w:rPr>
  </w:style>
  <w:style w:type="paragraph" w:customStyle="1" w:styleId="45">
    <w:name w:val="纯文本1"/>
    <w:basedOn w:val="1"/>
    <w:qFormat/>
    <w:uiPriority w:val="0"/>
    <w:pPr>
      <w:jc w:val="left"/>
    </w:pPr>
    <w:rPr>
      <w:rFonts w:ascii="宋体" w:hAnsi="Courier New"/>
      <w:szCs w:val="20"/>
    </w:rPr>
  </w:style>
  <w:style w:type="character" w:customStyle="1" w:styleId="46">
    <w:name w:val="表格 Char"/>
    <w:link w:val="29"/>
    <w:qFormat/>
    <w:locked/>
    <w:uiPriority w:val="0"/>
    <w:rPr>
      <w:rFonts w:ascii="宋体"/>
      <w:sz w:val="21"/>
    </w:rPr>
  </w:style>
  <w:style w:type="paragraph" w:customStyle="1" w:styleId="47">
    <w:name w:val="WPSOffice手动目录 1"/>
    <w:qFormat/>
    <w:uiPriority w:val="0"/>
    <w:rPr>
      <w:rFonts w:ascii="Times New Roman" w:hAnsi="Times New Roman" w:eastAsia="宋体" w:cs="Times New Roman"/>
      <w:lang w:val="en-US" w:eastAsia="zh-CN" w:bidi="ar-SA"/>
    </w:rPr>
  </w:style>
  <w:style w:type="character" w:styleId="48">
    <w:name w:val="Placeholder Text"/>
    <w:basedOn w:val="25"/>
    <w:unhideWhenUsed/>
    <w:qFormat/>
    <w:uiPriority w:val="99"/>
    <w:rPr>
      <w:color w:val="666666"/>
    </w:rPr>
  </w:style>
  <w:style w:type="character" w:customStyle="1" w:styleId="49">
    <w:name w:val="标题 2 字符"/>
    <w:basedOn w:val="25"/>
    <w:link w:val="3"/>
    <w:semiHidden/>
    <w:qFormat/>
    <w:uiPriority w:val="0"/>
    <w:rPr>
      <w:rFonts w:asciiTheme="majorHAnsi" w:hAnsiTheme="majorHAnsi" w:eastAsiaTheme="majorEastAsia" w:cstheme="majorBidi"/>
      <w:b/>
      <w:bCs/>
      <w:kern w:val="2"/>
      <w:sz w:val="32"/>
      <w:szCs w:val="32"/>
    </w:rPr>
  </w:style>
  <w:style w:type="paragraph" w:customStyle="1" w:styleId="50">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51">
    <w:name w:val="批注文字 字符"/>
    <w:basedOn w:val="25"/>
    <w:link w:val="13"/>
    <w:qFormat/>
    <w:uiPriority w:val="0"/>
    <w:rPr>
      <w:kern w:val="2"/>
      <w:sz w:val="21"/>
      <w:szCs w:val="24"/>
    </w:rPr>
  </w:style>
  <w:style w:type="character" w:customStyle="1" w:styleId="52">
    <w:name w:val="批注主题 字符"/>
    <w:basedOn w:val="51"/>
    <w:link w:val="21"/>
    <w:qFormat/>
    <w:uiPriority w:val="0"/>
    <w:rPr>
      <w:b/>
      <w:bCs/>
      <w:kern w:val="2"/>
      <w:sz w:val="21"/>
      <w:szCs w:val="24"/>
    </w:rPr>
  </w:style>
  <w:style w:type="paragraph" w:customStyle="1" w:styleId="53">
    <w:name w:val="TableStyle12"/>
    <w:basedOn w:val="1"/>
    <w:qFormat/>
    <w:uiPriority w:val="0"/>
    <w:pPr>
      <w:jc w:val="center"/>
    </w:pPr>
    <w:rPr>
      <w:rFonts w:ascii="Arial" w:hAnsi="Arial"/>
      <w:kern w:val="0"/>
      <w:sz w:val="24"/>
      <w:szCs w:val="22"/>
    </w:rPr>
  </w:style>
  <w:style w:type="character" w:customStyle="1" w:styleId="54">
    <w:name w:val="正文缩进 字符"/>
    <w:link w:val="12"/>
    <w:qFormat/>
    <w:uiPriority w:val="99"/>
    <w:rPr>
      <w:kern w:val="2"/>
      <w:sz w:val="21"/>
      <w:szCs w:val="24"/>
    </w:rPr>
  </w:style>
  <w:style w:type="paragraph" w:customStyle="1" w:styleId="55">
    <w:name w:val="淇达正文"/>
    <w:basedOn w:val="1"/>
    <w:qFormat/>
    <w:uiPriority w:val="0"/>
    <w:pPr>
      <w:spacing w:line="360" w:lineRule="auto"/>
      <w:ind w:firstLine="600" w:firstLineChars="200"/>
    </w:pPr>
    <w:rPr>
      <w:rFonts w:cs="宋体"/>
      <w:sz w:val="24"/>
    </w:rPr>
  </w:style>
  <w:style w:type="paragraph" w:customStyle="1" w:styleId="56">
    <w:name w:val="淇达表格内容"/>
    <w:basedOn w:val="1"/>
    <w:next w:val="55"/>
    <w:qFormat/>
    <w:uiPriority w:val="0"/>
    <w:pPr>
      <w:jc w:val="center"/>
    </w:pPr>
    <w:rPr>
      <w:szCs w:val="21"/>
    </w:rPr>
  </w:style>
  <w:style w:type="paragraph" w:customStyle="1" w:styleId="57">
    <w:name w:val="表格内容"/>
    <w:basedOn w:val="7"/>
    <w:qFormat/>
    <w:uiPriority w:val="0"/>
    <w:pPr>
      <w:spacing w:line="360" w:lineRule="exact"/>
      <w:ind w:left="0" w:firstLine="0" w:firstLineChars="0"/>
      <w:jc w:val="center"/>
    </w:pPr>
    <w:rPr>
      <w:rFonts w:ascii="宋体"/>
      <w:szCs w:val="20"/>
    </w:rPr>
  </w:style>
  <w:style w:type="character" w:customStyle="1" w:styleId="58">
    <w:name w:val="正文东铝 Char"/>
    <w:link w:val="59"/>
    <w:qFormat/>
    <w:locked/>
    <w:uiPriority w:val="0"/>
    <w:rPr>
      <w:color w:val="000000"/>
      <w:kern w:val="2"/>
      <w:sz w:val="21"/>
      <w:szCs w:val="22"/>
    </w:rPr>
  </w:style>
  <w:style w:type="paragraph" w:customStyle="1" w:styleId="59">
    <w:name w:val="正文东铝"/>
    <w:basedOn w:val="1"/>
    <w:link w:val="58"/>
    <w:qFormat/>
    <w:uiPriority w:val="0"/>
    <w:pPr>
      <w:spacing w:line="520" w:lineRule="exact"/>
      <w:ind w:firstLine="200" w:firstLineChars="200"/>
      <w:jc w:val="left"/>
    </w:pPr>
    <w:rPr>
      <w:color w:val="000000"/>
      <w:szCs w:val="22"/>
    </w:rPr>
  </w:style>
  <w:style w:type="paragraph" w:customStyle="1" w:styleId="60">
    <w:name w:val="样式 首行缩进:  0.99 厘米 行距: 固定值 21.5 磅"/>
    <w:basedOn w:val="1"/>
    <w:semiHidden/>
    <w:qFormat/>
    <w:uiPriority w:val="0"/>
    <w:pPr>
      <w:spacing w:line="480" w:lineRule="exact"/>
      <w:ind w:firstLine="561"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emf"/><Relationship Id="rId7" Type="http://schemas.openxmlformats.org/officeDocument/2006/relationships/package" Target="embeddings/Microsoft_Visio___1.vsdx"/><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8.wmf"/><Relationship Id="rId17" Type="http://schemas.openxmlformats.org/officeDocument/2006/relationships/oleObject" Target="embeddings/oleObject4.bin"/><Relationship Id="rId16" Type="http://schemas.openxmlformats.org/officeDocument/2006/relationships/image" Target="media/image7.wmf"/><Relationship Id="rId15" Type="http://schemas.openxmlformats.org/officeDocument/2006/relationships/oleObject" Target="embeddings/oleObject3.bin"/><Relationship Id="rId14" Type="http://schemas.openxmlformats.org/officeDocument/2006/relationships/image" Target="media/image6.wmf"/><Relationship Id="rId13" Type="http://schemas.openxmlformats.org/officeDocument/2006/relationships/oleObject" Target="embeddings/oleObject2.bin"/><Relationship Id="rId12" Type="http://schemas.openxmlformats.org/officeDocument/2006/relationships/image" Target="media/image5.png"/><Relationship Id="rId11" Type="http://schemas.openxmlformats.org/officeDocument/2006/relationships/image" Target="media/image4.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8"/>
    <customShpInfo spid="_x0000_s102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77</Pages>
  <Words>22531</Words>
  <Characters>24129</Characters>
  <Lines>476</Lines>
  <Paragraphs>134</Paragraphs>
  <TotalTime>483</TotalTime>
  <ScaleCrop>false</ScaleCrop>
  <LinksUpToDate>false</LinksUpToDate>
  <CharactersWithSpaces>24227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2025-06-16T07:33:00Z</dcterms:created>
  <dc:creator>Administrator</dc:creator>
  <cp:lastModifiedBy>2017</cp:lastModifiedBy>
  <dcterms:modified xsi:type="dcterms:W3CDTF">2025-07-21T09:06:57Z</dcterms:modified>
  <cp:revision>302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79E3953F69E748CB868FF7ABDBDF67F9_13</vt:lpwstr>
  </property>
  <property fmtid="{D5CDD505-2E9C-101B-9397-08002B2CF9AE}" pid="4" name="KSOTemplateDocerSaveRecord">
    <vt:lpwstr>eyJoZGlkIjoiNzgwZGFiOGM0YjU3MzU1MTk0OGMyMTliMTBjZDk4Y2IiLCJ1c2VySWQiOiI0NTAyOTcwNjcifQ==</vt:lpwstr>
  </property>
</Properties>
</file>