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39C53">
      <w:pPr>
        <w:snapToGrid w:val="0"/>
        <w:spacing w:line="600" w:lineRule="exact"/>
        <w:contextualSpacing/>
        <w:jc w:val="both"/>
        <w:rPr>
          <w:rStyle w:val="5"/>
          <w:rFonts w:hint="default" w:ascii="宋体" w:hAnsi="宋体" w:eastAsia="宋体" w:cs="宋体"/>
          <w:b/>
          <w:bCs/>
          <w:i w:val="0"/>
          <w:iCs w:val="0"/>
          <w:caps w:val="0"/>
          <w:color w:val="333333"/>
          <w:spacing w:val="0"/>
          <w:sz w:val="24"/>
          <w:szCs w:val="24"/>
          <w:shd w:val="clear" w:color="auto" w:fill="FFFFFF"/>
        </w:rPr>
      </w:pPr>
      <w:bookmarkStart w:id="0" w:name="_GoBack"/>
      <w:r>
        <w:rPr>
          <w:rStyle w:val="5"/>
          <w:rFonts w:hint="eastAsia" w:ascii="宋体" w:hAnsi="宋体" w:eastAsia="宋体" w:cs="宋体"/>
          <w:b/>
          <w:bCs/>
          <w:i w:val="0"/>
          <w:iCs w:val="0"/>
          <w:caps w:val="0"/>
          <w:color w:val="333333"/>
          <w:spacing w:val="0"/>
          <w:sz w:val="24"/>
          <w:szCs w:val="24"/>
          <w:shd w:val="clear" w:color="auto" w:fill="FFFFFF"/>
        </w:rPr>
        <w:t>拟审批的建设项目</w:t>
      </w:r>
      <w:r>
        <w:rPr>
          <w:rStyle w:val="5"/>
          <w:rFonts w:hint="eastAsia" w:ascii="宋体" w:hAnsi="宋体" w:cs="宋体"/>
          <w:b/>
          <w:bCs/>
          <w:i w:val="0"/>
          <w:iCs w:val="0"/>
          <w:caps w:val="0"/>
          <w:color w:val="333333"/>
          <w:spacing w:val="0"/>
          <w:sz w:val="24"/>
          <w:szCs w:val="24"/>
          <w:shd w:val="clear" w:color="auto" w:fill="FFFFFF"/>
          <w:lang w:val="en-US" w:eastAsia="zh-CN"/>
        </w:rPr>
        <w:t>采取的污染防治措施</w:t>
      </w:r>
      <w:bookmarkEnd w:id="0"/>
      <w:r>
        <w:rPr>
          <w:rStyle w:val="5"/>
          <w:rFonts w:hint="eastAsia" w:ascii="宋体" w:hAnsi="宋体" w:cs="宋体"/>
          <w:b/>
          <w:bCs/>
          <w:i w:val="0"/>
          <w:iCs w:val="0"/>
          <w:caps w:val="0"/>
          <w:color w:val="333333"/>
          <w:spacing w:val="0"/>
          <w:sz w:val="24"/>
          <w:szCs w:val="24"/>
          <w:shd w:val="clear" w:color="auto" w:fill="FFFFFF"/>
          <w:lang w:val="en-US" w:eastAsia="zh-CN"/>
        </w:rPr>
        <w:t>（</w:t>
      </w:r>
      <w:r>
        <w:rPr>
          <w:rStyle w:val="5"/>
          <w:rFonts w:hint="eastAsia" w:ascii="宋体" w:hAnsi="宋体" w:eastAsia="宋体" w:cs="宋体"/>
          <w:b/>
          <w:bCs/>
          <w:i w:val="0"/>
          <w:iCs w:val="0"/>
          <w:caps w:val="0"/>
          <w:color w:val="333333"/>
          <w:spacing w:val="0"/>
          <w:sz w:val="24"/>
          <w:szCs w:val="24"/>
          <w:shd w:val="clear" w:color="auto" w:fill="FFFFFF"/>
        </w:rPr>
        <w:t>环境影响报告表</w:t>
      </w:r>
      <w:r>
        <w:rPr>
          <w:rStyle w:val="5"/>
          <w:rFonts w:hint="eastAsia" w:ascii="宋体" w:hAnsi="宋体" w:cs="宋体"/>
          <w:b/>
          <w:bCs/>
          <w:i w:val="0"/>
          <w:iCs w:val="0"/>
          <w:caps w:val="0"/>
          <w:color w:val="333333"/>
          <w:spacing w:val="0"/>
          <w:sz w:val="24"/>
          <w:szCs w:val="24"/>
          <w:shd w:val="clear" w:color="auto" w:fill="FFFFFF"/>
          <w:lang w:val="en-US" w:eastAsia="zh-CN"/>
        </w:rPr>
        <w:t>内容）</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825"/>
        <w:gridCol w:w="769"/>
        <w:gridCol w:w="768"/>
        <w:gridCol w:w="2757"/>
        <w:gridCol w:w="8332"/>
      </w:tblGrid>
      <w:tr w14:paraId="3C1EB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noWrap w:val="0"/>
            <w:vAlign w:val="center"/>
          </w:tcPr>
          <w:p w14:paraId="413CBF09">
            <w:pPr>
              <w:snapToGrid w:val="0"/>
              <w:spacing w:line="600" w:lineRule="exact"/>
              <w:contextualSpacing/>
              <w:jc w:val="center"/>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项目名称</w:t>
            </w:r>
          </w:p>
        </w:tc>
        <w:tc>
          <w:tcPr>
            <w:tcW w:w="825" w:type="dxa"/>
            <w:noWrap w:val="0"/>
            <w:vAlign w:val="center"/>
          </w:tcPr>
          <w:p w14:paraId="2CF75F64">
            <w:pPr>
              <w:snapToGrid w:val="0"/>
              <w:spacing w:line="600" w:lineRule="exact"/>
              <w:contextualSpacing/>
              <w:jc w:val="center"/>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建设地点</w:t>
            </w:r>
          </w:p>
        </w:tc>
        <w:tc>
          <w:tcPr>
            <w:tcW w:w="769" w:type="dxa"/>
            <w:noWrap w:val="0"/>
            <w:vAlign w:val="center"/>
          </w:tcPr>
          <w:p w14:paraId="398AB259">
            <w:pPr>
              <w:snapToGrid w:val="0"/>
              <w:spacing w:line="600" w:lineRule="exact"/>
              <w:contextualSpacing/>
              <w:jc w:val="center"/>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建设单位</w:t>
            </w:r>
          </w:p>
        </w:tc>
        <w:tc>
          <w:tcPr>
            <w:tcW w:w="768" w:type="dxa"/>
            <w:noWrap w:val="0"/>
            <w:vAlign w:val="center"/>
          </w:tcPr>
          <w:p w14:paraId="74297172">
            <w:pPr>
              <w:snapToGrid w:val="0"/>
              <w:spacing w:line="600" w:lineRule="exact"/>
              <w:contextualSpacing/>
              <w:jc w:val="center"/>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环评机构</w:t>
            </w:r>
          </w:p>
        </w:tc>
        <w:tc>
          <w:tcPr>
            <w:tcW w:w="2757" w:type="dxa"/>
            <w:noWrap w:val="0"/>
            <w:vAlign w:val="center"/>
          </w:tcPr>
          <w:p w14:paraId="3461C6ED">
            <w:pPr>
              <w:snapToGrid w:val="0"/>
              <w:spacing w:line="600" w:lineRule="exact"/>
              <w:contextualSpacing/>
              <w:jc w:val="center"/>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项目概况</w:t>
            </w:r>
          </w:p>
        </w:tc>
        <w:tc>
          <w:tcPr>
            <w:tcW w:w="8332" w:type="dxa"/>
            <w:noWrap w:val="0"/>
            <w:vAlign w:val="center"/>
          </w:tcPr>
          <w:p w14:paraId="0C76EF14">
            <w:pPr>
              <w:numPr>
                <w:ilvl w:val="0"/>
                <w:numId w:val="0"/>
              </w:numPr>
              <w:snapToGrid w:val="0"/>
              <w:spacing w:line="600" w:lineRule="exact"/>
              <w:contextualSpacing/>
              <w:jc w:val="center"/>
              <w:rPr>
                <w:rFonts w:hint="eastAsia" w:ascii="宋体" w:hAnsi="宋体" w:eastAsia="宋体" w:cs="宋体"/>
                <w:i w:val="0"/>
                <w:iCs w:val="0"/>
                <w:caps w:val="0"/>
                <w:color w:val="000000"/>
                <w:spacing w:val="0"/>
                <w:sz w:val="24"/>
                <w:szCs w:val="24"/>
                <w:shd w:val="clear" w:color="auto" w:fill="FFFFFF"/>
                <w:lang w:val="en-US" w:eastAsia="zh-CN"/>
              </w:rPr>
            </w:pPr>
            <w:r>
              <w:rPr>
                <w:rFonts w:hint="eastAsia" w:ascii="宋体" w:hAnsi="宋体" w:eastAsia="宋体" w:cs="宋体"/>
                <w:i w:val="0"/>
                <w:iCs w:val="0"/>
                <w:caps w:val="0"/>
                <w:color w:val="000000"/>
                <w:spacing w:val="0"/>
                <w:sz w:val="24"/>
                <w:szCs w:val="24"/>
                <w:shd w:val="clear" w:color="auto" w:fill="FFFFFF"/>
                <w:lang w:val="en-US" w:eastAsia="zh-CN"/>
              </w:rPr>
              <w:t>主要环境影响及预防措施</w:t>
            </w:r>
          </w:p>
        </w:tc>
      </w:tr>
      <w:tr w14:paraId="6ABB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noWrap w:val="0"/>
            <w:vAlign w:val="top"/>
          </w:tcPr>
          <w:p w14:paraId="201169C9">
            <w:pPr>
              <w:keepNext w:val="0"/>
              <w:keepLines w:val="0"/>
              <w:pageBreakBefore w:val="0"/>
              <w:widowControl w:val="0"/>
              <w:kinsoku/>
              <w:wordWrap/>
              <w:overflowPunct/>
              <w:topLinePunct w:val="0"/>
              <w:autoSpaceDE/>
              <w:autoSpaceDN/>
              <w:bidi w:val="0"/>
              <w:adjustRightInd/>
              <w:snapToGrid w:val="0"/>
              <w:spacing w:line="400" w:lineRule="exact"/>
              <w:contextualSpacing/>
              <w:jc w:val="both"/>
              <w:textAlignment w:val="auto"/>
              <w:rPr>
                <w:rFonts w:hint="default" w:ascii="Times New Roman" w:hAnsi="Times New Roman" w:eastAsia="宋体" w:cs="Times New Roman"/>
                <w:sz w:val="24"/>
                <w:szCs w:val="24"/>
                <w:vertAlign w:val="baseline"/>
              </w:rPr>
            </w:pPr>
            <w:r>
              <w:rPr>
                <w:rFonts w:hint="default" w:ascii="Times New Roman" w:hAnsi="Times New Roman" w:eastAsia="宋体" w:cs="Times New Roman"/>
                <w:sz w:val="24"/>
                <w:szCs w:val="24"/>
                <w:vertAlign w:val="baseline"/>
              </w:rPr>
              <w:t>医疗废物小型化移动式撬装中温热解焚烧装备中试基地项目</w:t>
            </w:r>
          </w:p>
        </w:tc>
        <w:tc>
          <w:tcPr>
            <w:tcW w:w="825" w:type="dxa"/>
            <w:noWrap w:val="0"/>
            <w:vAlign w:val="top"/>
          </w:tcPr>
          <w:p w14:paraId="1FAE7C3A">
            <w:pPr>
              <w:keepNext w:val="0"/>
              <w:keepLines w:val="0"/>
              <w:pageBreakBefore w:val="0"/>
              <w:widowControl w:val="0"/>
              <w:kinsoku/>
              <w:wordWrap/>
              <w:overflowPunct/>
              <w:topLinePunct w:val="0"/>
              <w:autoSpaceDE/>
              <w:autoSpaceDN/>
              <w:bidi w:val="0"/>
              <w:adjustRightInd/>
              <w:snapToGrid w:val="0"/>
              <w:spacing w:line="400" w:lineRule="exact"/>
              <w:contextualSpacing/>
              <w:jc w:val="both"/>
              <w:textAlignment w:val="auto"/>
              <w:rPr>
                <w:rFonts w:hint="default" w:ascii="Times New Roman" w:hAnsi="Times New Roman" w:eastAsia="宋体" w:cs="Times New Roman"/>
                <w:sz w:val="24"/>
                <w:szCs w:val="24"/>
                <w:vertAlign w:val="baseline"/>
              </w:rPr>
            </w:pPr>
            <w:r>
              <w:rPr>
                <w:rFonts w:hint="default" w:ascii="Times New Roman" w:hAnsi="Times New Roman" w:eastAsia="宋体" w:cs="Times New Roman"/>
                <w:sz w:val="24"/>
                <w:szCs w:val="24"/>
                <w:vertAlign w:val="baseline"/>
              </w:rPr>
              <w:t>民权县静脉产业园利盈环保现有厂区内</w:t>
            </w:r>
          </w:p>
        </w:tc>
        <w:tc>
          <w:tcPr>
            <w:tcW w:w="769" w:type="dxa"/>
            <w:noWrap w:val="0"/>
            <w:vAlign w:val="top"/>
          </w:tcPr>
          <w:p w14:paraId="72536EAC">
            <w:pPr>
              <w:keepNext w:val="0"/>
              <w:keepLines w:val="0"/>
              <w:pageBreakBefore w:val="0"/>
              <w:widowControl w:val="0"/>
              <w:kinsoku/>
              <w:wordWrap/>
              <w:overflowPunct/>
              <w:topLinePunct w:val="0"/>
              <w:autoSpaceDE/>
              <w:autoSpaceDN/>
              <w:bidi w:val="0"/>
              <w:adjustRightInd/>
              <w:snapToGrid w:val="0"/>
              <w:spacing w:line="400" w:lineRule="exact"/>
              <w:contextualSpacing/>
              <w:jc w:val="both"/>
              <w:textAlignment w:val="auto"/>
              <w:rPr>
                <w:rFonts w:hint="default" w:ascii="Times New Roman" w:hAnsi="Times New Roman" w:eastAsia="宋体" w:cs="Times New Roman"/>
                <w:sz w:val="24"/>
                <w:szCs w:val="24"/>
                <w:vertAlign w:val="baseline"/>
              </w:rPr>
            </w:pPr>
            <w:r>
              <w:rPr>
                <w:rFonts w:hint="default" w:ascii="Times New Roman" w:hAnsi="Times New Roman" w:eastAsia="宋体" w:cs="Times New Roman"/>
                <w:sz w:val="24"/>
                <w:szCs w:val="24"/>
                <w:vertAlign w:val="baseline"/>
              </w:rPr>
              <w:t>河南省利盈环保科技股份有限公司</w:t>
            </w:r>
          </w:p>
        </w:tc>
        <w:tc>
          <w:tcPr>
            <w:tcW w:w="768" w:type="dxa"/>
            <w:noWrap w:val="0"/>
            <w:vAlign w:val="top"/>
          </w:tcPr>
          <w:p w14:paraId="0854676B">
            <w:pPr>
              <w:keepNext w:val="0"/>
              <w:keepLines w:val="0"/>
              <w:pageBreakBefore w:val="0"/>
              <w:widowControl w:val="0"/>
              <w:kinsoku/>
              <w:wordWrap/>
              <w:overflowPunct/>
              <w:topLinePunct w:val="0"/>
              <w:autoSpaceDE/>
              <w:autoSpaceDN/>
              <w:bidi w:val="0"/>
              <w:adjustRightInd/>
              <w:snapToGrid w:val="0"/>
              <w:spacing w:line="400" w:lineRule="exact"/>
              <w:contextualSpacing/>
              <w:jc w:val="both"/>
              <w:textAlignment w:val="auto"/>
              <w:rPr>
                <w:rFonts w:hint="default" w:ascii="Times New Roman" w:hAnsi="Times New Roman" w:eastAsia="宋体" w:cs="Times New Roman"/>
                <w:sz w:val="24"/>
                <w:szCs w:val="24"/>
                <w:vertAlign w:val="baseline"/>
              </w:rPr>
            </w:pPr>
            <w:r>
              <w:rPr>
                <w:rFonts w:hint="default" w:ascii="Times New Roman" w:hAnsi="Times New Roman" w:eastAsia="宋体" w:cs="Times New Roman"/>
                <w:sz w:val="24"/>
                <w:szCs w:val="24"/>
                <w:vertAlign w:val="baseline"/>
              </w:rPr>
              <w:t>河南嘉源环保技术有限公司</w:t>
            </w:r>
          </w:p>
        </w:tc>
        <w:tc>
          <w:tcPr>
            <w:tcW w:w="2757" w:type="dxa"/>
            <w:noWrap w:val="0"/>
            <w:vAlign w:val="top"/>
          </w:tcPr>
          <w:p w14:paraId="58660ACE">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contextualSpacing/>
              <w:jc w:val="both"/>
              <w:textAlignment w:val="auto"/>
              <w:rPr>
                <w:rFonts w:hint="default" w:ascii="Times New Roman" w:hAnsi="Times New Roman" w:eastAsia="宋体" w:cs="Times New Roman"/>
                <w:sz w:val="24"/>
                <w:szCs w:val="24"/>
                <w:vertAlign w:val="baseline"/>
              </w:rPr>
            </w:pPr>
            <w:r>
              <w:rPr>
                <w:rFonts w:hint="default" w:ascii="Times New Roman" w:hAnsi="Times New Roman" w:eastAsia="宋体" w:cs="Times New Roman"/>
                <w:kern w:val="2"/>
                <w:sz w:val="24"/>
                <w:szCs w:val="24"/>
                <w:vertAlign w:val="baseline"/>
                <w:lang w:val="en-US" w:eastAsia="zh-CN" w:bidi="ar-SA"/>
              </w:rPr>
              <w:t>利用厂内闲置厂房放置医疗废物小型化移动式撬装中温热解焚烧装备，该装备对医疗废物的处理能力2吨/天；医疗废物小型化移动式撬装中温热解焚烧装备主要设备模块包含：车载撬装平台、智能上料系统、主体热解装备、智慧操作系统、自动供能系统、复合消杀系统、安全监测系统、快速热解增温元器件及加热模块、烟气处理设备一套。</w:t>
            </w:r>
          </w:p>
        </w:tc>
        <w:tc>
          <w:tcPr>
            <w:tcW w:w="8332" w:type="dxa"/>
            <w:noWrap w:val="0"/>
            <w:vAlign w:val="top"/>
          </w:tcPr>
          <w:p w14:paraId="16FFA6BB">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contextualSpacing/>
              <w:jc w:val="both"/>
              <w:textAlignment w:val="auto"/>
              <w:rPr>
                <w:rFonts w:hint="eastAsia" w:ascii="Times New Roman" w:hAnsi="Times New Roman" w:eastAsia="宋体" w:cs="Times New Roman"/>
                <w:sz w:val="24"/>
                <w:szCs w:val="24"/>
                <w:vertAlign w:val="baseline"/>
                <w:lang w:val="en-US" w:eastAsia="zh-CN"/>
              </w:rPr>
            </w:pPr>
            <w:r>
              <w:rPr>
                <w:rFonts w:hint="eastAsia" w:ascii="Times New Roman" w:hAnsi="Times New Roman" w:eastAsia="宋体" w:cs="Times New Roman"/>
                <w:kern w:val="2"/>
                <w:sz w:val="24"/>
                <w:szCs w:val="24"/>
                <w:vertAlign w:val="baseline"/>
                <w:lang w:val="en-US" w:eastAsia="zh-CN" w:bidi="ar-SA"/>
              </w:rPr>
              <w:t>1.</w:t>
            </w:r>
            <w:r>
              <w:rPr>
                <w:rFonts w:hint="eastAsia" w:ascii="Times New Roman" w:hAnsi="Times New Roman" w:eastAsia="宋体" w:cs="Times New Roman"/>
                <w:sz w:val="24"/>
                <w:szCs w:val="24"/>
                <w:vertAlign w:val="baseline"/>
                <w:lang w:val="en-US" w:eastAsia="zh-CN"/>
              </w:rPr>
              <w:t>废气治理措施：本项目废气为焚烧废气，经过SNCR 脱硝+ 一级换热器+陶瓷纤维除尘器+二级换热器+低温等离子+活性炭吸附+碱液喷淋塔处理后经过20m高烟囱排放。经治理后各项废气满足《医疗废物处理处置污染控制标准》（GB39707-2020）和河南省重污染天气通用行业应急减排措施制定技术指南（2024年修订版）要求</w:t>
            </w:r>
          </w:p>
          <w:p w14:paraId="1398D934">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contextualSpacing/>
              <w:jc w:val="both"/>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kern w:val="2"/>
                <w:sz w:val="24"/>
                <w:szCs w:val="24"/>
                <w:vertAlign w:val="baseline"/>
                <w:lang w:val="en-US" w:eastAsia="zh-CN" w:bidi="ar-SA"/>
              </w:rPr>
              <w:t>2.</w:t>
            </w:r>
            <w:r>
              <w:rPr>
                <w:rFonts w:hint="eastAsia" w:ascii="Times New Roman" w:hAnsi="Times New Roman" w:eastAsia="宋体" w:cs="Times New Roman"/>
                <w:sz w:val="24"/>
                <w:szCs w:val="24"/>
                <w:vertAlign w:val="baseline"/>
                <w:lang w:val="en-US" w:eastAsia="zh-CN"/>
              </w:rPr>
              <w:t>水环境污染防治措施：废水主要为喷淋塔用水和急冷循环水，废水循环利用，项目结束后进入厂区污水处理站处理，不外排。</w:t>
            </w:r>
          </w:p>
          <w:p w14:paraId="45DA8DC7">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contextualSpacing/>
              <w:jc w:val="both"/>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kern w:val="2"/>
                <w:sz w:val="24"/>
                <w:szCs w:val="24"/>
                <w:vertAlign w:val="baseline"/>
                <w:lang w:val="en-US" w:eastAsia="zh-CN" w:bidi="ar-SA"/>
              </w:rPr>
              <w:t>3.</w:t>
            </w:r>
            <w:r>
              <w:rPr>
                <w:rFonts w:hint="default" w:ascii="Times New Roman" w:hAnsi="Times New Roman" w:eastAsia="宋体" w:cs="Times New Roman"/>
                <w:sz w:val="24"/>
                <w:szCs w:val="24"/>
                <w:vertAlign w:val="baseline"/>
                <w:lang w:val="en-US" w:eastAsia="zh-CN"/>
              </w:rPr>
              <w:t>噪声污染防治措施：</w:t>
            </w:r>
            <w:r>
              <w:rPr>
                <w:rFonts w:hint="eastAsia" w:ascii="宋体" w:hAnsi="宋体" w:eastAsia="宋体" w:cs="宋体"/>
                <w:i w:val="0"/>
                <w:iCs w:val="0"/>
                <w:caps w:val="0"/>
                <w:color w:val="000000"/>
                <w:spacing w:val="0"/>
                <w:sz w:val="24"/>
                <w:szCs w:val="24"/>
                <w:shd w:val="clear" w:color="auto" w:fill="FFFFFF"/>
              </w:rPr>
              <w:t>本项目运营期高噪声主要为</w:t>
            </w:r>
            <w:r>
              <w:rPr>
                <w:rFonts w:hint="eastAsia" w:ascii="宋体" w:hAnsi="宋体" w:eastAsia="宋体" w:cs="宋体"/>
                <w:i w:val="0"/>
                <w:iCs w:val="0"/>
                <w:caps w:val="0"/>
                <w:color w:val="000000"/>
                <w:spacing w:val="0"/>
                <w:sz w:val="24"/>
                <w:szCs w:val="24"/>
                <w:shd w:val="clear" w:color="auto" w:fill="FFFFFF"/>
                <w:lang w:val="en-US" w:eastAsia="zh-CN"/>
              </w:rPr>
              <w:t>引风机和喷淋塔等运转过程产生的设备噪声，经采取选用低噪声设备、厂房隔音、距离衰减、加强设备维护等措施减少噪声对周围环境影响。经报告表预测分析，项目四周厂界噪声预测值均可以满足《工业企业厂界环境噪声排放标准》（GB12348-2008）2 类标准要求。</w:t>
            </w:r>
          </w:p>
          <w:p w14:paraId="5D8A5137">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contextualSpacing/>
              <w:jc w:val="both"/>
              <w:textAlignment w:val="auto"/>
              <w:rPr>
                <w:rFonts w:hint="default" w:ascii="Times New Roman" w:hAnsi="Times New Roman" w:eastAsia="宋体" w:cs="Times New Roman"/>
                <w:sz w:val="24"/>
                <w:szCs w:val="24"/>
                <w:vertAlign w:val="baseline"/>
                <w:lang w:val="en-US" w:eastAsia="zh-CN"/>
              </w:rPr>
            </w:pPr>
            <w:r>
              <w:rPr>
                <w:rFonts w:hint="default" w:ascii="Times New Roman" w:hAnsi="Times New Roman" w:eastAsia="宋体" w:cs="Times New Roman"/>
                <w:kern w:val="2"/>
                <w:sz w:val="24"/>
                <w:szCs w:val="24"/>
                <w:vertAlign w:val="baseline"/>
                <w:lang w:val="en-US" w:eastAsia="zh-CN" w:bidi="ar-SA"/>
              </w:rPr>
              <w:t>4.</w:t>
            </w:r>
            <w:r>
              <w:rPr>
                <w:rFonts w:hint="default" w:ascii="Times New Roman" w:hAnsi="Times New Roman" w:eastAsia="宋体" w:cs="Times New Roman"/>
                <w:sz w:val="24"/>
                <w:szCs w:val="24"/>
                <w:vertAlign w:val="baseline"/>
                <w:lang w:val="en-US" w:eastAsia="zh-CN"/>
              </w:rPr>
              <w:t>固体废弃物的处置和综合利用：本项目固体废物主要为一般工业固体废物、危险废物</w:t>
            </w:r>
            <w:r>
              <w:rPr>
                <w:rFonts w:hint="eastAsia" w:ascii="Times New Roman" w:hAnsi="Times New Roman" w:eastAsia="宋体" w:cs="Times New Roman"/>
                <w:sz w:val="24"/>
                <w:szCs w:val="24"/>
                <w:vertAlign w:val="baseline"/>
                <w:lang w:val="en-US" w:eastAsia="zh-CN"/>
              </w:rPr>
              <w:t>。</w:t>
            </w:r>
          </w:p>
          <w:p w14:paraId="1A421182">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contextualSpacing/>
              <w:jc w:val="both"/>
              <w:textAlignment w:val="auto"/>
              <w:rPr>
                <w:rFonts w:hint="eastAsia" w:ascii="宋体" w:hAnsi="宋体" w:eastAsia="宋体" w:cs="宋体"/>
                <w:i w:val="0"/>
                <w:iCs w:val="0"/>
                <w:caps w:val="0"/>
                <w:color w:val="000000"/>
                <w:spacing w:val="0"/>
                <w:sz w:val="24"/>
                <w:szCs w:val="24"/>
                <w:shd w:val="clear" w:color="auto" w:fill="FFFFFF"/>
                <w:lang w:val="en-US" w:eastAsia="zh-CN"/>
              </w:rPr>
            </w:pPr>
            <w:r>
              <w:rPr>
                <w:rFonts w:hint="eastAsia" w:ascii="Times New Roman" w:hAnsi="Times New Roman" w:eastAsia="宋体" w:cs="Times New Roman"/>
                <w:sz w:val="24"/>
                <w:szCs w:val="24"/>
                <w:vertAlign w:val="baseline"/>
                <w:lang w:val="en-US" w:eastAsia="zh-CN"/>
              </w:rPr>
              <w:t>（1）</w:t>
            </w:r>
            <w:r>
              <w:rPr>
                <w:rFonts w:hint="eastAsia" w:ascii="宋体" w:hAnsi="宋体" w:eastAsia="宋体" w:cs="宋体"/>
                <w:i w:val="0"/>
                <w:iCs w:val="0"/>
                <w:caps w:val="0"/>
                <w:color w:val="000000"/>
                <w:spacing w:val="0"/>
                <w:sz w:val="24"/>
                <w:szCs w:val="24"/>
                <w:shd w:val="clear" w:color="auto" w:fill="FFFFFF"/>
              </w:rPr>
              <w:t>一般工业固体废物主要</w:t>
            </w:r>
            <w:r>
              <w:rPr>
                <w:rFonts w:hint="eastAsia" w:ascii="宋体" w:hAnsi="宋体" w:eastAsia="宋体" w:cs="宋体"/>
                <w:i w:val="0"/>
                <w:iCs w:val="0"/>
                <w:caps w:val="0"/>
                <w:color w:val="000000"/>
                <w:spacing w:val="0"/>
                <w:sz w:val="24"/>
                <w:szCs w:val="24"/>
                <w:shd w:val="clear" w:color="auto" w:fill="FFFFFF"/>
                <w:lang w:val="en-US" w:eastAsia="zh-CN"/>
              </w:rPr>
              <w:t>是热解碳，进入焚烧炉作燃料使用。</w:t>
            </w:r>
          </w:p>
          <w:p w14:paraId="1E0EF7B6">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contextualSpacing/>
              <w:jc w:val="both"/>
              <w:textAlignment w:val="auto"/>
              <w:rPr>
                <w:rFonts w:hint="eastAsia" w:ascii="宋体" w:hAnsi="宋体" w:eastAsia="宋体" w:cs="宋体"/>
                <w:i w:val="0"/>
                <w:iCs w:val="0"/>
                <w:caps w:val="0"/>
                <w:color w:val="000000"/>
                <w:spacing w:val="0"/>
                <w:sz w:val="24"/>
                <w:szCs w:val="24"/>
                <w:shd w:val="clear" w:color="auto" w:fill="FFFFFF"/>
                <w:lang w:val="en-US" w:eastAsia="zh-CN"/>
              </w:rPr>
            </w:pPr>
            <w:r>
              <w:rPr>
                <w:rFonts w:hint="eastAsia" w:ascii="宋体" w:hAnsi="宋体" w:eastAsia="宋体" w:cs="宋体"/>
                <w:i w:val="0"/>
                <w:iCs w:val="0"/>
                <w:caps w:val="0"/>
                <w:color w:val="000000"/>
                <w:spacing w:val="0"/>
                <w:sz w:val="24"/>
                <w:szCs w:val="24"/>
                <w:shd w:val="clear" w:color="auto" w:fill="FFFFFF"/>
                <w:lang w:val="en-US" w:eastAsia="zh-CN"/>
              </w:rPr>
              <w:t>（2）危险废物主要为飞灰、炉渣、一级热解油、二级热解油，二级热解油进入焚烧炉作燃料使用，其他危险废物暂存危险废物暂存间定期交有资质的单位进行处理。</w:t>
            </w:r>
          </w:p>
          <w:p w14:paraId="13AC5FF3">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contextualSpacing/>
              <w:jc w:val="both"/>
              <w:textAlignment w:val="auto"/>
              <w:rPr>
                <w:rFonts w:hint="default" w:ascii="宋体" w:hAnsi="宋体" w:eastAsia="宋体" w:cs="宋体"/>
                <w:i w:val="0"/>
                <w:iCs w:val="0"/>
                <w:caps w:val="0"/>
                <w:color w:val="000000"/>
                <w:spacing w:val="0"/>
                <w:sz w:val="24"/>
                <w:szCs w:val="24"/>
                <w:shd w:val="clear" w:color="auto" w:fill="FFFFFF"/>
                <w:lang w:val="en-US" w:eastAsia="zh-CN"/>
              </w:rPr>
            </w:pPr>
            <w:r>
              <w:rPr>
                <w:rFonts w:hint="default" w:ascii="宋体" w:hAnsi="宋体" w:eastAsia="宋体" w:cs="宋体"/>
                <w:i w:val="0"/>
                <w:iCs w:val="0"/>
                <w:caps w:val="0"/>
                <w:color w:val="000000"/>
                <w:spacing w:val="0"/>
                <w:sz w:val="24"/>
                <w:szCs w:val="24"/>
                <w:shd w:val="clear" w:color="auto" w:fill="FFFFFF"/>
                <w:lang w:val="en-US" w:eastAsia="zh-CN"/>
              </w:rPr>
              <w:t>5.环境风险。根据报告表，项目涉及《建设项目环境风险评价技术导则》（HJ169-2018）附录 B、附录C 中的危险物质主要为：</w:t>
            </w:r>
            <w:r>
              <w:rPr>
                <w:rFonts w:hint="eastAsia" w:ascii="宋体" w:hAnsi="宋体" w:eastAsia="宋体" w:cs="宋体"/>
                <w:i w:val="0"/>
                <w:iCs w:val="0"/>
                <w:caps w:val="0"/>
                <w:color w:val="000000"/>
                <w:spacing w:val="0"/>
                <w:sz w:val="24"/>
                <w:szCs w:val="24"/>
                <w:shd w:val="clear" w:color="auto" w:fill="FFFFFF"/>
                <w:lang w:val="en-US" w:eastAsia="zh-CN"/>
              </w:rPr>
              <w:t>废矿物油</w:t>
            </w:r>
            <w:r>
              <w:rPr>
                <w:rFonts w:hint="default" w:ascii="宋体" w:hAnsi="宋体" w:eastAsia="宋体" w:cs="宋体"/>
                <w:i w:val="0"/>
                <w:iCs w:val="0"/>
                <w:caps w:val="0"/>
                <w:color w:val="000000"/>
                <w:spacing w:val="0"/>
                <w:sz w:val="24"/>
                <w:szCs w:val="24"/>
                <w:shd w:val="clear" w:color="auto" w:fill="FFFFFF"/>
                <w:lang w:val="en-US" w:eastAsia="zh-CN"/>
              </w:rPr>
              <w:t>等。在落实报告表提出的各项环保措施及安全防范措施后，项目风险在可接受范围内。</w:t>
            </w:r>
          </w:p>
          <w:p w14:paraId="2695CC0E">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contextualSpacing/>
              <w:jc w:val="both"/>
              <w:textAlignment w:val="auto"/>
              <w:rPr>
                <w:rFonts w:hint="default" w:ascii="宋体" w:hAnsi="宋体" w:eastAsia="宋体" w:cs="宋体"/>
                <w:i w:val="0"/>
                <w:iCs w:val="0"/>
                <w:caps w:val="0"/>
                <w:color w:val="000000"/>
                <w:spacing w:val="0"/>
                <w:sz w:val="24"/>
                <w:szCs w:val="24"/>
                <w:shd w:val="clear" w:color="auto" w:fill="FFFFFF"/>
                <w:lang w:val="en-US" w:eastAsia="zh-CN"/>
              </w:rPr>
            </w:pPr>
            <w:r>
              <w:rPr>
                <w:rFonts w:hint="eastAsia" w:ascii="宋体" w:hAnsi="宋体" w:eastAsia="宋体" w:cs="宋体"/>
                <w:i w:val="0"/>
                <w:iCs w:val="0"/>
                <w:caps w:val="0"/>
                <w:color w:val="000000"/>
                <w:spacing w:val="0"/>
                <w:sz w:val="24"/>
                <w:szCs w:val="24"/>
                <w:shd w:val="clear" w:color="auto" w:fill="FFFFFF"/>
                <w:lang w:val="en-US" w:eastAsia="zh-CN"/>
              </w:rPr>
              <w:t>6..总量控制：污染物排放量为颗粒物排放量为颗粒物 0.514kg/a、二氧化硫 0.604kg/a、氮氧化物 33.264kg/a。</w:t>
            </w:r>
          </w:p>
        </w:tc>
      </w:tr>
    </w:tbl>
    <w:p w14:paraId="0F20EB2E">
      <w:pPr>
        <w:snapToGrid w:val="0"/>
        <w:spacing w:line="600" w:lineRule="exact"/>
        <w:ind w:firstLine="480" w:firstLineChars="200"/>
        <w:contextualSpacing/>
        <w:jc w:val="left"/>
        <w:rPr>
          <w:rFonts w:hint="default" w:ascii="Times New Roman" w:hAnsi="Times New Roman" w:eastAsia="宋体" w:cs="Times New Roman"/>
          <w:sz w:val="24"/>
          <w:szCs w:val="24"/>
        </w:rPr>
      </w:pPr>
    </w:p>
    <w:p w14:paraId="251602F1"/>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E85D43"/>
    <w:rsid w:val="14E85D43"/>
    <w:rsid w:val="42D97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880</Words>
  <Characters>951</Characters>
  <Lines>0</Lines>
  <Paragraphs>0</Paragraphs>
  <TotalTime>0</TotalTime>
  <ScaleCrop>false</ScaleCrop>
  <LinksUpToDate>false</LinksUpToDate>
  <CharactersWithSpaces>959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2025-08-12T06:53:00Z</dcterms:created>
  <dc:creator>苍海（杜家坤）</dc:creator>
  <cp:lastModifiedBy>2017</cp:lastModifiedBy>
  <dcterms:modified xsi:type="dcterms:W3CDTF">2025-08-12T07:43:23Z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3C706AEFB53A4E15841AACD0D0C1E1A5_13</vt:lpwstr>
  </property>
  <property fmtid="{D5CDD505-2E9C-101B-9397-08002B2CF9AE}" pid="4" name="KSOTemplateDocerSaveRecord">
    <vt:lpwstr>eyJoZGlkIjoiZjI0M2I4N2QxOWFjMzU3YmQ3Yjc1YzZlMDQ2ZjBjNDAiLCJ1c2VySWQiOiIzODM3OTg1MDIifQ==</vt:lpwstr>
  </property>
</Properties>
</file>