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2488EDE9" w14:textId="77777777" w:rsidR="00C14315" w:rsidRDefault="00C14315">
      <w:pPr>
        <w:widowControl/>
        <w:shd w:color="auto" w:fill="FFFFFF" w:val="clear"/>
        <w:rPr>
          <w:rFonts w:ascii="宋体" w:cs="宋体" w:eastAsia="宋体" w:hAnsi="宋体"/>
          <w:b/>
          <w:bCs/>
          <w:color w:val="333333"/>
          <w:kern w:val="0"/>
          <w:sz w:val="24"/>
          <w:szCs w:val="24"/>
        </w:rPr>
      </w:pPr>
    </w:p>
    <w:p w14:paraId="341BB83F" w14:textId="77777777" w:rsidR="00C14315" w:rsidRDefault="00F44765">
      <w:pPr>
        <w:widowControl/>
        <w:shd w:color="auto" w:fill="FFFFFF" w:val="clear"/>
        <w:jc w:val="center"/>
        <w:rPr>
          <w:rFonts w:ascii="宋体" w:cs="宋体" w:eastAsia="宋体" w:hAnsi="宋体"/>
          <w:color w:val="333333"/>
          <w:kern w:val="0"/>
          <w:sz w:val="24"/>
          <w:szCs w:val="24"/>
        </w:rPr>
      </w:pPr>
      <w:r>
        <w:rPr>
          <w:rFonts w:ascii="宋体" w:cs="宋体" w:eastAsia="宋体" w:hAnsi="宋体"/>
          <w:b/>
          <w:bCs/>
          <w:color w:val="333333"/>
          <w:kern w:val="0"/>
          <w:sz w:val="36"/>
          <w:szCs w:val="36"/>
        </w:rPr>
        <w:t>民权县人力资源和社会保障局2025年政府信息公开工作年度报告</w:t>
      </w:r>
    </w:p>
    <w:p w14:paraId="26780FFF" w14:textId="77777777" w:rsidR="00C14315" w:rsidRDefault="00C14315">
      <w:pPr>
        <w:widowControl/>
        <w:shd w:color="auto" w:fill="FFFFFF" w:val="clear"/>
        <w:ind w:firstLine="480"/>
        <w:rPr>
          <w:rFonts w:ascii="宋体" w:cs="宋体" w:eastAsia="宋体" w:hAnsi="宋体"/>
          <w:color w:val="333333"/>
          <w:kern w:val="0"/>
          <w:sz w:val="24"/>
          <w:szCs w:val="24"/>
        </w:rPr>
      </w:pPr>
    </w:p>
    <w:p w14:paraId="670A6B92" w14:textId="77777777" w:rsidR="00C14315" w:rsidRDefault="00F44765">
      <w:pPr>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一、总体情况</w:t>
      </w:r>
    </w:p>
    <w:p>
      <w:pPr>
        <w:widowControl/>
        <w:shd w:color="auto" w:fill="FFFFFF" w:val="clear"/>
        <w:ind w:firstLine="480"/>
        <w:rPr>
          <w:rFonts w:ascii="宋体" w:cs="宋体" w:eastAsia="宋体" w:hAnsi="宋体"/>
          <w:color w:val="333333"/>
          <w:kern w:val="0"/>
          <w:sz w:val="24"/>
          <w:szCs w:val="24"/>
        </w:rPr>
      </w:pPr>
      <w:r>
        <w:t>（一）主动公开：2025年度，民权县人力资源和社会保障局严格对标国家、省、市政务公开年度工作要点，结合党的二十大及二十届四中全会关于完善公共服务体系、加强民生保障的新部署，持续拓展主动公开深度与广度。重点围绕促进高质量充分就业、健全多层次社会保障体系、完善工资收入分配制度、强化人才服务及劳动权益维护等社会关注领域，加强政策集成发布与精准推送。全年通过民权县人力资源和社会保障局网站等官方平台累计发布各类信息181条。</w:t>
      </w:r>
    </w:p>
    <w:p>
      <w:pPr>
        <w:widowControl/>
        <w:shd w:color="auto" w:fill="FFFFFF" w:val="clear"/>
        <w:ind w:firstLine="480"/>
        <w:rPr>
          <w:rFonts w:ascii="宋体" w:cs="宋体" w:eastAsia="宋体" w:hAnsi="宋体"/>
          <w:color w:val="333333"/>
          <w:kern w:val="0"/>
          <w:sz w:val="24"/>
          <w:szCs w:val="24"/>
        </w:rPr>
      </w:pPr>
      <w:r>
        <w:t>（二）依申请公开：严格按照《政府信息公开条例》及相关规定，优化依申请公开办理机制，畅通在线、信函、当面等多种申请渠道。完善从申请接收、登记、分办、审核、答复到归档的全流程规范管理，确保依法依规、及时高效办理。2025年度，民权县人力资源和社会保障局收到政府信息公开申请1件。</w:t>
      </w:r>
    </w:p>
    <w:p>
      <w:pPr>
        <w:widowControl/>
        <w:shd w:color="auto" w:fill="FFFFFF" w:val="clear"/>
        <w:ind w:firstLine="480"/>
        <w:rPr>
          <w:rFonts w:ascii="宋体" w:cs="宋体" w:eastAsia="宋体" w:hAnsi="宋体"/>
          <w:color w:val="333333"/>
          <w:kern w:val="0"/>
          <w:sz w:val="24"/>
          <w:szCs w:val="24"/>
        </w:rPr>
      </w:pPr>
      <w:r>
        <w:t>（三）政府信息管理：一是压实组织领导责任。将政府信息公开纳入全局重点工作部署，定期向局党组专题汇报工作进展，统筹协调解决难点问题。二是完善制度规范体系。根据上位法规政策调整及工作实际，修订完善信息制作、审核、发布、动态更新与安全管理制度，优化内部工作流程，压缩信息从生成到公开周期，确保政府信息管理全过程规范有序。</w:t>
      </w:r>
    </w:p>
    <w:p>
      <w:pPr>
        <w:widowControl/>
        <w:shd w:color="auto" w:fill="FFFFFF" w:val="clear"/>
        <w:ind w:firstLine="480"/>
        <w:rPr>
          <w:rFonts w:ascii="宋体" w:cs="宋体" w:eastAsia="宋体" w:hAnsi="宋体"/>
          <w:color w:val="333333"/>
          <w:kern w:val="0"/>
          <w:sz w:val="24"/>
          <w:szCs w:val="24"/>
        </w:rPr>
      </w:pPr>
      <w:r>
        <w:t>（四）政府信息公开平台建设：持续强化线上公开主阵地建设，以民权县人民政府门户网站为核心，协同民权县就业创业服务网等专业平台，做优“就业创业”“社会保险”“劳动关系”“人才人事”等专题栏目内容。注重平台功能优化与用户体验提升，推动信息发布、查询、服务一体化，提高信息公开的精准性与服务便捷度。</w:t>
      </w:r>
    </w:p>
    <w:p>
      <w:pPr>
        <w:widowControl/>
        <w:shd w:color="auto" w:fill="FFFFFF" w:val="clear"/>
        <w:ind w:firstLine="480"/>
        <w:rPr>
          <w:rFonts w:ascii="宋体" w:cs="宋体" w:eastAsia="宋体" w:hAnsi="宋体"/>
          <w:color w:val="333333"/>
          <w:kern w:val="0"/>
          <w:sz w:val="24"/>
          <w:szCs w:val="24"/>
        </w:rPr>
      </w:pPr>
      <w:r>
        <w:t>（五）监督保障：一是严守安全保密底线。严格执行信息公开前保密审查机制，健全审查工作规范与责任链条，确保涉密信息不公开、公开信息不涉密。二是强化日常运维监管。制定并落实政府网站与政务新媒体信息发布管理细则，明确更新频率与质效标准，保障发布信息及时、准确、权威。三是提升队伍专业素养。组织开展政务公开专题培训，重点围绕政策解读、平台操作、舆情回应等内容，提升相关工作人员业务能力和履职水平。</w:t>
      </w:r>
    </w:p>
    <w:p w14:paraId="106EE68B" w14:textId="77777777" w:rsidR="00C14315" w:rsidRDefault="00C14315">
      <w:pPr>
        <w:widowControl/>
        <w:shd w:color="auto" w:fill="FFFFFF" w:val="clear"/>
        <w:ind w:firstLine="480"/>
        <w:rPr>
          <w:rFonts w:ascii="宋体" w:cs="宋体" w:eastAsia="宋体" w:hAnsi="宋体"/>
          <w:color w:val="333333"/>
          <w:kern w:val="0"/>
          <w:sz w:val="24"/>
          <w:szCs w:val="24"/>
        </w:rPr>
      </w:pPr>
    </w:p>
    <w:p w14:paraId="098F2C4E" w14:textId="77777777" w:rsidR="00C14315" w:rsidRDefault="00F44765">
      <w:pPr>
        <w:pageBreakBefore w:val="on"/>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二、主动公开政府信息情况</w:t>
      </w:r>
    </w:p>
    <w:p w14:paraId="54A35C97"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0"/>
        <w:jc w:val="center"/>
        <w:tblLayout w:type="fixed"/>
        <w:tblCellMar>
          <w:left w:type="dxa" w:w="57"/>
          <w:right w:type="dxa" w:w="57"/>
        </w:tblCellMar>
        <w:tblLook w:firstColumn="1" w:firstRow="1" w:lastColumn="0" w:lastRow="0" w:noHBand="0" w:noVBand="1" w:val="04A0"/>
      </w:tblPr>
      <w:tblGrid>
        <w:gridCol w:w="2436"/>
        <w:gridCol w:w="2435"/>
        <w:gridCol w:w="2435"/>
        <w:gridCol w:w="2434"/>
      </w:tblGrid>
      <w:tr w14:paraId="6E338DE3" w14:textId="77777777" w:rsidR="00C14315">
        <w:trPr>
          <w:trHeight w:val="340"/>
          <w:jc w:val="center"/>
        </w:trPr>
        <w:tc>
          <w:tcPr>
            <w:tcW w:type="dxa" w:w="9739"/>
            <w:gridSpan w:val="4"/>
            <w:tcBorders>
              <w:top w:color="000000" w:space="0" w:sz="8" w:val="single"/>
              <w:left w:color="000000" w:space="0" w:sz="8" w:val="single"/>
              <w:bottom w:color="000000" w:space="0" w:sz="8" w:val="single"/>
              <w:right w:color="000000" w:space="0" w:sz="8" w:val="single"/>
            </w:tcBorders>
            <w:shd w:color="auto" w:fill="C6D9F1" w:val="clear"/>
            <w:vAlign w:val="center"/>
          </w:tcPr>
          <w:p w14:paraId="1A23E5CC"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第二十条第（一）项</w:t>
            </w:r>
          </w:p>
        </w:tc>
      </w:tr>
      <w:tr w14:paraId="55927E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4AD721F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2435"/>
            <w:tcBorders>
              <w:top w:color="000000" w:space="0" w:sz="8" w:val="single"/>
              <w:bottom w:color="000000" w:space="0" w:sz="8" w:val="single"/>
              <w:right w:color="000000" w:space="0" w:sz="8" w:val="single"/>
            </w:tcBorders>
            <w:vAlign w:val="center"/>
          </w:tcPr>
          <w:p w14:paraId="3A3E0AB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w:t>
            </w:r>
            <w:r>
              <w:rPr>
                <w:rFonts w:ascii="宋体" w:cs="Calibri" w:hAnsi="宋体"/>
                <w:kern w:val="0"/>
                <w:sz w:val="20"/>
                <w:szCs w:val="20"/>
              </w:rPr>
              <w:t>制</w:t>
            </w:r>
            <w:r>
              <w:rPr>
                <w:rFonts w:ascii="宋体" w:cs="宋体" w:hAnsi="宋体"/>
                <w:kern w:val="0"/>
                <w:sz w:val="20"/>
                <w:szCs w:val="20"/>
              </w:rPr>
              <w:t>发件</w:t>
            </w:r>
            <w:r>
              <w:rPr>
                <w:rFonts w:ascii="宋体" w:cs="Calibri" w:hAnsi="宋体"/>
                <w:kern w:val="0"/>
                <w:sz w:val="20"/>
                <w:szCs w:val="20"/>
              </w:rPr>
              <w:t>数</w:t>
            </w:r>
          </w:p>
        </w:tc>
        <w:tc>
          <w:tcPr>
            <w:tcW w:type="dxa" w:w="2435"/>
            <w:tcBorders>
              <w:top w:color="000000" w:space="0" w:sz="8" w:val="single"/>
              <w:bottom w:color="000000" w:space="0" w:sz="8" w:val="single"/>
              <w:right w:color="000000" w:space="0" w:sz="8" w:val="single"/>
            </w:tcBorders>
            <w:vAlign w:val="center"/>
          </w:tcPr>
          <w:p w14:paraId="792E0B75"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本年废止件数</w:t>
            </w:r>
          </w:p>
        </w:tc>
        <w:tc>
          <w:tcPr>
            <w:tcW w:type="dxa" w:w="2434"/>
            <w:tcBorders>
              <w:top w:color="000000" w:space="0" w:sz="8" w:val="single"/>
              <w:bottom w:color="000000" w:space="0" w:sz="8" w:val="single"/>
              <w:right w:color="000000" w:space="0" w:sz="8" w:val="single"/>
            </w:tcBorders>
            <w:vAlign w:val="center"/>
          </w:tcPr>
          <w:p w14:paraId="767A86CE"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现行有效件</w:t>
            </w:r>
            <w:r>
              <w:rPr>
                <w:rFonts w:ascii="宋体" w:cs="Calibri" w:hAnsi="宋体"/>
                <w:kern w:val="0"/>
                <w:sz w:val="20"/>
                <w:szCs w:val="20"/>
              </w:rPr>
              <w:t>数</w:t>
            </w:r>
          </w:p>
        </w:tc>
      </w:tr>
      <w:tr w14:paraId="6FB424FE"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FFAA43E"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规章</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0</w:t>
            </w:r>
          </w:p>
        </w:tc>
      </w:tr>
      <w:tr w14:paraId="7C14B947"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CFC1C88"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行政规范性文件</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0</w:t>
            </w:r>
          </w:p>
        </w:tc>
      </w:tr>
      <w:tr w14:paraId="31E74237"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4214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第二十条第（五）项</w:t>
            </w:r>
          </w:p>
        </w:tc>
      </w:tr>
      <w:tr w14:paraId="42A51CFB"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FE3FA5F"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808BF7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7A4ADEB3"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5355953C"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行政许可</w:t>
            </w:r>
          </w:p>
        </w:tc>
        <w:tc>
          <w:tcPr>
            <w:tcW w:type="dxa" w:w="7304"/>
            <w:gridSpan w:val="3"/>
            <w:tcBorders>
              <w:bottom w:color="000000" w:space="0" w:sz="8" w:val="single"/>
              <w:right w:color="000000" w:space="0" w:sz="8" w:val="single"/>
            </w:tcBorders>
            <w:vAlign w:val="center"/>
          </w:tcPr>
          <w:p>
            <w:r>
              <w:t>7</w:t>
            </w:r>
          </w:p>
        </w:tc>
      </w:tr>
      <w:tr w14:paraId="4DFB04B3"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54E75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第二十条第（六）项</w:t>
            </w:r>
          </w:p>
        </w:tc>
      </w:tr>
      <w:tr w14:paraId="23011D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31F032C7"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top w:color="000000" w:space="0" w:sz="8" w:val="single"/>
              <w:bottom w:color="000000" w:space="0" w:sz="8" w:val="single"/>
              <w:right w:color="000000" w:space="0" w:sz="8" w:val="single"/>
            </w:tcBorders>
            <w:vAlign w:val="center"/>
          </w:tcPr>
          <w:p w14:paraId="66D8B7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3D29E151"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CC43065"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行政处罚</w:t>
            </w:r>
          </w:p>
        </w:tc>
        <w:tc>
          <w:tcPr>
            <w:tcW w:type="dxa" w:w="7304"/>
            <w:gridSpan w:val="3"/>
            <w:tcBorders>
              <w:bottom w:color="000000" w:space="0" w:sz="8" w:val="single"/>
              <w:right w:color="000000" w:space="0" w:sz="8" w:val="single"/>
            </w:tcBorders>
            <w:vAlign w:val="center"/>
          </w:tcPr>
          <w:p>
            <w:r>
              <w:t>7</w:t>
            </w:r>
          </w:p>
        </w:tc>
      </w:tr>
      <w:tr w14:paraId="064BEA2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AB5C296"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行政强制</w:t>
            </w:r>
          </w:p>
        </w:tc>
        <w:tc>
          <w:tcPr>
            <w:tcW w:type="dxa" w:w="7304"/>
            <w:gridSpan w:val="3"/>
            <w:tcBorders>
              <w:bottom w:color="000000" w:space="0" w:sz="8" w:val="single"/>
              <w:right w:color="000000" w:space="0" w:sz="8" w:val="single"/>
            </w:tcBorders>
            <w:vAlign w:val="center"/>
          </w:tcPr>
          <w:p>
            <w:r>
              <w:t>1</w:t>
            </w:r>
          </w:p>
        </w:tc>
      </w:tr>
      <w:tr w14:paraId="26E01E2C"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961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第二十条第（八）项</w:t>
            </w:r>
          </w:p>
        </w:tc>
      </w:tr>
      <w:tr w14:paraId="611F6B7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EF25892"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23CCA0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本年收费金额（单位：万元）</w:t>
            </w:r>
          </w:p>
        </w:tc>
      </w:tr>
      <w:tr w14:paraId="749ED468"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D69ECC1"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行政事业性收费</w:t>
            </w:r>
          </w:p>
        </w:tc>
        <w:tc>
          <w:tcPr>
            <w:tcW w:type="dxa" w:w="7304"/>
            <w:gridSpan w:val="3"/>
            <w:tcBorders>
              <w:bottom w:color="000000" w:space="0" w:sz="8" w:val="single"/>
              <w:right w:color="000000" w:space="0" w:sz="8" w:val="single"/>
            </w:tcBorders>
            <w:vAlign w:val="center"/>
          </w:tcPr>
          <w:p>
            <w:r>
              <w:t>0</w:t>
            </w:r>
          </w:p>
        </w:tc>
      </w:tr>
    </w:tbl>
    <w:p w14:paraId="0C478D6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三、收到和处理政府信息公开申请情况</w:t>
      </w:r>
    </w:p>
    <w:p w14:paraId="30084006"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8"/>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firstColumn="1" w:firstRow="1" w:lastColumn="0" w:lastRow="0" w:noHBand="0" w:noVBand="1" w:val="04A0"/>
      </w:tblPr>
      <w:tblGrid>
        <w:gridCol w:w="770"/>
        <w:gridCol w:w="942"/>
        <w:gridCol w:w="3220"/>
        <w:gridCol w:w="688"/>
        <w:gridCol w:w="688"/>
        <w:gridCol w:w="689"/>
        <w:gridCol w:w="688"/>
        <w:gridCol w:w="687"/>
        <w:gridCol w:w="688"/>
        <w:gridCol w:w="688"/>
      </w:tblGrid>
      <w:tr w14:paraId="7CFC63A4" w14:textId="77777777" w:rsidR="00C14315" w:rsidTr="00F44765">
        <w:trPr>
          <w:jc w:val="center"/>
        </w:trPr>
        <w:tc>
          <w:tcPr>
            <w:tcW w:type="dxa" w:w="4931"/>
            <w:gridSpan w:val="3"/>
            <w:vMerge w:val="restart"/>
            <w:tcBorders>
              <w:right w:color="000000" w:space="0" w:sz="8" w:val="single"/>
            </w:tcBorders>
            <w:vAlign w:val="center"/>
          </w:tcPr>
          <w:p w14:paraId="478CE1F9" w14:textId="77777777" w:rsidR="00C14315" w:rsidRDefault="00F44765">
            <w:pPr>
              <w:widowControl/>
              <w:jc w:val="left"/>
              <w:rPr>
                <w:rFonts w:ascii="宋体" w:cs="宋体" w:eastAsia="宋体" w:hAnsi="宋体"/>
                <w:kern w:val="0"/>
                <w:sz w:val="24"/>
                <w:szCs w:val="24"/>
              </w:rPr>
            </w:pPr>
            <w:r>
              <w:rPr>
                <w:rFonts w:ascii="楷体" w:cs="宋体" w:eastAsia="楷体" w:hAnsi="楷体"/>
                <w:kern w:val="0"/>
                <w:sz w:val="20"/>
                <w:szCs w:val="20"/>
              </w:rPr>
              <w:t>（本列数据的勾</w:t>
            </w:r>
            <w:proofErr w:type="gramStart"/>
            <w:r>
              <w:rPr>
                <w:rFonts w:ascii="楷体" w:cs="宋体" w:eastAsia="楷体" w:hAnsi="楷体"/>
                <w:kern w:val="0"/>
                <w:sz w:val="20"/>
                <w:szCs w:val="20"/>
              </w:rPr>
              <w:t>稽</w:t>
            </w:r>
            <w:proofErr w:type="gramEnd"/>
            <w:r>
              <w:rPr>
                <w:rFonts w:ascii="楷体" w:cs="宋体" w:eastAsia="楷体" w:hAnsi="楷体"/>
                <w:kern w:val="0"/>
                <w:sz w:val="20"/>
                <w:szCs w:val="20"/>
              </w:rPr>
              <w:t>关系为：第一项加第二项之和，等于第三项加第四项之和）</w:t>
            </w:r>
          </w:p>
        </w:tc>
        <w:tc>
          <w:tcPr>
            <w:tcW w:type="dxa" w:w="4816"/>
            <w:gridSpan w:val="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2C5E55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申请人情况</w:t>
            </w:r>
          </w:p>
        </w:tc>
      </w:tr>
      <w:tr w14:paraId="5A3F72CA" w14:textId="77777777" w:rsidR="00C14315" w:rsidTr="00F44765">
        <w:trPr>
          <w:jc w:val="center"/>
        </w:trPr>
        <w:tc>
          <w:tcPr>
            <w:tcW w:type="dxa" w:w="4931"/>
            <w:gridSpan w:val="3"/>
            <w:vMerge/>
            <w:tcMar>
              <w:left w:type="dxa" w:w="10"/>
              <w:right w:type="dxa" w:w="10"/>
            </w:tcMar>
            <w:vAlign w:val="center"/>
          </w:tcPr>
          <w:p w14:paraId="79878263" w14:textId="77777777" w:rsidR="00C14315" w:rsidRDefault="00C14315">
            <w:pPr>
              <w:widowControl/>
              <w:jc w:val="left"/>
              <w:rPr>
                <w:rFonts w:ascii="宋体" w:cs="宋体" w:eastAsia="宋体" w:hAnsi="宋体"/>
                <w:kern w:val="0"/>
                <w:sz w:val="24"/>
                <w:szCs w:val="24"/>
              </w:rPr>
            </w:pPr>
          </w:p>
        </w:tc>
        <w:tc>
          <w:tcPr>
            <w:tcW w:type="dxa" w:w="688"/>
            <w:vMerge w:val="restart"/>
            <w:tcBorders>
              <w:right w:color="000000" w:space="0" w:sz="8" w:val="single"/>
            </w:tcBorders>
            <w:tcMar>
              <w:left w:type="dxa" w:w="57"/>
              <w:right w:type="dxa" w:w="57"/>
            </w:tcMar>
            <w:vAlign w:val="center"/>
          </w:tcPr>
          <w:p w14:paraId="5EA211D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自然人</w:t>
            </w:r>
          </w:p>
        </w:tc>
        <w:tc>
          <w:tcPr>
            <w:tcW w:type="dxa" w:w="3440"/>
            <w:gridSpan w:val="5"/>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A9250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法人或其他组织</w:t>
            </w:r>
          </w:p>
        </w:tc>
        <w:tc>
          <w:tcPr>
            <w:tcW w:type="dxa" w:w="688"/>
            <w:vMerge w:val="restart"/>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A27F71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r>
      <w:tr w14:paraId="1F4B972D" w14:textId="77777777" w:rsidR="00C14315" w:rsidTr="00F44765">
        <w:trPr>
          <w:jc w:val="center"/>
        </w:trPr>
        <w:tc>
          <w:tcPr>
            <w:tcW w:type="dxa" w:w="4931"/>
            <w:gridSpan w:val="3"/>
            <w:vMerge/>
            <w:tcMar>
              <w:left w:type="dxa" w:w="10"/>
              <w:right w:type="dxa" w:w="10"/>
            </w:tcMar>
            <w:vAlign w:val="center"/>
          </w:tcPr>
          <w:p w14:paraId="4F23A120" w14:textId="77777777" w:rsidR="00C14315" w:rsidRDefault="00C14315">
            <w:pPr>
              <w:widowControl/>
              <w:jc w:val="left"/>
              <w:rPr>
                <w:rFonts w:ascii="宋体" w:cs="宋体" w:eastAsia="宋体" w:hAnsi="宋体"/>
                <w:kern w:val="0"/>
                <w:sz w:val="24"/>
                <w:szCs w:val="24"/>
              </w:rPr>
            </w:pPr>
          </w:p>
        </w:tc>
        <w:tc>
          <w:tcPr>
            <w:tcW w:type="dxa" w:w="688"/>
            <w:vMerge/>
            <w:tcBorders>
              <w:right w:color="000000" w:space="0" w:sz="8" w:val="single"/>
            </w:tcBorders>
            <w:tcMar>
              <w:left w:type="dxa" w:w="10"/>
              <w:right w:type="dxa" w:w="10"/>
            </w:tcMar>
            <w:vAlign w:val="center"/>
          </w:tcPr>
          <w:p w14:paraId="24E91820" w14:textId="77777777" w:rsidR="00C14315" w:rsidRDefault="00C14315">
            <w:pPr>
              <w:widowControl/>
              <w:jc w:val="left"/>
              <w:rPr>
                <w:rFonts w:ascii="宋体" w:cs="宋体" w:eastAsia="宋体" w:hAnsi="宋体"/>
                <w:kern w:val="0"/>
                <w:sz w:val="24"/>
                <w:szCs w:val="24"/>
              </w:rPr>
            </w:pP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D4F52C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商业</w:t>
            </w:r>
          </w:p>
          <w:p w14:paraId="07266266"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企业</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6699A3F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科研</w:t>
            </w:r>
          </w:p>
          <w:p w14:paraId="2F3339E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5B423015"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社会公益组织</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53B808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法律服务机构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6BF82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p>
        </w:tc>
        <w:tc>
          <w:tcPr>
            <w:tcW w:type="dxa" w:w="688"/>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1C08F92B" w14:textId="77777777" w:rsidR="00C14315" w:rsidRDefault="00C14315">
            <w:pPr>
              <w:widowControl/>
              <w:jc w:val="left"/>
              <w:rPr>
                <w:rFonts w:ascii="宋体" w:cs="宋体" w:eastAsia="宋体" w:hAnsi="宋体"/>
                <w:kern w:val="0"/>
                <w:sz w:val="24"/>
                <w:szCs w:val="24"/>
              </w:rPr>
            </w:pPr>
          </w:p>
        </w:tc>
      </w:tr>
      <w:tr w14:paraId="25DE4458" w14:textId="77777777" w:rsidR="00C14315" w:rsidTr="00F44765">
        <w:trPr>
          <w:jc w:val="center"/>
        </w:trPr>
        <w:tc>
          <w:tcPr>
            <w:tcW w:type="dxa" w:w="4931"/>
            <w:gridSpan w:val="3"/>
            <w:tcMar>
              <w:left w:type="dxa" w:w="57"/>
              <w:right w:type="dxa" w:w="57"/>
            </w:tcMar>
            <w:vAlign w:val="center"/>
          </w:tcPr>
          <w:p w14:paraId="31F367C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一、本年新收政府信息公开申请数量</w:t>
            </w:r>
          </w:p>
        </w:tc>
        <w:tc>
          <w:tcPr>
            <w:tcW w:type="dxa" w:w="688"/>
            <w:tcBorders>
              <w:right w:color="000000" w:space="0" w:sz="8" w:val="single"/>
            </w:tcBorders>
            <w:tcMar>
              <w:left w:type="dxa" w:w="57"/>
              <w:right w:type="dxa" w:w="57"/>
            </w:tcMar>
            <w:vAlign w:val="cente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39C0B0C2" w14:textId="77777777" w:rsidR="00C14315" w:rsidTr="00F44765">
        <w:trPr>
          <w:jc w:val="center"/>
        </w:trPr>
        <w:tc>
          <w:tcPr>
            <w:tcW w:type="dxa" w:w="4931"/>
            <w:gridSpan w:val="3"/>
            <w:tcMar>
              <w:left w:type="dxa" w:w="57"/>
              <w:right w:type="dxa" w:w="57"/>
            </w:tcMar>
            <w:vAlign w:val="center"/>
          </w:tcPr>
          <w:p w14:paraId="5AF0AAD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二、上年结转政府信息公开申请数量</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F34EF5B" w14:textId="77777777" w:rsidR="00C14315" w:rsidTr="00F44765">
        <w:trPr>
          <w:jc w:val="center"/>
        </w:trPr>
        <w:tc>
          <w:tcPr>
            <w:tcW w:type="dxa" w:w="769"/>
            <w:vMerge w:val="restart"/>
            <w:tcMar>
              <w:left w:type="dxa" w:w="57"/>
              <w:right w:type="dxa" w:w="57"/>
            </w:tcMar>
            <w:vAlign w:val="center"/>
          </w:tcPr>
          <w:p w14:paraId="3049D69F"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三、本年度办理结果</w:t>
            </w:r>
          </w:p>
        </w:tc>
        <w:tc>
          <w:tcPr>
            <w:tcW w:type="dxa" w:w="4162"/>
            <w:gridSpan w:val="2"/>
            <w:tcMar>
              <w:left w:type="dxa" w:w="57"/>
              <w:right w:type="dxa" w:w="57"/>
            </w:tcMar>
            <w:vAlign w:val="center"/>
          </w:tcPr>
          <w:p w14:paraId="1BBB6AE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（一）予以公开</w:t>
            </w:r>
          </w:p>
        </w:tc>
        <w:tc>
          <w:tcPr>
            <w:tcW w:type="dxa" w:w="688"/>
            <w:tcBorders>
              <w:right w:color="000000" w:space="0" w:sz="8" w:val="single"/>
            </w:tcBorders>
            <w:tcMar>
              <w:left w:type="dxa" w:w="57"/>
              <w:right w:type="dxa" w:w="57"/>
            </w:tcMar>
            <w:vAlign w:val="cente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68AF17B1" w14:textId="77777777" w:rsidR="00C14315" w:rsidTr="00F44765">
        <w:trPr>
          <w:jc w:val="center"/>
        </w:trPr>
        <w:tc>
          <w:tcPr>
            <w:tcW w:type="dxa" w:w="769"/>
            <w:vMerge/>
            <w:tcMar>
              <w:left w:type="dxa" w:w="10"/>
              <w:right w:type="dxa" w:w="10"/>
            </w:tcMar>
            <w:vAlign w:val="center"/>
          </w:tcPr>
          <w:p w14:paraId="2CCF7849"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E4656A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（二）部分公开</w:t>
            </w:r>
            <w:r>
              <w:rPr>
                <w:rFonts w:ascii="楷体" w:cs="宋体" w:eastAsia="楷体" w:hAnsi="楷体"/>
                <w:kern w:val="0"/>
                <w:sz w:val="20"/>
                <w:szCs w:val="20"/>
              </w:rPr>
              <w:t>（区分处理的，只计这一情形，不计其他情形）</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776CA82" w14:textId="77777777" w:rsidR="00C14315" w:rsidTr="00F44765">
        <w:trPr>
          <w:jc w:val="center"/>
        </w:trPr>
        <w:tc>
          <w:tcPr>
            <w:tcW w:type="dxa" w:w="769"/>
            <w:vMerge/>
            <w:tcMar>
              <w:left w:type="dxa" w:w="10"/>
              <w:right w:type="dxa" w:w="10"/>
            </w:tcMar>
            <w:vAlign w:val="center"/>
          </w:tcPr>
          <w:p w14:paraId="202CCB54"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718109D0"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（三）不予公开</w:t>
            </w:r>
          </w:p>
        </w:tc>
        <w:tc>
          <w:tcPr>
            <w:tcW w:type="dxa" w:w="3220"/>
            <w:tcMar>
              <w:left w:type="dxa" w:w="57"/>
              <w:right w:type="dxa" w:w="57"/>
            </w:tcMar>
          </w:tcPr>
          <w:p w14:paraId="7E62688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属于国家秘密</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C132ACE" w14:textId="77777777" w:rsidR="00C14315" w:rsidTr="00F44765">
        <w:trPr>
          <w:jc w:val="center"/>
        </w:trPr>
        <w:tc>
          <w:tcPr>
            <w:tcW w:type="dxa" w:w="769"/>
            <w:vMerge/>
            <w:tcMar>
              <w:left w:type="dxa" w:w="10"/>
              <w:right w:type="dxa" w:w="10"/>
            </w:tcMar>
            <w:vAlign w:val="center"/>
          </w:tcPr>
          <w:p w14:paraId="6343B6F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7CFF8F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408F6C5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其他法律行政法规禁止公开</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E2E86CC" w14:textId="77777777" w:rsidR="00C14315" w:rsidTr="00F44765">
        <w:trPr>
          <w:jc w:val="center"/>
        </w:trPr>
        <w:tc>
          <w:tcPr>
            <w:tcW w:type="dxa" w:w="769"/>
            <w:vMerge/>
            <w:tcMar>
              <w:left w:type="dxa" w:w="10"/>
              <w:right w:type="dxa" w:w="10"/>
            </w:tcMar>
            <w:vAlign w:val="center"/>
          </w:tcPr>
          <w:p w14:paraId="565DEA7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6BF9AC74"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6459BF52"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危及</w:t>
            </w:r>
            <w:r>
              <w:rPr>
                <w:rFonts w:ascii="宋体" w:cs="宋体" w:hAnsi="宋体"/>
                <w:kern w:val="0"/>
                <w:sz w:val="20"/>
                <w:szCs w:val="20"/>
              </w:rPr>
              <w:t>“</w:t>
            </w:r>
            <w:r>
              <w:rPr>
                <w:rFonts w:ascii="宋体" w:cs="宋体" w:hAnsi="宋体"/>
                <w:kern w:val="0"/>
                <w:sz w:val="20"/>
                <w:szCs w:val="20"/>
              </w:rPr>
              <w:t>三安全</w:t>
            </w:r>
            <w:proofErr w:type="gramStart"/>
            <w:r>
              <w:rPr>
                <w:rFonts w:ascii="宋体" w:cs="宋体" w:hAnsi="宋体"/>
                <w:kern w:val="0"/>
                <w:sz w:val="20"/>
                <w:szCs w:val="20"/>
              </w:rPr>
              <w:t>一</w:t>
            </w:r>
            <w:proofErr w:type="gramEnd"/>
            <w:r>
              <w:rPr>
                <w:rFonts w:ascii="宋体" w:cs="宋体" w:hAnsi="宋体"/>
                <w:kern w:val="0"/>
                <w:sz w:val="20"/>
                <w:szCs w:val="20"/>
              </w:rPr>
              <w:t>稳定</w:t>
            </w:r>
            <w:r>
              <w:rPr>
                <w:rFonts w:ascii="宋体" w:cs="宋体" w:hAnsi="宋体"/>
                <w:kern w:val="0"/>
                <w:sz w:val="20"/>
                <w:szCs w:val="20"/>
              </w:rPr>
              <w:t>”</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1592E6B" w14:textId="77777777" w:rsidR="00C14315" w:rsidTr="00F44765">
        <w:trPr>
          <w:jc w:val="center"/>
        </w:trPr>
        <w:tc>
          <w:tcPr>
            <w:tcW w:type="dxa" w:w="769"/>
            <w:vMerge/>
            <w:tcMar>
              <w:left w:type="dxa" w:w="10"/>
              <w:right w:type="dxa" w:w="10"/>
            </w:tcMar>
            <w:vAlign w:val="center"/>
          </w:tcPr>
          <w:p w14:paraId="19F60D5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F6B66AE"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4ED60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保护第三方合法权益</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8C4F2AA" w14:textId="77777777" w:rsidR="00C14315" w:rsidTr="00F44765">
        <w:trPr>
          <w:jc w:val="center"/>
        </w:trPr>
        <w:tc>
          <w:tcPr>
            <w:tcW w:type="dxa" w:w="769"/>
            <w:vMerge/>
            <w:tcMar>
              <w:left w:type="dxa" w:w="10"/>
              <w:right w:type="dxa" w:w="10"/>
            </w:tcMar>
            <w:vAlign w:val="center"/>
          </w:tcPr>
          <w:p w14:paraId="25566C5B"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F879C59"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085F28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属于三类内部事务信息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E7433F6" w14:textId="77777777" w:rsidR="00C14315" w:rsidTr="00F44765">
        <w:trPr>
          <w:jc w:val="center"/>
        </w:trPr>
        <w:tc>
          <w:tcPr>
            <w:tcW w:type="dxa" w:w="769"/>
            <w:vMerge/>
            <w:tcMar>
              <w:left w:type="dxa" w:w="10"/>
              <w:right w:type="dxa" w:w="10"/>
            </w:tcMar>
            <w:vAlign w:val="center"/>
          </w:tcPr>
          <w:p w14:paraId="769E31D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2DEAA806"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E3CBA89"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6.</w:t>
            </w:r>
            <w:r>
              <w:rPr>
                <w:rFonts w:ascii="宋体" w:cs="宋体" w:hAnsi="宋体"/>
                <w:kern w:val="0"/>
                <w:sz w:val="20"/>
                <w:szCs w:val="20"/>
              </w:rPr>
              <w:t>属于四类过程性信息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57E55B9C" w14:textId="77777777" w:rsidR="00C14315" w:rsidTr="00F44765">
        <w:trPr>
          <w:jc w:val="center"/>
        </w:trPr>
        <w:tc>
          <w:tcPr>
            <w:tcW w:type="dxa" w:w="769"/>
            <w:vMerge/>
            <w:tcMar>
              <w:left w:type="dxa" w:w="10"/>
              <w:right w:type="dxa" w:w="10"/>
            </w:tcMar>
            <w:vAlign w:val="center"/>
          </w:tcPr>
          <w:p w14:paraId="0AFA318C"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B4B7EC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5A4B9DF7"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7.</w:t>
            </w:r>
            <w:r>
              <w:rPr>
                <w:rFonts w:ascii="宋体" w:cs="宋体" w:hAnsi="宋体"/>
                <w:kern w:val="0"/>
                <w:sz w:val="20"/>
                <w:szCs w:val="20"/>
              </w:rPr>
              <w:t>属于行政执法案卷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E7D0BCF" w14:textId="77777777" w:rsidR="00C14315" w:rsidTr="00F44765">
        <w:trPr>
          <w:jc w:val="center"/>
        </w:trPr>
        <w:tc>
          <w:tcPr>
            <w:tcW w:type="dxa" w:w="769"/>
            <w:vMerge/>
            <w:tcMar>
              <w:left w:type="dxa" w:w="10"/>
              <w:right w:type="dxa" w:w="10"/>
            </w:tcMar>
            <w:vAlign w:val="center"/>
          </w:tcPr>
          <w:p w14:paraId="14F8614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17B82F4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0FFA1B13"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8.</w:t>
            </w:r>
            <w:r>
              <w:rPr>
                <w:rFonts w:ascii="宋体" w:cs="宋体" w:hAnsi="宋体"/>
                <w:kern w:val="0"/>
                <w:sz w:val="20"/>
                <w:szCs w:val="20"/>
              </w:rPr>
              <w:t>属于行政查询事项</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514194D" w14:textId="77777777" w:rsidR="00C14315" w:rsidTr="00F44765">
        <w:trPr>
          <w:jc w:val="center"/>
        </w:trPr>
        <w:tc>
          <w:tcPr>
            <w:tcW w:type="dxa" w:w="769"/>
            <w:vMerge/>
            <w:tcMar>
              <w:left w:type="dxa" w:w="10"/>
              <w:right w:type="dxa" w:w="10"/>
            </w:tcMar>
            <w:vAlign w:val="center"/>
          </w:tcPr>
          <w:p w14:paraId="4E3AECCC"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459B3DD4"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（四）无法提供</w:t>
            </w:r>
          </w:p>
        </w:tc>
        <w:tc>
          <w:tcPr>
            <w:tcW w:type="dxa" w:w="3220"/>
            <w:tcMar>
              <w:left w:type="dxa" w:w="57"/>
              <w:right w:type="dxa" w:w="57"/>
            </w:tcMar>
          </w:tcPr>
          <w:p w14:paraId="6F9FC12F"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本机关不掌握相关政府信息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4F5AC7A1" w14:textId="77777777" w:rsidR="00C14315" w:rsidTr="00F44765">
        <w:trPr>
          <w:jc w:val="center"/>
        </w:trPr>
        <w:tc>
          <w:tcPr>
            <w:tcW w:type="dxa" w:w="769"/>
            <w:vMerge/>
            <w:tcMar>
              <w:left w:type="dxa" w:w="10"/>
              <w:right w:type="dxa" w:w="10"/>
            </w:tcMar>
            <w:vAlign w:val="center"/>
          </w:tcPr>
          <w:p w14:paraId="1F1B8939"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E6C2473"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5BF3A5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没有现成信息需要另行制作</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563EB08" w14:textId="77777777" w:rsidR="00C14315" w:rsidTr="00F44765">
        <w:trPr>
          <w:jc w:val="center"/>
        </w:trPr>
        <w:tc>
          <w:tcPr>
            <w:tcW w:type="dxa" w:w="769"/>
            <w:vMerge/>
            <w:tcMar>
              <w:left w:type="dxa" w:w="10"/>
              <w:right w:type="dxa" w:w="10"/>
            </w:tcMar>
            <w:vAlign w:val="center"/>
          </w:tcPr>
          <w:p w14:paraId="68A9404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014E1D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29492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补正后申请内容仍不明确</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8CD8B17" w14:textId="77777777" w:rsidR="00C14315" w:rsidTr="00F44765">
        <w:trPr>
          <w:jc w:val="center"/>
        </w:trPr>
        <w:tc>
          <w:tcPr>
            <w:tcW w:type="dxa" w:w="769"/>
            <w:vMerge/>
            <w:tcMar>
              <w:left w:type="dxa" w:w="10"/>
              <w:right w:type="dxa" w:w="10"/>
            </w:tcMar>
            <w:vAlign w:val="center"/>
          </w:tcPr>
          <w:p w14:paraId="453C7928"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3C00D8E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（五）</w:t>
            </w:r>
            <w:proofErr w:type="gramStart"/>
            <w:r>
              <w:rPr>
                <w:rFonts w:ascii="宋体" w:cs="宋体" w:hAnsi="宋体"/>
                <w:kern w:val="0"/>
                <w:sz w:val="20"/>
                <w:szCs w:val="20"/>
              </w:rPr>
              <w:t>不予处理</w:t>
            </w:r>
            <w:proofErr w:type="gramEnd"/>
          </w:p>
        </w:tc>
        <w:tc>
          <w:tcPr>
            <w:tcW w:type="dxa" w:w="3220"/>
            <w:tcMar>
              <w:left w:type="dxa" w:w="57"/>
              <w:right w:type="dxa" w:w="57"/>
            </w:tcMar>
          </w:tcPr>
          <w:p w14:paraId="078E334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信访举报投诉类申请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4B52ED2" w14:textId="77777777" w:rsidR="00C14315" w:rsidTr="00F44765">
        <w:trPr>
          <w:jc w:val="center"/>
        </w:trPr>
        <w:tc>
          <w:tcPr>
            <w:tcW w:type="dxa" w:w="769"/>
            <w:vMerge/>
            <w:tcMar>
              <w:left w:type="dxa" w:w="10"/>
              <w:right w:type="dxa" w:w="10"/>
            </w:tcMar>
            <w:vAlign w:val="center"/>
          </w:tcPr>
          <w:p w14:paraId="205DBF3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77D238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C8D2A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重复申请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587F6436" w14:textId="77777777" w:rsidR="00C14315" w:rsidTr="00F44765">
        <w:trPr>
          <w:jc w:val="center"/>
        </w:trPr>
        <w:tc>
          <w:tcPr>
            <w:tcW w:type="dxa" w:w="769"/>
            <w:vMerge/>
            <w:tcMar>
              <w:left w:type="dxa" w:w="10"/>
              <w:right w:type="dxa" w:w="10"/>
            </w:tcMar>
            <w:vAlign w:val="center"/>
          </w:tcPr>
          <w:p w14:paraId="35D1F1A7"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30527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2D8349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要求提供公开出版物</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BE0354A" w14:textId="77777777" w:rsidR="00C14315" w:rsidTr="00F44765">
        <w:trPr>
          <w:jc w:val="center"/>
        </w:trPr>
        <w:tc>
          <w:tcPr>
            <w:tcW w:type="dxa" w:w="769"/>
            <w:vMerge/>
            <w:tcMar>
              <w:left w:type="dxa" w:w="10"/>
              <w:right w:type="dxa" w:w="10"/>
            </w:tcMar>
            <w:vAlign w:val="center"/>
          </w:tcPr>
          <w:p w14:paraId="2A3448E8"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2DDA53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187DB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无正当理由大量反复申请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B8C6BEA" w14:textId="77777777" w:rsidR="00C14315" w:rsidTr="00F44765">
        <w:trPr>
          <w:trHeight w:val="779"/>
          <w:jc w:val="center"/>
        </w:trPr>
        <w:tc>
          <w:tcPr>
            <w:tcW w:type="dxa" w:w="769"/>
            <w:vMerge/>
            <w:tcMar>
              <w:left w:type="dxa" w:w="10"/>
              <w:right w:type="dxa" w:w="10"/>
            </w:tcMar>
            <w:vAlign w:val="center"/>
          </w:tcPr>
          <w:p w14:paraId="53691CB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2807C1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16255ABF"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要求行政机关确认或重新出具已获取信息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2FD5F6F" w14:textId="77777777" w:rsidR="00C14315" w:rsidTr="00F44765">
        <w:trPr>
          <w:jc w:val="center"/>
        </w:trPr>
        <w:tc>
          <w:tcPr>
            <w:tcW w:type="dxa" w:w="769"/>
            <w:vMerge/>
            <w:tcMar>
              <w:left w:type="dxa" w:w="10"/>
              <w:right w:type="dxa" w:w="10"/>
            </w:tcMar>
            <w:vAlign w:val="center"/>
          </w:tcPr>
          <w:p w14:paraId="0514D8CD"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0BCDD1D2"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（六）其他处理</w:t>
            </w:r>
          </w:p>
        </w:tc>
        <w:tc>
          <w:tcPr>
            <w:tcW w:type="dxa" w:w="3220"/>
            <w:tcMar>
              <w:left w:type="dxa" w:w="57"/>
              <w:right w:type="dxa" w:w="57"/>
            </w:tcMar>
            <w:vAlign w:val="center"/>
          </w:tcPr>
          <w:p w14:paraId="71F7123E"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申请人无正当理由逾期</w:t>
            </w:r>
            <w:proofErr w:type="gramStart"/>
            <w:r>
              <w:rPr>
                <w:rFonts w:ascii="宋体" w:cs="宋体" w:hAnsi="宋体"/>
                <w:kern w:val="0"/>
                <w:sz w:val="20"/>
                <w:szCs w:val="20"/>
              </w:rPr>
              <w:t>不</w:t>
            </w:r>
            <w:proofErr w:type="gramEnd"/>
            <w:r>
              <w:rPr>
                <w:rFonts w:ascii="宋体" w:cs="宋体" w:hAnsi="宋体"/>
                <w:kern w:val="0"/>
                <w:sz w:val="20"/>
                <w:szCs w:val="20"/>
              </w:rPr>
              <w:t>补正、行政机关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12846D3" w14:textId="77777777" w:rsidR="00C14315" w:rsidTr="00F44765">
        <w:trPr>
          <w:jc w:val="center"/>
        </w:trPr>
        <w:tc>
          <w:tcPr>
            <w:tcW w:type="dxa" w:w="769"/>
            <w:vMerge/>
            <w:tcMar>
              <w:left w:type="dxa" w:w="10"/>
              <w:right w:type="dxa" w:w="10"/>
            </w:tcMar>
            <w:vAlign w:val="center"/>
          </w:tcPr>
          <w:p w14:paraId="6D42FC0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DCB055D"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30998772"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申请人逾期未按收费通知要求缴纳费用、行政机关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EFA1B61" w14:textId="77777777" w:rsidR="00C14315" w:rsidTr="00F44765">
        <w:trPr>
          <w:jc w:val="center"/>
        </w:trPr>
        <w:tc>
          <w:tcPr>
            <w:tcW w:type="dxa" w:w="769"/>
            <w:vMerge/>
            <w:tcMar>
              <w:left w:type="dxa" w:w="10"/>
              <w:right w:type="dxa" w:w="10"/>
            </w:tcMar>
            <w:vAlign w:val="center"/>
          </w:tcPr>
          <w:p w14:paraId="6131E61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55E21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43CF7A5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其他</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D27E9C6" w14:textId="77777777" w:rsidR="00C14315" w:rsidTr="00F44765">
        <w:trPr>
          <w:jc w:val="center"/>
        </w:trPr>
        <w:tc>
          <w:tcPr>
            <w:tcW w:type="dxa" w:w="769"/>
            <w:vMerge/>
            <w:tcMar>
              <w:left w:type="dxa" w:w="10"/>
              <w:right w:type="dxa" w:w="10"/>
            </w:tcMar>
            <w:vAlign w:val="center"/>
          </w:tcPr>
          <w:p w14:paraId="4BF9172D"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DFB095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（七）总计</w:t>
            </w:r>
          </w:p>
        </w:tc>
        <w:tc>
          <w:tcPr>
            <w:tcW w:type="dxa" w:w="688"/>
            <w:tcBorders>
              <w:right w:color="000000" w:space="0" w:sz="8" w:val="single"/>
            </w:tcBorders>
            <w:tcMar>
              <w:left w:type="dxa" w:w="57"/>
              <w:right w:type="dxa" w:w="57"/>
            </w:tcMar>
            <w:vAlign w:val="cente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6B0A8829" w14:textId="77777777" w:rsidR="00C14315" w:rsidTr="00F44765">
        <w:trPr>
          <w:jc w:val="center"/>
        </w:trPr>
        <w:tc>
          <w:tcPr>
            <w:tcW w:type="dxa" w:w="4931"/>
            <w:gridSpan w:val="3"/>
            <w:tcMar>
              <w:left w:type="dxa" w:w="57"/>
              <w:right w:type="dxa" w:w="57"/>
            </w:tcMar>
            <w:vAlign w:val="center"/>
          </w:tcPr>
          <w:p w14:paraId="1F3FFFD6"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四、结转下年度继续办理</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bl>
    <w:p w14:paraId="0E16827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四、政府信息公开行政复议、行政诉讼情况</w:t>
      </w:r>
    </w:p>
    <w:p w14:paraId="10979C32" w14:textId="77777777" w:rsidR="00C14315" w:rsidRDefault="00C14315">
      <w:pPr>
        <w:widowControl/>
        <w:shd w:color="auto" w:fill="FFFFFF" w:val="clear"/>
        <w:ind w:firstLine="480"/>
        <w:rPr>
          <w:rFonts w:ascii="宋体" w:cs="宋体" w:eastAsia="宋体" w:hAnsi="宋体"/>
          <w:b/>
          <w:bCs/>
          <w:color w:val="333333"/>
          <w:kern w:val="0"/>
          <w:sz w:val="24"/>
          <w:szCs w:val="24"/>
        </w:rPr>
      </w:pPr>
    </w:p>
    <w:tbl>
      <w:tblPr>
        <w:tblW w:type="dxa" w:w="9748"/>
        <w:jc w:val="center"/>
        <w:tblLayout w:type="fixed"/>
        <w:tblLook w:firstColumn="1" w:firstRow="1" w:lastColumn="0" w:lastRow="0" w:noHBand="0" w:noVBand="1" w:val="04A0"/>
      </w:tblPr>
      <w:tblGrid>
        <w:gridCol w:w="650"/>
        <w:gridCol w:w="650"/>
        <w:gridCol w:w="649"/>
        <w:gridCol w:w="650"/>
        <w:gridCol w:w="650"/>
        <w:gridCol w:w="650"/>
        <w:gridCol w:w="650"/>
        <w:gridCol w:w="649"/>
        <w:gridCol w:w="650"/>
        <w:gridCol w:w="650"/>
        <w:gridCol w:w="650"/>
        <w:gridCol w:w="650"/>
        <w:gridCol w:w="650"/>
        <w:gridCol w:w="650"/>
        <w:gridCol w:w="650"/>
      </w:tblGrid>
      <w:tr w14:paraId="113768EB" w14:textId="77777777" w:rsidR="00C14315">
        <w:trPr>
          <w:jc w:val="center"/>
        </w:trPr>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234FEDE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行政复议</w:t>
            </w:r>
          </w:p>
        </w:tc>
        <w:tc>
          <w:tcPr>
            <w:tcW w:type="dxa" w:w="6499"/>
            <w:gridSpan w:val="10"/>
            <w:tcBorders>
              <w:top w:color="000000" w:space="0" w:sz="8" w:val="single"/>
              <w:left w:color="000000" w:space="0" w:sz="8" w:val="single"/>
              <w:bottom w:color="000000" w:space="0" w:sz="8" w:val="single"/>
              <w:right w:color="000000" w:space="0" w:sz="8" w:val="single"/>
            </w:tcBorders>
            <w:vAlign w:val="center"/>
          </w:tcPr>
          <w:p w14:paraId="4C66723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行政诉讼</w:t>
            </w:r>
          </w:p>
        </w:tc>
      </w:tr>
      <w:tr w14:paraId="37AE5170" w14:textId="77777777" w:rsidR="00C14315">
        <w:trPr>
          <w:jc w:val="center"/>
        </w:trPr>
        <w:tc>
          <w:tcPr>
            <w:tcW w:type="dxa" w:w="650"/>
            <w:vMerge w:val="restart"/>
            <w:tcBorders>
              <w:left w:color="000000" w:space="0" w:sz="8" w:val="single"/>
              <w:bottom w:color="000000" w:space="0" w:sz="8" w:val="single"/>
              <w:right w:color="000000" w:space="0" w:sz="8" w:val="single"/>
            </w:tcBorders>
            <w:vAlign w:val="center"/>
          </w:tcPr>
          <w:p w14:paraId="15C0ABC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结果维持</w:t>
            </w:r>
          </w:p>
        </w:tc>
        <w:tc>
          <w:tcPr>
            <w:tcW w:type="dxa" w:w="650"/>
            <w:vMerge w:val="restart"/>
            <w:tcBorders>
              <w:left w:color="000000" w:space="0" w:sz="8" w:val="single"/>
              <w:bottom w:color="000000" w:space="0" w:sz="8" w:val="single"/>
              <w:right w:color="000000" w:space="0" w:sz="8" w:val="single"/>
            </w:tcBorders>
            <w:vAlign w:val="center"/>
          </w:tcPr>
          <w:p w14:paraId="1B8BCCA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vMerge w:val="restart"/>
            <w:tcBorders>
              <w:top w:color="000000" w:space="0" w:sz="8" w:val="single"/>
              <w:left w:color="000000" w:space="0" w:sz="8" w:val="single"/>
              <w:bottom w:color="000000" w:space="0" w:sz="8" w:val="single"/>
              <w:right w:color="000000" w:space="0" w:sz="8" w:val="single"/>
            </w:tcBorders>
            <w:vAlign w:val="center"/>
          </w:tcPr>
          <w:p w14:paraId="5D374C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2D7FCE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1B2C8C2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170A52B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未经复议直接起诉</w:t>
            </w:r>
          </w:p>
        </w:tc>
        <w:tc>
          <w:tcPr>
            <w:tcW w:type="dxa" w:w="3250"/>
            <w:gridSpan w:val="5"/>
            <w:tcBorders>
              <w:top w:color="000000" w:space="0" w:sz="8" w:val="single"/>
              <w:left w:color="000000" w:space="0" w:sz="8" w:val="single"/>
              <w:bottom w:color="000000" w:space="0" w:sz="8" w:val="single"/>
              <w:right w:color="000000" w:space="0" w:sz="8" w:val="single"/>
            </w:tcBorders>
            <w:vAlign w:val="center"/>
          </w:tcPr>
          <w:p w14:paraId="021340EC"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复议后起诉</w:t>
            </w:r>
          </w:p>
        </w:tc>
      </w:tr>
      <w:tr w14:paraId="5D10382F" w14:textId="77777777" w:rsidR="00C14315">
        <w:trPr>
          <w:jc w:val="center"/>
        </w:trPr>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3576F5E8" w14:textId="77777777" w:rsidR="00C14315" w:rsidRDefault="00C14315">
            <w:pPr>
              <w:widowControl/>
              <w:jc w:val="left"/>
              <w:rPr>
                <w:rFonts w:ascii="宋体" w:cs="宋体" w:eastAsia="宋体" w:hAnsi="宋体"/>
                <w:kern w:val="0"/>
                <w:sz w:val="24"/>
                <w:szCs w:val="24"/>
              </w:rPr>
            </w:pPr>
          </w:p>
        </w:tc>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2FC482F3" w14:textId="77777777" w:rsidR="00C14315" w:rsidRDefault="00C14315">
            <w:pPr>
              <w:widowControl/>
              <w:jc w:val="left"/>
              <w:rPr>
                <w:rFonts w:ascii="宋体" w:cs="宋体" w:eastAsia="宋体" w:hAnsi="宋体"/>
                <w:kern w:val="0"/>
                <w:sz w:val="24"/>
                <w:szCs w:val="24"/>
              </w:rPr>
            </w:pPr>
          </w:p>
        </w:tc>
        <w:tc>
          <w:tcPr>
            <w:tcW w:type="dxa" w:w="649"/>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0E06A90"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5C64D853"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3CBC2F8" w14:textId="77777777" w:rsidR="00C14315" w:rsidRDefault="00C14315">
            <w:pPr>
              <w:widowControl/>
              <w:jc w:val="left"/>
              <w:rPr>
                <w:rFonts w:ascii="宋体" w:cs="宋体" w:eastAsia="宋体" w:hAnsi="宋体"/>
                <w:kern w:val="0"/>
                <w:sz w:val="24"/>
                <w:szCs w:val="24"/>
              </w:rPr>
            </w:pPr>
          </w:p>
        </w:tc>
        <w:tc>
          <w:tcPr>
            <w:tcW w:type="dxa" w:w="650"/>
            <w:tcBorders>
              <w:left w:color="000000" w:space="0" w:sz="8" w:val="single"/>
              <w:bottom w:color="000000" w:space="0" w:sz="8" w:val="single"/>
              <w:right w:color="000000" w:space="0" w:sz="8" w:val="single"/>
            </w:tcBorders>
            <w:vAlign w:val="center"/>
          </w:tcPr>
          <w:p w14:paraId="5B035D4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left w:color="000000" w:space="0" w:sz="8" w:val="single"/>
              <w:bottom w:color="000000" w:space="0" w:sz="8" w:val="single"/>
              <w:right w:color="000000" w:space="0" w:sz="8" w:val="single"/>
            </w:tcBorders>
            <w:vAlign w:val="center"/>
          </w:tcPr>
          <w:p w14:paraId="2B1DC3E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tcBorders>
              <w:top w:color="000000" w:space="0" w:sz="8" w:val="single"/>
              <w:left w:color="000000" w:space="0" w:sz="8" w:val="single"/>
              <w:bottom w:color="000000" w:space="0" w:sz="8" w:val="single"/>
              <w:right w:color="000000" w:space="0" w:sz="8" w:val="single"/>
            </w:tcBorders>
            <w:vAlign w:val="center"/>
          </w:tcPr>
          <w:p w14:paraId="2FF0883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39A5D0D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294A7AF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c>
          <w:tcPr>
            <w:tcW w:type="dxa" w:w="650"/>
            <w:tcBorders>
              <w:top w:color="000000" w:space="0" w:sz="8" w:val="single"/>
              <w:left w:color="000000" w:space="0" w:sz="8" w:val="single"/>
              <w:bottom w:color="000000" w:space="0" w:sz="8" w:val="single"/>
              <w:right w:color="000000" w:space="0" w:sz="8" w:val="single"/>
            </w:tcBorders>
            <w:vAlign w:val="center"/>
          </w:tcPr>
          <w:p w14:paraId="295B1C0F"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top w:color="000000" w:space="0" w:sz="8" w:val="single"/>
              <w:left w:color="000000" w:space="0" w:sz="8" w:val="single"/>
              <w:bottom w:color="000000" w:space="0" w:sz="8" w:val="single"/>
              <w:right w:color="000000" w:space="0" w:sz="8" w:val="single"/>
            </w:tcBorders>
            <w:vAlign w:val="center"/>
          </w:tcPr>
          <w:p w14:paraId="2750413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50"/>
            <w:tcBorders>
              <w:top w:color="000000" w:space="0" w:sz="8" w:val="single"/>
              <w:left w:color="000000" w:space="0" w:sz="8" w:val="single"/>
              <w:bottom w:color="000000" w:space="0" w:sz="8" w:val="single"/>
              <w:right w:color="000000" w:space="0" w:sz="8" w:val="single"/>
            </w:tcBorders>
            <w:vAlign w:val="center"/>
          </w:tcPr>
          <w:p w14:paraId="4CE3C08A"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其他</w:t>
            </w:r>
            <w:r>
              <w:rPr>
                <w:rFonts w:ascii="宋体" w:cs="宋体" w:eastAsia="宋体" w:hAnsi="宋体"/>
                <w:color w:val="000000"/>
                <w:kern w:val="0"/>
                <w:sz w:val="20"/>
                <w:szCs w:val="20"/>
              </w:rPr>
              <w:br/>
            </w:r>
            <w:r>
              <w:rPr>
                <w:rFonts w:ascii="宋体" w:cs="宋体" w:hAnsi="宋体"/>
                <w:color w:val="000000"/>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585E3FE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32C57B1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r>
      <w:tr w14:paraId="21C61D8B" w14:textId="77777777" w:rsidR="00C14315">
        <w:trPr>
          <w:trHeight w:val="672"/>
          <w:jc w:val="center"/>
        </w:trPr>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r>
    </w:tbl>
    <w:p w14:paraId="48682354" w14:textId="77777777" w:rsidR="00C14315" w:rsidRDefault="00F44765">
      <w:pPr>
        <w:widowControl/>
        <w:jc w:val="left"/>
        <w:rPr>
          <w:rFonts w:ascii="宋体" w:cs="宋体" w:eastAsia="宋体" w:hAnsi="宋体"/>
          <w:kern w:val="0"/>
          <w:sz w:val="24"/>
          <w:szCs w:val="24"/>
        </w:rPr>
      </w:pPr>
      <w:r>
        <w:rPr>
          <w:rFonts w:ascii="宋体" w:cs="宋体" w:eastAsia="宋体" w:hAnsi="宋体"/>
          <w:color w:val="333333"/>
          <w:kern w:val="0"/>
          <w:sz w:val="24"/>
          <w:szCs w:val="24"/>
        </w:rPr>
        <w:br/>
      </w:r>
    </w:p>
    <w:p w14:paraId="5E203271"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五、存在的主要问题及改进情况</w:t>
      </w:r>
    </w:p>
    <w:p>
      <w:pPr>
        <w:widowControl/>
        <w:shd w:color="auto" w:fill="FFFFFF" w:val="clear"/>
        <w:ind w:firstLine="480"/>
        <w:rPr>
          <w:rFonts w:ascii="宋体" w:cs="宋体" w:eastAsia="宋体" w:hAnsi="宋体"/>
          <w:color w:val="333333"/>
          <w:kern w:val="0"/>
          <w:sz w:val="24"/>
          <w:szCs w:val="24"/>
        </w:rPr>
      </w:pPr>
      <w:r>
        <w:t>（一）存在的主要问题</w:t>
      </w:r>
    </w:p>
    <w:p>
      <w:pPr>
        <w:widowControl/>
        <w:shd w:color="auto" w:fill="FFFFFF" w:val="clear"/>
        <w:ind w:firstLine="480"/>
        <w:rPr>
          <w:rFonts w:ascii="宋体" w:cs="宋体" w:eastAsia="宋体" w:hAnsi="宋体"/>
          <w:color w:val="333333"/>
          <w:kern w:val="0"/>
          <w:sz w:val="24"/>
          <w:szCs w:val="24"/>
        </w:rPr>
      </w:pPr>
      <w:r>
        <w:t>2025年民权县人力资源社会保障局政务公开工作还存在以下不足：一是在信息呈现方式的生动性方面，尚有进一步丰富的空间；二是公开信息的分类与检索便捷度，有持续优化的可能性。</w:t>
      </w:r>
    </w:p>
    <w:p>
      <w:pPr>
        <w:widowControl/>
        <w:shd w:color="auto" w:fill="FFFFFF" w:val="clear"/>
        <w:ind w:firstLine="480"/>
        <w:rPr>
          <w:rFonts w:ascii="宋体" w:cs="宋体" w:eastAsia="宋体" w:hAnsi="宋体"/>
          <w:color w:val="333333"/>
          <w:kern w:val="0"/>
          <w:sz w:val="24"/>
          <w:szCs w:val="24"/>
        </w:rPr>
      </w:pPr>
      <w:r>
        <w:t>（二）改进情况</w:t>
      </w:r>
    </w:p>
    <w:p>
      <w:pPr>
        <w:widowControl/>
        <w:shd w:color="auto" w:fill="FFFFFF" w:val="clear"/>
        <w:ind w:firstLine="480"/>
        <w:rPr>
          <w:rFonts w:ascii="宋体" w:cs="宋体" w:eastAsia="宋体" w:hAnsi="宋体"/>
          <w:color w:val="333333"/>
          <w:kern w:val="0"/>
          <w:sz w:val="24"/>
          <w:szCs w:val="24"/>
        </w:rPr>
      </w:pPr>
      <w:r>
        <w:t>一是探索信息呈现的多样化，考虑采用更直观的图表、简明问答等形式，提升信息获取的友好度。二是优化信息公开目录与网站检索功能，使公众能够更快速、准确地定位所需信息。三是完善日常信息发布前的复核流程，注重对各类信息内容的规范性校对，确保发布信息的严谨与准确。</w:t>
      </w:r>
    </w:p>
    <w:p w14:paraId="5EBBDA24" w14:textId="77777777" w:rsidR="00C14315" w:rsidRDefault="00C14315">
      <w:pPr>
        <w:widowControl/>
        <w:shd w:color="auto" w:fill="FFFFFF" w:val="clear"/>
        <w:ind w:firstLine="480"/>
        <w:rPr>
          <w:rFonts w:ascii="宋体" w:cs="宋体" w:eastAsia="宋体" w:hAnsi="宋体"/>
          <w:color w:val="333333"/>
          <w:kern w:val="0"/>
          <w:sz w:val="24"/>
          <w:szCs w:val="24"/>
        </w:rPr>
      </w:pPr>
    </w:p>
    <w:p w14:paraId="67AC7663"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六、其他需要报告的事项</w:t>
      </w:r>
    </w:p>
    <w:p>
      <w:pPr>
        <w:widowControl/>
        <w:shd w:color="auto" w:fill="FFFFFF" w:val="clear"/>
        <w:ind w:firstLine="480"/>
        <w:jc w:val="left"/>
        <w:rPr>
          <w:rFonts w:ascii="宋体" w:cs="宋体" w:eastAsia="宋体" w:hAnsi="宋体"/>
          <w:color w:val="333333"/>
          <w:kern w:val="0"/>
          <w:sz w:val="24"/>
          <w:szCs w:val="24"/>
        </w:rPr>
      </w:pPr>
      <w:r>
        <w:t>2025年度本机关未收取信息处理费。发出收费通知的件数和总金额，以及实际收取的总金额均为0。</w:t>
      </w:r>
    </w:p>
    <w:sectPr w:rsidR="00C14315" w:rsidSect="00F40211">
      <w:pgSz w:h="16838" w:w="11906"/>
      <w:pgMar w:bottom="1440" w:footer="0" w:gutter="0" w:header="0" w:left="1701" w:right="1701" w:top="1440"/>
      <w:cols w:space="720"/>
      <w:formProt w:val="0"/>
      <w:docGrid w:charSpace="6143"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86"/>
    <w:family w:val="swiss"/>
    <w:pitch w:val="variable"/>
    <w:sig w:usb0="E0000AFF" w:usb1="500078FF" w:usb2="00000021" w:usb3="00000000" w:csb0="000001BF" w:csb1="00000000"/>
  </w:font>
  <w:font w:name="微软雅黑">
    <w:panose1 w:val="020B0503020204020204"/>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50"/>
  <w:bordersDoNotSurroundHeader/>
  <w:bordersDoNotSurroundFooter/>
  <w:proofState w:grammar="clean" w:spelling="clean"/>
  <w:defaultTabStop w:val="420"/>
  <w:autoHyphenation/>
  <w:characterSpacingControl w:val="doNotCompress"/>
  <w:compat>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315"/>
    <w:rsid w:val="00C14315"/>
    <w:rsid w:val="00F40211"/>
    <w:rsid w:val="00F44765"/>
  </w:rsids>
  <m:mathPr>
    <m:mathFont m:val="Cambria Math"/>
    <m:brkBin m:val="before"/>
    <m:brkBinSub m:val="--"/>
    <m:smallFrac m:val="0"/>
    <m:dispDef/>
    <m:lMargin m:val="0"/>
    <m:rMargin m:val="0"/>
    <m:defJc m:val="centerGroup"/>
    <m:wrapIndent m:val="1440"/>
    <m:intLim m:val="subSup"/>
    <m:naryLim m:val="undOvr"/>
  </m:mathPr>
  <w:themeFontLang w:bidi="" w:eastAsia="zh-CN"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1B36E6FF"/>
  <w15:docId w15:val="{36231B8A-2915-4805-AEEA-B963C525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EastAsia" w:hAnsiTheme="minorHAnsi"/>
        <w:kern w:val="2"/>
        <w:sz w:val="21"/>
        <w:szCs w:val="22"/>
        <w:lang w:bidi="ar-SA" w:eastAsia="zh-CN" w:val="en-US"/>
      </w:rPr>
    </w:rPrDefault>
    <w:pPrDefault>
      <w:pPr>
        <w:suppressAutoHyphens/>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a" w:type="paragraph">
    <w:name w:val="Normal"/>
    <w:qFormat/>
    <w:pPr>
      <w:widowControl w:val="0"/>
      <w:jc w:val="both"/>
    </w:p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a3" w:type="paragraph">
    <w:name w:val="标题样式"/>
    <w:basedOn w:val="a"/>
    <w:next w:val="a4"/>
    <w:qFormat/>
    <w:pPr>
      <w:keepNext/>
      <w:spacing w:after="120" w:before="240"/>
    </w:pPr>
    <w:rPr>
      <w:rFonts w:ascii="Liberation Sans" w:cs="Arial" w:eastAsia="微软雅黑" w:hAnsi="Liberation Sans"/>
      <w:sz w:val="28"/>
      <w:szCs w:val="28"/>
    </w:rPr>
  </w:style>
  <w:style w:styleId="a4" w:type="paragraph">
    <w:name w:val="Body Text"/>
    <w:basedOn w:val="a"/>
    <w:pPr>
      <w:spacing w:after="140" w:line="276" w:lineRule="auto"/>
    </w:pPr>
  </w:style>
  <w:style w:styleId="a5" w:type="paragraph">
    <w:name w:val="List"/>
    <w:basedOn w:val="a4"/>
    <w:rPr>
      <w:rFonts w:cs="Arial"/>
    </w:rPr>
  </w:style>
  <w:style w:styleId="a6" w:type="paragraph">
    <w:name w:val="caption"/>
    <w:basedOn w:val="a"/>
    <w:qFormat/>
    <w:pPr>
      <w:suppressLineNumbers/>
      <w:spacing w:after="120" w:before="120"/>
    </w:pPr>
    <w:rPr>
      <w:rFonts w:cs="Arial"/>
      <w:i/>
      <w:iCs/>
      <w:sz w:val="24"/>
      <w:szCs w:val="24"/>
    </w:rPr>
  </w:style>
  <w:style w:customStyle="1" w:styleId="a7" w:type="paragraph">
    <w:name w:val="索引"/>
    <w:basedOn w:val="a"/>
    <w:qFormat/>
    <w:pPr>
      <w:suppressLineNumbers/>
    </w:pPr>
    <w:rPr>
      <w:rFonts w:cs="Arial"/>
    </w:rPr>
  </w:style>
  <w:style w:styleId="a8" w:type="paragraph">
    <w:name w:val="Normal (Web)"/>
    <w:basedOn w:val="a"/>
    <w:uiPriority w:val="99"/>
    <w:semiHidden/>
    <w:unhideWhenUsed/>
    <w:qFormat/>
    <w:rsid w:val="008E1CAD"/>
    <w:pPr>
      <w:widowControl/>
      <w:spacing w:afterAutospacing="1" w:beforeAutospacing="1"/>
      <w:jc w:val="left"/>
    </w:pPr>
    <w:rPr>
      <w:rFonts w:ascii="宋体" w:cs="宋体" w:eastAsia="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209</Words>
  <Characters>1193</Characters>
  <Application>Microsoft Office Word</Application>
  <DocSecurity>0</DocSecurity>
  <Lines>9</Lines>
  <Paragraphs>2</Paragraphs>
  <ScaleCrop>false</ScaleCrop>
  <Company>China</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2021-10-21T05:34:00Z</dcterms:created>
  <dc:creator>IdeaBank</dc:creator>
  <dc:language>zh-CN</dc:language>
  <cp:lastModifiedBy>志成 闫</cp:lastModifiedBy>
  <dcterms:modified xsi:type="dcterms:W3CDTF">2024-01-24T01:46:00Z</dcterms:modified>
  <cp:revision>28</cp:revision>
</cp:coreProperties>
</file>