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9CDB6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auto"/>
          <w:spacing w:val="11"/>
          <w:sz w:val="28"/>
          <w:szCs w:val="28"/>
        </w:rPr>
      </w:pPr>
      <w:r>
        <w:rPr>
          <w:rFonts w:hint="eastAsia" w:ascii="黑体" w:hAnsi="黑体" w:eastAsia="黑体" w:cs="黑体"/>
          <w:color w:val="auto"/>
          <w:spacing w:val="11"/>
          <w:sz w:val="28"/>
          <w:szCs w:val="28"/>
        </w:rPr>
        <w:t>民权县十六届人大</w:t>
      </w:r>
    </w:p>
    <w:p w14:paraId="0B93726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auto"/>
          <w:spacing w:val="-6"/>
          <w:sz w:val="28"/>
          <w:szCs w:val="28"/>
          <w:highlight w:val="none"/>
        </w:rPr>
      </w:pPr>
      <w:r>
        <w:rPr>
          <w:rFonts w:hint="eastAsia" w:ascii="黑体" w:hAnsi="黑体" w:eastAsia="黑体" w:cs="黑体"/>
          <w:color w:val="auto"/>
          <w:spacing w:val="-6"/>
          <w:sz w:val="28"/>
          <w:szCs w:val="28"/>
        </w:rPr>
        <w:t>七次会议文件（</w:t>
      </w:r>
      <w:r>
        <w:rPr>
          <w:rFonts w:hint="eastAsia" w:ascii="黑体" w:hAnsi="黑体" w:eastAsia="黑体" w:cs="黑体"/>
          <w:color w:val="auto"/>
          <w:spacing w:val="-6"/>
          <w:sz w:val="28"/>
          <w:szCs w:val="28"/>
          <w:lang w:val="en-US" w:eastAsia="zh-CN"/>
        </w:rPr>
        <w:t>28</w:t>
      </w:r>
      <w:r>
        <w:rPr>
          <w:rFonts w:hint="eastAsia" w:ascii="黑体" w:hAnsi="黑体" w:eastAsia="黑体" w:cs="黑体"/>
          <w:color w:val="auto"/>
          <w:spacing w:val="-6"/>
          <w:sz w:val="28"/>
          <w:szCs w:val="28"/>
        </w:rPr>
        <w:t>）</w:t>
      </w:r>
    </w:p>
    <w:p w14:paraId="1937F5A2">
      <w:pPr>
        <w:keepNext w:val="0"/>
        <w:keepLines w:val="0"/>
        <w:pageBreakBefore w:val="0"/>
        <w:widowControl w:val="0"/>
        <w:kinsoku/>
        <w:wordWrap/>
        <w:overflowPunct/>
        <w:topLinePunct w:val="0"/>
        <w:autoSpaceDE/>
        <w:autoSpaceDN/>
        <w:bidi w:val="0"/>
        <w:adjustRightInd/>
        <w:spacing w:line="600" w:lineRule="exact"/>
        <w:textAlignment w:val="auto"/>
        <w:rPr>
          <w:rFonts w:hint="default" w:ascii="Times New Roman" w:hAnsi="Times New Roman" w:eastAsia="方正小标宋_GBK" w:cs="Times New Roman"/>
          <w:color w:val="000000"/>
          <w:spacing w:val="0"/>
          <w:sz w:val="36"/>
          <w:szCs w:val="36"/>
          <w:highlight w:val="none"/>
          <w:u w:val="none"/>
        </w:rPr>
      </w:pPr>
    </w:p>
    <w:p w14:paraId="2647CBF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关于民权县2025年预算执行情况</w:t>
      </w:r>
    </w:p>
    <w:p w14:paraId="05052E4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和2026年预算草案的报告</w:t>
      </w:r>
    </w:p>
    <w:p w14:paraId="6C24FCE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 w:hAnsi="楷体" w:eastAsia="楷体" w:cs="楷体"/>
          <w:spacing w:val="-11"/>
          <w:sz w:val="32"/>
          <w:szCs w:val="32"/>
          <w:lang w:val="en-US" w:eastAsia="zh-CN"/>
        </w:rPr>
      </w:pPr>
      <w:r>
        <w:rPr>
          <w:rFonts w:hint="eastAsia" w:ascii="楷体" w:hAnsi="楷体" w:eastAsia="楷体" w:cs="楷体"/>
          <w:spacing w:val="-11"/>
          <w:sz w:val="32"/>
          <w:szCs w:val="32"/>
          <w:lang w:val="en-US" w:eastAsia="zh-CN"/>
        </w:rPr>
        <w:t>——2026年2月28日在民权县第十六届人民代表大会第七次会议上</w:t>
      </w:r>
    </w:p>
    <w:p w14:paraId="6117BBE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民权县财政局</w:t>
      </w:r>
    </w:p>
    <w:p w14:paraId="5F60137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sz w:val="32"/>
          <w:szCs w:val="32"/>
          <w:lang w:val="en-US" w:eastAsia="zh-CN"/>
        </w:rPr>
      </w:pPr>
    </w:p>
    <w:p w14:paraId="000DD99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各位代表：</w:t>
      </w:r>
    </w:p>
    <w:p w14:paraId="5DC97F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受县政府委托，现将民权县2025年预算执行情况和2026年预算草案提请大会审查，并请各位政协委员和其他列席人士提出意见。</w:t>
      </w:r>
    </w:p>
    <w:p w14:paraId="4ACB6CE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一、2025年预算执行情况</w:t>
      </w:r>
    </w:p>
    <w:p w14:paraId="75073C2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过去一年，面对前所未有的困难挑战和愈加复杂严峻的内外形势，在县委的坚强领导下，在县人大、县政协监督指导下，县政府团结带领全县人民，坚持以习近平新时代中国特色社会主义思想为指导，认真贯彻习近平总书记在河南考察时重要讲话精神和关于河南工作的重要论述，深入贯彻党的二十大和二十届历次全会精神，认真落实中央、省委、市委、县委经济工作会议安排部署，聚焦“两高四着力”重大要求，围绕“六城一中心”宏伟蓝图，践行“1234”工作思路，顶压前行、聚力攻坚，着力开源节流、挖潜增收、防化风险，支撑全县经济运行呈现稳中向好态势，人民福祉得到改善，社会大局保持稳定。在此基础上，全县预算执行情况总体平稳。</w:t>
      </w:r>
    </w:p>
    <w:p w14:paraId="671CF5C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（一）2025年预算收支情况</w:t>
      </w:r>
    </w:p>
    <w:p w14:paraId="05AE63F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1.一般公共预算</w:t>
      </w:r>
    </w:p>
    <w:p w14:paraId="3B1184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全县收支情况。县人代会批准的2025年全县一般公共预算收入年初预算为14.22亿元，执行中经县人大常委会批准，收入预算调整为13.62亿元，实际完成14.6亿元，为调整预算的107.2%，增长8.4%；全县一般公共预算支出年初预算为41.18亿元，执行中因新增转移支付补助等因素，支出预算调整为43.15亿元，实际完成42.95亿元，为调整预算的99.5%，下降2.1%。</w:t>
      </w:r>
    </w:p>
    <w:p w14:paraId="449790B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县本级收支情况。县本级一般公共预算收入调整预算为4.82亿元，实际完成6.16亿元，为调整预算的127.8%，增长19.5%；县本级一般公共预算支出年初预算为34.89亿元，执行中因新增转移支付补助、补助乡（镇、街道）等因素，支出预算调整为37.98亿元，实际完成37.77亿元，为调整预算的99.5%，下降1%。</w:t>
      </w:r>
    </w:p>
    <w:p w14:paraId="597D521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2.政府性基金预算</w:t>
      </w:r>
    </w:p>
    <w:p w14:paraId="7D3547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highlight w:val="none"/>
          <w:lang w:val="en-US" w:eastAsia="zh-CN"/>
        </w:rPr>
        <w:t>县</w:t>
      </w:r>
      <w:r>
        <w:rPr>
          <w:rFonts w:hint="eastAsia" w:ascii="仿宋_GB2312" w:hAnsi="仿宋_GB2312" w:eastAsia="仿宋_GB2312" w:cs="仿宋_GB2312"/>
          <w:sz w:val="32"/>
          <w:szCs w:val="32"/>
          <w:highlight w:val="none"/>
          <w:lang w:val="en-US" w:eastAsia="zh-CN"/>
        </w:rPr>
        <w:t>人代会</w:t>
      </w:r>
      <w:r>
        <w:rPr>
          <w:rFonts w:hint="default" w:ascii="仿宋_GB2312" w:hAnsi="仿宋_GB2312" w:eastAsia="仿宋_GB2312" w:cs="仿宋_GB2312"/>
          <w:sz w:val="32"/>
          <w:szCs w:val="32"/>
          <w:highlight w:val="none"/>
          <w:lang w:val="en-US" w:eastAsia="zh-CN"/>
        </w:rPr>
        <w:t>批准的2025年全县政府性基金收入年初预算为9.98亿元，</w:t>
      </w:r>
      <w:r>
        <w:rPr>
          <w:rFonts w:hint="eastAsia" w:ascii="仿宋_GB2312" w:hAnsi="仿宋_GB2312" w:eastAsia="仿宋_GB2312" w:cs="仿宋_GB2312"/>
          <w:sz w:val="32"/>
          <w:szCs w:val="32"/>
          <w:highlight w:val="none"/>
          <w:lang w:val="en-US" w:eastAsia="zh-CN"/>
        </w:rPr>
        <w:t>执行中经县人大常委会批准，收入预算</w:t>
      </w:r>
      <w:r>
        <w:rPr>
          <w:rFonts w:hint="default" w:ascii="仿宋_GB2312" w:hAnsi="仿宋_GB2312" w:eastAsia="仿宋_GB2312" w:cs="仿宋_GB2312"/>
          <w:sz w:val="32"/>
          <w:szCs w:val="32"/>
          <w:highlight w:val="none"/>
          <w:lang w:val="en-US" w:eastAsia="zh-CN"/>
        </w:rPr>
        <w:t>调整为4.98亿元，实际完成5.14亿元，为调整预算的103.3%，下降21.3%；全县政府性基金支出年初预算为12.75亿元，执行中因</w:t>
      </w:r>
      <w:r>
        <w:rPr>
          <w:rFonts w:hint="eastAsia" w:ascii="仿宋_GB2312" w:hAnsi="仿宋_GB2312" w:eastAsia="仿宋_GB2312" w:cs="仿宋_GB2312"/>
          <w:sz w:val="32"/>
          <w:szCs w:val="32"/>
          <w:highlight w:val="none"/>
          <w:lang w:val="en-US" w:eastAsia="zh-CN"/>
        </w:rPr>
        <w:t>新增转移支付补助</w:t>
      </w:r>
      <w:r>
        <w:rPr>
          <w:rFonts w:hint="default"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lang w:val="en-US" w:eastAsia="zh-CN"/>
        </w:rPr>
        <w:t>新增政府债券等因素，支出预算调整为19.66亿元，实际完成12亿元，为调整预算的61%，同比下降12.8%。</w:t>
      </w:r>
    </w:p>
    <w:p w14:paraId="09948BA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bCs/>
          <w:sz w:val="32"/>
          <w:szCs w:val="32"/>
          <w:highlight w:val="none"/>
          <w:lang w:val="en-US" w:eastAsia="zh-CN"/>
        </w:rPr>
      </w:pPr>
      <w:r>
        <w:rPr>
          <w:rFonts w:hint="default" w:ascii="仿宋_GB2312" w:hAnsi="仿宋_GB2312" w:eastAsia="仿宋_GB2312" w:cs="仿宋_GB2312"/>
          <w:b/>
          <w:bCs/>
          <w:sz w:val="32"/>
          <w:szCs w:val="32"/>
          <w:highlight w:val="none"/>
          <w:lang w:val="en-US" w:eastAsia="zh-CN"/>
        </w:rPr>
        <w:t>3.社会保险基金预算</w:t>
      </w:r>
    </w:p>
    <w:p w14:paraId="66E90E3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县</w:t>
      </w:r>
      <w:r>
        <w:rPr>
          <w:rFonts w:hint="eastAsia" w:ascii="仿宋_GB2312" w:hAnsi="仿宋_GB2312" w:eastAsia="仿宋_GB2312" w:cs="仿宋_GB2312"/>
          <w:sz w:val="32"/>
          <w:szCs w:val="32"/>
          <w:highlight w:val="none"/>
          <w:lang w:val="en-US" w:eastAsia="zh-CN"/>
        </w:rPr>
        <w:t>人代会</w:t>
      </w:r>
      <w:r>
        <w:rPr>
          <w:rFonts w:hint="default" w:ascii="仿宋_GB2312" w:hAnsi="仿宋_GB2312" w:eastAsia="仿宋_GB2312" w:cs="仿宋_GB2312"/>
          <w:sz w:val="32"/>
          <w:szCs w:val="32"/>
          <w:highlight w:val="none"/>
          <w:lang w:val="en-US" w:eastAsia="zh-CN"/>
        </w:rPr>
        <w:t>批准的2025年全县城乡居民社会养老保险基金预算收入4亿元，实际完成4.</w:t>
      </w:r>
      <w:r>
        <w:rPr>
          <w:rFonts w:hint="eastAsia" w:ascii="仿宋_GB2312" w:hAnsi="仿宋_GB2312" w:eastAsia="仿宋_GB2312" w:cs="仿宋_GB2312"/>
          <w:sz w:val="32"/>
          <w:szCs w:val="32"/>
          <w:highlight w:val="none"/>
          <w:lang w:val="en-US" w:eastAsia="zh-CN"/>
        </w:rPr>
        <w:t>27</w:t>
      </w:r>
      <w:r>
        <w:rPr>
          <w:rFonts w:hint="default" w:ascii="仿宋_GB2312" w:hAnsi="仿宋_GB2312" w:eastAsia="仿宋_GB2312" w:cs="仿宋_GB2312"/>
          <w:sz w:val="32"/>
          <w:szCs w:val="32"/>
          <w:highlight w:val="none"/>
          <w:lang w:val="en-US" w:eastAsia="zh-CN"/>
        </w:rPr>
        <w:t>亿元，为年初预算的</w:t>
      </w:r>
      <w:r>
        <w:rPr>
          <w:rFonts w:hint="eastAsia" w:ascii="仿宋_GB2312" w:hAnsi="仿宋_GB2312" w:eastAsia="仿宋_GB2312" w:cs="仿宋_GB2312"/>
          <w:sz w:val="32"/>
          <w:szCs w:val="32"/>
          <w:highlight w:val="none"/>
          <w:lang w:val="en-US" w:eastAsia="zh-CN"/>
        </w:rPr>
        <w:t>106.75</w:t>
      </w:r>
      <w:r>
        <w:rPr>
          <w:rFonts w:hint="default" w:ascii="仿宋_GB2312" w:hAnsi="仿宋_GB2312" w:eastAsia="仿宋_GB2312" w:cs="仿宋_GB2312"/>
          <w:sz w:val="32"/>
          <w:szCs w:val="32"/>
          <w:highlight w:val="none"/>
          <w:lang w:val="en-US" w:eastAsia="zh-CN"/>
        </w:rPr>
        <w:t>％；城乡居民社会养老保险基金预算支出2.94亿元，实际完成3.1</w:t>
      </w:r>
      <w:r>
        <w:rPr>
          <w:rFonts w:hint="eastAsia" w:ascii="仿宋_GB2312" w:hAnsi="仿宋_GB2312" w:eastAsia="仿宋_GB2312" w:cs="仿宋_GB2312"/>
          <w:sz w:val="32"/>
          <w:szCs w:val="32"/>
          <w:highlight w:val="none"/>
          <w:lang w:val="en-US" w:eastAsia="zh-CN"/>
        </w:rPr>
        <w:t>5</w:t>
      </w:r>
      <w:r>
        <w:rPr>
          <w:rFonts w:hint="default" w:ascii="仿宋_GB2312" w:hAnsi="仿宋_GB2312" w:eastAsia="仿宋_GB2312" w:cs="仿宋_GB2312"/>
          <w:sz w:val="32"/>
          <w:szCs w:val="32"/>
          <w:highlight w:val="none"/>
          <w:lang w:val="en-US" w:eastAsia="zh-CN"/>
        </w:rPr>
        <w:t>亿元，为年初预算的10</w:t>
      </w:r>
      <w:r>
        <w:rPr>
          <w:rFonts w:hint="eastAsia" w:ascii="仿宋_GB2312" w:hAnsi="仿宋_GB2312" w:eastAsia="仿宋_GB2312" w:cs="仿宋_GB2312"/>
          <w:sz w:val="32"/>
          <w:szCs w:val="32"/>
          <w:highlight w:val="none"/>
          <w:lang w:val="en-US" w:eastAsia="zh-CN"/>
        </w:rPr>
        <w:t>7.14</w:t>
      </w:r>
      <w:r>
        <w:rPr>
          <w:rFonts w:hint="default" w:ascii="仿宋_GB2312" w:hAnsi="仿宋_GB2312" w:eastAsia="仿宋_GB2312" w:cs="仿宋_GB2312"/>
          <w:sz w:val="32"/>
          <w:szCs w:val="32"/>
          <w:highlight w:val="none"/>
          <w:lang w:val="en-US" w:eastAsia="zh-CN"/>
        </w:rPr>
        <w:t>％。2025年初结转9.09亿元，当年收入4.</w:t>
      </w:r>
      <w:r>
        <w:rPr>
          <w:rFonts w:hint="eastAsia" w:ascii="仿宋_GB2312" w:hAnsi="仿宋_GB2312" w:eastAsia="仿宋_GB2312" w:cs="仿宋_GB2312"/>
          <w:sz w:val="32"/>
          <w:szCs w:val="32"/>
          <w:highlight w:val="none"/>
          <w:lang w:val="en-US" w:eastAsia="zh-CN"/>
        </w:rPr>
        <w:t>27</w:t>
      </w:r>
      <w:r>
        <w:rPr>
          <w:rFonts w:hint="default" w:ascii="仿宋_GB2312" w:hAnsi="仿宋_GB2312" w:eastAsia="仿宋_GB2312" w:cs="仿宋_GB2312"/>
          <w:sz w:val="32"/>
          <w:szCs w:val="32"/>
          <w:highlight w:val="none"/>
          <w:lang w:val="en-US" w:eastAsia="zh-CN"/>
        </w:rPr>
        <w:t>亿元，当年支出3.1</w:t>
      </w:r>
      <w:r>
        <w:rPr>
          <w:rFonts w:hint="eastAsia" w:ascii="仿宋_GB2312" w:hAnsi="仿宋_GB2312" w:eastAsia="仿宋_GB2312" w:cs="仿宋_GB2312"/>
          <w:sz w:val="32"/>
          <w:szCs w:val="32"/>
          <w:highlight w:val="none"/>
          <w:lang w:val="en-US" w:eastAsia="zh-CN"/>
        </w:rPr>
        <w:t>5</w:t>
      </w:r>
      <w:r>
        <w:rPr>
          <w:rFonts w:hint="default" w:ascii="仿宋_GB2312" w:hAnsi="仿宋_GB2312" w:eastAsia="仿宋_GB2312" w:cs="仿宋_GB2312"/>
          <w:sz w:val="32"/>
          <w:szCs w:val="32"/>
          <w:highlight w:val="none"/>
          <w:lang w:val="en-US" w:eastAsia="zh-CN"/>
        </w:rPr>
        <w:t>亿元，年末滚存结余</w:t>
      </w:r>
      <w:r>
        <w:rPr>
          <w:rFonts w:hint="eastAsia" w:ascii="仿宋_GB2312" w:hAnsi="仿宋_GB2312" w:eastAsia="仿宋_GB2312" w:cs="仿宋_GB2312"/>
          <w:sz w:val="32"/>
          <w:szCs w:val="32"/>
          <w:highlight w:val="none"/>
          <w:lang w:val="en-US" w:eastAsia="zh-CN"/>
        </w:rPr>
        <w:t>10.21</w:t>
      </w:r>
      <w:r>
        <w:rPr>
          <w:rFonts w:hint="default" w:ascii="仿宋_GB2312" w:hAnsi="仿宋_GB2312" w:eastAsia="仿宋_GB2312" w:cs="仿宋_GB2312"/>
          <w:sz w:val="32"/>
          <w:szCs w:val="32"/>
          <w:highlight w:val="none"/>
          <w:lang w:val="en-US" w:eastAsia="zh-CN"/>
        </w:rPr>
        <w:t>亿元。</w:t>
      </w:r>
    </w:p>
    <w:p w14:paraId="02ADEB1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bCs/>
          <w:sz w:val="32"/>
          <w:szCs w:val="32"/>
          <w:highlight w:val="none"/>
          <w:lang w:val="en-US" w:eastAsia="zh-CN"/>
        </w:rPr>
      </w:pPr>
      <w:r>
        <w:rPr>
          <w:rFonts w:hint="default" w:ascii="仿宋_GB2312" w:hAnsi="仿宋_GB2312" w:eastAsia="仿宋_GB2312" w:cs="仿宋_GB2312"/>
          <w:b/>
          <w:bCs/>
          <w:sz w:val="32"/>
          <w:szCs w:val="32"/>
          <w:highlight w:val="none"/>
          <w:lang w:val="en-US" w:eastAsia="zh-CN"/>
        </w:rPr>
        <w:t>4.国有资本经营预算</w:t>
      </w:r>
    </w:p>
    <w:p w14:paraId="165C0C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2025年，国有资本经营预算收入预算为0.003亿元，实际完成0.003亿元；国有资本经营支出预算为0.003亿元，实际完成0.002亿元。</w:t>
      </w:r>
      <w:bookmarkStart w:id="0" w:name="_GoBack"/>
      <w:bookmarkEnd w:id="0"/>
    </w:p>
    <w:p w14:paraId="4EE2BE1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sz w:val="32"/>
          <w:szCs w:val="32"/>
          <w:highlight w:val="none"/>
          <w:lang w:val="en-US" w:eastAsia="zh-CN"/>
        </w:rPr>
      </w:pPr>
      <w:r>
        <w:rPr>
          <w:rFonts w:hint="eastAsia" w:ascii="楷体" w:hAnsi="楷体" w:eastAsia="楷体" w:cs="楷体"/>
          <w:sz w:val="32"/>
          <w:szCs w:val="32"/>
          <w:highlight w:val="none"/>
          <w:lang w:val="en-US" w:eastAsia="zh-CN"/>
        </w:rPr>
        <w:t>（二）2025年政府债务情况</w:t>
      </w:r>
    </w:p>
    <w:p w14:paraId="653F24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省财政厅核定我县2025年政府债务限额为113.62亿元，其中：一般债务限额17.37亿元，专项债务限额96.25亿元。2025年底，我县政府债务余额为111.99亿元，其中：一般债务余额16.9亿元，专项债务余额95.1亿元，均低于债务限额，没有超出合理区间范围。</w:t>
      </w:r>
    </w:p>
    <w:p w14:paraId="4321B0D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2025年，全县政府债务还本付息4.17亿元（不含再融资债券还本），其中一般债券还本付息0.93亿元；专项债券还本付息3.24亿元。2025年，共发行政府专项债券资金6.32亿元。</w:t>
      </w:r>
    </w:p>
    <w:p w14:paraId="276C6D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上述财政收支和政府债务数据为快报数，在完成决算审查汇总及办理上下级财政年终结算后可能有所变动，决算结果届时报县人大常委会审批。</w:t>
      </w:r>
    </w:p>
    <w:p w14:paraId="73A8E0E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sz w:val="32"/>
          <w:szCs w:val="32"/>
          <w:highlight w:val="none"/>
          <w:lang w:val="en-US" w:eastAsia="zh-CN"/>
        </w:rPr>
      </w:pPr>
      <w:r>
        <w:rPr>
          <w:rFonts w:hint="eastAsia" w:ascii="楷体" w:hAnsi="楷体" w:eastAsia="楷体" w:cs="楷体"/>
          <w:sz w:val="32"/>
          <w:szCs w:val="32"/>
          <w:highlight w:val="none"/>
          <w:lang w:val="en-US" w:eastAsia="zh-CN"/>
        </w:rPr>
        <w:t>（三）落实县人大决议和主要财政工作情况</w:t>
      </w:r>
    </w:p>
    <w:p w14:paraId="7C59C9C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坚决贯彻县委、县政府决策部署，认真执行县</w:t>
      </w:r>
      <w:r>
        <w:rPr>
          <w:rFonts w:hint="eastAsia" w:ascii="仿宋_GB2312" w:hAnsi="仿宋_GB2312" w:eastAsia="仿宋_GB2312" w:cs="仿宋_GB2312"/>
          <w:sz w:val="32"/>
          <w:szCs w:val="32"/>
          <w:highlight w:val="none"/>
          <w:lang w:val="en-US" w:eastAsia="zh-CN"/>
        </w:rPr>
        <w:t>人代会</w:t>
      </w:r>
      <w:r>
        <w:rPr>
          <w:rFonts w:hint="default" w:ascii="仿宋_GB2312" w:hAnsi="仿宋_GB2312" w:eastAsia="仿宋_GB2312" w:cs="仿宋_GB2312"/>
          <w:sz w:val="32"/>
          <w:szCs w:val="32"/>
          <w:highlight w:val="none"/>
          <w:lang w:val="en-US" w:eastAsia="zh-CN"/>
        </w:rPr>
        <w:t>预算决议和审查意见要求，加强财政科学管理，强化重点领域保障，全力以赴防范化解风险，保障全县经济社会发展总体平稳。</w:t>
      </w:r>
    </w:p>
    <w:p w14:paraId="11379C9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bCs/>
          <w:sz w:val="32"/>
          <w:szCs w:val="32"/>
          <w:highlight w:val="none"/>
          <w:lang w:val="en-US" w:eastAsia="zh-CN"/>
        </w:rPr>
      </w:pPr>
      <w:r>
        <w:rPr>
          <w:rFonts w:hint="default" w:ascii="仿宋_GB2312" w:hAnsi="仿宋_GB2312" w:eastAsia="仿宋_GB2312" w:cs="仿宋_GB2312"/>
          <w:b/>
          <w:bCs/>
          <w:sz w:val="32"/>
          <w:szCs w:val="32"/>
          <w:highlight w:val="none"/>
          <w:lang w:val="en-US" w:eastAsia="zh-CN"/>
        </w:rPr>
        <w:t>1.立足财政职能，强化综合财力保障</w:t>
      </w:r>
    </w:p>
    <w:p w14:paraId="6840640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一是财政收入稳步增长。依法依规组织收入，加强征收税费相关部门协同，强化税源培育，规范非税收入管理，确保财政收入依法、及时入库。2025年一般公共预算收入完成14.6亿元，为调整预算的107.2%，增长8.</w:t>
      </w:r>
      <w:r>
        <w:rPr>
          <w:rFonts w:hint="eastAsia" w:ascii="仿宋_GB2312" w:hAnsi="仿宋_GB2312" w:eastAsia="仿宋_GB2312" w:cs="仿宋_GB2312"/>
          <w:sz w:val="32"/>
          <w:szCs w:val="32"/>
          <w:highlight w:val="none"/>
          <w:lang w:val="en-US" w:eastAsia="zh-CN"/>
        </w:rPr>
        <w:t>4</w:t>
      </w:r>
      <w:r>
        <w:rPr>
          <w:rFonts w:hint="default" w:ascii="仿宋_GB2312" w:hAnsi="仿宋_GB2312" w:eastAsia="仿宋_GB2312" w:cs="仿宋_GB2312"/>
          <w:sz w:val="32"/>
          <w:szCs w:val="32"/>
          <w:highlight w:val="none"/>
          <w:lang w:val="en-US" w:eastAsia="zh-CN"/>
        </w:rPr>
        <w:t>%。</w:t>
      </w:r>
    </w:p>
    <w:p w14:paraId="01C2271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是向上争资卓有成效。坚持把争取上级支持作为财政工作的重中之重，积极向上级部门反映我县经济发展现状、重大政策落实和重点项目推进情况，抢抓政策机遇，大力争取上级资金支持，为保障县委、县政府重大决策部署、服务高质量发展发挥了积极作用。2025年，主动争取上级政策性资金22.59亿元，有效缓解了县级财政支出压力。</w:t>
      </w:r>
    </w:p>
    <w:p w14:paraId="398D60C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三是存量资金有效激活。依法依规对连续结转两年以上的财政专项资金及上年度部门预算结余资金予以收回，统筹收回存量资金额度3.33亿元，调入一般公共预算统筹安排。</w:t>
      </w:r>
    </w:p>
    <w:p w14:paraId="773C568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四是国有资产管理提效。进一步落实资产管理融入预算管理一体化，夯实资产科学管理根基。因地制宜探寻低效闲置资产的盘活路径，2025年盘活安置房项目12处。充分发挥公物仓作用，通过资产调剂物尽其用、开源节流，向各项临时工作组借用或调拨资产8批次，节约财政资金约0.006亿元，切实发挥了资产效能，降低了政府运行成本。</w:t>
      </w:r>
    </w:p>
    <w:p w14:paraId="2A2F016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2.狠抓政策落实，推动经济稳中向好</w:t>
      </w:r>
    </w:p>
    <w:p w14:paraId="5A45FA4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一是鼎力支持科技创新。全县科技支出2.8亿元，占一般公共预算支出的6.52%，加大了高新技术企业培育力度，激发企业创新活力，推动企业加大研发投入。</w:t>
      </w:r>
    </w:p>
    <w:p w14:paraId="453EF25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lang w:val="en-US" w:eastAsia="zh-CN"/>
        </w:rPr>
        <w:t>二是全力扶持实体经济。优化实施“两新”“两重”政策，争取超长期特别国</w:t>
      </w:r>
      <w:r>
        <w:rPr>
          <w:rFonts w:hint="default" w:ascii="仿宋_GB2312" w:hAnsi="仿宋_GB2312" w:eastAsia="仿宋_GB2312" w:cs="仿宋_GB2312"/>
          <w:sz w:val="32"/>
          <w:szCs w:val="32"/>
          <w:highlight w:val="none"/>
          <w:lang w:val="en-US" w:eastAsia="zh-CN"/>
        </w:rPr>
        <w:t>债资金</w:t>
      </w:r>
      <w:r>
        <w:rPr>
          <w:rFonts w:hint="eastAsia" w:ascii="仿宋_GB2312" w:hAnsi="仿宋_GB2312" w:eastAsia="仿宋_GB2312" w:cs="仿宋_GB2312"/>
          <w:sz w:val="32"/>
          <w:szCs w:val="32"/>
          <w:highlight w:val="none"/>
          <w:lang w:val="en-US" w:eastAsia="zh-CN"/>
        </w:rPr>
        <w:t>2.3</w:t>
      </w:r>
      <w:r>
        <w:rPr>
          <w:rFonts w:hint="default" w:ascii="仿宋_GB2312" w:hAnsi="仿宋_GB2312" w:eastAsia="仿宋_GB2312" w:cs="仿宋_GB2312"/>
          <w:sz w:val="32"/>
          <w:szCs w:val="32"/>
          <w:highlight w:val="none"/>
          <w:lang w:val="en-US" w:eastAsia="zh-CN"/>
        </w:rPr>
        <w:t>亿元，激发内需潜力，拉动经济增长。高度重视惠企奖补政策落实，认真研究吃透政策，积极宣传、联动协作、应享尽享，协助全县23家规上工业企业争取满负荷生产财政奖励资金0.038亿元。深入县金鑫中小企业融资担保有限公司调研，以其为依托积极帮助企业解决融资难题，担保续贷金额0.023亿元。</w:t>
      </w:r>
    </w:p>
    <w:p w14:paraId="26D978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三是提振消费激活市场。认真宣传落实消费品以旧换新政策，优化申报流程，充分释放消费潜力，申报家电、汽车、3c数码等重点消费领域补贴0.28亿元，带动消费1.59亿元。</w:t>
      </w:r>
    </w:p>
    <w:p w14:paraId="57CAC2D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3.兜牢“三保”底线，民生保障扎实有力</w:t>
      </w:r>
    </w:p>
    <w:p w14:paraId="7A522A51">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rFonts w:hint="default" w:ascii="仿宋_GB2312" w:hAnsi="仿宋_GB2312" w:eastAsia="仿宋_GB2312" w:cs="仿宋_GB2312"/>
          <w:spacing w:val="-6"/>
          <w:sz w:val="32"/>
          <w:szCs w:val="32"/>
          <w:lang w:val="en-US" w:eastAsia="zh-CN"/>
        </w:rPr>
      </w:pPr>
      <w:r>
        <w:rPr>
          <w:rFonts w:hint="default" w:ascii="仿宋_GB2312" w:hAnsi="仿宋_GB2312" w:eastAsia="仿宋_GB2312" w:cs="仿宋_GB2312"/>
          <w:spacing w:val="-6"/>
          <w:sz w:val="32"/>
          <w:szCs w:val="32"/>
          <w:lang w:val="en-US" w:eastAsia="zh-CN"/>
        </w:rPr>
        <w:t>一是坚持节用裕民。以收定支、精打细算，集中财力保障基本民生支出、工资支出和运转需求，坚决兜牢兜实“三保”底线。大力压减“三公”经费及一般性支出，全县“三公”经费支出0.06亿元，同比减支0.02亿元，下降25%。集中财力办好事、办实事，确保把每一分钱用在刀刃上、紧要处，全县民生支出达35.65亿元，占一般公共预算支出的83%，较好地保障了各项民生政策的落实。</w:t>
      </w:r>
    </w:p>
    <w:p w14:paraId="7223F67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二是保障教育发展。全县教育支出9.33亿元，同比增长6.4%，占一般公共预算支出的21.7%，支持义务教育“两免一补”、学前教育发展等工作。</w:t>
      </w:r>
      <w:r>
        <w:rPr>
          <w:rFonts w:hint="default" w:ascii="仿宋_GB2312" w:hAnsi="仿宋_GB2312" w:eastAsia="仿宋_GB2312" w:cs="仿宋_GB2312"/>
          <w:color w:val="auto"/>
          <w:sz w:val="32"/>
          <w:szCs w:val="32"/>
          <w:lang w:val="en-US" w:eastAsia="zh-CN"/>
        </w:rPr>
        <w:t>落实学前一年免保育教育费财政补助资金</w:t>
      </w:r>
      <w:r>
        <w:rPr>
          <w:rFonts w:hint="eastAsia" w:ascii="仿宋_GB2312" w:hAnsi="仿宋_GB2312" w:eastAsia="仿宋_GB2312" w:cs="仿宋_GB2312"/>
          <w:color w:val="auto"/>
          <w:sz w:val="32"/>
          <w:szCs w:val="32"/>
          <w:lang w:val="en-US" w:eastAsia="zh-CN"/>
        </w:rPr>
        <w:t>0.14亿元，</w:t>
      </w:r>
      <w:r>
        <w:rPr>
          <w:rFonts w:hint="default" w:ascii="仿宋_GB2312" w:hAnsi="仿宋_GB2312" w:eastAsia="仿宋_GB2312" w:cs="仿宋_GB2312"/>
          <w:color w:val="auto"/>
          <w:sz w:val="32"/>
          <w:szCs w:val="32"/>
          <w:lang w:val="en-US" w:eastAsia="zh-CN"/>
        </w:rPr>
        <w:t>有效减轻了适龄幼儿家庭的教育负担。</w:t>
      </w:r>
    </w:p>
    <w:p w14:paraId="17A830D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三是支持稳岗就业。拨付就业补助资金0.16亿元</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支持高校毕业生等青年群体、返乡农民工等重点群体就业创业，加大职业技能培训和高技能人才培养力度。</w:t>
      </w:r>
      <w:r>
        <w:rPr>
          <w:rFonts w:hint="eastAsia" w:ascii="仿宋_GB2312" w:hAnsi="仿宋_GB2312" w:eastAsia="仿宋_GB2312" w:cs="仿宋_GB2312"/>
          <w:sz w:val="32"/>
          <w:szCs w:val="32"/>
          <w:lang w:val="en-US" w:eastAsia="zh-CN"/>
        </w:rPr>
        <w:t>落实创业担保贷款贴息政策，扶持创业就业。</w:t>
      </w:r>
    </w:p>
    <w:p w14:paraId="393540CE">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rFonts w:hint="default" w:ascii="仿宋_GB2312" w:hAnsi="仿宋_GB2312" w:eastAsia="仿宋_GB2312" w:cs="仿宋_GB2312"/>
          <w:spacing w:val="-6"/>
          <w:sz w:val="32"/>
          <w:szCs w:val="32"/>
          <w:lang w:val="en-US" w:eastAsia="zh-CN"/>
        </w:rPr>
      </w:pPr>
      <w:r>
        <w:rPr>
          <w:rFonts w:hint="default" w:ascii="仿宋_GB2312" w:hAnsi="仿宋_GB2312" w:eastAsia="仿宋_GB2312" w:cs="仿宋_GB2312"/>
          <w:spacing w:val="-6"/>
          <w:sz w:val="32"/>
          <w:szCs w:val="32"/>
          <w:lang w:val="en-US" w:eastAsia="zh-CN"/>
        </w:rPr>
        <w:t>四是提升民生福祉。</w:t>
      </w:r>
      <w:r>
        <w:rPr>
          <w:rFonts w:hint="eastAsia" w:ascii="仿宋_GB2312" w:hAnsi="仿宋_GB2312" w:eastAsia="仿宋_GB2312" w:cs="仿宋_GB2312"/>
          <w:spacing w:val="-6"/>
          <w:sz w:val="32"/>
          <w:szCs w:val="32"/>
          <w:lang w:val="en-US" w:eastAsia="zh-CN"/>
        </w:rPr>
        <w:t>强化医疗保障，</w:t>
      </w:r>
      <w:r>
        <w:rPr>
          <w:rFonts w:hint="default" w:ascii="仿宋_GB2312" w:hAnsi="仿宋_GB2312" w:eastAsia="仿宋_GB2312" w:cs="仿宋_GB2312"/>
          <w:spacing w:val="-6"/>
          <w:sz w:val="32"/>
          <w:szCs w:val="32"/>
          <w:lang w:val="en-US" w:eastAsia="zh-CN"/>
        </w:rPr>
        <w:t>拨付基本公共卫生专项资金0.74亿元，提高公共卫生服务均等化水平。</w:t>
      </w:r>
      <w:r>
        <w:rPr>
          <w:rFonts w:hint="eastAsia" w:ascii="仿宋_GB2312" w:hAnsi="仿宋_GB2312" w:eastAsia="仿宋_GB2312" w:cs="仿宋_GB2312"/>
          <w:spacing w:val="-6"/>
          <w:sz w:val="32"/>
          <w:szCs w:val="32"/>
          <w:lang w:val="en-US" w:eastAsia="zh-CN"/>
        </w:rPr>
        <w:t>做好兜底保障</w:t>
      </w:r>
      <w:r>
        <w:rPr>
          <w:rFonts w:hint="default" w:ascii="仿宋_GB2312" w:hAnsi="仿宋_GB2312" w:eastAsia="仿宋_GB2312" w:cs="仿宋_GB2312"/>
          <w:color w:val="auto"/>
          <w:spacing w:val="-6"/>
          <w:sz w:val="32"/>
          <w:szCs w:val="32"/>
          <w:lang w:val="en-US" w:eastAsia="zh-CN"/>
        </w:rPr>
        <w:t>，城乡低保、孤儿养育和残疾人“两项补贴”等标准稳步提高</w:t>
      </w:r>
      <w:r>
        <w:rPr>
          <w:rFonts w:hint="eastAsia" w:ascii="仿宋_GB2312" w:hAnsi="仿宋_GB2312" w:eastAsia="仿宋_GB2312" w:cs="仿宋_GB2312"/>
          <w:color w:val="auto"/>
          <w:spacing w:val="-6"/>
          <w:sz w:val="32"/>
          <w:szCs w:val="32"/>
          <w:lang w:val="en-US" w:eastAsia="zh-CN"/>
        </w:rPr>
        <w:t>，</w:t>
      </w:r>
      <w:r>
        <w:rPr>
          <w:rFonts w:hint="default" w:ascii="仿宋_GB2312" w:hAnsi="仿宋_GB2312" w:eastAsia="仿宋_GB2312" w:cs="仿宋_GB2312"/>
          <w:color w:val="auto"/>
          <w:spacing w:val="-6"/>
          <w:sz w:val="32"/>
          <w:szCs w:val="32"/>
          <w:lang w:val="en-US" w:eastAsia="zh-CN"/>
        </w:rPr>
        <w:t>拨付困难群众救助补助资金1.49亿元，拨付残疾人事业发展补助资金0.019亿元</w:t>
      </w:r>
      <w:r>
        <w:rPr>
          <w:rFonts w:hint="eastAsia" w:ascii="仿宋_GB2312" w:hAnsi="仿宋_GB2312" w:eastAsia="仿宋_GB2312" w:cs="仿宋_GB2312"/>
          <w:color w:val="auto"/>
          <w:spacing w:val="-6"/>
          <w:sz w:val="32"/>
          <w:szCs w:val="32"/>
          <w:lang w:val="en-US" w:eastAsia="zh-CN"/>
        </w:rPr>
        <w:t>。</w:t>
      </w:r>
      <w:r>
        <w:rPr>
          <w:rFonts w:hint="default" w:ascii="仿宋_GB2312" w:hAnsi="仿宋_GB2312" w:eastAsia="仿宋_GB2312" w:cs="仿宋_GB2312"/>
          <w:spacing w:val="-6"/>
          <w:sz w:val="32"/>
          <w:szCs w:val="32"/>
          <w:lang w:val="en-US" w:eastAsia="zh-CN"/>
        </w:rPr>
        <w:t>拨付育儿补贴资金0.22亿元，降低家庭生育养育成本。</w:t>
      </w:r>
    </w:p>
    <w:p w14:paraId="33D7770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4.多举措夯基础，推进城乡均衡发展</w:t>
      </w:r>
    </w:p>
    <w:p w14:paraId="6595AFA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一是促进乡村宜居宜业。全县农林水支出6.8亿元，有效促进城乡宜居宜业、农业高质量发展。拨付村级组织运转经费0.73亿元，支持建强农村基层组织，保障村干部报酬按时足额发放。</w:t>
      </w:r>
    </w:p>
    <w:p w14:paraId="7F5FBD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是巩固拓展脱贫攻坚成果。持续落实“四个不摘”要求，投入衔接推进乡村振兴补助资金2.23亿元；优化衔接资金支出结构，提升资金监管效益，在全省绩效评价及考核中，获得省衔接资金绩效评价奖励资金0.03亿元。</w:t>
      </w:r>
    </w:p>
    <w:p w14:paraId="3E939EA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是扛稳粮食安全重任。筹措1.38亿元，落实耕地地力保护、种粮农民和农机购置等惠农补贴政策；落实政策性农业保险保费补贴政策，以小保费撬动大保障，安排县级保费补贴0.06亿元，覆盖小麦、花生、玉米承保面积共计155.02万亩，切实降低主要农作物生产风险，提升农户生产保障水平。争取高标准农田超长期国债资金1.58亿元，助力提升粮食产能。</w:t>
      </w:r>
    </w:p>
    <w:p w14:paraId="318ED6F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四是持续优化生态环境。持续践行“绿水青山就是金山银山”理念，拨付水污染防治、大气污染防治等资金0.59亿元，以更高标准打好蓝天、碧水、净土保卫战。投入农村集体垃圾清运项目资金0.16亿元，有效改善农村人居环境。</w:t>
      </w:r>
    </w:p>
    <w:p w14:paraId="1706C8B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5.严把审核关口，提升财政管理效能</w:t>
      </w:r>
    </w:p>
    <w:p w14:paraId="1EFBADD8">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rFonts w:hint="default" w:ascii="仿宋_GB2312" w:hAnsi="仿宋_GB2312" w:eastAsia="仿宋_GB2312" w:cs="仿宋_GB2312"/>
          <w:spacing w:val="-6"/>
          <w:sz w:val="32"/>
          <w:szCs w:val="32"/>
          <w:lang w:val="en-US" w:eastAsia="zh-CN"/>
        </w:rPr>
      </w:pPr>
      <w:r>
        <w:rPr>
          <w:rFonts w:hint="default" w:ascii="仿宋_GB2312" w:hAnsi="仿宋_GB2312" w:eastAsia="仿宋_GB2312" w:cs="仿宋_GB2312"/>
          <w:spacing w:val="-6"/>
          <w:sz w:val="32"/>
          <w:szCs w:val="32"/>
          <w:lang w:val="en-US" w:eastAsia="zh-CN"/>
        </w:rPr>
        <w:t>一是提升政府采购管理水平。提高政府采购透明度，持续营造良好的政府采购营商环境，连年实现政府采购项目电子化交易全覆盖。2025年我县政府采购项目备案122个，资金规模6.24亿元。</w:t>
      </w:r>
    </w:p>
    <w:p w14:paraId="0727FB83">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rFonts w:hint="default" w:ascii="仿宋_GB2312" w:hAnsi="仿宋_GB2312" w:eastAsia="仿宋_GB2312" w:cs="仿宋_GB2312"/>
          <w:spacing w:val="-6"/>
          <w:sz w:val="32"/>
          <w:szCs w:val="32"/>
          <w:highlight w:val="none"/>
          <w:lang w:val="en-US" w:eastAsia="zh-CN"/>
        </w:rPr>
      </w:pPr>
      <w:r>
        <w:rPr>
          <w:rFonts w:hint="default" w:ascii="仿宋_GB2312" w:hAnsi="仿宋_GB2312" w:eastAsia="仿宋_GB2312" w:cs="仿宋_GB2312"/>
          <w:spacing w:val="-6"/>
          <w:sz w:val="32"/>
          <w:szCs w:val="32"/>
          <w:lang w:val="en-US" w:eastAsia="zh-CN"/>
        </w:rPr>
        <w:t>二是资金审核关口前移。加强预算评审的审核把关，对各项政府投资项目开展客观、公正、专业的评审，切实提高政府投资效益，全年完成各类政府投资工程项</w:t>
      </w:r>
      <w:r>
        <w:rPr>
          <w:rFonts w:hint="default" w:ascii="仿宋_GB2312" w:hAnsi="仿宋_GB2312" w:eastAsia="仿宋_GB2312" w:cs="仿宋_GB2312"/>
          <w:spacing w:val="-6"/>
          <w:sz w:val="32"/>
          <w:szCs w:val="32"/>
          <w:highlight w:val="none"/>
          <w:lang w:val="en-US" w:eastAsia="zh-CN"/>
        </w:rPr>
        <w:t>目</w:t>
      </w:r>
      <w:r>
        <w:rPr>
          <w:rFonts w:hint="eastAsia" w:ascii="仿宋_GB2312" w:hAnsi="仿宋_GB2312" w:eastAsia="仿宋_GB2312" w:cs="仿宋_GB2312"/>
          <w:spacing w:val="-6"/>
          <w:sz w:val="32"/>
          <w:szCs w:val="32"/>
          <w:highlight w:val="none"/>
          <w:lang w:val="en-US" w:eastAsia="zh-CN"/>
        </w:rPr>
        <w:t>评审</w:t>
      </w:r>
      <w:r>
        <w:rPr>
          <w:rFonts w:hint="default" w:ascii="仿宋_GB2312" w:hAnsi="仿宋_GB2312" w:eastAsia="仿宋_GB2312" w:cs="仿宋_GB2312"/>
          <w:spacing w:val="-6"/>
          <w:sz w:val="32"/>
          <w:szCs w:val="32"/>
          <w:highlight w:val="none"/>
          <w:lang w:val="en-US" w:eastAsia="zh-CN"/>
        </w:rPr>
        <w:t>136个，</w:t>
      </w:r>
      <w:r>
        <w:rPr>
          <w:rFonts w:hint="eastAsia" w:ascii="仿宋_GB2312" w:hAnsi="仿宋_GB2312" w:eastAsia="仿宋_GB2312" w:cs="仿宋_GB2312"/>
          <w:spacing w:val="-6"/>
          <w:sz w:val="32"/>
          <w:szCs w:val="32"/>
          <w:highlight w:val="none"/>
          <w:lang w:val="en-US" w:eastAsia="zh-CN"/>
        </w:rPr>
        <w:t>送</w:t>
      </w:r>
      <w:r>
        <w:rPr>
          <w:rFonts w:hint="default" w:ascii="仿宋_GB2312" w:hAnsi="仿宋_GB2312" w:eastAsia="仿宋_GB2312" w:cs="仿宋_GB2312"/>
          <w:spacing w:val="-6"/>
          <w:sz w:val="32"/>
          <w:szCs w:val="32"/>
          <w:highlight w:val="none"/>
          <w:lang w:val="en-US" w:eastAsia="zh-CN"/>
        </w:rPr>
        <w:t>审金额19.03亿元，审定金额16.02亿元，审减3.01亿元，</w:t>
      </w:r>
      <w:r>
        <w:rPr>
          <w:rFonts w:hint="default" w:ascii="仿宋_GB2312" w:hAnsi="仿宋_GB2312" w:eastAsia="仿宋_GB2312" w:cs="仿宋_GB2312"/>
          <w:spacing w:val="-6"/>
          <w:sz w:val="32"/>
          <w:szCs w:val="32"/>
          <w:lang w:val="en-US" w:eastAsia="zh-CN"/>
        </w:rPr>
        <w:t>审减率15.78%。大力开展政府采购货物和服务项目审核工作，最大限度节约政府采购资金，全年完成政府采购货物和服务项目预算评审68个，评审金额6.06亿元，审定金额4.4</w:t>
      </w:r>
      <w:r>
        <w:rPr>
          <w:rFonts w:hint="default" w:ascii="仿宋_GB2312" w:hAnsi="仿宋_GB2312" w:eastAsia="仿宋_GB2312" w:cs="仿宋_GB2312"/>
          <w:spacing w:val="-6"/>
          <w:sz w:val="32"/>
          <w:szCs w:val="32"/>
          <w:highlight w:val="none"/>
          <w:lang w:val="en-US" w:eastAsia="zh-CN"/>
        </w:rPr>
        <w:t>3亿元，审减1.63亿元，审减率26.9%。</w:t>
      </w:r>
    </w:p>
    <w:p w14:paraId="7AE6755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是提升财政监督质效。持续开展群众身边不正之风和腐败问题集中整治，有效发挥财政监督“利剑”作用。坚持以制度为准绳，以流程为保障，通过岗位制衡与系统管控，严格履行资金支付审核职责。强化执行国库集中支付和公务卡制度，加强动态监控，公务支出更加透明，公务消费更加规范。</w:t>
      </w:r>
    </w:p>
    <w:p w14:paraId="05AD899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6.树牢底线思维，提升风险防范能力</w:t>
      </w:r>
    </w:p>
    <w:p w14:paraId="7D0AFD5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持续完善常态化债务监控机制，积极稳妥化解隐性债务存量，严禁新增隐性债务，坚决遏制违法违规举债行为，制定地方政府债务风险防范化解工作方案，细化方案落实，统筹使用各类资金资产资源，用足用好化债政策，</w:t>
      </w:r>
      <w:r>
        <w:rPr>
          <w:rFonts w:hint="eastAsia" w:ascii="仿宋_GB2312" w:hAnsi="仿宋_GB2312" w:eastAsia="仿宋_GB2312" w:cs="仿宋_GB2312"/>
          <w:sz w:val="32"/>
          <w:szCs w:val="32"/>
          <w:lang w:val="en-US" w:eastAsia="zh-CN"/>
        </w:rPr>
        <w:t>积极</w:t>
      </w:r>
      <w:r>
        <w:rPr>
          <w:rFonts w:hint="default" w:ascii="仿宋_GB2312" w:hAnsi="仿宋_GB2312" w:eastAsia="仿宋_GB2312" w:cs="仿宋_GB2312"/>
          <w:sz w:val="32"/>
          <w:szCs w:val="32"/>
          <w:lang w:val="en-US" w:eastAsia="zh-CN"/>
        </w:rPr>
        <w:t>争取置换</w:t>
      </w:r>
      <w:r>
        <w:rPr>
          <w:rFonts w:hint="default" w:ascii="仿宋_GB2312" w:hAnsi="仿宋_GB2312" w:eastAsia="仿宋_GB2312" w:cs="仿宋_GB2312"/>
          <w:sz w:val="32"/>
          <w:szCs w:val="32"/>
          <w:highlight w:val="none"/>
          <w:lang w:val="en-US" w:eastAsia="zh-CN"/>
        </w:rPr>
        <w:t>债券</w:t>
      </w:r>
      <w:r>
        <w:rPr>
          <w:rFonts w:hint="default" w:ascii="仿宋_GB2312" w:hAnsi="仿宋_GB2312" w:eastAsia="仿宋_GB2312" w:cs="仿宋_GB2312"/>
          <w:sz w:val="32"/>
          <w:szCs w:val="32"/>
          <w:lang w:val="en-US" w:eastAsia="zh-CN"/>
        </w:rPr>
        <w:t>，有效缓解偿债压力。进一步健全“举债必问效、无效必问责”的政府债券资金绩效管理机制，进一步规范政府性债务风险应急处置机制，严格落实责任，加强监测预警，着力防范地方政府债务风险，牢牢守住不发生系统性风险底线。</w:t>
      </w:r>
    </w:p>
    <w:p w14:paraId="0685FAC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刚刚过去的2025年是“十四五”规划的收官之年</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回顾过去的五年，财政实力稳中有升，政策效能不断显现，为全县经济社会发展大局提供了财力保障。“十四五”时期，全县一般公共预算收支</w:t>
      </w:r>
      <w:r>
        <w:rPr>
          <w:rFonts w:hint="eastAsia" w:ascii="仿宋_GB2312" w:hAnsi="仿宋_GB2312" w:eastAsia="仿宋_GB2312" w:cs="仿宋_GB2312"/>
          <w:sz w:val="32"/>
          <w:szCs w:val="32"/>
          <w:lang w:val="en-US" w:eastAsia="zh-CN"/>
        </w:rPr>
        <w:t>分别</w:t>
      </w:r>
      <w:r>
        <w:rPr>
          <w:rFonts w:hint="default" w:ascii="仿宋_GB2312" w:hAnsi="仿宋_GB2312" w:eastAsia="仿宋_GB2312" w:cs="仿宋_GB2312"/>
          <w:sz w:val="32"/>
          <w:szCs w:val="32"/>
          <w:lang w:val="en-US" w:eastAsia="zh-CN"/>
        </w:rPr>
        <w:t>达到68.05亿元、226.32亿元，较“十三五”时期</w:t>
      </w:r>
      <w:r>
        <w:rPr>
          <w:rFonts w:hint="eastAsia" w:ascii="仿宋_GB2312" w:hAnsi="仿宋_GB2312" w:eastAsia="仿宋_GB2312" w:cs="仿宋_GB2312"/>
          <w:sz w:val="32"/>
          <w:szCs w:val="32"/>
          <w:lang w:val="en-US" w:eastAsia="zh-CN"/>
        </w:rPr>
        <w:t>分别</w:t>
      </w:r>
      <w:r>
        <w:rPr>
          <w:rFonts w:hint="default" w:ascii="仿宋_GB2312" w:hAnsi="仿宋_GB2312" w:eastAsia="仿宋_GB2312" w:cs="仿宋_GB2312"/>
          <w:sz w:val="32"/>
          <w:szCs w:val="32"/>
          <w:lang w:val="en-US" w:eastAsia="zh-CN"/>
        </w:rPr>
        <w:t>增长37.45%、3.9%，集中财力办成多件发展大事和民生实事；充分发挥专项债券强基础、补短板、惠民生、扩投资等积极作用，累计发行政府新增专项债券64.52亿元；全县民生支出累计达194.96亿元，占一般公共预算支出的比重稳定在8</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%以上；将基层“三保”作为财政工作头等大事，健全保障机制，压实各方责任，全县“三保”大局总体平稳；有效优化财政支出结构，落实党政机关习惯过紧日子的理念树得更牢，财经秩序有所好转。</w:t>
      </w:r>
    </w:p>
    <w:p w14:paraId="4487564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以上成绩的取得，是深入贯彻习近平新时代中国特色社会主义思想的结果，是县委坚强领导、科学决策的结果，是县人大、县政协及代表</w:t>
      </w:r>
      <w:r>
        <w:rPr>
          <w:rFonts w:hint="eastAsia" w:ascii="仿宋_GB2312" w:hAnsi="仿宋_GB2312" w:eastAsia="仿宋_GB2312" w:cs="仿宋_GB2312"/>
          <w:sz w:val="32"/>
          <w:szCs w:val="32"/>
          <w:highlight w:val="none"/>
          <w:lang w:val="en-US" w:eastAsia="zh-CN"/>
        </w:rPr>
        <w:t>、委员</w:t>
      </w:r>
      <w:r>
        <w:rPr>
          <w:rFonts w:hint="default" w:ascii="仿宋_GB2312" w:hAnsi="仿宋_GB2312" w:eastAsia="仿宋_GB2312" w:cs="仿宋_GB2312"/>
          <w:sz w:val="32"/>
          <w:szCs w:val="32"/>
          <w:lang w:val="en-US" w:eastAsia="zh-CN"/>
        </w:rPr>
        <w:t>们大力支持、监督指导的结果，是全县人民齐心协力、共同奋斗的结果。与此同时，我们也清醒地认识到，财政事业的运行管理过程中仍面临一些棘手问题和新兴挑战：房地产业相关税收尚未止跌回稳，税源挖潜力度有待增强，对财政收入的稳定增长支撑不足，同时财政刚性支出需求持续增大，收支矛盾突出，“三保”压力较大；财政科学管理水平有待提升，推进零基预算改革尚有梗阻，预算绩效管理质量有待增强，事前评估、目标编制、结果应用等环节薄弱，与预算挂钩的激励约束机制落实不够彻底；监督检查的深度、广度有待加强；资金资产资源的统筹力度和使用效益需要进一步提高；个别单位贯彻落实过紧日子要求不到位，一些预算单位在资金使用、财务会计、资产管理等方面执行不够规范、不够精细。对此，我们一定高度重视，积极采取有力举措推动问题切实解决。</w:t>
      </w:r>
    </w:p>
    <w:p w14:paraId="27F6694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二、2026年预算草案</w:t>
      </w:r>
    </w:p>
    <w:p w14:paraId="3A59ABF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2026年是“十五五”规划开局之年，是迈向中国式现代化新征程的奋进之年，也是我县发展实现新跨越，塑造新优势的突破之年，科学研判财政收支形势，合理编制财政预算，落实更加积极的财政政策，对于奋力推动县域发展实现新跨越具有重要意义。</w:t>
      </w:r>
    </w:p>
    <w:p w14:paraId="65F8DDF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sz w:val="32"/>
          <w:szCs w:val="32"/>
          <w:lang w:val="en-US" w:eastAsia="zh-CN"/>
        </w:rPr>
      </w:pPr>
      <w:r>
        <w:rPr>
          <w:rFonts w:hint="default" w:ascii="仿宋_GB2312" w:hAnsi="仿宋_GB2312" w:eastAsia="仿宋_GB2312" w:cs="仿宋_GB2312"/>
          <w:sz w:val="32"/>
          <w:szCs w:val="32"/>
          <w:lang w:val="en-US" w:eastAsia="zh-CN"/>
        </w:rPr>
        <w:t>2026年预算编制指导思想是：</w:t>
      </w:r>
      <w:r>
        <w:rPr>
          <w:rFonts w:hint="eastAsia" w:ascii="黑体" w:hAnsi="黑体" w:eastAsia="黑体" w:cs="黑体"/>
          <w:b w:val="0"/>
          <w:bCs w:val="0"/>
          <w:sz w:val="32"/>
          <w:szCs w:val="32"/>
          <w:lang w:val="en-US" w:eastAsia="zh-CN"/>
        </w:rPr>
        <w:t>以习近平新时代中国特色社会主义思想为指导，深入贯彻党的二十大、二十届历次全会和中央经济工作会议精神，深入学习贯彻习近平总书记在河南考察时重要讲话精神和关于河南工作的重要论述，落实省委十一届十次全会和省委经济工作会议、市委六届九次全会暨市委经济工作会议以及县委十三届十次全会暨县委经济工作会议部署，聚焦省委“1+2+4+N”目标任务体系、市委“一源一区一堡一地”、县委“六城一中心”发展定位和“1234”工作思路，完整准确全面贯彻新发展理念，融入和服务加快构建新发展格局，着力推动高质量发展，坚持稳中求进工作总基调，更好统筹发展和安全，落实更加积极有为的财政政策，做优增量，盘活存量，优化支出结构，支持因地制宜发展新质生产力，助力深度融入和服务全国统一大市场建设，坚持党政机关习惯过紧日子，兜牢基层“三保”底线，持续防范化解地方政府债务风险，落实深化财税体制改革部署，着力稳就业、稳企业、稳市场、稳预期，推动经济实现质的有效提升和量的合理增长，保持社会和谐稳定，实现“十五五”良好开局，为奋力谱写中原大地推进中国式现代化民权新篇章贡献财政力量。</w:t>
      </w:r>
    </w:p>
    <w:p w14:paraId="520878D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综合考虑经济发展形势、财政政策等因素影响，2026年全县一般公共预算收入预期增长目标为</w:t>
      </w:r>
      <w:r>
        <w:rPr>
          <w:rFonts w:hint="default"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val="en-US" w:eastAsia="zh-CN"/>
        </w:rPr>
        <w:t>以上</w:t>
      </w:r>
      <w:r>
        <w:rPr>
          <w:rFonts w:hint="default" w:ascii="仿宋_GB2312" w:hAnsi="仿宋_GB2312" w:eastAsia="仿宋_GB2312" w:cs="仿宋_GB2312"/>
          <w:sz w:val="32"/>
          <w:szCs w:val="32"/>
          <w:lang w:val="en-US" w:eastAsia="zh-CN"/>
        </w:rPr>
        <w:t>。支出方面，基本民生政策提标等硬性增支政策较多，刚性支出易增难减，既有支出格局调整难度大，财政收支紧平衡状态更加突出。</w:t>
      </w:r>
    </w:p>
    <w:p w14:paraId="33348B7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（一）2026年县级财政收支预算</w:t>
      </w:r>
    </w:p>
    <w:p w14:paraId="43A4912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1.一般公共预算</w:t>
      </w:r>
    </w:p>
    <w:p w14:paraId="494E543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lang w:val="en-US" w:eastAsia="zh-CN"/>
        </w:rPr>
        <w:t>（1）代编全县一般公共</w:t>
      </w:r>
      <w:r>
        <w:rPr>
          <w:rFonts w:hint="default" w:ascii="仿宋_GB2312" w:hAnsi="仿宋_GB2312" w:eastAsia="仿宋_GB2312" w:cs="仿宋_GB2312"/>
          <w:sz w:val="32"/>
          <w:szCs w:val="32"/>
          <w:highlight w:val="none"/>
          <w:lang w:val="en-US" w:eastAsia="zh-CN"/>
        </w:rPr>
        <w:t>预算</w:t>
      </w:r>
      <w:r>
        <w:rPr>
          <w:rFonts w:hint="eastAsia" w:ascii="仿宋_GB2312" w:hAnsi="仿宋_GB2312" w:eastAsia="仿宋_GB2312" w:cs="仿宋_GB2312"/>
          <w:sz w:val="32"/>
          <w:szCs w:val="32"/>
          <w:highlight w:val="none"/>
          <w:lang w:val="en-US" w:eastAsia="zh-CN"/>
        </w:rPr>
        <w:t>安排</w:t>
      </w:r>
      <w:r>
        <w:rPr>
          <w:rFonts w:hint="default" w:ascii="仿宋_GB2312" w:hAnsi="仿宋_GB2312" w:eastAsia="仿宋_GB2312" w:cs="仿宋_GB2312"/>
          <w:sz w:val="32"/>
          <w:szCs w:val="32"/>
          <w:highlight w:val="none"/>
          <w:lang w:val="en-US" w:eastAsia="zh-CN"/>
        </w:rPr>
        <w:t>情况</w:t>
      </w:r>
    </w:p>
    <w:p w14:paraId="1A75EAE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highlight w:val="none"/>
          <w:lang w:val="en-US" w:eastAsia="zh-CN"/>
        </w:rPr>
        <w:t>2026年全县一般公共预算收入</w:t>
      </w:r>
      <w:r>
        <w:rPr>
          <w:rFonts w:hint="eastAsia" w:ascii="仿宋_GB2312" w:hAnsi="仿宋_GB2312" w:eastAsia="仿宋_GB2312" w:cs="仿宋_GB2312"/>
          <w:sz w:val="32"/>
          <w:szCs w:val="32"/>
          <w:highlight w:val="none"/>
          <w:lang w:val="en-US" w:eastAsia="zh-CN"/>
        </w:rPr>
        <w:t>安排</w:t>
      </w:r>
      <w:r>
        <w:rPr>
          <w:rFonts w:hint="default" w:ascii="仿宋_GB2312" w:hAnsi="仿宋_GB2312" w:eastAsia="仿宋_GB2312" w:cs="仿宋_GB2312"/>
          <w:sz w:val="32"/>
          <w:szCs w:val="32"/>
          <w:highlight w:val="none"/>
          <w:lang w:val="en-US" w:eastAsia="zh-CN"/>
        </w:rPr>
        <w:t>15.33亿元，加上级补助收入26.19亿元、上年结转结余</w:t>
      </w:r>
      <w:r>
        <w:rPr>
          <w:rFonts w:hint="default" w:ascii="仿宋_GB2312" w:hAnsi="仿宋_GB2312" w:eastAsia="仿宋_GB2312" w:cs="仿宋_GB2312"/>
          <w:sz w:val="32"/>
          <w:szCs w:val="32"/>
          <w:lang w:val="en-US" w:eastAsia="zh-CN"/>
        </w:rPr>
        <w:t>收入0.21亿元、动用预算稳定调节基金3.27亿元，全县一般公共预算收入总计为45亿元；全县一般公共预算支出为41.48亿元，加上解支出3.08亿元、一般债券还本支出0.44亿元，全县一般公共预算支出总计为45亿元。</w:t>
      </w:r>
    </w:p>
    <w:p w14:paraId="42CB44C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（2）县本级一般公共预算收入安排</w:t>
      </w:r>
    </w:p>
    <w:p w14:paraId="6BC62CC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lang w:val="en-US" w:eastAsia="zh-CN"/>
        </w:rPr>
        <w:t>2026年县本级一般公共预算收入安排6.41亿元，比2025年预算5.42亿元增长18.3%。</w:t>
      </w:r>
    </w:p>
    <w:p w14:paraId="2C149FB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bCs/>
          <w:sz w:val="32"/>
          <w:szCs w:val="32"/>
          <w:highlight w:val="none"/>
          <w:lang w:val="en-US" w:eastAsia="zh-CN"/>
        </w:rPr>
      </w:pPr>
      <w:r>
        <w:rPr>
          <w:rFonts w:hint="default" w:ascii="仿宋_GB2312" w:hAnsi="仿宋_GB2312" w:eastAsia="仿宋_GB2312" w:cs="仿宋_GB2312"/>
          <w:b/>
          <w:bCs/>
          <w:sz w:val="32"/>
          <w:szCs w:val="32"/>
          <w:highlight w:val="none"/>
          <w:lang w:val="en-US" w:eastAsia="zh-CN"/>
        </w:rPr>
        <w:t>具体安排情况是：</w:t>
      </w:r>
    </w:p>
    <w:p w14:paraId="4CE2E0A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highlight w:val="none"/>
          <w:lang w:val="en-US" w:eastAsia="zh-CN"/>
        </w:rPr>
        <w:t>①税收收入4.22亿元，比2025年</w:t>
      </w:r>
      <w:r>
        <w:rPr>
          <w:rFonts w:hint="eastAsia" w:ascii="仿宋_GB2312" w:hAnsi="仿宋_GB2312" w:eastAsia="仿宋_GB2312" w:cs="仿宋_GB2312"/>
          <w:sz w:val="32"/>
          <w:szCs w:val="32"/>
          <w:highlight w:val="none"/>
          <w:lang w:val="en-US" w:eastAsia="zh-CN"/>
        </w:rPr>
        <w:t>年初</w:t>
      </w:r>
      <w:r>
        <w:rPr>
          <w:rFonts w:hint="default" w:ascii="仿宋_GB2312" w:hAnsi="仿宋_GB2312" w:eastAsia="仿宋_GB2312" w:cs="仿宋_GB2312"/>
          <w:sz w:val="32"/>
          <w:szCs w:val="32"/>
          <w:highlight w:val="none"/>
          <w:lang w:val="en-US" w:eastAsia="zh-CN"/>
        </w:rPr>
        <w:t>预算增长</w:t>
      </w:r>
      <w:r>
        <w:rPr>
          <w:rFonts w:hint="eastAsia" w:ascii="仿宋_GB2312" w:hAnsi="仿宋_GB2312" w:eastAsia="仿宋_GB2312" w:cs="仿宋_GB2312"/>
          <w:sz w:val="32"/>
          <w:szCs w:val="32"/>
          <w:highlight w:val="none"/>
          <w:lang w:val="en-US" w:eastAsia="zh-CN"/>
        </w:rPr>
        <w:t>50.7</w:t>
      </w:r>
      <w:r>
        <w:rPr>
          <w:rFonts w:hint="default" w:ascii="仿宋_GB2312" w:hAnsi="仿宋_GB2312" w:eastAsia="仿宋_GB2312" w:cs="仿宋_GB2312"/>
          <w:sz w:val="32"/>
          <w:szCs w:val="32"/>
          <w:highlight w:val="none"/>
          <w:lang w:val="en-US" w:eastAsia="zh-CN"/>
        </w:rPr>
        <w:t>%，税收占比65.8%。主要是：增值税1.51亿元，企业所得税0.3亿</w:t>
      </w:r>
      <w:r>
        <w:rPr>
          <w:rFonts w:hint="default" w:ascii="仿宋_GB2312" w:hAnsi="仿宋_GB2312" w:eastAsia="仿宋_GB2312" w:cs="仿宋_GB2312"/>
          <w:sz w:val="32"/>
          <w:szCs w:val="32"/>
          <w:lang w:val="en-US" w:eastAsia="zh-CN"/>
        </w:rPr>
        <w:t>元，个人所得税0.02亿元，资源税0.93亿元，城市维护建设税0.11亿元，房产税0.11亿元，城镇土地使用税0.44亿元，土地增值税0.21亿元，车船税0.34亿元，耕地占用税0.04亿元，契税0.17亿元。</w:t>
      </w:r>
    </w:p>
    <w:p w14:paraId="05D7C93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lang w:val="en-US" w:eastAsia="zh-CN"/>
        </w:rPr>
        <w:t>②非税收入2.19亿元，</w:t>
      </w:r>
      <w:r>
        <w:rPr>
          <w:rFonts w:hint="default" w:ascii="仿宋_GB2312" w:hAnsi="仿宋_GB2312" w:eastAsia="仿宋_GB2312" w:cs="仿宋_GB2312"/>
          <w:sz w:val="32"/>
          <w:szCs w:val="32"/>
          <w:highlight w:val="none"/>
          <w:lang w:val="en-US" w:eastAsia="zh-CN"/>
        </w:rPr>
        <w:t>比2025年</w:t>
      </w:r>
      <w:r>
        <w:rPr>
          <w:rFonts w:hint="eastAsia" w:ascii="仿宋_GB2312" w:hAnsi="仿宋_GB2312" w:eastAsia="仿宋_GB2312" w:cs="仿宋_GB2312"/>
          <w:sz w:val="32"/>
          <w:szCs w:val="32"/>
          <w:highlight w:val="none"/>
          <w:lang w:val="en-US" w:eastAsia="zh-CN"/>
        </w:rPr>
        <w:t>年初</w:t>
      </w:r>
      <w:r>
        <w:rPr>
          <w:rFonts w:hint="default" w:ascii="仿宋_GB2312" w:hAnsi="仿宋_GB2312" w:eastAsia="仿宋_GB2312" w:cs="仿宋_GB2312"/>
          <w:sz w:val="32"/>
          <w:szCs w:val="32"/>
          <w:highlight w:val="none"/>
          <w:lang w:val="en-US" w:eastAsia="zh-CN"/>
        </w:rPr>
        <w:t>预算下降16.4%。主要是：专项收入0.05亿元，行政事业性收费0.16亿元，罚没收入0.6亿元，国有资产（资源）有偿使用收入1.36亿元。</w:t>
      </w:r>
    </w:p>
    <w:p w14:paraId="5A87004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sz w:val="32"/>
          <w:szCs w:val="32"/>
          <w:highlight w:val="none"/>
          <w:lang w:val="en-US" w:eastAsia="zh-CN"/>
        </w:rPr>
      </w:pPr>
      <w:r>
        <w:rPr>
          <w:rFonts w:hint="default" w:ascii="仿宋_GB2312" w:hAnsi="仿宋_GB2312" w:eastAsia="仿宋_GB2312" w:cs="仿宋_GB2312"/>
          <w:b w:val="0"/>
          <w:bCs w:val="0"/>
          <w:sz w:val="32"/>
          <w:szCs w:val="32"/>
          <w:highlight w:val="none"/>
          <w:lang w:val="en-US" w:eastAsia="zh-CN"/>
        </w:rPr>
        <w:t>（3）县本级一般公共预算支出安排</w:t>
      </w:r>
    </w:p>
    <w:p w14:paraId="0982C43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highlight w:val="none"/>
          <w:lang w:val="en-US" w:eastAsia="zh-CN"/>
        </w:rPr>
        <w:t>一般公共预算收入安排6.41亿元，加上级补助收入24.39亿元（一般性转移支付收入24.16亿元、专项转移支付收入0.23亿元）、动用预算稳定调节基金3.27亿元，上年结转收入0.21亿元，下级上解5.85亿元，减去债券还本支出0.44亿元，上解上级3.08亿元，一般公共预算财力为36.61亿元，相应安排支出36.61亿元，比上年预算增长4.9%。</w:t>
      </w:r>
      <w:r>
        <w:rPr>
          <w:rFonts w:hint="default" w:ascii="仿宋_GB2312" w:hAnsi="仿宋_GB2312" w:eastAsia="仿宋_GB2312" w:cs="仿宋_GB2312"/>
          <w:sz w:val="32"/>
          <w:szCs w:val="32"/>
          <w:lang w:val="en-US" w:eastAsia="zh-CN"/>
        </w:rPr>
        <w:t>主要支出科目是：</w:t>
      </w:r>
    </w:p>
    <w:p w14:paraId="1D069E4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①一般公共服务支出3.45亿元；</w:t>
      </w:r>
    </w:p>
    <w:p w14:paraId="1B93677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②公共安全支出1.68亿元；</w:t>
      </w:r>
    </w:p>
    <w:p w14:paraId="724895F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③教育支出11.09亿元；</w:t>
      </w:r>
    </w:p>
    <w:p w14:paraId="5242E4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④科学技术支出0.09亿元；</w:t>
      </w:r>
    </w:p>
    <w:p w14:paraId="4E227BE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⑤文化旅游体育与传媒支出0.2亿元；</w:t>
      </w:r>
    </w:p>
    <w:p w14:paraId="7784DEC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⑥社会保障和就业支出7.09亿元；</w:t>
      </w:r>
    </w:p>
    <w:p w14:paraId="3FB4193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⑦卫生健康支出4.11亿元；</w:t>
      </w:r>
    </w:p>
    <w:p w14:paraId="6A37E7B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⑧城乡社区支出0.53亿元；</w:t>
      </w:r>
    </w:p>
    <w:p w14:paraId="7E82730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⑨农林水支出4.29亿元；</w:t>
      </w:r>
    </w:p>
    <w:p w14:paraId="619592B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⑩交通运输支出0.47亿元；</w:t>
      </w:r>
    </w:p>
    <w:p w14:paraId="7A2EE5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⑪自然资源海洋气象等支出0.19亿元；</w:t>
      </w:r>
    </w:p>
    <w:p w14:paraId="0F5F11D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⑫住房保障支出1.18亿元；</w:t>
      </w:r>
    </w:p>
    <w:p w14:paraId="2AE66A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⑬</w:t>
      </w:r>
      <w:r>
        <w:rPr>
          <w:rFonts w:hint="eastAsia" w:ascii="仿宋_GB2312" w:hAnsi="仿宋_GB2312" w:eastAsia="仿宋_GB2312" w:cs="仿宋_GB2312"/>
          <w:sz w:val="32"/>
          <w:szCs w:val="32"/>
          <w:highlight w:val="none"/>
          <w:lang w:val="en-US" w:eastAsia="zh-CN"/>
        </w:rPr>
        <w:t>灾害防治及应急管理支出0.17亿元；</w:t>
      </w:r>
    </w:p>
    <w:p w14:paraId="25A0314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⑭预备费0.4亿元；</w:t>
      </w:r>
    </w:p>
    <w:p w14:paraId="23FD9B8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⑮其他支出0.93亿元；</w:t>
      </w:r>
    </w:p>
    <w:p w14:paraId="020A59E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⑯</w:t>
      </w:r>
      <w:r>
        <w:rPr>
          <w:rFonts w:hint="default" w:ascii="仿宋_GB2312" w:hAnsi="仿宋_GB2312" w:eastAsia="仿宋_GB2312" w:cs="仿宋_GB2312"/>
          <w:sz w:val="32"/>
          <w:szCs w:val="32"/>
          <w:highlight w:val="none"/>
          <w:lang w:val="en-US" w:eastAsia="zh-CN"/>
        </w:rPr>
        <w:t>债务付息支出0.55亿元。</w:t>
      </w:r>
    </w:p>
    <w:p w14:paraId="145DC62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bCs/>
          <w:sz w:val="32"/>
          <w:szCs w:val="32"/>
          <w:highlight w:val="none"/>
          <w:lang w:val="en-US" w:eastAsia="zh-CN"/>
        </w:rPr>
      </w:pPr>
      <w:r>
        <w:rPr>
          <w:rFonts w:hint="default" w:ascii="仿宋_GB2312" w:hAnsi="仿宋_GB2312" w:eastAsia="仿宋_GB2312" w:cs="仿宋_GB2312"/>
          <w:b/>
          <w:bCs/>
          <w:sz w:val="32"/>
          <w:szCs w:val="32"/>
          <w:highlight w:val="none"/>
          <w:lang w:val="en-US" w:eastAsia="zh-CN"/>
        </w:rPr>
        <w:t>2.政府性基金预算</w:t>
      </w:r>
    </w:p>
    <w:p w14:paraId="57A110F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（1）收入安排</w:t>
      </w:r>
    </w:p>
    <w:p w14:paraId="2213BC1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highlight w:val="none"/>
          <w:lang w:val="en-US" w:eastAsia="zh-CN"/>
        </w:rPr>
        <w:t>2026年，县本级政府性基金预算收入</w:t>
      </w:r>
      <w:r>
        <w:rPr>
          <w:rFonts w:hint="eastAsia" w:ascii="仿宋_GB2312" w:hAnsi="仿宋_GB2312" w:eastAsia="仿宋_GB2312" w:cs="仿宋_GB2312"/>
          <w:sz w:val="32"/>
          <w:szCs w:val="32"/>
          <w:highlight w:val="none"/>
          <w:lang w:val="en-US" w:eastAsia="zh-CN"/>
        </w:rPr>
        <w:t>共</w:t>
      </w:r>
      <w:r>
        <w:rPr>
          <w:rFonts w:hint="default" w:ascii="仿宋_GB2312" w:hAnsi="仿宋_GB2312" w:eastAsia="仿宋_GB2312" w:cs="仿宋_GB2312"/>
          <w:sz w:val="32"/>
          <w:szCs w:val="32"/>
          <w:highlight w:val="none"/>
          <w:lang w:val="en-US" w:eastAsia="zh-CN"/>
        </w:rPr>
        <w:t>13.3亿元，其中：</w:t>
      </w:r>
      <w:r>
        <w:rPr>
          <w:rFonts w:hint="eastAsia" w:ascii="仿宋_GB2312" w:hAnsi="仿宋_GB2312" w:eastAsia="仿宋_GB2312" w:cs="仿宋_GB2312"/>
          <w:sz w:val="32"/>
          <w:szCs w:val="32"/>
          <w:highlight w:val="none"/>
          <w:lang w:val="en-US" w:eastAsia="zh-CN"/>
        </w:rPr>
        <w:t>政府性基金预算收入安排</w:t>
      </w:r>
      <w:r>
        <w:rPr>
          <w:rFonts w:hint="default" w:ascii="仿宋_GB2312" w:hAnsi="仿宋_GB2312" w:eastAsia="仿宋_GB2312" w:cs="仿宋_GB2312"/>
          <w:sz w:val="32"/>
          <w:szCs w:val="32"/>
          <w:highlight w:val="none"/>
          <w:lang w:val="en-US" w:eastAsia="zh-CN"/>
        </w:rPr>
        <w:t>5.53亿元，上年结转收入7.66亿元，</w:t>
      </w:r>
      <w:r>
        <w:rPr>
          <w:rFonts w:hint="default" w:ascii="仿宋_GB2312" w:hAnsi="仿宋_GB2312" w:eastAsia="仿宋_GB2312" w:cs="仿宋_GB2312"/>
          <w:sz w:val="32"/>
          <w:szCs w:val="32"/>
          <w:lang w:val="en-US" w:eastAsia="zh-CN"/>
        </w:rPr>
        <w:t>上级补助0.11亿元。</w:t>
      </w:r>
    </w:p>
    <w:p w14:paraId="71C8598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（2）支出安排</w:t>
      </w:r>
    </w:p>
    <w:p w14:paraId="740038C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2026年，县本级政府性基金预算总收入安排13.3亿元，扣除上解上</w:t>
      </w:r>
      <w:r>
        <w:rPr>
          <w:rFonts w:hint="default" w:ascii="仿宋_GB2312" w:hAnsi="仿宋_GB2312" w:eastAsia="仿宋_GB2312" w:cs="仿宋_GB2312"/>
          <w:sz w:val="32"/>
          <w:szCs w:val="32"/>
          <w:highlight w:val="none"/>
          <w:lang w:val="en-US" w:eastAsia="zh-CN"/>
        </w:rPr>
        <w:t>级</w:t>
      </w:r>
      <w:r>
        <w:rPr>
          <w:rFonts w:hint="eastAsia" w:ascii="仿宋_GB2312" w:hAnsi="仿宋_GB2312" w:eastAsia="仿宋_GB2312" w:cs="仿宋_GB2312"/>
          <w:sz w:val="32"/>
          <w:szCs w:val="32"/>
          <w:highlight w:val="none"/>
          <w:lang w:val="en-US" w:eastAsia="zh-CN"/>
        </w:rPr>
        <w:t>支出</w:t>
      </w:r>
      <w:r>
        <w:rPr>
          <w:rFonts w:hint="default" w:ascii="仿宋_GB2312" w:hAnsi="仿宋_GB2312" w:eastAsia="仿宋_GB2312" w:cs="仿宋_GB2312"/>
          <w:sz w:val="32"/>
          <w:szCs w:val="32"/>
          <w:highlight w:val="none"/>
          <w:lang w:val="en-US" w:eastAsia="zh-CN"/>
        </w:rPr>
        <w:t>0.02亿元，相应安排支出总计13.28亿元，主要支出项目有：上年结转支出7.66亿元，专项债券付息及发行费3亿元，东沙河棚户区改造项目、教育事业园、水务一体化等PPP项目付费0.7亿元，征地拆迁补偿款及双倍安置费1.06亿元，垃圾焚烧发电项目0.13亿元，园林绿化维护及环卫作业0.5亿元，污水处理费0.12</w:t>
      </w:r>
      <w:r>
        <w:rPr>
          <w:rFonts w:hint="default" w:ascii="仿宋_GB2312" w:hAnsi="仿宋_GB2312" w:eastAsia="仿宋_GB2312" w:cs="仿宋_GB2312"/>
          <w:sz w:val="32"/>
          <w:szCs w:val="32"/>
          <w:lang w:val="en-US" w:eastAsia="zh-CN"/>
        </w:rPr>
        <w:t>亿元，省财政厅提前告知专项资金0.11亿元。</w:t>
      </w:r>
    </w:p>
    <w:p w14:paraId="5D551C9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3.社会保险基金预算</w:t>
      </w:r>
    </w:p>
    <w:p w14:paraId="362A972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2026年，城乡居民社会养老保险基金预算收入4.5亿元，预算支出3.38亿元。</w:t>
      </w:r>
    </w:p>
    <w:p w14:paraId="6529295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4.国有资本经营预算</w:t>
      </w:r>
    </w:p>
    <w:p w14:paraId="390766A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（1）收入安排</w:t>
      </w:r>
    </w:p>
    <w:p w14:paraId="03066D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2026年，县本级国有资本经营预算收入0.004亿元，其中：国有资本经营预算转移支付收入0.003亿元，国有资本经营预算上年</w:t>
      </w:r>
      <w:r>
        <w:rPr>
          <w:rFonts w:hint="default" w:ascii="仿宋_GB2312" w:hAnsi="仿宋_GB2312" w:eastAsia="仿宋_GB2312" w:cs="仿宋_GB2312"/>
          <w:sz w:val="32"/>
          <w:szCs w:val="32"/>
          <w:highlight w:val="none"/>
          <w:lang w:val="en-US" w:eastAsia="zh-CN"/>
        </w:rPr>
        <w:t>结</w:t>
      </w:r>
      <w:r>
        <w:rPr>
          <w:rFonts w:hint="eastAsia" w:ascii="仿宋_GB2312" w:hAnsi="仿宋_GB2312" w:eastAsia="仿宋_GB2312" w:cs="仿宋_GB2312"/>
          <w:sz w:val="32"/>
          <w:szCs w:val="32"/>
          <w:highlight w:val="none"/>
          <w:lang w:val="en-US" w:eastAsia="zh-CN"/>
        </w:rPr>
        <w:t>转</w:t>
      </w:r>
      <w:r>
        <w:rPr>
          <w:rFonts w:hint="default" w:ascii="仿宋_GB2312" w:hAnsi="仿宋_GB2312" w:eastAsia="仿宋_GB2312" w:cs="仿宋_GB2312"/>
          <w:sz w:val="32"/>
          <w:szCs w:val="32"/>
          <w:lang w:val="en-US" w:eastAsia="zh-CN"/>
        </w:rPr>
        <w:t>收入0.001亿元。</w:t>
      </w:r>
    </w:p>
    <w:p w14:paraId="7D7E3E5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（2）支出安排</w:t>
      </w:r>
    </w:p>
    <w:p w14:paraId="1E8315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2026年，县本级国有资本经营预算总支出安排0.004亿元，其中：解决历史遗留问题及改革成本支出0.004亿元。</w:t>
      </w:r>
    </w:p>
    <w:p w14:paraId="2B60FDC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以上上级补助收入暂按目前已接收的省市财政部门提前告知金额进行安排，最终以正式文件为准；债务收入暂不列入年初预算，待省财政厅批复我县债券规模后再编制预算调整方案，届时报县人大常委会审批。</w:t>
      </w:r>
    </w:p>
    <w:p w14:paraId="09D9BEE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三、2026年财政重点工作</w:t>
      </w:r>
    </w:p>
    <w:p w14:paraId="7639C53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2026年，将深入贯彻落实县委、县人大决策部署，继续实施更加积极的财政政策，注重量入为出，注重靠前发力，注重防范风险，突出重点、强化保障，确保圆满完成全年预算任务。</w:t>
      </w:r>
    </w:p>
    <w:p w14:paraId="1339E82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（一）固本开源，增强财政保障能力</w:t>
      </w:r>
    </w:p>
    <w:p w14:paraId="47F6494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是强化税收征管与培育。加强与税务、高新区、乡镇街道等部门联动，精准摸排税源，依法做到应收尽收。落实落细各项惠企政策，扶持重点企业和新兴产业，培育壮大可持续的优质税源。二是拓展多元化增收渠道。协力深化土地出让统筹，确保土地收入平稳。持续挖掘国有资产资源有偿使用收入潜力，构建多层次、立体化的资产盘活体系，盘活长期低效、闲置存量资产，优化财政资源配置，提高资产资金使用效益。三是全力争取上级资金。准确把握研究国家和省、市政策取向和投资导向，把政策变成实实在在的项目、真金白银的投入、惠及群众的福利。2026年拟争取上级转移支付33亿元，为我县财力提供补充保障。精准对接专项债</w:t>
      </w:r>
      <w:r>
        <w:rPr>
          <w:rFonts w:hint="eastAsia" w:ascii="仿宋_GB2312" w:hAnsi="仿宋_GB2312" w:eastAsia="仿宋_GB2312" w:cs="仿宋_GB2312"/>
          <w:sz w:val="32"/>
          <w:szCs w:val="32"/>
          <w:highlight w:val="none"/>
          <w:lang w:val="en-US" w:eastAsia="zh-CN"/>
        </w:rPr>
        <w:t>券</w:t>
      </w:r>
      <w:r>
        <w:rPr>
          <w:rFonts w:hint="default" w:ascii="仿宋_GB2312" w:hAnsi="仿宋_GB2312" w:eastAsia="仿宋_GB2312" w:cs="仿宋_GB2312"/>
          <w:sz w:val="32"/>
          <w:szCs w:val="32"/>
          <w:lang w:val="en-US" w:eastAsia="zh-CN"/>
        </w:rPr>
        <w:t>、超长期特别国债、中央预算内投资、农村公益事业奖补等政策，围绕重大发展战略、基础设施建设、社会民生短板等领域，精心谋划项目，力争争取上级资金实现新增长。</w:t>
      </w:r>
    </w:p>
    <w:p w14:paraId="3F26EE5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楷体" w:hAnsi="楷体" w:eastAsia="楷体" w:cs="楷体"/>
          <w:sz w:val="32"/>
          <w:szCs w:val="32"/>
          <w:lang w:val="en-US" w:eastAsia="zh-CN"/>
        </w:rPr>
      </w:pPr>
      <w:r>
        <w:rPr>
          <w:rFonts w:hint="default" w:ascii="楷体" w:hAnsi="楷体" w:eastAsia="楷体" w:cs="楷体"/>
          <w:sz w:val="32"/>
          <w:szCs w:val="32"/>
          <w:lang w:val="en-US" w:eastAsia="zh-CN"/>
        </w:rPr>
        <w:t>（二）优化支出，着力补齐民生短板</w:t>
      </w:r>
    </w:p>
    <w:p w14:paraId="7D466A19">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pacing w:val="-6"/>
          <w:sz w:val="32"/>
          <w:szCs w:val="32"/>
          <w:lang w:val="en-US" w:eastAsia="zh-CN"/>
        </w:rPr>
        <w:t>一是优化支出结构，兜牢“三保”底线。强化预算统筹、执行管理以及防控机制，足额保障“三保”资金精准高效落实，支出安排严格按项目轻重缓急排序，集中财力保障县委、县政府重大决策部署、重大战略任务和重点民生实事。二是持续厉行节约，硬化预算约束。将习惯过紧日子要求制度化、长效化，严控“三公”经费、会议培训、政府购买服务等一般性支出，完善动态调整支出标准机制。严控预算追加，除应急救灾等特殊情况外，执行中原则上不出台新的增支政策。三是聚焦重点领域，强化民生兜底。确保民生支出占比稳定有序。重点支持教育优质均衡、提升医疗能力、完善养老服务体系、促进就业创业等工作，积极落实学前教育大班学费减免政策以及3周岁以下婴幼儿育儿补贴政策，降低家庭育儿成本，持续增强人民群众的获得感、幸福感、安全感。</w:t>
      </w:r>
    </w:p>
    <w:p w14:paraId="2EE426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楷体" w:hAnsi="楷体" w:eastAsia="楷体" w:cs="楷体"/>
          <w:sz w:val="32"/>
          <w:szCs w:val="32"/>
          <w:lang w:val="en-US" w:eastAsia="zh-CN"/>
        </w:rPr>
      </w:pPr>
      <w:r>
        <w:rPr>
          <w:rFonts w:hint="default" w:ascii="楷体" w:hAnsi="楷体" w:eastAsia="楷体" w:cs="楷体"/>
          <w:sz w:val="32"/>
          <w:szCs w:val="32"/>
          <w:lang w:val="en-US" w:eastAsia="zh-CN"/>
        </w:rPr>
        <w:t>（三）未雨绸缪，守牢财政安全底线</w:t>
      </w:r>
    </w:p>
    <w:p w14:paraId="3F51F6A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是筑牢“三保”风险防线。始终将基层“三保”摆在财政工作的最优先位置，切实用好省财政厅发布的系统自动启动“三保”支出规模监控功能，进一步强化资金统筹安排，集中财力保障民生支出、工资支出和运转需求。二是守牢政府债务“防线”。进一步完善常态化债务监控机制，积极稳妥化解隐性债务存量，严禁新增隐性债务，坚决遏制违法违规举债行为，防范地方政府债务风险，牢牢守住不发生系统性风险底线。三是严守库款安全“底线”。依托预算管理一体化系统，实时关注国库库款的流入、流出以及余额等数据，建立库款按日监测机制，根据支出需求，动态调控库款资金，合理控制库款规模。统筹调度资金，严格按照“三保”预算调拨库款。严格执行资金签批程序和重大事项决策报告制度，对资金流向从严把关，拨付流程进一步优化，保持合理库款水平，促进库款管理与预算执行的统筹协调，确保财政稳健运行。</w:t>
      </w:r>
    </w:p>
    <w:p w14:paraId="212B03E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同时，强化财政监督与内部审计联动，聚焦重点资金、重点项目、重点领域，严查违规使用财政资金问题，构建“事前预防、事中监管、事后问效”的风险防控体系。</w:t>
      </w:r>
    </w:p>
    <w:p w14:paraId="592B4AC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楷体" w:hAnsi="楷体" w:eastAsia="楷体" w:cs="楷体"/>
          <w:sz w:val="32"/>
          <w:szCs w:val="32"/>
          <w:lang w:val="en-US" w:eastAsia="zh-CN"/>
        </w:rPr>
      </w:pPr>
      <w:r>
        <w:rPr>
          <w:rFonts w:hint="default" w:ascii="楷体" w:hAnsi="楷体" w:eastAsia="楷体" w:cs="楷体"/>
          <w:sz w:val="32"/>
          <w:szCs w:val="32"/>
          <w:lang w:val="en-US" w:eastAsia="zh-CN"/>
        </w:rPr>
        <w:t>（四）深化改革，促进财政科学管理</w:t>
      </w:r>
    </w:p>
    <w:p w14:paraId="1F98A8B4">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rFonts w:hint="default" w:ascii="仿宋_GB2312" w:hAnsi="仿宋_GB2312" w:eastAsia="仿宋_GB2312" w:cs="仿宋_GB2312"/>
          <w:spacing w:val="-6"/>
          <w:sz w:val="32"/>
          <w:szCs w:val="32"/>
          <w:lang w:val="en-US" w:eastAsia="zh-CN"/>
        </w:rPr>
      </w:pPr>
      <w:r>
        <w:rPr>
          <w:rFonts w:hint="default" w:ascii="仿宋_GB2312" w:hAnsi="仿宋_GB2312" w:eastAsia="仿宋_GB2312" w:cs="仿宋_GB2312"/>
          <w:spacing w:val="-6"/>
          <w:sz w:val="32"/>
          <w:szCs w:val="32"/>
          <w:lang w:val="en-US" w:eastAsia="zh-CN"/>
        </w:rPr>
        <w:t>一是深化零基预算，保障大事要事。突破深化零基预算改革梗阻，打破基数依赖，建立大事要事保障清单。完善预算编制标准体系，严格执行预算调整审批程序，强化预算刚性约束。二是强化预算绩效管理全过程。规范事前绩效评估，进一步完善绩效目标、绩效监控、绩效评价、结果应用等管理流程，加快建成全方位、全过程、全覆盖的预算绩效管理体系。三是强化一体化应用，提升监管效能。完善预算一体化系统运行维护，在省财政厅完善电子票据、非税收入征缴、国库支付等系统的互联互通基础上，打造集预算执行、绩效监控、风险预警于一体的数字财政管理格局。</w:t>
      </w:r>
    </w:p>
    <w:p w14:paraId="40B159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楷体" w:hAnsi="楷体" w:eastAsia="楷体" w:cs="楷体"/>
          <w:sz w:val="32"/>
          <w:szCs w:val="32"/>
          <w:lang w:val="en-US" w:eastAsia="zh-CN"/>
        </w:rPr>
      </w:pPr>
      <w:r>
        <w:rPr>
          <w:rFonts w:hint="default" w:ascii="楷体" w:hAnsi="楷体" w:eastAsia="楷体" w:cs="楷体"/>
          <w:sz w:val="32"/>
          <w:szCs w:val="32"/>
          <w:lang w:val="en-US" w:eastAsia="zh-CN"/>
        </w:rPr>
        <w:t>（五）担当作为，主动接受上级监督</w:t>
      </w:r>
    </w:p>
    <w:p w14:paraId="5445143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认真贯彻执行《河南省预算审查监督条例》，积极主动配合县人大开展预算审查监督工作，不断提高预算执行和财政管理水平。深入推进预决算公开，严格落实预决算公开各项要求，提高预决算透明度，增强预算执行的约束力。预算执行中，若出现预算调整事项，依法报县人大或其常委会审查批准，未经批准，决不擅自调整预算。</w:t>
      </w:r>
    </w:p>
    <w:p w14:paraId="33254D99">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rFonts w:hint="default" w:ascii="仿宋_GB2312" w:hAnsi="仿宋_GB2312" w:eastAsia="仿宋_GB2312" w:cs="仿宋_GB2312"/>
          <w:spacing w:val="-6"/>
          <w:sz w:val="32"/>
          <w:szCs w:val="32"/>
          <w:lang w:val="en-US" w:eastAsia="zh-CN"/>
        </w:rPr>
      </w:pPr>
      <w:r>
        <w:rPr>
          <w:rFonts w:hint="default" w:ascii="仿宋_GB2312" w:hAnsi="仿宋_GB2312" w:eastAsia="仿宋_GB2312" w:cs="仿宋_GB2312"/>
          <w:spacing w:val="-6"/>
          <w:sz w:val="32"/>
          <w:szCs w:val="32"/>
          <w:lang w:val="en-US" w:eastAsia="zh-CN"/>
        </w:rPr>
        <w:t>各位代表，2026年是开启“十五五”发展新征程的关键之年，开局即奋进。我们将全面贯彻县委的决策部署，自觉接受县人大监督，虚心听取县政协意见建议，以永不懈怠的精神和一往无前的奋斗姿态，心无旁骛、只争朝夕，齐心协力推动财政工作发展再上新台阶，为奋力谱写中国式现代化民权篇章作出新的更大贡献！</w:t>
      </w:r>
    </w:p>
    <w:sectPr>
      <w:footerReference r:id="rId3" w:type="default"/>
      <w:pgSz w:w="11906" w:h="16838"/>
      <w:pgMar w:top="2098" w:right="1474" w:bottom="1701" w:left="1474" w:header="851" w:footer="1361" w:gutter="0"/>
      <w:pgNumType w:fmt="decimal"/>
      <w:cols w:space="0" w:num="1"/>
      <w:rtlGutter w:val="0"/>
      <w:docGrid w:linePitch="44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EB3FE22-36C9-4767-8573-94E842B3555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0BB413FD-F52D-4223-84FB-CEC45EE43AB1}"/>
  </w:font>
  <w:font w:name="方正小标宋_GBK">
    <w:panose1 w:val="03000509000000000000"/>
    <w:charset w:val="86"/>
    <w:family w:val="auto"/>
    <w:pitch w:val="default"/>
    <w:sig w:usb0="00000001" w:usb1="080E0000" w:usb2="00000000" w:usb3="00000000" w:csb0="00040000" w:csb1="00000000"/>
    <w:embedRegular r:id="rId3" w:fontKey="{3614690D-7BD7-41D3-998A-2DA39431BB9A}"/>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embedRegular r:id="rId4" w:fontKey="{5E9FD9C7-6408-4989-8A02-07E58CDCF7D4}"/>
  </w:font>
  <w:font w:name="楷体">
    <w:panose1 w:val="02010609060101010101"/>
    <w:charset w:val="86"/>
    <w:family w:val="auto"/>
    <w:pitch w:val="default"/>
    <w:sig w:usb0="800002BF" w:usb1="38CF7CFA" w:usb2="00000016" w:usb3="00000000" w:csb0="00040001" w:csb1="00000000"/>
    <w:embedRegular r:id="rId5" w:fontKey="{3B0B8C08-2B33-403A-9BBF-AB50A82B15C8}"/>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90AB7">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14CDAA">
                          <w:pPr>
                            <w:pStyle w:val="3"/>
                            <w:keepNext w:val="0"/>
                            <w:keepLines w:val="0"/>
                            <w:pageBreakBefore w:val="0"/>
                            <w:widowControl w:val="0"/>
                            <w:kinsoku/>
                            <w:wordWrap/>
                            <w:overflowPunct/>
                            <w:topLinePunct w:val="0"/>
                            <w:bidi w:val="0"/>
                            <w:adjustRightInd/>
                            <w:snapToGrid w:val="0"/>
                            <w:ind w:left="420" w:leftChars="200" w:right="420" w:rightChars="2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714CDAA">
                    <w:pPr>
                      <w:pStyle w:val="3"/>
                      <w:keepNext w:val="0"/>
                      <w:keepLines w:val="0"/>
                      <w:pageBreakBefore w:val="0"/>
                      <w:widowControl w:val="0"/>
                      <w:kinsoku/>
                      <w:wordWrap/>
                      <w:overflowPunct/>
                      <w:topLinePunct w:val="0"/>
                      <w:bidi w:val="0"/>
                      <w:adjustRightInd/>
                      <w:snapToGrid w:val="0"/>
                      <w:ind w:left="420" w:leftChars="200" w:right="420" w:rightChars="2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wYTM2ODQyNTM1MjQxNjkxMzg4YjViMmRkNzNmN2QifQ=="/>
  </w:docVars>
  <w:rsids>
    <w:rsidRoot w:val="3BA5511C"/>
    <w:rsid w:val="00355AA0"/>
    <w:rsid w:val="00EA6B58"/>
    <w:rsid w:val="01D46B46"/>
    <w:rsid w:val="01EF3980"/>
    <w:rsid w:val="02AB69AE"/>
    <w:rsid w:val="02D432A2"/>
    <w:rsid w:val="030671D3"/>
    <w:rsid w:val="032B6201"/>
    <w:rsid w:val="034F2928"/>
    <w:rsid w:val="043E2C33"/>
    <w:rsid w:val="04D01847"/>
    <w:rsid w:val="060D7F70"/>
    <w:rsid w:val="064424ED"/>
    <w:rsid w:val="06D87B63"/>
    <w:rsid w:val="06F50548"/>
    <w:rsid w:val="08430582"/>
    <w:rsid w:val="095764B1"/>
    <w:rsid w:val="09864BCA"/>
    <w:rsid w:val="0A002BCE"/>
    <w:rsid w:val="0CDE5AE0"/>
    <w:rsid w:val="0F2E5AE8"/>
    <w:rsid w:val="10265717"/>
    <w:rsid w:val="104D4694"/>
    <w:rsid w:val="11063C09"/>
    <w:rsid w:val="124B075F"/>
    <w:rsid w:val="151D08A2"/>
    <w:rsid w:val="15F85A7D"/>
    <w:rsid w:val="16B34B25"/>
    <w:rsid w:val="17C4348D"/>
    <w:rsid w:val="17CF598E"/>
    <w:rsid w:val="17E72CD8"/>
    <w:rsid w:val="1A725422"/>
    <w:rsid w:val="1ABA0B77"/>
    <w:rsid w:val="1B5543FC"/>
    <w:rsid w:val="1B59213E"/>
    <w:rsid w:val="1E0A3BC4"/>
    <w:rsid w:val="1E4A2212"/>
    <w:rsid w:val="1EA23DFC"/>
    <w:rsid w:val="1F100D66"/>
    <w:rsid w:val="1F26470A"/>
    <w:rsid w:val="1F4849A4"/>
    <w:rsid w:val="1FD47FE6"/>
    <w:rsid w:val="20F546B7"/>
    <w:rsid w:val="23F32A04"/>
    <w:rsid w:val="23FE7D27"/>
    <w:rsid w:val="24397A54"/>
    <w:rsid w:val="24FB6014"/>
    <w:rsid w:val="250D7AF6"/>
    <w:rsid w:val="25641E0C"/>
    <w:rsid w:val="26235823"/>
    <w:rsid w:val="262A5668"/>
    <w:rsid w:val="26D05483"/>
    <w:rsid w:val="27402404"/>
    <w:rsid w:val="28942A08"/>
    <w:rsid w:val="29657F00"/>
    <w:rsid w:val="29E03A2B"/>
    <w:rsid w:val="29F37C02"/>
    <w:rsid w:val="2A41096D"/>
    <w:rsid w:val="2BAA2942"/>
    <w:rsid w:val="2BD31A99"/>
    <w:rsid w:val="2BFC3DFF"/>
    <w:rsid w:val="2C136339"/>
    <w:rsid w:val="2CDA0C05"/>
    <w:rsid w:val="2D5E35E4"/>
    <w:rsid w:val="2E56250D"/>
    <w:rsid w:val="2E8550C8"/>
    <w:rsid w:val="2FCC0CD9"/>
    <w:rsid w:val="2FEF63E9"/>
    <w:rsid w:val="305110E4"/>
    <w:rsid w:val="30997731"/>
    <w:rsid w:val="317E24A7"/>
    <w:rsid w:val="3268280F"/>
    <w:rsid w:val="3307027A"/>
    <w:rsid w:val="33C57C40"/>
    <w:rsid w:val="33CA5530"/>
    <w:rsid w:val="33D64B08"/>
    <w:rsid w:val="34180991"/>
    <w:rsid w:val="34DB376C"/>
    <w:rsid w:val="356D6ABA"/>
    <w:rsid w:val="35CC1262"/>
    <w:rsid w:val="36767DA8"/>
    <w:rsid w:val="36DD37CC"/>
    <w:rsid w:val="370A7D8E"/>
    <w:rsid w:val="37EC5DE0"/>
    <w:rsid w:val="38A16470"/>
    <w:rsid w:val="3BA5511C"/>
    <w:rsid w:val="3C8741E6"/>
    <w:rsid w:val="3EC84D62"/>
    <w:rsid w:val="3FDF05B5"/>
    <w:rsid w:val="3FF878C8"/>
    <w:rsid w:val="400E1E6F"/>
    <w:rsid w:val="40D3725E"/>
    <w:rsid w:val="414D77A0"/>
    <w:rsid w:val="418F600A"/>
    <w:rsid w:val="42500A1C"/>
    <w:rsid w:val="42FE0D52"/>
    <w:rsid w:val="43AB27D4"/>
    <w:rsid w:val="43B41D58"/>
    <w:rsid w:val="443864E5"/>
    <w:rsid w:val="454F1D39"/>
    <w:rsid w:val="457E261E"/>
    <w:rsid w:val="46276812"/>
    <w:rsid w:val="477737C9"/>
    <w:rsid w:val="487970CD"/>
    <w:rsid w:val="4880045B"/>
    <w:rsid w:val="48AB372A"/>
    <w:rsid w:val="499C0B00"/>
    <w:rsid w:val="4AED2FE6"/>
    <w:rsid w:val="4C117FBC"/>
    <w:rsid w:val="4C2A705C"/>
    <w:rsid w:val="4C552AB9"/>
    <w:rsid w:val="4C7107E7"/>
    <w:rsid w:val="4DC509B8"/>
    <w:rsid w:val="4DD25128"/>
    <w:rsid w:val="4E2E70C5"/>
    <w:rsid w:val="4F6939F7"/>
    <w:rsid w:val="4F8C3B89"/>
    <w:rsid w:val="504306EC"/>
    <w:rsid w:val="507C1E50"/>
    <w:rsid w:val="5099655E"/>
    <w:rsid w:val="52E57838"/>
    <w:rsid w:val="52FB1D2A"/>
    <w:rsid w:val="545729B8"/>
    <w:rsid w:val="561641AD"/>
    <w:rsid w:val="5621502B"/>
    <w:rsid w:val="58207565"/>
    <w:rsid w:val="585A2A77"/>
    <w:rsid w:val="59833487"/>
    <w:rsid w:val="59C04B5B"/>
    <w:rsid w:val="59EB11F2"/>
    <w:rsid w:val="5A447501"/>
    <w:rsid w:val="5B9718EC"/>
    <w:rsid w:val="5C4E309A"/>
    <w:rsid w:val="5C5617A7"/>
    <w:rsid w:val="5CAE3391"/>
    <w:rsid w:val="5CB00D05"/>
    <w:rsid w:val="5DFBD757"/>
    <w:rsid w:val="5E2B7A42"/>
    <w:rsid w:val="5E2C27BF"/>
    <w:rsid w:val="5E341D3B"/>
    <w:rsid w:val="616A4C75"/>
    <w:rsid w:val="617A5F38"/>
    <w:rsid w:val="628F5A13"/>
    <w:rsid w:val="62D6719E"/>
    <w:rsid w:val="63A23524"/>
    <w:rsid w:val="63A4729C"/>
    <w:rsid w:val="642D54E3"/>
    <w:rsid w:val="6511270F"/>
    <w:rsid w:val="655C6080"/>
    <w:rsid w:val="65C36CD3"/>
    <w:rsid w:val="65CC6636"/>
    <w:rsid w:val="66822AB6"/>
    <w:rsid w:val="66A01F9C"/>
    <w:rsid w:val="67C41CBB"/>
    <w:rsid w:val="67EB30ED"/>
    <w:rsid w:val="68E94801"/>
    <w:rsid w:val="6A973C6D"/>
    <w:rsid w:val="6B686E01"/>
    <w:rsid w:val="6C1D408F"/>
    <w:rsid w:val="6C4B01C3"/>
    <w:rsid w:val="6C7F08A6"/>
    <w:rsid w:val="6CFC1EF7"/>
    <w:rsid w:val="6DC26C9C"/>
    <w:rsid w:val="6DF8EF65"/>
    <w:rsid w:val="6EC802E2"/>
    <w:rsid w:val="70001CFE"/>
    <w:rsid w:val="70E62CA2"/>
    <w:rsid w:val="710A5427"/>
    <w:rsid w:val="71CD3E62"/>
    <w:rsid w:val="72B8066E"/>
    <w:rsid w:val="733B4CFE"/>
    <w:rsid w:val="73CC12CF"/>
    <w:rsid w:val="74BF5CE3"/>
    <w:rsid w:val="75306278"/>
    <w:rsid w:val="75C5557C"/>
    <w:rsid w:val="76E934EC"/>
    <w:rsid w:val="77440722"/>
    <w:rsid w:val="782E3942"/>
    <w:rsid w:val="79256331"/>
    <w:rsid w:val="79736349"/>
    <w:rsid w:val="7BD06A28"/>
    <w:rsid w:val="7C79698D"/>
    <w:rsid w:val="7D1C7A4B"/>
    <w:rsid w:val="7F0A2251"/>
    <w:rsid w:val="7F160CF6"/>
    <w:rsid w:val="7F874253"/>
    <w:rsid w:val="DFBBA5BF"/>
    <w:rsid w:val="FFFBE7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590" w:lineRule="exact"/>
      <w:ind w:firstLine="0" w:firstLineChars="0"/>
      <w:jc w:val="center"/>
      <w:outlineLvl w:val="0"/>
    </w:pPr>
    <w:rPr>
      <w:rFonts w:ascii="Times New Roman" w:hAnsi="Times New Roman" w:eastAsia="方正小标宋_GBK"/>
      <w:kern w:val="44"/>
      <w:sz w:val="36"/>
      <w:szCs w:val="36"/>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1890</Words>
  <Characters>2167</Characters>
  <Lines>0</Lines>
  <Paragraphs>0</Paragraphs>
  <TotalTime>0</TotalTime>
  <ScaleCrop>false</ScaleCrop>
  <LinksUpToDate>false</LinksUpToDate>
  <CharactersWithSpaces>2167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2026-02-04T09:00:00Z</dcterms:created>
  <dc:creator>青云之上</dc:creator>
  <cp:lastModifiedBy>向阳花开  </cp:lastModifiedBy>
  <cp:lastPrinted>2026-02-14T14:28:00Z</cp:lastPrinted>
  <dcterms:modified xsi:type="dcterms:W3CDTF">2026-02-26T00:44:25Z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C2E008B624424F29A5CFC73E04566F55_13</vt:lpwstr>
  </property>
  <property fmtid="{D5CDD505-2E9C-101B-9397-08002B2CF9AE}" pid="4" name="KSOTemplateDocerSaveRecord">
    <vt:lpwstr>eyJoZGlkIjoiNzgzM2Q4NzI0OTFjYTBjNDA2NGIwZjIxNjkyMmJkYzciLCJ1c2VySWQiOiI4NjE1MTAxODAifQ==</vt:lpwstr>
  </property>
</Properties>
</file>